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21" w:rsidRDefault="00E15321" w:rsidP="00E15321">
      <w:pPr>
        <w:pStyle w:val="ListParagraph"/>
        <w:rPr>
          <w:b/>
        </w:rPr>
      </w:pPr>
    </w:p>
    <w:p w:rsidR="00E15321" w:rsidRPr="004F4168" w:rsidRDefault="00E15321" w:rsidP="004F4168">
      <w:pPr>
        <w:pStyle w:val="Heading1"/>
        <w:jc w:val="center"/>
        <w:rPr>
          <w:color w:val="auto"/>
          <w:sz w:val="40"/>
        </w:rPr>
      </w:pPr>
      <w:r w:rsidRPr="004F4168">
        <w:rPr>
          <w:color w:val="auto"/>
          <w:sz w:val="40"/>
        </w:rPr>
        <w:t xml:space="preserve">State Purchase Contracts </w:t>
      </w:r>
      <w:r w:rsidR="00986293" w:rsidRPr="004F4168">
        <w:rPr>
          <w:color w:val="auto"/>
          <w:sz w:val="40"/>
        </w:rPr>
        <w:t>Registration Guide</w:t>
      </w:r>
    </w:p>
    <w:p w:rsidR="00986293" w:rsidRDefault="00986293" w:rsidP="00E15321">
      <w:pPr>
        <w:rPr>
          <w:b/>
          <w:color w:val="4F81BD" w:themeColor="accent1"/>
        </w:rPr>
      </w:pPr>
    </w:p>
    <w:p w:rsidR="00E15321" w:rsidRDefault="00986293" w:rsidP="00986293">
      <w:pPr>
        <w:pStyle w:val="Heading2"/>
        <w:rPr>
          <w:color w:val="auto"/>
        </w:rPr>
      </w:pPr>
      <w:r w:rsidRPr="00986293">
        <w:rPr>
          <w:color w:val="auto"/>
        </w:rPr>
        <w:t>Background</w:t>
      </w:r>
    </w:p>
    <w:p w:rsidR="004F4168" w:rsidRPr="004F4168" w:rsidRDefault="004F4168" w:rsidP="004F4168">
      <w:pPr>
        <w:rPr>
          <w:sz w:val="10"/>
          <w:szCs w:val="10"/>
        </w:rPr>
      </w:pPr>
    </w:p>
    <w:p w:rsidR="00E15321" w:rsidRPr="00986293" w:rsidRDefault="00E15321" w:rsidP="00E15321">
      <w:r w:rsidRPr="0041047A">
        <w:t xml:space="preserve">A new </w:t>
      </w:r>
      <w:r w:rsidR="00986293">
        <w:t>state purchase contract (SPC) confidential information s</w:t>
      </w:r>
      <w:r w:rsidRPr="0041047A">
        <w:t>ystem</w:t>
      </w:r>
      <w:r w:rsidR="00986293">
        <w:t xml:space="preserve"> </w:t>
      </w:r>
      <w:r w:rsidR="00E61094">
        <w:t xml:space="preserve">has been </w:t>
      </w:r>
      <w:r w:rsidRPr="0041047A">
        <w:t>de</w:t>
      </w:r>
      <w:r w:rsidR="00E61094">
        <w:t>veloped to ensure the government has the appropriate level of security and control with regards to the management of information within the confidential section.</w:t>
      </w:r>
    </w:p>
    <w:p w:rsidR="00E15321" w:rsidRDefault="00E15321" w:rsidP="00E15321">
      <w:r>
        <w:t xml:space="preserve">Your </w:t>
      </w:r>
      <w:r w:rsidRPr="0041047A">
        <w:t>existing user a</w:t>
      </w:r>
      <w:r w:rsidR="00986293">
        <w:t>ccount to access SPC confidential i</w:t>
      </w:r>
      <w:r>
        <w:t>nformation is no longer active.</w:t>
      </w:r>
      <w:r w:rsidR="00E61094">
        <w:t xml:space="preserve"> </w:t>
      </w:r>
      <w:r w:rsidR="003B7981">
        <w:t xml:space="preserve"> As such, you will be required to follow the process below to gain access to the new confidential information system.</w:t>
      </w:r>
    </w:p>
    <w:p w:rsidR="00E15321" w:rsidRPr="00986293" w:rsidRDefault="00986293" w:rsidP="00986293">
      <w:pPr>
        <w:pStyle w:val="Heading2"/>
        <w:rPr>
          <w:color w:val="auto"/>
        </w:rPr>
      </w:pPr>
      <w:r w:rsidRPr="00986293">
        <w:rPr>
          <w:color w:val="auto"/>
        </w:rPr>
        <w:t>Next steps</w:t>
      </w:r>
    </w:p>
    <w:p w:rsidR="00E15321" w:rsidRPr="00AA5677" w:rsidRDefault="00AA5677" w:rsidP="00E15321">
      <w:pPr>
        <w:pStyle w:val="ListParagraph"/>
        <w:numPr>
          <w:ilvl w:val="0"/>
          <w:numId w:val="1"/>
        </w:numPr>
      </w:pPr>
      <w:r>
        <w:t>S</w:t>
      </w:r>
      <w:r w:rsidR="00E15321" w:rsidRPr="00AA5677">
        <w:t xml:space="preserve">et up a new user account to access the new SPC </w:t>
      </w:r>
      <w:r>
        <w:t>Confidential Information System</w:t>
      </w:r>
      <w:r w:rsidR="003A65A4">
        <w:t>.</w:t>
      </w:r>
    </w:p>
    <w:p w:rsidR="00E15321" w:rsidRDefault="00E15321" w:rsidP="00E15321">
      <w:pPr>
        <w:rPr>
          <w:b/>
        </w:rPr>
      </w:pPr>
    </w:p>
    <w:p w:rsidR="00E15321" w:rsidRDefault="00986293" w:rsidP="00986293">
      <w:pPr>
        <w:pStyle w:val="Heading2"/>
        <w:rPr>
          <w:color w:val="auto"/>
        </w:rPr>
      </w:pPr>
      <w:r w:rsidRPr="00986293">
        <w:rPr>
          <w:color w:val="auto"/>
        </w:rPr>
        <w:t>First time user (login</w:t>
      </w:r>
      <w:r w:rsidR="007C66D6" w:rsidRPr="00986293">
        <w:rPr>
          <w:color w:val="auto"/>
        </w:rPr>
        <w:t>)</w:t>
      </w:r>
    </w:p>
    <w:p w:rsidR="00986293" w:rsidRPr="004F4168" w:rsidRDefault="00986293" w:rsidP="00986293">
      <w:pPr>
        <w:rPr>
          <w:sz w:val="10"/>
          <w:szCs w:val="10"/>
        </w:rPr>
      </w:pPr>
    </w:p>
    <w:p w:rsidR="00E15321" w:rsidRPr="00642C99" w:rsidRDefault="00E15321" w:rsidP="00986293">
      <w:pPr>
        <w:ind w:firstLine="360"/>
        <w:rPr>
          <w:b/>
          <w:color w:val="709FDB" w:themeColor="text2" w:themeTint="80"/>
        </w:rPr>
      </w:pPr>
      <w:r w:rsidRPr="00642C99">
        <w:rPr>
          <w:b/>
          <w:color w:val="709FDB" w:themeColor="text2" w:themeTint="80"/>
        </w:rPr>
        <w:t>STEP 1:</w:t>
      </w:r>
      <w:r w:rsidR="00986293">
        <w:rPr>
          <w:b/>
          <w:color w:val="709FDB" w:themeColor="text2" w:themeTint="80"/>
        </w:rPr>
        <w:tab/>
      </w:r>
      <w:r w:rsidRPr="00642C99">
        <w:rPr>
          <w:b/>
          <w:color w:val="709FDB" w:themeColor="text2" w:themeTint="80"/>
        </w:rPr>
        <w:t xml:space="preserve"> REGISTRATER FOR DTF.APPS PORTAL AND ACCESS </w:t>
      </w:r>
      <w:r>
        <w:rPr>
          <w:b/>
          <w:color w:val="709FDB" w:themeColor="text2" w:themeTint="80"/>
        </w:rPr>
        <w:t xml:space="preserve">TO </w:t>
      </w:r>
      <w:r w:rsidR="00986293">
        <w:rPr>
          <w:b/>
          <w:color w:val="709FDB" w:themeColor="text2" w:themeTint="80"/>
        </w:rPr>
        <w:t>THE NEW SPC</w:t>
      </w:r>
      <w:r w:rsidR="00986293">
        <w:rPr>
          <w:b/>
          <w:color w:val="709FDB" w:themeColor="text2" w:themeTint="80"/>
        </w:rPr>
        <w:tab/>
      </w:r>
      <w:r w:rsidR="00986293">
        <w:rPr>
          <w:b/>
          <w:color w:val="709FDB" w:themeColor="text2" w:themeTint="80"/>
        </w:rPr>
        <w:tab/>
      </w:r>
      <w:r w:rsidR="00986293">
        <w:rPr>
          <w:b/>
          <w:color w:val="709FDB" w:themeColor="text2" w:themeTint="80"/>
        </w:rPr>
        <w:tab/>
      </w:r>
      <w:r w:rsidR="00986293">
        <w:rPr>
          <w:b/>
          <w:color w:val="709FDB" w:themeColor="text2" w:themeTint="80"/>
        </w:rPr>
        <w:tab/>
      </w:r>
      <w:r w:rsidRPr="00642C99">
        <w:rPr>
          <w:b/>
          <w:color w:val="709FDB" w:themeColor="text2" w:themeTint="80"/>
        </w:rPr>
        <w:t>CONFIDENTIAL INFORMATION SYSTEM</w:t>
      </w:r>
    </w:p>
    <w:p w:rsidR="00E15321" w:rsidRPr="00E15321" w:rsidRDefault="00E15321" w:rsidP="00E15321">
      <w:pPr>
        <w:pStyle w:val="ListParagraph"/>
        <w:numPr>
          <w:ilvl w:val="0"/>
          <w:numId w:val="2"/>
        </w:numPr>
        <w:rPr>
          <w:b/>
        </w:rPr>
      </w:pPr>
      <w:r w:rsidRPr="00986293">
        <w:t>Go to</w:t>
      </w:r>
      <w:r w:rsidRPr="00E15321">
        <w:rPr>
          <w:b/>
        </w:rPr>
        <w:t xml:space="preserve"> </w:t>
      </w:r>
      <w:hyperlink r:id="rId8" w:history="1">
        <w:r w:rsidRPr="00E15321">
          <w:rPr>
            <w:rStyle w:val="Hyperlink"/>
            <w:b/>
          </w:rPr>
          <w:t>http://apps.dtf.vic.gov.au/apps_state_purchase_contracts/</w:t>
        </w:r>
      </w:hyperlink>
      <w:r w:rsidRPr="00E15321">
        <w:rPr>
          <w:b/>
        </w:rPr>
        <w:t xml:space="preserve"> </w:t>
      </w:r>
    </w:p>
    <w:p w:rsidR="00E15321" w:rsidRDefault="00E15321" w:rsidP="00E15321">
      <w:pPr>
        <w:pStyle w:val="ListParagraph"/>
        <w:numPr>
          <w:ilvl w:val="0"/>
          <w:numId w:val="2"/>
        </w:numPr>
      </w:pPr>
      <w:r w:rsidRPr="0041047A">
        <w:t xml:space="preserve">Click on the </w:t>
      </w:r>
      <w:r w:rsidR="00986293">
        <w:rPr>
          <w:b/>
        </w:rPr>
        <w:t>“</w:t>
      </w:r>
      <w:r w:rsidRPr="0041047A">
        <w:rPr>
          <w:b/>
        </w:rPr>
        <w:t>Register menu”</w:t>
      </w:r>
      <w:r w:rsidRPr="0041047A">
        <w:t>, fill in the form to create a new APPS.DTF Account.</w:t>
      </w:r>
    </w:p>
    <w:p w:rsidR="00E15321" w:rsidRPr="00E15321" w:rsidRDefault="00E15321" w:rsidP="00E15321">
      <w:pPr>
        <w:pStyle w:val="ListParagraph"/>
        <w:rPr>
          <w:b/>
        </w:rPr>
      </w:pPr>
    </w:p>
    <w:p w:rsidR="00E15321" w:rsidRDefault="00E15321" w:rsidP="007C66D6">
      <w:pPr>
        <w:jc w:val="center"/>
      </w:pPr>
      <w:r>
        <w:rPr>
          <w:noProof/>
          <w:lang w:eastAsia="en-AU"/>
        </w:rPr>
        <w:drawing>
          <wp:inline distT="0" distB="0" distL="0" distR="0" wp14:anchorId="5650F00F" wp14:editId="7A164AC9">
            <wp:extent cx="4114800" cy="1925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831" cy="192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21" w:rsidRPr="0041047A" w:rsidRDefault="00E15321" w:rsidP="00E15321">
      <w:pPr>
        <w:pStyle w:val="ListParagraph"/>
        <w:numPr>
          <w:ilvl w:val="0"/>
          <w:numId w:val="2"/>
        </w:numPr>
      </w:pPr>
      <w:r w:rsidRPr="0041047A">
        <w:t xml:space="preserve">Once </w:t>
      </w:r>
      <w:r>
        <w:t xml:space="preserve">the registration form is </w:t>
      </w:r>
      <w:r w:rsidRPr="0041047A">
        <w:t>completed</w:t>
      </w:r>
      <w:r>
        <w:t>,</w:t>
      </w:r>
      <w:r w:rsidRPr="0041047A">
        <w:t xml:space="preserve"> an email with a verification link will be emailed to you.</w:t>
      </w:r>
    </w:p>
    <w:p w:rsidR="00E15321" w:rsidRPr="0041047A" w:rsidRDefault="00E15321" w:rsidP="00E15321">
      <w:pPr>
        <w:pStyle w:val="ListParagraph"/>
      </w:pPr>
    </w:p>
    <w:p w:rsidR="00E15321" w:rsidRDefault="00E15321" w:rsidP="00E15321">
      <w:pPr>
        <w:pStyle w:val="ListParagraph"/>
        <w:numPr>
          <w:ilvl w:val="0"/>
          <w:numId w:val="2"/>
        </w:numPr>
      </w:pPr>
      <w:r w:rsidRPr="0041047A">
        <w:t>Click on the email verification link to activate your user account</w:t>
      </w:r>
      <w:r>
        <w:t xml:space="preserve"> and reset your temporary password.</w:t>
      </w:r>
    </w:p>
    <w:p w:rsidR="00E15321" w:rsidRDefault="00E15321"/>
    <w:p w:rsidR="00E15321" w:rsidRDefault="00986293">
      <w:r w:rsidRPr="0006794F"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FEA4D56" wp14:editId="4AA5ACB7">
            <wp:simplePos x="0" y="0"/>
            <wp:positionH relativeFrom="column">
              <wp:posOffset>-89535</wp:posOffset>
            </wp:positionH>
            <wp:positionV relativeFrom="paragraph">
              <wp:posOffset>211455</wp:posOffset>
            </wp:positionV>
            <wp:extent cx="5232400" cy="1923415"/>
            <wp:effectExtent l="0" t="0" r="635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321" w:rsidRDefault="00E15321"/>
    <w:p w:rsidR="00E15321" w:rsidRDefault="00E15321"/>
    <w:p w:rsidR="00986293" w:rsidRDefault="00986293"/>
    <w:p w:rsidR="00986293" w:rsidRDefault="00986293"/>
    <w:p w:rsidR="00986293" w:rsidRDefault="00986293"/>
    <w:p w:rsidR="00986293" w:rsidRDefault="00986293"/>
    <w:p w:rsidR="00E15321" w:rsidRPr="0006794F" w:rsidRDefault="00E15321" w:rsidP="00E1532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06794F">
        <w:rPr>
          <w:rFonts w:ascii="Calibri" w:hAnsi="Calibri"/>
        </w:rPr>
        <w:t xml:space="preserve">Once completed, click on the </w:t>
      </w:r>
      <w:r w:rsidRPr="0006794F">
        <w:rPr>
          <w:rFonts w:ascii="Calibri" w:hAnsi="Calibri"/>
          <w:b/>
        </w:rPr>
        <w:t>APPS.DTF Login link</w:t>
      </w:r>
      <w:r w:rsidRPr="0006794F">
        <w:rPr>
          <w:rFonts w:ascii="Calibri" w:hAnsi="Calibri"/>
        </w:rPr>
        <w:t>.</w:t>
      </w:r>
    </w:p>
    <w:p w:rsidR="00E15321" w:rsidRPr="0006794F" w:rsidRDefault="00E15321" w:rsidP="00E15321">
      <w:pPr>
        <w:pStyle w:val="ListParagraph"/>
        <w:rPr>
          <w:rFonts w:ascii="Calibri" w:hAnsi="Calibri"/>
        </w:rPr>
      </w:pPr>
    </w:p>
    <w:p w:rsidR="00E15321" w:rsidRPr="0006794F" w:rsidRDefault="00E15321" w:rsidP="00E15321">
      <w:pPr>
        <w:pStyle w:val="ListParagraph"/>
        <w:numPr>
          <w:ilvl w:val="0"/>
          <w:numId w:val="2"/>
        </w:numPr>
        <w:jc w:val="both"/>
        <w:rPr>
          <w:rFonts w:ascii="Calibri" w:hAnsi="Calibri"/>
        </w:rPr>
      </w:pPr>
      <w:r w:rsidRPr="0006794F">
        <w:rPr>
          <w:rFonts w:ascii="Calibri" w:hAnsi="Calibri"/>
        </w:rPr>
        <w:t>Once logged in successfully on the New State Purchase Contracts Information System</w:t>
      </w:r>
      <w:r w:rsidRPr="0006794F">
        <w:rPr>
          <w:rFonts w:ascii="Calibri" w:hAnsi="Calibri"/>
          <w:b/>
        </w:rPr>
        <w:t>, click on “Register link”</w:t>
      </w:r>
      <w:r w:rsidRPr="0006794F">
        <w:rPr>
          <w:rFonts w:ascii="Calibri" w:hAnsi="Calibri"/>
        </w:rPr>
        <w:t xml:space="preserve"> and fill in the SPC confidential information registration form and press the submit button.</w:t>
      </w:r>
    </w:p>
    <w:p w:rsidR="00E15321" w:rsidRPr="0006794F" w:rsidRDefault="00E15321" w:rsidP="00E15321">
      <w:pPr>
        <w:pStyle w:val="ListParagraph"/>
        <w:rPr>
          <w:rFonts w:ascii="Calibri" w:hAnsi="Calibri"/>
          <w:b/>
        </w:rPr>
      </w:pPr>
    </w:p>
    <w:p w:rsidR="00E15321" w:rsidRPr="00986293" w:rsidRDefault="00986293" w:rsidP="00986293">
      <w:pPr>
        <w:pStyle w:val="Heading2"/>
        <w:rPr>
          <w:color w:val="auto"/>
        </w:rPr>
      </w:pPr>
      <w:r w:rsidRPr="00986293">
        <w:rPr>
          <w:color w:val="auto"/>
        </w:rPr>
        <w:t>Registered user</w:t>
      </w:r>
    </w:p>
    <w:p w:rsidR="00986293" w:rsidRPr="004F4168" w:rsidRDefault="00986293" w:rsidP="00986293">
      <w:pPr>
        <w:ind w:firstLine="360"/>
        <w:rPr>
          <w:b/>
          <w:color w:val="709FDB" w:themeColor="text2" w:themeTint="80"/>
          <w:sz w:val="10"/>
          <w:szCs w:val="10"/>
        </w:rPr>
      </w:pPr>
    </w:p>
    <w:p w:rsidR="00E15321" w:rsidRPr="00986293" w:rsidRDefault="00E15321" w:rsidP="00986293">
      <w:pPr>
        <w:ind w:firstLine="360"/>
        <w:rPr>
          <w:b/>
          <w:color w:val="709FDB" w:themeColor="text2" w:themeTint="80"/>
        </w:rPr>
      </w:pPr>
      <w:r w:rsidRPr="00986293">
        <w:rPr>
          <w:b/>
          <w:color w:val="709FDB" w:themeColor="text2" w:themeTint="80"/>
        </w:rPr>
        <w:t xml:space="preserve">STEP 2: </w:t>
      </w:r>
      <w:r w:rsidR="00986293" w:rsidRPr="00986293">
        <w:rPr>
          <w:b/>
          <w:color w:val="709FDB" w:themeColor="text2" w:themeTint="80"/>
        </w:rPr>
        <w:tab/>
      </w:r>
      <w:r w:rsidRPr="00986293">
        <w:rPr>
          <w:b/>
          <w:color w:val="709FDB" w:themeColor="text2" w:themeTint="80"/>
        </w:rPr>
        <w:t xml:space="preserve">REQUEST ACCESS TO SPC’S SELECTED CONFIDENTIAL INFORMATION </w:t>
      </w:r>
    </w:p>
    <w:p w:rsidR="00E15321" w:rsidRPr="0006794F" w:rsidRDefault="00E15321" w:rsidP="00E15321">
      <w:pPr>
        <w:pStyle w:val="ListParagraph"/>
        <w:numPr>
          <w:ilvl w:val="0"/>
          <w:numId w:val="2"/>
        </w:numPr>
        <w:rPr>
          <w:rFonts w:ascii="Calibri" w:hAnsi="Calibri" w:cstheme="majorHAnsi"/>
          <w:b/>
        </w:rPr>
      </w:pPr>
      <w:r w:rsidRPr="00986293">
        <w:rPr>
          <w:rFonts w:ascii="Calibri" w:hAnsi="Calibri" w:cstheme="majorHAnsi"/>
        </w:rPr>
        <w:t xml:space="preserve">Go to </w:t>
      </w:r>
      <w:hyperlink r:id="rId11" w:history="1">
        <w:r w:rsidRPr="00E15321">
          <w:rPr>
            <w:rStyle w:val="Hyperlink"/>
            <w:b/>
          </w:rPr>
          <w:t>http://apps.dtf.vic.gov.au/apps_state_purchase_contracts/</w:t>
        </w:r>
      </w:hyperlink>
      <w:r w:rsidRPr="00E15321">
        <w:rPr>
          <w:b/>
        </w:rPr>
        <w:t xml:space="preserve"> </w:t>
      </w:r>
      <w:r w:rsidRPr="0006794F">
        <w:rPr>
          <w:rFonts w:ascii="Calibri" w:hAnsi="Calibri" w:cstheme="majorHAnsi"/>
          <w:color w:val="000000"/>
        </w:rPr>
        <w:t>to access the new confidential information system for selected SPC’s.</w:t>
      </w:r>
    </w:p>
    <w:p w:rsidR="00E15321" w:rsidRPr="0006794F" w:rsidRDefault="00E15321" w:rsidP="00E15321">
      <w:pPr>
        <w:pStyle w:val="ListParagraph"/>
        <w:rPr>
          <w:rFonts w:ascii="Calibri" w:hAnsi="Calibri"/>
          <w:b/>
        </w:rPr>
      </w:pPr>
    </w:p>
    <w:p w:rsidR="00E15321" w:rsidRPr="0006794F" w:rsidRDefault="00E15321" w:rsidP="00E15321">
      <w:pPr>
        <w:pStyle w:val="ListParagraph"/>
        <w:numPr>
          <w:ilvl w:val="0"/>
          <w:numId w:val="2"/>
        </w:numPr>
        <w:rPr>
          <w:rFonts w:ascii="Calibri" w:hAnsi="Calibri"/>
          <w:b/>
        </w:rPr>
      </w:pPr>
      <w:r w:rsidRPr="0006794F">
        <w:rPr>
          <w:rFonts w:ascii="Calibri" w:hAnsi="Calibri"/>
        </w:rPr>
        <w:t xml:space="preserve">Click on the </w:t>
      </w:r>
      <w:r w:rsidRPr="0006794F">
        <w:rPr>
          <w:rFonts w:ascii="Calibri" w:hAnsi="Calibri"/>
          <w:b/>
        </w:rPr>
        <w:t>“All Contracts” menu</w:t>
      </w:r>
      <w:r w:rsidRPr="0006794F">
        <w:rPr>
          <w:rFonts w:ascii="Calibri" w:hAnsi="Calibri"/>
        </w:rPr>
        <w:t>, and select the contracts you wish to request access.</w:t>
      </w:r>
      <w:r w:rsidRPr="0006794F">
        <w:rPr>
          <w:rFonts w:ascii="Calibri" w:hAnsi="Calibri" w:cs="Helv"/>
          <w:color w:val="000000"/>
          <w:sz w:val="20"/>
          <w:szCs w:val="20"/>
        </w:rPr>
        <w:br/>
      </w:r>
    </w:p>
    <w:p w:rsidR="00E15321" w:rsidRPr="0006794F" w:rsidRDefault="00E15321" w:rsidP="00E1532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06794F">
        <w:rPr>
          <w:rFonts w:ascii="Calibri" w:hAnsi="Calibri"/>
        </w:rPr>
        <w:t>Click on the</w:t>
      </w:r>
      <w:r w:rsidRPr="0006794F">
        <w:rPr>
          <w:rFonts w:ascii="Calibri" w:hAnsi="Calibri"/>
          <w:b/>
        </w:rPr>
        <w:t xml:space="preserve"> “My Contracts” menu, </w:t>
      </w:r>
      <w:r w:rsidRPr="0006794F">
        <w:rPr>
          <w:rFonts w:ascii="Calibri" w:hAnsi="Calibri"/>
        </w:rPr>
        <w:t>to view and manage the status of your requests.</w:t>
      </w:r>
    </w:p>
    <w:p w:rsidR="00E15321" w:rsidRPr="0006794F" w:rsidRDefault="00E15321" w:rsidP="00E15321">
      <w:pPr>
        <w:pStyle w:val="ListParagraph"/>
        <w:rPr>
          <w:rFonts w:ascii="Calibri" w:hAnsi="Calibri"/>
        </w:rPr>
      </w:pPr>
    </w:p>
    <w:p w:rsidR="00E15321" w:rsidRPr="00E15321" w:rsidRDefault="00E15321" w:rsidP="00E1532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06794F">
        <w:rPr>
          <w:rFonts w:ascii="Calibri" w:hAnsi="Calibri"/>
        </w:rPr>
        <w:t>The Category Manager will receive your request and approve your eligibility.</w:t>
      </w:r>
    </w:p>
    <w:p w:rsidR="00986293" w:rsidRDefault="00986293" w:rsidP="00986293">
      <w:pPr>
        <w:pStyle w:val="Heading2"/>
        <w:rPr>
          <w:color w:val="auto"/>
        </w:rPr>
      </w:pPr>
    </w:p>
    <w:p w:rsidR="00E15321" w:rsidRDefault="00986293" w:rsidP="00986293">
      <w:pPr>
        <w:pStyle w:val="Heading2"/>
        <w:rPr>
          <w:color w:val="auto"/>
        </w:rPr>
      </w:pPr>
      <w:r w:rsidRPr="00986293">
        <w:rPr>
          <w:color w:val="auto"/>
        </w:rPr>
        <w:t>Technical support</w:t>
      </w:r>
    </w:p>
    <w:p w:rsidR="004F4168" w:rsidRPr="004F4168" w:rsidRDefault="004F4168" w:rsidP="004F4168">
      <w:pPr>
        <w:rPr>
          <w:sz w:val="10"/>
          <w:szCs w:val="10"/>
        </w:rPr>
      </w:pPr>
    </w:p>
    <w:p w:rsidR="00E15321" w:rsidRPr="00E15321" w:rsidRDefault="00E15321" w:rsidP="00986293">
      <w:pPr>
        <w:ind w:firstLine="720"/>
      </w:pPr>
      <w:r w:rsidRPr="00E15321">
        <w:t>For system technical support, contact:</w:t>
      </w:r>
    </w:p>
    <w:p w:rsidR="00E15321" w:rsidRPr="00E15321" w:rsidRDefault="00E15321" w:rsidP="00E15321">
      <w:pPr>
        <w:pStyle w:val="ListParagraph"/>
        <w:jc w:val="both"/>
        <w:rPr>
          <w:rFonts w:ascii="Calibri" w:hAnsi="Calibri"/>
        </w:rPr>
      </w:pPr>
      <w:r w:rsidRPr="00E15321">
        <w:rPr>
          <w:rFonts w:ascii="Calibri" w:hAnsi="Calibri"/>
        </w:rPr>
        <w:t xml:space="preserve">Liliana Sousa </w:t>
      </w:r>
      <w:bookmarkStart w:id="0" w:name="_GoBack"/>
      <w:bookmarkEnd w:id="0"/>
    </w:p>
    <w:p w:rsidR="00E15321" w:rsidRPr="00E15321" w:rsidRDefault="00E15321" w:rsidP="00E15321">
      <w:pPr>
        <w:pStyle w:val="ListParagraph"/>
        <w:jc w:val="both"/>
        <w:rPr>
          <w:rFonts w:ascii="Calibri" w:hAnsi="Calibri"/>
        </w:rPr>
      </w:pPr>
      <w:r w:rsidRPr="00E15321">
        <w:rPr>
          <w:rFonts w:ascii="Calibri" w:hAnsi="Calibri"/>
        </w:rPr>
        <w:t>Senior Application Support Analyst</w:t>
      </w:r>
    </w:p>
    <w:p w:rsidR="00E15321" w:rsidRPr="00E15321" w:rsidRDefault="004F4168" w:rsidP="00E15321">
      <w:pPr>
        <w:pStyle w:val="ListParagraph"/>
        <w:rPr>
          <w:rFonts w:ascii="Calibri" w:hAnsi="Calibri" w:cs="Helv"/>
          <w:color w:val="000000"/>
        </w:rPr>
      </w:pPr>
      <w:r>
        <w:rPr>
          <w:rFonts w:ascii="Calibri" w:hAnsi="Calibri"/>
        </w:rPr>
        <w:t>P</w:t>
      </w:r>
      <w:r w:rsidR="00E15321" w:rsidRPr="00E15321">
        <w:rPr>
          <w:rFonts w:ascii="Calibri" w:hAnsi="Calibri"/>
        </w:rPr>
        <w:t>hone: 9651 1672</w:t>
      </w:r>
      <w:r w:rsidR="00E15321" w:rsidRPr="00E15321">
        <w:rPr>
          <w:rFonts w:ascii="Calibri" w:hAnsi="Calibri" w:cs="Helv"/>
          <w:color w:val="000000"/>
        </w:rPr>
        <w:br/>
      </w:r>
      <w:r w:rsidR="00E15321" w:rsidRPr="00E15321">
        <w:rPr>
          <w:rFonts w:ascii="Calibri" w:hAnsi="Calibri"/>
        </w:rPr>
        <w:t xml:space="preserve">Email: </w:t>
      </w:r>
      <w:hyperlink r:id="rId12" w:history="1">
        <w:r w:rsidR="00E15321" w:rsidRPr="00E15321">
          <w:rPr>
            <w:rStyle w:val="Hyperlink"/>
            <w:rFonts w:ascii="Calibri" w:hAnsi="Calibri"/>
          </w:rPr>
          <w:t>liliana.sousa@dtf.vic.gov.au</w:t>
        </w:r>
      </w:hyperlink>
      <w:r w:rsidR="00E15321" w:rsidRPr="00E15321">
        <w:rPr>
          <w:rFonts w:ascii="Calibri" w:hAnsi="Calibri"/>
        </w:rPr>
        <w:t xml:space="preserve"> </w:t>
      </w:r>
    </w:p>
    <w:sectPr w:rsidR="00E15321" w:rsidRPr="00E15321" w:rsidSect="004F41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321" w:rsidRDefault="00E15321" w:rsidP="00E15321">
      <w:pPr>
        <w:spacing w:after="0" w:line="240" w:lineRule="auto"/>
      </w:pPr>
      <w:r>
        <w:separator/>
      </w:r>
    </w:p>
  </w:endnote>
  <w:endnote w:type="continuationSeparator" w:id="0">
    <w:p w:rsidR="00E15321" w:rsidRDefault="00E15321" w:rsidP="00E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21" w:rsidRDefault="003A65A4" w:rsidP="003A65A4">
    <w:pPr>
      <w:pStyle w:val="Footer"/>
      <w:rPr>
        <w:rFonts w:ascii="Arial" w:hAnsi="Arial" w:cs="Arial"/>
        <w:b/>
        <w:color w:val="3F3F3F"/>
        <w:sz w:val="20"/>
      </w:rPr>
    </w:pPr>
    <w:bookmarkStart w:id="1" w:name="aliashNonProtectiveMarki1FooterEvenPages"/>
    <w:r>
      <w:rPr>
        <w:rFonts w:ascii="Arial" w:hAnsi="Arial" w:cs="Arial"/>
        <w:b/>
        <w:color w:val="3F3F3F"/>
        <w:sz w:val="20"/>
      </w:rPr>
      <w:t>Unclassified</w:t>
    </w:r>
  </w:p>
  <w:bookmarkEnd w:id="1"/>
  <w:p w:rsidR="00E15321" w:rsidRDefault="00E153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21" w:rsidRDefault="003A65A4" w:rsidP="003A65A4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b/>
        <w:color w:val="3F3F3F"/>
        <w:sz w:val="20"/>
      </w:rPr>
    </w:pPr>
    <w:bookmarkStart w:id="2" w:name="aliashNonProtectiveMarking1FooterPrimary"/>
    <w:r>
      <w:rPr>
        <w:rFonts w:ascii="Arial" w:hAnsi="Arial" w:cs="Arial"/>
        <w:b/>
        <w:color w:val="3F3F3F"/>
        <w:sz w:val="20"/>
      </w:rPr>
      <w:t>Unclassified</w:t>
    </w:r>
  </w:p>
  <w:bookmarkEnd w:id="2" w:displacedByCustomXml="next"/>
  <w:sdt>
    <w:sdtPr>
      <w:id w:val="13449006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E15321" w:rsidRPr="00E15321" w:rsidRDefault="00E1532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E15321">
          <w:rPr>
            <w:sz w:val="16"/>
            <w:szCs w:val="16"/>
          </w:rPr>
          <w:fldChar w:fldCharType="begin"/>
        </w:r>
        <w:r w:rsidRPr="00E15321">
          <w:rPr>
            <w:sz w:val="16"/>
            <w:szCs w:val="16"/>
          </w:rPr>
          <w:instrText xml:space="preserve"> PAGE   \* MERGEFORMAT </w:instrText>
        </w:r>
        <w:r w:rsidRPr="00E15321">
          <w:rPr>
            <w:sz w:val="16"/>
            <w:szCs w:val="16"/>
          </w:rPr>
          <w:fldChar w:fldCharType="separate"/>
        </w:r>
        <w:r w:rsidR="003A65A4">
          <w:rPr>
            <w:noProof/>
            <w:sz w:val="16"/>
            <w:szCs w:val="16"/>
          </w:rPr>
          <w:t>1</w:t>
        </w:r>
        <w:r w:rsidRPr="00E15321">
          <w:rPr>
            <w:noProof/>
            <w:sz w:val="16"/>
            <w:szCs w:val="16"/>
          </w:rPr>
          <w:fldChar w:fldCharType="end"/>
        </w:r>
        <w:r w:rsidRPr="00E15321">
          <w:rPr>
            <w:sz w:val="16"/>
            <w:szCs w:val="16"/>
          </w:rPr>
          <w:t xml:space="preserve"> | </w:t>
        </w:r>
        <w:r w:rsidRPr="00E15321">
          <w:rPr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:rsidR="00E15321" w:rsidRDefault="00E153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21" w:rsidRDefault="003A65A4" w:rsidP="003A65A4">
    <w:pPr>
      <w:pStyle w:val="Footer"/>
      <w:rPr>
        <w:rFonts w:ascii="Arial" w:hAnsi="Arial" w:cs="Arial"/>
        <w:b/>
        <w:color w:val="3F3F3F"/>
        <w:sz w:val="20"/>
      </w:rPr>
    </w:pPr>
    <w:bookmarkStart w:id="3" w:name="aliashNonProtectiveMarki1FooterFirstPage"/>
    <w:r>
      <w:rPr>
        <w:rFonts w:ascii="Arial" w:hAnsi="Arial" w:cs="Arial"/>
        <w:b/>
        <w:color w:val="3F3F3F"/>
        <w:sz w:val="20"/>
      </w:rPr>
      <w:t>Unclassified</w:t>
    </w:r>
  </w:p>
  <w:bookmarkEnd w:id="3"/>
  <w:p w:rsidR="00E15321" w:rsidRDefault="00E15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321" w:rsidRDefault="00E15321" w:rsidP="00E15321">
      <w:pPr>
        <w:spacing w:after="0" w:line="240" w:lineRule="auto"/>
      </w:pPr>
      <w:r>
        <w:separator/>
      </w:r>
    </w:p>
  </w:footnote>
  <w:footnote w:type="continuationSeparator" w:id="0">
    <w:p w:rsidR="00E15321" w:rsidRDefault="00E15321" w:rsidP="00E1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21" w:rsidRDefault="00E153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21" w:rsidRDefault="00E1532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5479F7CC" wp14:editId="662434E2">
          <wp:simplePos x="0" y="0"/>
          <wp:positionH relativeFrom="column">
            <wp:posOffset>-167005</wp:posOffset>
          </wp:positionH>
          <wp:positionV relativeFrom="page">
            <wp:posOffset>451485</wp:posOffset>
          </wp:positionV>
          <wp:extent cx="1380490" cy="41148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DTF right revers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60DB1E6" wp14:editId="266E7855">
          <wp:simplePos x="0" y="0"/>
          <wp:positionH relativeFrom="column">
            <wp:posOffset>-762000</wp:posOffset>
          </wp:positionH>
          <wp:positionV relativeFrom="page">
            <wp:posOffset>277495</wp:posOffset>
          </wp:positionV>
          <wp:extent cx="7589520" cy="740410"/>
          <wp:effectExtent l="0" t="0" r="0" b="2540"/>
          <wp:wrapNone/>
          <wp:docPr id="6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HEADER_9545 DTF Covers A4 Final_Blu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21" w:rsidRDefault="00E153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3E26"/>
    <w:multiLevelType w:val="hybridMultilevel"/>
    <w:tmpl w:val="77F2E3DE"/>
    <w:lvl w:ilvl="0" w:tplc="88803C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CE7"/>
    <w:multiLevelType w:val="hybridMultilevel"/>
    <w:tmpl w:val="A19ECC98"/>
    <w:lvl w:ilvl="0" w:tplc="5D38AE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21"/>
    <w:rsid w:val="003A65A4"/>
    <w:rsid w:val="003B7981"/>
    <w:rsid w:val="00467CE8"/>
    <w:rsid w:val="004F4168"/>
    <w:rsid w:val="007C66D6"/>
    <w:rsid w:val="008C75C4"/>
    <w:rsid w:val="00986293"/>
    <w:rsid w:val="00AA5677"/>
    <w:rsid w:val="00E15321"/>
    <w:rsid w:val="00E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1532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6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3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21"/>
  </w:style>
  <w:style w:type="paragraph" w:styleId="Footer">
    <w:name w:val="footer"/>
    <w:basedOn w:val="Normal"/>
    <w:link w:val="FooterChar"/>
    <w:uiPriority w:val="99"/>
    <w:unhideWhenUsed/>
    <w:rsid w:val="00E1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21"/>
  </w:style>
  <w:style w:type="paragraph" w:styleId="Title">
    <w:name w:val="Title"/>
    <w:link w:val="TitleChar"/>
    <w:uiPriority w:val="99"/>
    <w:rsid w:val="00E15321"/>
    <w:pPr>
      <w:spacing w:after="300" w:line="252" w:lineRule="auto"/>
    </w:pPr>
    <w:rPr>
      <w:rFonts w:asciiTheme="majorHAnsi" w:eastAsia="Times New Roman" w:hAnsiTheme="majorHAnsi" w:cstheme="majorHAnsi"/>
      <w:b/>
      <w:color w:val="4F81BD" w:themeColor="accent1"/>
      <w:spacing w:val="-2"/>
      <w:sz w:val="60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E15321"/>
    <w:rPr>
      <w:rFonts w:asciiTheme="majorHAnsi" w:eastAsia="Times New Roman" w:hAnsiTheme="majorHAnsi" w:cstheme="majorHAnsi"/>
      <w:b/>
      <w:color w:val="4F81BD" w:themeColor="accent1"/>
      <w:spacing w:val="-2"/>
      <w:sz w:val="6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2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153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86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6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8629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1532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6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3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21"/>
  </w:style>
  <w:style w:type="paragraph" w:styleId="Footer">
    <w:name w:val="footer"/>
    <w:basedOn w:val="Normal"/>
    <w:link w:val="FooterChar"/>
    <w:uiPriority w:val="99"/>
    <w:unhideWhenUsed/>
    <w:rsid w:val="00E15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21"/>
  </w:style>
  <w:style w:type="paragraph" w:styleId="Title">
    <w:name w:val="Title"/>
    <w:link w:val="TitleChar"/>
    <w:uiPriority w:val="99"/>
    <w:rsid w:val="00E15321"/>
    <w:pPr>
      <w:spacing w:after="300" w:line="252" w:lineRule="auto"/>
    </w:pPr>
    <w:rPr>
      <w:rFonts w:asciiTheme="majorHAnsi" w:eastAsia="Times New Roman" w:hAnsiTheme="majorHAnsi" w:cstheme="majorHAnsi"/>
      <w:b/>
      <w:color w:val="4F81BD" w:themeColor="accent1"/>
      <w:spacing w:val="-2"/>
      <w:sz w:val="60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E15321"/>
    <w:rPr>
      <w:rFonts w:asciiTheme="majorHAnsi" w:eastAsia="Times New Roman" w:hAnsiTheme="majorHAnsi" w:cstheme="majorHAnsi"/>
      <w:b/>
      <w:color w:val="4F81BD" w:themeColor="accent1"/>
      <w:spacing w:val="-2"/>
      <w:sz w:val="6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2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153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86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6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8629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dtf.vic.gov.au/apps_state_purchase_contrac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liana.sousa@dtf.vic.gov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pps.dtf.vic.gov.au/apps_state_purchase_contrac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Isherwood</dc:creator>
  <cp:lastModifiedBy>Vanessa Coles</cp:lastModifiedBy>
  <cp:revision>6</cp:revision>
  <dcterms:created xsi:type="dcterms:W3CDTF">2016-04-08T04:45:00Z</dcterms:created>
  <dcterms:modified xsi:type="dcterms:W3CDTF">2016-04-08T04:47:00Z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7f9e6d3b-4e30-4cc3-a8a5-55f1b1753aa2</vt:lpwstr>
  </property>
  <property fmtid="{D5CDD505-2E9C-101B-9397-08002B2CF9AE}" pid="3" name="PSPFClassification">
    <vt:lpwstr>Unclassified</vt:lpwstr>
  </property>
</Properties>
</file>