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450A6A" w14:textId="77777777" w:rsidR="00484FC0" w:rsidRDefault="00484FC0" w:rsidP="00484FC0">
      <w:pPr>
        <w:pStyle w:val="Title"/>
      </w:pPr>
      <w:bookmarkStart w:id="0" w:name="_Hlk503521821"/>
      <w:bookmarkStart w:id="1" w:name="_GoBack"/>
      <w:bookmarkEnd w:id="0"/>
      <w:bookmarkEnd w:id="1"/>
    </w:p>
    <w:p w14:paraId="36AD4971" w14:textId="77777777" w:rsidR="00484FC0" w:rsidRDefault="00484FC0" w:rsidP="00484FC0">
      <w:pPr>
        <w:pStyle w:val="Title"/>
      </w:pPr>
    </w:p>
    <w:p w14:paraId="30E75216" w14:textId="77777777" w:rsidR="00484FC0" w:rsidRDefault="00484FC0" w:rsidP="00484FC0">
      <w:pPr>
        <w:pStyle w:val="Title"/>
      </w:pPr>
    </w:p>
    <w:p w14:paraId="3544EE42" w14:textId="77777777" w:rsidR="00484FC0" w:rsidRDefault="00484FC0" w:rsidP="00484FC0">
      <w:pPr>
        <w:pStyle w:val="Title"/>
      </w:pPr>
    </w:p>
    <w:p w14:paraId="307532C5" w14:textId="77777777" w:rsidR="00484FC0" w:rsidRDefault="00484FC0" w:rsidP="00484FC0">
      <w:pPr>
        <w:pStyle w:val="Title"/>
      </w:pPr>
    </w:p>
    <w:p w14:paraId="1B296C69" w14:textId="77777777" w:rsidR="00484FC0" w:rsidRDefault="00484FC0" w:rsidP="00484FC0">
      <w:pPr>
        <w:pStyle w:val="Title"/>
      </w:pPr>
    </w:p>
    <w:p w14:paraId="1F30BE81" w14:textId="77777777" w:rsidR="00484FC0" w:rsidRDefault="00484FC0" w:rsidP="00484FC0">
      <w:pPr>
        <w:pStyle w:val="Title"/>
      </w:pPr>
    </w:p>
    <w:p w14:paraId="2C0923D8" w14:textId="77777777" w:rsidR="00484FC0" w:rsidRDefault="00484FC0" w:rsidP="00484FC0">
      <w:pPr>
        <w:pStyle w:val="Title"/>
      </w:pPr>
    </w:p>
    <w:p w14:paraId="75B0EC28" w14:textId="77777777" w:rsidR="00484FC0" w:rsidRDefault="00484FC0" w:rsidP="00484FC0">
      <w:pPr>
        <w:pStyle w:val="Title"/>
      </w:pPr>
    </w:p>
    <w:p w14:paraId="1F60C0CE" w14:textId="77777777" w:rsidR="00484FC0" w:rsidRDefault="00484FC0" w:rsidP="00484FC0">
      <w:pPr>
        <w:pStyle w:val="Title"/>
      </w:pPr>
    </w:p>
    <w:p w14:paraId="5DD1657E" w14:textId="77777777" w:rsidR="00484FC0" w:rsidRDefault="00484FC0" w:rsidP="00484FC0">
      <w:pPr>
        <w:pStyle w:val="Title"/>
      </w:pPr>
    </w:p>
    <w:p w14:paraId="452F77A0" w14:textId="77777777" w:rsidR="00484FC0" w:rsidRDefault="00484FC0" w:rsidP="00484FC0">
      <w:pPr>
        <w:pStyle w:val="Title"/>
      </w:pPr>
    </w:p>
    <w:p w14:paraId="490D21B2" w14:textId="77777777" w:rsidR="00484FC0" w:rsidRDefault="00484FC0" w:rsidP="00484FC0">
      <w:pPr>
        <w:pStyle w:val="Title"/>
      </w:pPr>
    </w:p>
    <w:p w14:paraId="17D28B13" w14:textId="77777777" w:rsidR="001D56A3" w:rsidRDefault="001D56A3" w:rsidP="001D56A3">
      <w:pPr>
        <w:pStyle w:val="Title"/>
        <w:ind w:right="1212"/>
      </w:pPr>
    </w:p>
    <w:p w14:paraId="032E107A" w14:textId="77777777" w:rsidR="001D56A3" w:rsidRDefault="001D56A3" w:rsidP="001D56A3">
      <w:pPr>
        <w:pStyle w:val="Title"/>
        <w:ind w:right="1212"/>
      </w:pPr>
    </w:p>
    <w:p w14:paraId="193AD11E" w14:textId="2B039D6E" w:rsidR="00982570" w:rsidRDefault="00982570" w:rsidP="001D56A3">
      <w:pPr>
        <w:pStyle w:val="Title"/>
        <w:ind w:right="1212"/>
      </w:pPr>
      <w:r>
        <w:t xml:space="preserve">VGPB </w:t>
      </w:r>
      <w:r w:rsidR="001D56A3" w:rsidRPr="00CD6245">
        <w:t>Annual Report</w:t>
      </w:r>
    </w:p>
    <w:p w14:paraId="0075399B" w14:textId="187607BA" w:rsidR="008D4431" w:rsidRPr="00CD6245" w:rsidRDefault="00FA0FB5" w:rsidP="001D56A3">
      <w:pPr>
        <w:pStyle w:val="Title"/>
        <w:ind w:right="1212"/>
      </w:pPr>
      <w:r>
        <w:t>201</w:t>
      </w:r>
      <w:r w:rsidR="00770D43">
        <w:t>7–18</w:t>
      </w:r>
    </w:p>
    <w:p w14:paraId="2C2FA14A" w14:textId="77777777" w:rsidR="00982570" w:rsidRDefault="00982570" w:rsidP="00982570">
      <w:pPr>
        <w:pStyle w:val="Subtitle"/>
      </w:pPr>
    </w:p>
    <w:p w14:paraId="3A4B4D48" w14:textId="77777777" w:rsidR="00982570" w:rsidRPr="00CD6245" w:rsidRDefault="00982570" w:rsidP="00982570">
      <w:pPr>
        <w:pStyle w:val="Subtitle"/>
      </w:pPr>
      <w:r w:rsidRPr="00CD6245">
        <w:t>Victorian Government Purchasing Board</w:t>
      </w:r>
    </w:p>
    <w:p w14:paraId="75E08760" w14:textId="77777777" w:rsidR="00B971DE" w:rsidRPr="006F19A9" w:rsidRDefault="00B971DE" w:rsidP="00484FC0">
      <w:pPr>
        <w:pStyle w:val="Subtitle"/>
        <w:rPr>
          <w:sz w:val="32"/>
          <w:szCs w:val="32"/>
        </w:rPr>
      </w:pPr>
      <w:r w:rsidRPr="006F19A9">
        <w:rPr>
          <w:sz w:val="32"/>
          <w:szCs w:val="32"/>
        </w:rPr>
        <w:t>Achieving excellence in government procurement</w:t>
      </w:r>
    </w:p>
    <w:p w14:paraId="41B669A8" w14:textId="77777777" w:rsidR="00B971DE" w:rsidRPr="00CD6245" w:rsidRDefault="00B971DE">
      <w:pPr>
        <w:rPr>
          <w:rFonts w:cs="Arial"/>
        </w:rPr>
      </w:pPr>
      <w:r w:rsidRPr="00CD6245">
        <w:rPr>
          <w:rFonts w:cs="Arial"/>
        </w:rPr>
        <w:br w:type="page"/>
      </w:r>
    </w:p>
    <w:p w14:paraId="0E002E92" w14:textId="77777777" w:rsidR="00344686" w:rsidRPr="00CD6245" w:rsidRDefault="00344686" w:rsidP="00B971DE">
      <w:pPr>
        <w:rPr>
          <w:rFonts w:cs="Arial"/>
        </w:rPr>
      </w:pPr>
    </w:p>
    <w:p w14:paraId="38075707" w14:textId="77777777" w:rsidR="00344686" w:rsidRPr="00CD6245" w:rsidRDefault="00344686" w:rsidP="00B971DE">
      <w:pPr>
        <w:rPr>
          <w:rFonts w:cs="Arial"/>
        </w:rPr>
      </w:pPr>
    </w:p>
    <w:p w14:paraId="0CA28608" w14:textId="77777777" w:rsidR="00344686" w:rsidRPr="00CD6245" w:rsidRDefault="00344686" w:rsidP="00B971DE">
      <w:pPr>
        <w:rPr>
          <w:rFonts w:cs="Arial"/>
        </w:rPr>
      </w:pPr>
    </w:p>
    <w:p w14:paraId="51FC9641" w14:textId="77777777" w:rsidR="00344686" w:rsidRPr="00CD6245" w:rsidRDefault="00344686" w:rsidP="00B971DE">
      <w:pPr>
        <w:rPr>
          <w:rFonts w:cs="Arial"/>
        </w:rPr>
      </w:pPr>
    </w:p>
    <w:p w14:paraId="621D220A" w14:textId="77777777" w:rsidR="00344686" w:rsidRPr="00CD6245" w:rsidRDefault="00344686" w:rsidP="00B971DE">
      <w:pPr>
        <w:rPr>
          <w:rFonts w:cs="Arial"/>
        </w:rPr>
      </w:pPr>
    </w:p>
    <w:p w14:paraId="12AFBF17" w14:textId="77777777" w:rsidR="00344686" w:rsidRPr="00CD6245" w:rsidRDefault="00344686" w:rsidP="00B971DE">
      <w:pPr>
        <w:rPr>
          <w:rFonts w:cs="Arial"/>
        </w:rPr>
      </w:pPr>
    </w:p>
    <w:p w14:paraId="7B428694" w14:textId="77777777" w:rsidR="00344686" w:rsidRPr="00CD6245" w:rsidRDefault="00344686" w:rsidP="00B971DE">
      <w:pPr>
        <w:rPr>
          <w:rFonts w:cs="Arial"/>
        </w:rPr>
      </w:pPr>
    </w:p>
    <w:p w14:paraId="4231E8EE" w14:textId="77777777" w:rsidR="00344686" w:rsidRPr="00CD6245" w:rsidRDefault="00344686" w:rsidP="00E41631">
      <w:pPr>
        <w:pStyle w:val="Normal1"/>
      </w:pPr>
    </w:p>
    <w:p w14:paraId="7F8F7B37" w14:textId="602B2436" w:rsidR="00B971DE" w:rsidRPr="008D5173" w:rsidRDefault="00B971DE" w:rsidP="002A2A95">
      <w:pPr>
        <w:pStyle w:val="Normal1"/>
        <w:spacing w:before="40" w:after="40"/>
        <w:rPr>
          <w:b/>
        </w:rPr>
      </w:pPr>
      <w:r w:rsidRPr="008D5173">
        <w:rPr>
          <w:b/>
        </w:rPr>
        <w:t xml:space="preserve">Victorian Government Purchasing Board Annual Report </w:t>
      </w:r>
      <w:r w:rsidR="00FA0FB5" w:rsidRPr="008D5173">
        <w:rPr>
          <w:b/>
        </w:rPr>
        <w:t>201</w:t>
      </w:r>
      <w:r w:rsidR="00770D43" w:rsidRPr="008D5173">
        <w:rPr>
          <w:b/>
        </w:rPr>
        <w:t>7–18</w:t>
      </w:r>
    </w:p>
    <w:p w14:paraId="5F1E7434" w14:textId="459483D2" w:rsidR="009022CB" w:rsidRPr="00CD6245" w:rsidRDefault="009022CB" w:rsidP="002A2A95">
      <w:pPr>
        <w:pStyle w:val="Normal1"/>
        <w:spacing w:before="40" w:after="40"/>
      </w:pPr>
    </w:p>
    <w:p w14:paraId="0FA310A7" w14:textId="77777777" w:rsidR="00584EC9" w:rsidRPr="00CD6245" w:rsidRDefault="00584EC9" w:rsidP="00584EC9">
      <w:pPr>
        <w:pStyle w:val="Normal1"/>
        <w:spacing w:before="40" w:after="40"/>
      </w:pPr>
      <w:r w:rsidRPr="00CD6245">
        <w:t>Victorian Government Purchasing Board</w:t>
      </w:r>
    </w:p>
    <w:p w14:paraId="1F88E472" w14:textId="799E2C2B" w:rsidR="002E2E5E" w:rsidRDefault="001D56A3" w:rsidP="002A2A95">
      <w:pPr>
        <w:pStyle w:val="Normal1"/>
        <w:spacing w:before="40" w:after="40"/>
      </w:pPr>
      <w:r w:rsidRPr="00CD6245">
        <w:t>1 Treasury Place</w:t>
      </w:r>
    </w:p>
    <w:p w14:paraId="2E5CCE6D" w14:textId="711F0DB8" w:rsidR="00B971DE" w:rsidRDefault="001D56A3" w:rsidP="002A2A95">
      <w:pPr>
        <w:pStyle w:val="Normal1"/>
        <w:spacing w:before="40" w:after="40"/>
      </w:pPr>
      <w:r w:rsidRPr="00CD6245">
        <w:t>Melbourne</w:t>
      </w:r>
      <w:r w:rsidR="00013225">
        <w:t>,</w:t>
      </w:r>
      <w:r w:rsidR="00B971DE" w:rsidRPr="00CD6245">
        <w:t xml:space="preserve"> Victoria</w:t>
      </w:r>
      <w:r w:rsidR="00013225">
        <w:t>,</w:t>
      </w:r>
      <w:r w:rsidR="00B971DE" w:rsidRPr="00CD6245">
        <w:t xml:space="preserve"> 3002</w:t>
      </w:r>
    </w:p>
    <w:p w14:paraId="60E635FC" w14:textId="2155A02E" w:rsidR="002E2E5E" w:rsidRDefault="002E2E5E" w:rsidP="002A2A95">
      <w:pPr>
        <w:pStyle w:val="Normal1"/>
        <w:spacing w:before="40" w:after="40"/>
      </w:pPr>
      <w:r>
        <w:t>Australia</w:t>
      </w:r>
    </w:p>
    <w:p w14:paraId="078C498B" w14:textId="77777777" w:rsidR="002E2E5E" w:rsidRPr="00CD6245" w:rsidRDefault="002E2E5E" w:rsidP="002E2E5E">
      <w:pPr>
        <w:pStyle w:val="Normal1"/>
        <w:spacing w:before="40" w:after="40"/>
      </w:pPr>
      <w:r w:rsidRPr="00CD6245">
        <w:t>Telephone: +61 3 9651 1699</w:t>
      </w:r>
    </w:p>
    <w:p w14:paraId="2BEE0BED" w14:textId="7D30C43E" w:rsidR="002E2E5E" w:rsidRPr="00CD6245" w:rsidRDefault="002E2E5E" w:rsidP="002E2E5E">
      <w:pPr>
        <w:pStyle w:val="Normal1"/>
        <w:spacing w:before="40" w:after="40"/>
      </w:pPr>
      <w:r w:rsidRPr="00CD6245">
        <w:t xml:space="preserve">Email: </w:t>
      </w:r>
      <w:hyperlink r:id="rId8" w:history="1">
        <w:r w:rsidRPr="00B45C4C">
          <w:rPr>
            <w:rStyle w:val="Hyperlink"/>
          </w:rPr>
          <w:t>vgpb@dtf.vic.gov.au</w:t>
        </w:r>
      </w:hyperlink>
    </w:p>
    <w:p w14:paraId="3B756190" w14:textId="52E584F2" w:rsidR="002E2E5E" w:rsidRDefault="002E2E5E" w:rsidP="002A2A95">
      <w:pPr>
        <w:pStyle w:val="Normal1"/>
        <w:spacing w:before="40" w:after="40"/>
        <w:rPr>
          <w:rStyle w:val="Hyperlink"/>
        </w:rPr>
      </w:pPr>
      <w:r>
        <w:t xml:space="preserve">Website: </w:t>
      </w:r>
      <w:hyperlink r:id="rId9" w:history="1">
        <w:r w:rsidRPr="002E2E5E">
          <w:rPr>
            <w:rStyle w:val="Hyperlink"/>
          </w:rPr>
          <w:t>procurement.vic.gov.au</w:t>
        </w:r>
      </w:hyperlink>
    </w:p>
    <w:p w14:paraId="5E9D459F" w14:textId="77777777" w:rsidR="00584EC9" w:rsidRDefault="00584EC9" w:rsidP="002A2A95">
      <w:pPr>
        <w:pStyle w:val="Normal1"/>
        <w:spacing w:before="40" w:after="40"/>
      </w:pPr>
    </w:p>
    <w:p w14:paraId="43A99F57" w14:textId="26BA5994" w:rsidR="00584EC9" w:rsidRDefault="00584EC9" w:rsidP="002A2A95">
      <w:pPr>
        <w:pStyle w:val="Normal1"/>
        <w:spacing w:before="40" w:after="40"/>
      </w:pPr>
      <w:r w:rsidRPr="00CD6245">
        <w:t>Authorised by the Victorian Government</w:t>
      </w:r>
    </w:p>
    <w:p w14:paraId="560B50D7" w14:textId="2EA5A98A" w:rsidR="00013225" w:rsidRPr="00E40C72" w:rsidRDefault="00013225" w:rsidP="00E40C72">
      <w:pPr>
        <w:pStyle w:val="Normal1"/>
        <w:rPr>
          <w:rStyle w:val="Hyperlink"/>
          <w:color w:val="auto"/>
          <w:u w:val="none"/>
        </w:rPr>
      </w:pPr>
      <w:r w:rsidRPr="00E40C72">
        <w:rPr>
          <w:rStyle w:val="Hyperlink"/>
          <w:color w:val="auto"/>
          <w:u w:val="none"/>
        </w:rPr>
        <w:t>1 Treasury Place, Melbourne, 3002</w:t>
      </w:r>
    </w:p>
    <w:p w14:paraId="2034C24E" w14:textId="77777777" w:rsidR="0054359F" w:rsidRDefault="0054359F" w:rsidP="00B45C4C">
      <w:pPr>
        <w:pStyle w:val="Normal1"/>
        <w:spacing w:before="40" w:after="40"/>
        <w:rPr>
          <w:lang w:val="en-US"/>
        </w:rPr>
      </w:pPr>
    </w:p>
    <w:p w14:paraId="21832BEA" w14:textId="325273E4" w:rsidR="00B45C4C" w:rsidRDefault="00B45C4C" w:rsidP="00B45C4C">
      <w:pPr>
        <w:pStyle w:val="Normal1"/>
        <w:spacing w:before="40" w:after="40"/>
        <w:rPr>
          <w:lang w:val="en-US"/>
        </w:rPr>
      </w:pPr>
      <w:r w:rsidRPr="0054359F">
        <w:rPr>
          <w:lang w:val="en-US"/>
        </w:rPr>
        <w:t xml:space="preserve">Printed by </w:t>
      </w:r>
      <w:r w:rsidR="0054359F" w:rsidRPr="0054359F">
        <w:rPr>
          <w:lang w:val="en-US"/>
        </w:rPr>
        <w:t>Waratah Group, Port Melbourne</w:t>
      </w:r>
    </w:p>
    <w:p w14:paraId="40386DD3" w14:textId="77777777" w:rsidR="00B45C4C" w:rsidRPr="00982570" w:rsidRDefault="00B45C4C" w:rsidP="00B45C4C">
      <w:pPr>
        <w:pStyle w:val="Normal1"/>
      </w:pPr>
      <w:r w:rsidRPr="00F50102">
        <w:t>Designed by Cordial Creative</w:t>
      </w:r>
    </w:p>
    <w:p w14:paraId="4FDA0BDF" w14:textId="58A91890" w:rsidR="00B45C4C" w:rsidRPr="00CD6245" w:rsidRDefault="00B45C4C" w:rsidP="00B45C4C">
      <w:pPr>
        <w:pStyle w:val="Normal1"/>
        <w:spacing w:before="40" w:after="40"/>
        <w:rPr>
          <w:lang w:val="en-US"/>
        </w:rPr>
      </w:pPr>
      <w:r w:rsidRPr="007301E1">
        <w:rPr>
          <w:lang w:val="en-US"/>
        </w:rPr>
        <w:t xml:space="preserve">Printed on </w:t>
      </w:r>
      <w:r w:rsidRPr="0038456D">
        <w:rPr>
          <w:lang w:val="en-US"/>
        </w:rPr>
        <w:t>recycled paper</w:t>
      </w:r>
    </w:p>
    <w:p w14:paraId="0CD900CE" w14:textId="77777777" w:rsidR="0054359F" w:rsidRDefault="0054359F" w:rsidP="00B45C4C">
      <w:pPr>
        <w:pStyle w:val="Normal1"/>
      </w:pPr>
    </w:p>
    <w:p w14:paraId="6D26B399" w14:textId="77777777" w:rsidR="00757530" w:rsidRDefault="00757530" w:rsidP="00757530">
      <w:pPr>
        <w:pStyle w:val="Normal1"/>
      </w:pPr>
      <w:r>
        <w:t>ISSN: 2207-1601 (Online)</w:t>
      </w:r>
    </w:p>
    <w:p w14:paraId="61E87305" w14:textId="77777777" w:rsidR="00757530" w:rsidRDefault="00757530" w:rsidP="00B45C4C">
      <w:pPr>
        <w:pStyle w:val="Normal1"/>
      </w:pPr>
      <w:r>
        <w:t>ISSN: 1444-4097 (Print)</w:t>
      </w:r>
    </w:p>
    <w:p w14:paraId="49A27F28" w14:textId="1752E358" w:rsidR="00B45C4C" w:rsidRPr="00982570" w:rsidRDefault="00B45C4C" w:rsidP="00B45C4C">
      <w:pPr>
        <w:pStyle w:val="Normal1"/>
      </w:pPr>
      <w:r w:rsidRPr="00F50102">
        <w:t>Published September 201</w:t>
      </w:r>
      <w:r w:rsidR="00770D43">
        <w:t>8</w:t>
      </w:r>
    </w:p>
    <w:p w14:paraId="79F50449" w14:textId="361ED49E" w:rsidR="00B45C4C" w:rsidRPr="00982570" w:rsidRDefault="00B45C4C" w:rsidP="00B45C4C">
      <w:pPr>
        <w:pStyle w:val="Normal1"/>
      </w:pPr>
      <w:r w:rsidRPr="00982570">
        <w:t xml:space="preserve">This document is available in PDF and Word format at </w:t>
      </w:r>
      <w:hyperlink r:id="rId10" w:history="1">
        <w:r w:rsidRPr="00E40C72">
          <w:rPr>
            <w:rStyle w:val="Hyperlink"/>
          </w:rPr>
          <w:t>procurement.vic.gov.au</w:t>
        </w:r>
      </w:hyperlink>
      <w:r w:rsidRPr="00982570">
        <w:t>.</w:t>
      </w:r>
    </w:p>
    <w:p w14:paraId="7EF54EEB" w14:textId="77777777" w:rsidR="002A2A95" w:rsidRDefault="002A2A95" w:rsidP="002A2A95">
      <w:pPr>
        <w:pStyle w:val="Normal1"/>
        <w:spacing w:before="40" w:after="40"/>
        <w:rPr>
          <w:lang w:val="en-US"/>
        </w:rPr>
      </w:pPr>
    </w:p>
    <w:p w14:paraId="3D557F93" w14:textId="4F685B6F" w:rsidR="002E2E5E" w:rsidRPr="0007325F" w:rsidRDefault="002E2E5E" w:rsidP="0007325F">
      <w:pPr>
        <w:pStyle w:val="Normal1"/>
      </w:pPr>
      <w:r w:rsidRPr="0007325F">
        <w:t>© State of Victoria (Victorian Government Purchasing Board) 201</w:t>
      </w:r>
      <w:r w:rsidR="00770D43" w:rsidRPr="0007325F">
        <w:t>8</w:t>
      </w:r>
    </w:p>
    <w:p w14:paraId="43775C69" w14:textId="77777777" w:rsidR="00DF1ECB" w:rsidRPr="00CD6245" w:rsidRDefault="00DF1ECB" w:rsidP="00E41631">
      <w:pPr>
        <w:pStyle w:val="Normal1"/>
        <w:rPr>
          <w:lang w:val="en-US"/>
        </w:rPr>
      </w:pPr>
      <w:r w:rsidRPr="00CD6245">
        <w:rPr>
          <w:noProof/>
          <w:lang w:val="en-US" w:eastAsia="en-US"/>
        </w:rPr>
        <w:drawing>
          <wp:inline distT="0" distB="0" distL="0" distR="0" wp14:anchorId="63457C79" wp14:editId="7BC51D99">
            <wp:extent cx="1251984" cy="438194"/>
            <wp:effectExtent l="19050" t="0" r="5316" b="0"/>
            <wp:docPr id="4" name="Picture 1"/>
            <wp:cNvGraphicFramePr/>
            <a:graphic xmlns:a="http://schemas.openxmlformats.org/drawingml/2006/main">
              <a:graphicData uri="http://schemas.openxmlformats.org/drawingml/2006/picture">
                <pic:pic xmlns:pic="http://schemas.openxmlformats.org/drawingml/2006/picture">
                  <pic:nvPicPr>
                    <pic:cNvPr id="0" name="by.eps"/>
                    <pic:cNvPicPr/>
                  </pic:nvPicPr>
                  <pic:blipFill>
                    <a:blip r:embed="rId11">
                      <a:extLst>
                        <a:ext uri="{28A0092B-C50C-407E-A947-70E740481C1C}">
                          <a14:useLocalDpi xmlns:a14="http://schemas.microsoft.com/office/drawing/2010/main" val="0"/>
                        </a:ext>
                      </a:extLst>
                    </a:blip>
                    <a:stretch>
                      <a:fillRect/>
                    </a:stretch>
                  </pic:blipFill>
                  <pic:spPr>
                    <a:xfrm>
                      <a:off x="0" y="0"/>
                      <a:ext cx="1251984" cy="438194"/>
                    </a:xfrm>
                    <a:prstGeom prst="rect">
                      <a:avLst/>
                    </a:prstGeom>
                  </pic:spPr>
                </pic:pic>
              </a:graphicData>
            </a:graphic>
          </wp:inline>
        </w:drawing>
      </w:r>
    </w:p>
    <w:p w14:paraId="6D4D7E1D" w14:textId="77777777" w:rsidR="00982570" w:rsidRPr="00982570" w:rsidRDefault="00982570" w:rsidP="00E41631">
      <w:pPr>
        <w:pStyle w:val="Normal1"/>
      </w:pPr>
      <w:r w:rsidRPr="00982570">
        <w:rPr>
          <w:lang w:val="en-US"/>
        </w:rPr>
        <w:t xml:space="preserve">You are free to re-use this work under a Creative Commons Attribution 4.0 licence, provided you credit the State of Victoria (Victorian Government Purchasing Board) as author, indicate if changes were made and comply with the other licence terms. The licence does not apply </w:t>
      </w:r>
      <w:r w:rsidRPr="00982570">
        <w:t>to any images, photographs or branding, including government logos.</w:t>
      </w:r>
    </w:p>
    <w:p w14:paraId="50EC19CB" w14:textId="4A2A0CA8" w:rsidR="00982570" w:rsidRPr="00982570" w:rsidRDefault="00982570" w:rsidP="00E41631">
      <w:pPr>
        <w:pStyle w:val="Normal1"/>
      </w:pPr>
      <w:r w:rsidRPr="00982570">
        <w:t xml:space="preserve">Copyright queries may be directed to </w:t>
      </w:r>
      <w:hyperlink r:id="rId12" w:history="1">
        <w:r w:rsidRPr="00982570">
          <w:t>IPpolicy@dtf.vic.gov.au</w:t>
        </w:r>
      </w:hyperlink>
      <w:r w:rsidR="00B45C4C">
        <w:t>.</w:t>
      </w:r>
    </w:p>
    <w:p w14:paraId="6C40CD85" w14:textId="77777777" w:rsidR="005862F8" w:rsidRPr="00CD6245" w:rsidRDefault="005862F8" w:rsidP="0043686D">
      <w:pPr>
        <w:pStyle w:val="TOCHeading"/>
        <w:ind w:left="709"/>
      </w:pPr>
      <w:r w:rsidRPr="00CD6245">
        <w:lastRenderedPageBreak/>
        <w:t>Contents</w:t>
      </w:r>
    </w:p>
    <w:bookmarkStart w:id="2" w:name="_Toc366693289"/>
    <w:bookmarkStart w:id="3" w:name="_Toc366695194"/>
    <w:p w14:paraId="17C206C1" w14:textId="22A0BBD4" w:rsidR="008B3018" w:rsidRDefault="00A61178">
      <w:pPr>
        <w:pStyle w:val="TOC1"/>
        <w:rPr>
          <w:rFonts w:asciiTheme="minorHAnsi" w:eastAsiaTheme="minorEastAsia" w:hAnsiTheme="minorHAnsi" w:cstheme="minorBidi"/>
          <w:noProof/>
          <w:sz w:val="22"/>
          <w:szCs w:val="22"/>
        </w:rPr>
      </w:pPr>
      <w:r>
        <w:rPr>
          <w:rFonts w:cs="Arial"/>
          <w:sz w:val="20"/>
        </w:rPr>
        <w:fldChar w:fldCharType="begin"/>
      </w:r>
      <w:r>
        <w:rPr>
          <w:rFonts w:cs="Arial"/>
          <w:sz w:val="20"/>
        </w:rPr>
        <w:instrText xml:space="preserve"> TOC \o "1-2" \h \z \u </w:instrText>
      </w:r>
      <w:r>
        <w:rPr>
          <w:rFonts w:cs="Arial"/>
          <w:sz w:val="20"/>
        </w:rPr>
        <w:fldChar w:fldCharType="separate"/>
      </w:r>
      <w:hyperlink w:anchor="_Toc524354049" w:history="1">
        <w:r w:rsidR="008B3018" w:rsidRPr="000D3F05">
          <w:rPr>
            <w:rStyle w:val="Hyperlink"/>
            <w:noProof/>
          </w:rPr>
          <w:t>Better procurement practice</w:t>
        </w:r>
        <w:r w:rsidR="008B3018">
          <w:rPr>
            <w:noProof/>
            <w:webHidden/>
          </w:rPr>
          <w:tab/>
        </w:r>
        <w:r w:rsidR="008B3018">
          <w:rPr>
            <w:noProof/>
            <w:webHidden/>
          </w:rPr>
          <w:fldChar w:fldCharType="begin"/>
        </w:r>
        <w:r w:rsidR="008B3018">
          <w:rPr>
            <w:noProof/>
            <w:webHidden/>
          </w:rPr>
          <w:instrText xml:space="preserve"> PAGEREF _Toc524354049 \h </w:instrText>
        </w:r>
        <w:r w:rsidR="008B3018">
          <w:rPr>
            <w:noProof/>
            <w:webHidden/>
          </w:rPr>
        </w:r>
        <w:r w:rsidR="008B3018">
          <w:rPr>
            <w:noProof/>
            <w:webHidden/>
          </w:rPr>
          <w:fldChar w:fldCharType="separate"/>
        </w:r>
        <w:r w:rsidR="00A07703">
          <w:rPr>
            <w:noProof/>
            <w:webHidden/>
          </w:rPr>
          <w:t>1</w:t>
        </w:r>
        <w:r w:rsidR="008B3018">
          <w:rPr>
            <w:noProof/>
            <w:webHidden/>
          </w:rPr>
          <w:fldChar w:fldCharType="end"/>
        </w:r>
      </w:hyperlink>
    </w:p>
    <w:p w14:paraId="0989D6CF" w14:textId="594EDC1C" w:rsidR="008B3018" w:rsidRDefault="00CA5735">
      <w:pPr>
        <w:pStyle w:val="TOC1"/>
        <w:rPr>
          <w:rFonts w:asciiTheme="minorHAnsi" w:eastAsiaTheme="minorEastAsia" w:hAnsiTheme="minorHAnsi" w:cstheme="minorBidi"/>
          <w:noProof/>
          <w:sz w:val="22"/>
          <w:szCs w:val="22"/>
        </w:rPr>
      </w:pPr>
      <w:hyperlink w:anchor="_Toc524354050" w:history="1">
        <w:r w:rsidR="008B3018" w:rsidRPr="000D3F05">
          <w:rPr>
            <w:rStyle w:val="Hyperlink"/>
            <w:noProof/>
          </w:rPr>
          <w:t>Message from the Chair</w:t>
        </w:r>
        <w:r w:rsidR="008B3018">
          <w:rPr>
            <w:noProof/>
            <w:webHidden/>
          </w:rPr>
          <w:tab/>
        </w:r>
        <w:r w:rsidR="008B3018">
          <w:rPr>
            <w:noProof/>
            <w:webHidden/>
          </w:rPr>
          <w:fldChar w:fldCharType="begin"/>
        </w:r>
        <w:r w:rsidR="008B3018">
          <w:rPr>
            <w:noProof/>
            <w:webHidden/>
          </w:rPr>
          <w:instrText xml:space="preserve"> PAGEREF _Toc524354050 \h </w:instrText>
        </w:r>
        <w:r w:rsidR="008B3018">
          <w:rPr>
            <w:noProof/>
            <w:webHidden/>
          </w:rPr>
        </w:r>
        <w:r w:rsidR="008B3018">
          <w:rPr>
            <w:noProof/>
            <w:webHidden/>
          </w:rPr>
          <w:fldChar w:fldCharType="separate"/>
        </w:r>
        <w:r w:rsidR="00A07703">
          <w:rPr>
            <w:noProof/>
            <w:webHidden/>
          </w:rPr>
          <w:t>2</w:t>
        </w:r>
        <w:r w:rsidR="008B3018">
          <w:rPr>
            <w:noProof/>
            <w:webHidden/>
          </w:rPr>
          <w:fldChar w:fldCharType="end"/>
        </w:r>
      </w:hyperlink>
    </w:p>
    <w:p w14:paraId="08027BA0" w14:textId="72B0E485" w:rsidR="008B3018" w:rsidRDefault="00CA5735">
      <w:pPr>
        <w:pStyle w:val="TOC1"/>
        <w:rPr>
          <w:rFonts w:asciiTheme="minorHAnsi" w:eastAsiaTheme="minorEastAsia" w:hAnsiTheme="minorHAnsi" w:cstheme="minorBidi"/>
          <w:noProof/>
          <w:sz w:val="22"/>
          <w:szCs w:val="22"/>
        </w:rPr>
      </w:pPr>
      <w:hyperlink w:anchor="_Toc524354051" w:history="1">
        <w:r w:rsidR="008B3018" w:rsidRPr="000D3F05">
          <w:rPr>
            <w:rStyle w:val="Hyperlink"/>
            <w:noProof/>
          </w:rPr>
          <w:t>Year in review</w:t>
        </w:r>
        <w:r w:rsidR="008B3018">
          <w:rPr>
            <w:noProof/>
            <w:webHidden/>
          </w:rPr>
          <w:tab/>
        </w:r>
        <w:r w:rsidR="008B3018">
          <w:rPr>
            <w:noProof/>
            <w:webHidden/>
          </w:rPr>
          <w:fldChar w:fldCharType="begin"/>
        </w:r>
        <w:r w:rsidR="008B3018">
          <w:rPr>
            <w:noProof/>
            <w:webHidden/>
          </w:rPr>
          <w:instrText xml:space="preserve"> PAGEREF _Toc524354051 \h </w:instrText>
        </w:r>
        <w:r w:rsidR="008B3018">
          <w:rPr>
            <w:noProof/>
            <w:webHidden/>
          </w:rPr>
        </w:r>
        <w:r w:rsidR="008B3018">
          <w:rPr>
            <w:noProof/>
            <w:webHidden/>
          </w:rPr>
          <w:fldChar w:fldCharType="separate"/>
        </w:r>
        <w:r w:rsidR="00A07703">
          <w:rPr>
            <w:noProof/>
            <w:webHidden/>
          </w:rPr>
          <w:t>4</w:t>
        </w:r>
        <w:r w:rsidR="008B3018">
          <w:rPr>
            <w:noProof/>
            <w:webHidden/>
          </w:rPr>
          <w:fldChar w:fldCharType="end"/>
        </w:r>
      </w:hyperlink>
    </w:p>
    <w:p w14:paraId="624D53FB" w14:textId="17609F92" w:rsidR="008B3018" w:rsidRDefault="00CA5735">
      <w:pPr>
        <w:pStyle w:val="TOC2"/>
        <w:tabs>
          <w:tab w:val="right" w:leader="dot" w:pos="8290"/>
        </w:tabs>
        <w:rPr>
          <w:rFonts w:asciiTheme="minorHAnsi" w:eastAsiaTheme="minorEastAsia" w:hAnsiTheme="minorHAnsi" w:cstheme="minorBidi"/>
          <w:noProof/>
          <w:sz w:val="22"/>
          <w:szCs w:val="22"/>
        </w:rPr>
      </w:pPr>
      <w:hyperlink w:anchor="_Toc524354052" w:history="1">
        <w:r w:rsidR="008B3018" w:rsidRPr="000D3F05">
          <w:rPr>
            <w:rStyle w:val="Hyperlink"/>
            <w:noProof/>
          </w:rPr>
          <w:t>Our performance story</w:t>
        </w:r>
        <w:r w:rsidR="008B3018">
          <w:rPr>
            <w:noProof/>
            <w:webHidden/>
          </w:rPr>
          <w:tab/>
        </w:r>
        <w:r w:rsidR="008B3018">
          <w:rPr>
            <w:noProof/>
            <w:webHidden/>
          </w:rPr>
          <w:fldChar w:fldCharType="begin"/>
        </w:r>
        <w:r w:rsidR="008B3018">
          <w:rPr>
            <w:noProof/>
            <w:webHidden/>
          </w:rPr>
          <w:instrText xml:space="preserve"> PAGEREF _Toc524354052 \h </w:instrText>
        </w:r>
        <w:r w:rsidR="008B3018">
          <w:rPr>
            <w:noProof/>
            <w:webHidden/>
          </w:rPr>
        </w:r>
        <w:r w:rsidR="008B3018">
          <w:rPr>
            <w:noProof/>
            <w:webHidden/>
          </w:rPr>
          <w:fldChar w:fldCharType="separate"/>
        </w:r>
        <w:r w:rsidR="00A07703">
          <w:rPr>
            <w:noProof/>
            <w:webHidden/>
          </w:rPr>
          <w:t>4</w:t>
        </w:r>
        <w:r w:rsidR="008B3018">
          <w:rPr>
            <w:noProof/>
            <w:webHidden/>
          </w:rPr>
          <w:fldChar w:fldCharType="end"/>
        </w:r>
      </w:hyperlink>
    </w:p>
    <w:p w14:paraId="4B9BC07D" w14:textId="6BC27F49" w:rsidR="008B3018" w:rsidRDefault="00CA5735">
      <w:pPr>
        <w:pStyle w:val="TOC2"/>
        <w:tabs>
          <w:tab w:val="right" w:leader="dot" w:pos="8290"/>
        </w:tabs>
        <w:rPr>
          <w:rFonts w:asciiTheme="minorHAnsi" w:eastAsiaTheme="minorEastAsia" w:hAnsiTheme="minorHAnsi" w:cstheme="minorBidi"/>
          <w:noProof/>
          <w:sz w:val="22"/>
          <w:szCs w:val="22"/>
        </w:rPr>
      </w:pPr>
      <w:hyperlink w:anchor="_Toc524354053" w:history="1">
        <w:r w:rsidR="008B3018" w:rsidRPr="000D3F05">
          <w:rPr>
            <w:rStyle w:val="Hyperlink"/>
            <w:rFonts w:ascii="Calibri" w:hAnsi="Calibri" w:cs="Calibri"/>
            <w:noProof/>
            <w:kern w:val="28"/>
          </w:rPr>
          <w:t>Our activities in 2017–18</w:t>
        </w:r>
        <w:r w:rsidR="008B3018">
          <w:rPr>
            <w:noProof/>
            <w:webHidden/>
          </w:rPr>
          <w:tab/>
        </w:r>
        <w:r w:rsidR="008B3018">
          <w:rPr>
            <w:noProof/>
            <w:webHidden/>
          </w:rPr>
          <w:fldChar w:fldCharType="begin"/>
        </w:r>
        <w:r w:rsidR="008B3018">
          <w:rPr>
            <w:noProof/>
            <w:webHidden/>
          </w:rPr>
          <w:instrText xml:space="preserve"> PAGEREF _Toc524354053 \h </w:instrText>
        </w:r>
        <w:r w:rsidR="008B3018">
          <w:rPr>
            <w:noProof/>
            <w:webHidden/>
          </w:rPr>
        </w:r>
        <w:r w:rsidR="008B3018">
          <w:rPr>
            <w:noProof/>
            <w:webHidden/>
          </w:rPr>
          <w:fldChar w:fldCharType="separate"/>
        </w:r>
        <w:r w:rsidR="00A07703">
          <w:rPr>
            <w:noProof/>
            <w:webHidden/>
          </w:rPr>
          <w:t>5</w:t>
        </w:r>
        <w:r w:rsidR="008B3018">
          <w:rPr>
            <w:noProof/>
            <w:webHidden/>
          </w:rPr>
          <w:fldChar w:fldCharType="end"/>
        </w:r>
      </w:hyperlink>
    </w:p>
    <w:p w14:paraId="3134625D" w14:textId="70BAA294" w:rsidR="008B3018" w:rsidRDefault="00CA5735">
      <w:pPr>
        <w:pStyle w:val="TOC2"/>
        <w:tabs>
          <w:tab w:val="right" w:leader="dot" w:pos="8290"/>
        </w:tabs>
        <w:rPr>
          <w:rFonts w:asciiTheme="minorHAnsi" w:eastAsiaTheme="minorEastAsia" w:hAnsiTheme="minorHAnsi" w:cstheme="minorBidi"/>
          <w:noProof/>
          <w:sz w:val="22"/>
          <w:szCs w:val="22"/>
        </w:rPr>
      </w:pPr>
      <w:hyperlink w:anchor="_Toc524354054" w:history="1">
        <w:r w:rsidR="008B3018" w:rsidRPr="000D3F05">
          <w:rPr>
            <w:rStyle w:val="Hyperlink"/>
            <w:noProof/>
          </w:rPr>
          <w:t>What’s new in this annual report?</w:t>
        </w:r>
        <w:r w:rsidR="008B3018">
          <w:rPr>
            <w:noProof/>
            <w:webHidden/>
          </w:rPr>
          <w:tab/>
        </w:r>
        <w:r w:rsidR="008B3018">
          <w:rPr>
            <w:noProof/>
            <w:webHidden/>
          </w:rPr>
          <w:fldChar w:fldCharType="begin"/>
        </w:r>
        <w:r w:rsidR="008B3018">
          <w:rPr>
            <w:noProof/>
            <w:webHidden/>
          </w:rPr>
          <w:instrText xml:space="preserve"> PAGEREF _Toc524354054 \h </w:instrText>
        </w:r>
        <w:r w:rsidR="008B3018">
          <w:rPr>
            <w:noProof/>
            <w:webHidden/>
          </w:rPr>
        </w:r>
        <w:r w:rsidR="008B3018">
          <w:rPr>
            <w:noProof/>
            <w:webHidden/>
          </w:rPr>
          <w:fldChar w:fldCharType="separate"/>
        </w:r>
        <w:r w:rsidR="00A07703">
          <w:rPr>
            <w:noProof/>
            <w:webHidden/>
          </w:rPr>
          <w:t>5</w:t>
        </w:r>
        <w:r w:rsidR="008B3018">
          <w:rPr>
            <w:noProof/>
            <w:webHidden/>
          </w:rPr>
          <w:fldChar w:fldCharType="end"/>
        </w:r>
      </w:hyperlink>
    </w:p>
    <w:p w14:paraId="41AE534A" w14:textId="5743C403" w:rsidR="008B3018" w:rsidRDefault="00CA5735">
      <w:pPr>
        <w:pStyle w:val="TOC1"/>
        <w:rPr>
          <w:rFonts w:asciiTheme="minorHAnsi" w:eastAsiaTheme="minorEastAsia" w:hAnsiTheme="minorHAnsi" w:cstheme="minorBidi"/>
          <w:noProof/>
          <w:sz w:val="22"/>
          <w:szCs w:val="22"/>
        </w:rPr>
      </w:pPr>
      <w:hyperlink w:anchor="_Toc524354055" w:history="1">
        <w:r w:rsidR="008B3018" w:rsidRPr="000D3F05">
          <w:rPr>
            <w:rStyle w:val="Hyperlink"/>
            <w:noProof/>
          </w:rPr>
          <w:t>About the VGPB</w:t>
        </w:r>
        <w:r w:rsidR="008B3018">
          <w:rPr>
            <w:noProof/>
            <w:webHidden/>
          </w:rPr>
          <w:tab/>
        </w:r>
        <w:r w:rsidR="008B3018">
          <w:rPr>
            <w:noProof/>
            <w:webHidden/>
          </w:rPr>
          <w:fldChar w:fldCharType="begin"/>
        </w:r>
        <w:r w:rsidR="008B3018">
          <w:rPr>
            <w:noProof/>
            <w:webHidden/>
          </w:rPr>
          <w:instrText xml:space="preserve"> PAGEREF _Toc524354055 \h </w:instrText>
        </w:r>
        <w:r w:rsidR="008B3018">
          <w:rPr>
            <w:noProof/>
            <w:webHidden/>
          </w:rPr>
        </w:r>
        <w:r w:rsidR="008B3018">
          <w:rPr>
            <w:noProof/>
            <w:webHidden/>
          </w:rPr>
          <w:fldChar w:fldCharType="separate"/>
        </w:r>
        <w:r w:rsidR="00A07703">
          <w:rPr>
            <w:noProof/>
            <w:webHidden/>
          </w:rPr>
          <w:t>5</w:t>
        </w:r>
        <w:r w:rsidR="008B3018">
          <w:rPr>
            <w:noProof/>
            <w:webHidden/>
          </w:rPr>
          <w:fldChar w:fldCharType="end"/>
        </w:r>
      </w:hyperlink>
    </w:p>
    <w:p w14:paraId="57BE1EFD" w14:textId="3335799B" w:rsidR="008B3018" w:rsidRDefault="00CA5735">
      <w:pPr>
        <w:pStyle w:val="TOC2"/>
        <w:tabs>
          <w:tab w:val="right" w:leader="dot" w:pos="8290"/>
        </w:tabs>
        <w:rPr>
          <w:rFonts w:asciiTheme="minorHAnsi" w:eastAsiaTheme="minorEastAsia" w:hAnsiTheme="minorHAnsi" w:cstheme="minorBidi"/>
          <w:noProof/>
          <w:sz w:val="22"/>
          <w:szCs w:val="22"/>
        </w:rPr>
      </w:pPr>
      <w:hyperlink w:anchor="_Toc524354056" w:history="1">
        <w:r w:rsidR="008B3018" w:rsidRPr="000D3F05">
          <w:rPr>
            <w:rStyle w:val="Hyperlink"/>
            <w:noProof/>
          </w:rPr>
          <w:t>Who we are</w:t>
        </w:r>
        <w:r w:rsidR="008B3018">
          <w:rPr>
            <w:noProof/>
            <w:webHidden/>
          </w:rPr>
          <w:tab/>
        </w:r>
        <w:r w:rsidR="008B3018">
          <w:rPr>
            <w:noProof/>
            <w:webHidden/>
          </w:rPr>
          <w:fldChar w:fldCharType="begin"/>
        </w:r>
        <w:r w:rsidR="008B3018">
          <w:rPr>
            <w:noProof/>
            <w:webHidden/>
          </w:rPr>
          <w:instrText xml:space="preserve"> PAGEREF _Toc524354056 \h </w:instrText>
        </w:r>
        <w:r w:rsidR="008B3018">
          <w:rPr>
            <w:noProof/>
            <w:webHidden/>
          </w:rPr>
        </w:r>
        <w:r w:rsidR="008B3018">
          <w:rPr>
            <w:noProof/>
            <w:webHidden/>
          </w:rPr>
          <w:fldChar w:fldCharType="separate"/>
        </w:r>
        <w:r w:rsidR="00A07703">
          <w:rPr>
            <w:noProof/>
            <w:webHidden/>
          </w:rPr>
          <w:t>5</w:t>
        </w:r>
        <w:r w:rsidR="008B3018">
          <w:rPr>
            <w:noProof/>
            <w:webHidden/>
          </w:rPr>
          <w:fldChar w:fldCharType="end"/>
        </w:r>
      </w:hyperlink>
    </w:p>
    <w:p w14:paraId="33B7B956" w14:textId="447A5663" w:rsidR="008B3018" w:rsidRDefault="00CA5735">
      <w:pPr>
        <w:pStyle w:val="TOC2"/>
        <w:tabs>
          <w:tab w:val="right" w:leader="dot" w:pos="8290"/>
        </w:tabs>
        <w:rPr>
          <w:rFonts w:asciiTheme="minorHAnsi" w:eastAsiaTheme="minorEastAsia" w:hAnsiTheme="minorHAnsi" w:cstheme="minorBidi"/>
          <w:noProof/>
          <w:sz w:val="22"/>
          <w:szCs w:val="22"/>
        </w:rPr>
      </w:pPr>
      <w:hyperlink w:anchor="_Toc524354057" w:history="1">
        <w:r w:rsidR="008B3018" w:rsidRPr="000D3F05">
          <w:rPr>
            <w:rStyle w:val="Hyperlink"/>
            <w:noProof/>
          </w:rPr>
          <w:t>Our role</w:t>
        </w:r>
        <w:r w:rsidR="008B3018">
          <w:rPr>
            <w:noProof/>
            <w:webHidden/>
          </w:rPr>
          <w:tab/>
        </w:r>
        <w:r w:rsidR="008B3018">
          <w:rPr>
            <w:noProof/>
            <w:webHidden/>
          </w:rPr>
          <w:fldChar w:fldCharType="begin"/>
        </w:r>
        <w:r w:rsidR="008B3018">
          <w:rPr>
            <w:noProof/>
            <w:webHidden/>
          </w:rPr>
          <w:instrText xml:space="preserve"> PAGEREF _Toc524354057 \h </w:instrText>
        </w:r>
        <w:r w:rsidR="008B3018">
          <w:rPr>
            <w:noProof/>
            <w:webHidden/>
          </w:rPr>
        </w:r>
        <w:r w:rsidR="008B3018">
          <w:rPr>
            <w:noProof/>
            <w:webHidden/>
          </w:rPr>
          <w:fldChar w:fldCharType="separate"/>
        </w:r>
        <w:r w:rsidR="00A07703">
          <w:rPr>
            <w:noProof/>
            <w:webHidden/>
          </w:rPr>
          <w:t>5</w:t>
        </w:r>
        <w:r w:rsidR="008B3018">
          <w:rPr>
            <w:noProof/>
            <w:webHidden/>
          </w:rPr>
          <w:fldChar w:fldCharType="end"/>
        </w:r>
      </w:hyperlink>
    </w:p>
    <w:p w14:paraId="2A4DE186" w14:textId="5074E15C" w:rsidR="008B3018" w:rsidRDefault="00CA5735">
      <w:pPr>
        <w:pStyle w:val="TOC2"/>
        <w:tabs>
          <w:tab w:val="right" w:leader="dot" w:pos="8290"/>
        </w:tabs>
        <w:rPr>
          <w:rFonts w:asciiTheme="minorHAnsi" w:eastAsiaTheme="minorEastAsia" w:hAnsiTheme="minorHAnsi" w:cstheme="minorBidi"/>
          <w:noProof/>
          <w:sz w:val="22"/>
          <w:szCs w:val="22"/>
        </w:rPr>
      </w:pPr>
      <w:hyperlink w:anchor="_Toc524354058" w:history="1">
        <w:r w:rsidR="008B3018" w:rsidRPr="000D3F05">
          <w:rPr>
            <w:rStyle w:val="Hyperlink"/>
            <w:noProof/>
          </w:rPr>
          <w:t>Our vision</w:t>
        </w:r>
        <w:r w:rsidR="008B3018">
          <w:rPr>
            <w:noProof/>
            <w:webHidden/>
          </w:rPr>
          <w:tab/>
        </w:r>
        <w:r w:rsidR="008B3018">
          <w:rPr>
            <w:noProof/>
            <w:webHidden/>
          </w:rPr>
          <w:fldChar w:fldCharType="begin"/>
        </w:r>
        <w:r w:rsidR="008B3018">
          <w:rPr>
            <w:noProof/>
            <w:webHidden/>
          </w:rPr>
          <w:instrText xml:space="preserve"> PAGEREF _Toc524354058 \h </w:instrText>
        </w:r>
        <w:r w:rsidR="008B3018">
          <w:rPr>
            <w:noProof/>
            <w:webHidden/>
          </w:rPr>
        </w:r>
        <w:r w:rsidR="008B3018">
          <w:rPr>
            <w:noProof/>
            <w:webHidden/>
          </w:rPr>
          <w:fldChar w:fldCharType="separate"/>
        </w:r>
        <w:r w:rsidR="00A07703">
          <w:rPr>
            <w:noProof/>
            <w:webHidden/>
          </w:rPr>
          <w:t>5</w:t>
        </w:r>
        <w:r w:rsidR="008B3018">
          <w:rPr>
            <w:noProof/>
            <w:webHidden/>
          </w:rPr>
          <w:fldChar w:fldCharType="end"/>
        </w:r>
      </w:hyperlink>
    </w:p>
    <w:p w14:paraId="08D19DE3" w14:textId="3E1C8D66" w:rsidR="008B3018" w:rsidRDefault="00CA5735">
      <w:pPr>
        <w:pStyle w:val="TOC2"/>
        <w:tabs>
          <w:tab w:val="right" w:leader="dot" w:pos="8290"/>
        </w:tabs>
        <w:rPr>
          <w:rFonts w:asciiTheme="minorHAnsi" w:eastAsiaTheme="minorEastAsia" w:hAnsiTheme="minorHAnsi" w:cstheme="minorBidi"/>
          <w:noProof/>
          <w:sz w:val="22"/>
          <w:szCs w:val="22"/>
        </w:rPr>
      </w:pPr>
      <w:hyperlink w:anchor="_Toc524354059" w:history="1">
        <w:r w:rsidR="008B3018" w:rsidRPr="000D3F05">
          <w:rPr>
            <w:rStyle w:val="Hyperlink"/>
            <w:noProof/>
          </w:rPr>
          <w:t>Our mission</w:t>
        </w:r>
        <w:r w:rsidR="008B3018">
          <w:rPr>
            <w:noProof/>
            <w:webHidden/>
          </w:rPr>
          <w:tab/>
        </w:r>
        <w:r w:rsidR="008B3018">
          <w:rPr>
            <w:noProof/>
            <w:webHidden/>
          </w:rPr>
          <w:fldChar w:fldCharType="begin"/>
        </w:r>
        <w:r w:rsidR="008B3018">
          <w:rPr>
            <w:noProof/>
            <w:webHidden/>
          </w:rPr>
          <w:instrText xml:space="preserve"> PAGEREF _Toc524354059 \h </w:instrText>
        </w:r>
        <w:r w:rsidR="008B3018">
          <w:rPr>
            <w:noProof/>
            <w:webHidden/>
          </w:rPr>
        </w:r>
        <w:r w:rsidR="008B3018">
          <w:rPr>
            <w:noProof/>
            <w:webHidden/>
          </w:rPr>
          <w:fldChar w:fldCharType="separate"/>
        </w:r>
        <w:r w:rsidR="00A07703">
          <w:rPr>
            <w:noProof/>
            <w:webHidden/>
          </w:rPr>
          <w:t>5</w:t>
        </w:r>
        <w:r w:rsidR="008B3018">
          <w:rPr>
            <w:noProof/>
            <w:webHidden/>
          </w:rPr>
          <w:fldChar w:fldCharType="end"/>
        </w:r>
      </w:hyperlink>
    </w:p>
    <w:p w14:paraId="6CA2B686" w14:textId="2C19DBD3" w:rsidR="008B3018" w:rsidRDefault="00CA5735">
      <w:pPr>
        <w:pStyle w:val="TOC2"/>
        <w:tabs>
          <w:tab w:val="right" w:leader="dot" w:pos="8290"/>
        </w:tabs>
        <w:rPr>
          <w:rFonts w:asciiTheme="minorHAnsi" w:eastAsiaTheme="minorEastAsia" w:hAnsiTheme="minorHAnsi" w:cstheme="minorBidi"/>
          <w:noProof/>
          <w:sz w:val="22"/>
          <w:szCs w:val="22"/>
        </w:rPr>
      </w:pPr>
      <w:hyperlink w:anchor="_Toc524354060" w:history="1">
        <w:r w:rsidR="008B3018" w:rsidRPr="000D3F05">
          <w:rPr>
            <w:rStyle w:val="Hyperlink"/>
            <w:noProof/>
          </w:rPr>
          <w:t>Scope of our policies</w:t>
        </w:r>
        <w:r w:rsidR="008B3018">
          <w:rPr>
            <w:noProof/>
            <w:webHidden/>
          </w:rPr>
          <w:tab/>
        </w:r>
        <w:r w:rsidR="008B3018">
          <w:rPr>
            <w:noProof/>
            <w:webHidden/>
          </w:rPr>
          <w:fldChar w:fldCharType="begin"/>
        </w:r>
        <w:r w:rsidR="008B3018">
          <w:rPr>
            <w:noProof/>
            <w:webHidden/>
          </w:rPr>
          <w:instrText xml:space="preserve"> PAGEREF _Toc524354060 \h </w:instrText>
        </w:r>
        <w:r w:rsidR="008B3018">
          <w:rPr>
            <w:noProof/>
            <w:webHidden/>
          </w:rPr>
        </w:r>
        <w:r w:rsidR="008B3018">
          <w:rPr>
            <w:noProof/>
            <w:webHidden/>
          </w:rPr>
          <w:fldChar w:fldCharType="separate"/>
        </w:r>
        <w:r w:rsidR="00A07703">
          <w:rPr>
            <w:noProof/>
            <w:webHidden/>
          </w:rPr>
          <w:t>5</w:t>
        </w:r>
        <w:r w:rsidR="008B3018">
          <w:rPr>
            <w:noProof/>
            <w:webHidden/>
          </w:rPr>
          <w:fldChar w:fldCharType="end"/>
        </w:r>
      </w:hyperlink>
    </w:p>
    <w:p w14:paraId="39412133" w14:textId="2BD1CF76" w:rsidR="008B3018" w:rsidRDefault="00CA5735">
      <w:pPr>
        <w:pStyle w:val="TOC2"/>
        <w:tabs>
          <w:tab w:val="right" w:leader="dot" w:pos="8290"/>
        </w:tabs>
        <w:rPr>
          <w:rFonts w:asciiTheme="minorHAnsi" w:eastAsiaTheme="minorEastAsia" w:hAnsiTheme="minorHAnsi" w:cstheme="minorBidi"/>
          <w:noProof/>
          <w:sz w:val="22"/>
          <w:szCs w:val="22"/>
        </w:rPr>
      </w:pPr>
      <w:hyperlink w:anchor="_Toc524354061" w:history="1">
        <w:r w:rsidR="008B3018" w:rsidRPr="000D3F05">
          <w:rPr>
            <w:rStyle w:val="Hyperlink"/>
            <w:noProof/>
          </w:rPr>
          <w:t>Reporting</w:t>
        </w:r>
        <w:r w:rsidR="008B3018">
          <w:rPr>
            <w:noProof/>
            <w:webHidden/>
          </w:rPr>
          <w:tab/>
        </w:r>
        <w:r w:rsidR="008B3018">
          <w:rPr>
            <w:noProof/>
            <w:webHidden/>
          </w:rPr>
          <w:fldChar w:fldCharType="begin"/>
        </w:r>
        <w:r w:rsidR="008B3018">
          <w:rPr>
            <w:noProof/>
            <w:webHidden/>
          </w:rPr>
          <w:instrText xml:space="preserve"> PAGEREF _Toc524354061 \h </w:instrText>
        </w:r>
        <w:r w:rsidR="008B3018">
          <w:rPr>
            <w:noProof/>
            <w:webHidden/>
          </w:rPr>
        </w:r>
        <w:r w:rsidR="008B3018">
          <w:rPr>
            <w:noProof/>
            <w:webHidden/>
          </w:rPr>
          <w:fldChar w:fldCharType="separate"/>
        </w:r>
        <w:r w:rsidR="00A07703">
          <w:rPr>
            <w:noProof/>
            <w:webHidden/>
          </w:rPr>
          <w:t>5</w:t>
        </w:r>
        <w:r w:rsidR="008B3018">
          <w:rPr>
            <w:noProof/>
            <w:webHidden/>
          </w:rPr>
          <w:fldChar w:fldCharType="end"/>
        </w:r>
      </w:hyperlink>
    </w:p>
    <w:p w14:paraId="12A3785F" w14:textId="3A48F415" w:rsidR="008B3018" w:rsidRDefault="00CA5735">
      <w:pPr>
        <w:pStyle w:val="TOC2"/>
        <w:tabs>
          <w:tab w:val="right" w:leader="dot" w:pos="8290"/>
        </w:tabs>
        <w:rPr>
          <w:rFonts w:asciiTheme="minorHAnsi" w:eastAsiaTheme="minorEastAsia" w:hAnsiTheme="minorHAnsi" w:cstheme="minorBidi"/>
          <w:noProof/>
          <w:sz w:val="22"/>
          <w:szCs w:val="22"/>
        </w:rPr>
      </w:pPr>
      <w:hyperlink w:anchor="_Toc524354062" w:history="1">
        <w:r w:rsidR="008B3018" w:rsidRPr="000D3F05">
          <w:rPr>
            <w:rStyle w:val="Hyperlink"/>
            <w:noProof/>
            <w:lang w:val="en-GB"/>
          </w:rPr>
          <w:t>Board members</w:t>
        </w:r>
        <w:r w:rsidR="008B3018">
          <w:rPr>
            <w:noProof/>
            <w:webHidden/>
          </w:rPr>
          <w:tab/>
        </w:r>
        <w:r w:rsidR="008B3018">
          <w:rPr>
            <w:noProof/>
            <w:webHidden/>
          </w:rPr>
          <w:fldChar w:fldCharType="begin"/>
        </w:r>
        <w:r w:rsidR="008B3018">
          <w:rPr>
            <w:noProof/>
            <w:webHidden/>
          </w:rPr>
          <w:instrText xml:space="preserve"> PAGEREF _Toc524354062 \h </w:instrText>
        </w:r>
        <w:r w:rsidR="008B3018">
          <w:rPr>
            <w:noProof/>
            <w:webHidden/>
          </w:rPr>
        </w:r>
        <w:r w:rsidR="008B3018">
          <w:rPr>
            <w:noProof/>
            <w:webHidden/>
          </w:rPr>
          <w:fldChar w:fldCharType="separate"/>
        </w:r>
        <w:r w:rsidR="00A07703">
          <w:rPr>
            <w:noProof/>
            <w:webHidden/>
          </w:rPr>
          <w:t>5</w:t>
        </w:r>
        <w:r w:rsidR="008B3018">
          <w:rPr>
            <w:noProof/>
            <w:webHidden/>
          </w:rPr>
          <w:fldChar w:fldCharType="end"/>
        </w:r>
      </w:hyperlink>
    </w:p>
    <w:p w14:paraId="244D9BFF" w14:textId="7D05AF50" w:rsidR="008B3018" w:rsidRDefault="00CA5735">
      <w:pPr>
        <w:pStyle w:val="TOC2"/>
        <w:tabs>
          <w:tab w:val="right" w:leader="dot" w:pos="8290"/>
        </w:tabs>
        <w:rPr>
          <w:rFonts w:asciiTheme="minorHAnsi" w:eastAsiaTheme="minorEastAsia" w:hAnsiTheme="minorHAnsi" w:cstheme="minorBidi"/>
          <w:noProof/>
          <w:sz w:val="22"/>
          <w:szCs w:val="22"/>
        </w:rPr>
      </w:pPr>
      <w:hyperlink w:anchor="_Toc524354063" w:history="1">
        <w:r w:rsidR="008B3018" w:rsidRPr="000D3F05">
          <w:rPr>
            <w:rStyle w:val="Hyperlink"/>
            <w:noProof/>
          </w:rPr>
          <w:t>Annual assessment</w:t>
        </w:r>
        <w:r w:rsidR="008B3018">
          <w:rPr>
            <w:noProof/>
            <w:webHidden/>
          </w:rPr>
          <w:tab/>
        </w:r>
        <w:r w:rsidR="008B3018">
          <w:rPr>
            <w:noProof/>
            <w:webHidden/>
          </w:rPr>
          <w:fldChar w:fldCharType="begin"/>
        </w:r>
        <w:r w:rsidR="008B3018">
          <w:rPr>
            <w:noProof/>
            <w:webHidden/>
          </w:rPr>
          <w:instrText xml:space="preserve"> PAGEREF _Toc524354063 \h </w:instrText>
        </w:r>
        <w:r w:rsidR="008B3018">
          <w:rPr>
            <w:noProof/>
            <w:webHidden/>
          </w:rPr>
        </w:r>
        <w:r w:rsidR="008B3018">
          <w:rPr>
            <w:noProof/>
            <w:webHidden/>
          </w:rPr>
          <w:fldChar w:fldCharType="separate"/>
        </w:r>
        <w:r w:rsidR="00A07703">
          <w:rPr>
            <w:noProof/>
            <w:webHidden/>
          </w:rPr>
          <w:t>5</w:t>
        </w:r>
        <w:r w:rsidR="008B3018">
          <w:rPr>
            <w:noProof/>
            <w:webHidden/>
          </w:rPr>
          <w:fldChar w:fldCharType="end"/>
        </w:r>
      </w:hyperlink>
    </w:p>
    <w:p w14:paraId="5066440D" w14:textId="1300EDDF" w:rsidR="008B3018" w:rsidRDefault="00CA5735">
      <w:pPr>
        <w:pStyle w:val="TOC1"/>
        <w:rPr>
          <w:rFonts w:asciiTheme="minorHAnsi" w:eastAsiaTheme="minorEastAsia" w:hAnsiTheme="minorHAnsi" w:cstheme="minorBidi"/>
          <w:noProof/>
          <w:sz w:val="22"/>
          <w:szCs w:val="22"/>
        </w:rPr>
      </w:pPr>
      <w:hyperlink w:anchor="_Toc524354064" w:history="1">
        <w:r w:rsidR="008B3018" w:rsidRPr="000D3F05">
          <w:rPr>
            <w:rStyle w:val="Hyperlink"/>
            <w:noProof/>
          </w:rPr>
          <w:t>Procuring goods and services</w:t>
        </w:r>
        <w:r w:rsidR="008B3018">
          <w:rPr>
            <w:noProof/>
            <w:webHidden/>
          </w:rPr>
          <w:tab/>
        </w:r>
        <w:r w:rsidR="008B3018">
          <w:rPr>
            <w:noProof/>
            <w:webHidden/>
          </w:rPr>
          <w:fldChar w:fldCharType="begin"/>
        </w:r>
        <w:r w:rsidR="008B3018">
          <w:rPr>
            <w:noProof/>
            <w:webHidden/>
          </w:rPr>
          <w:instrText xml:space="preserve"> PAGEREF _Toc524354064 \h </w:instrText>
        </w:r>
        <w:r w:rsidR="008B3018">
          <w:rPr>
            <w:noProof/>
            <w:webHidden/>
          </w:rPr>
        </w:r>
        <w:r w:rsidR="008B3018">
          <w:rPr>
            <w:noProof/>
            <w:webHidden/>
          </w:rPr>
          <w:fldChar w:fldCharType="separate"/>
        </w:r>
        <w:r w:rsidR="00A07703">
          <w:rPr>
            <w:noProof/>
            <w:webHidden/>
          </w:rPr>
          <w:t>5</w:t>
        </w:r>
        <w:r w:rsidR="008B3018">
          <w:rPr>
            <w:noProof/>
            <w:webHidden/>
          </w:rPr>
          <w:fldChar w:fldCharType="end"/>
        </w:r>
      </w:hyperlink>
    </w:p>
    <w:p w14:paraId="7E4D8C52" w14:textId="40B42BD5" w:rsidR="008B3018" w:rsidRDefault="00CA5735">
      <w:pPr>
        <w:pStyle w:val="TOC2"/>
        <w:tabs>
          <w:tab w:val="right" w:leader="dot" w:pos="8290"/>
        </w:tabs>
        <w:rPr>
          <w:rFonts w:asciiTheme="minorHAnsi" w:eastAsiaTheme="minorEastAsia" w:hAnsiTheme="minorHAnsi" w:cstheme="minorBidi"/>
          <w:noProof/>
          <w:sz w:val="22"/>
          <w:szCs w:val="22"/>
        </w:rPr>
      </w:pPr>
      <w:hyperlink w:anchor="_Toc524354065" w:history="1">
        <w:r w:rsidR="008B3018" w:rsidRPr="000D3F05">
          <w:rPr>
            <w:rStyle w:val="Hyperlink"/>
            <w:noProof/>
          </w:rPr>
          <w:t>About the data in this report</w:t>
        </w:r>
        <w:r w:rsidR="008B3018">
          <w:rPr>
            <w:noProof/>
            <w:webHidden/>
          </w:rPr>
          <w:tab/>
        </w:r>
        <w:r w:rsidR="008B3018">
          <w:rPr>
            <w:noProof/>
            <w:webHidden/>
          </w:rPr>
          <w:fldChar w:fldCharType="begin"/>
        </w:r>
        <w:r w:rsidR="008B3018">
          <w:rPr>
            <w:noProof/>
            <w:webHidden/>
          </w:rPr>
          <w:instrText xml:space="preserve"> PAGEREF _Toc524354065 \h </w:instrText>
        </w:r>
        <w:r w:rsidR="008B3018">
          <w:rPr>
            <w:noProof/>
            <w:webHidden/>
          </w:rPr>
        </w:r>
        <w:r w:rsidR="008B3018">
          <w:rPr>
            <w:noProof/>
            <w:webHidden/>
          </w:rPr>
          <w:fldChar w:fldCharType="separate"/>
        </w:r>
        <w:r w:rsidR="00A07703">
          <w:rPr>
            <w:noProof/>
            <w:webHidden/>
          </w:rPr>
          <w:t>5</w:t>
        </w:r>
        <w:r w:rsidR="008B3018">
          <w:rPr>
            <w:noProof/>
            <w:webHidden/>
          </w:rPr>
          <w:fldChar w:fldCharType="end"/>
        </w:r>
      </w:hyperlink>
    </w:p>
    <w:p w14:paraId="000D31AF" w14:textId="0663E32A" w:rsidR="008B3018" w:rsidRDefault="00CA5735">
      <w:pPr>
        <w:pStyle w:val="TOC2"/>
        <w:tabs>
          <w:tab w:val="right" w:leader="dot" w:pos="8290"/>
        </w:tabs>
        <w:rPr>
          <w:rFonts w:asciiTheme="minorHAnsi" w:eastAsiaTheme="minorEastAsia" w:hAnsiTheme="minorHAnsi" w:cstheme="minorBidi"/>
          <w:noProof/>
          <w:sz w:val="22"/>
          <w:szCs w:val="22"/>
        </w:rPr>
      </w:pPr>
      <w:hyperlink w:anchor="_Toc524354066" w:history="1">
        <w:r w:rsidR="008B3018" w:rsidRPr="000D3F05">
          <w:rPr>
            <w:rStyle w:val="Hyperlink"/>
            <w:noProof/>
          </w:rPr>
          <w:t>Summary of contract approvals</w:t>
        </w:r>
        <w:r w:rsidR="008B3018">
          <w:rPr>
            <w:noProof/>
            <w:webHidden/>
          </w:rPr>
          <w:tab/>
        </w:r>
        <w:r w:rsidR="008B3018">
          <w:rPr>
            <w:noProof/>
            <w:webHidden/>
          </w:rPr>
          <w:fldChar w:fldCharType="begin"/>
        </w:r>
        <w:r w:rsidR="008B3018">
          <w:rPr>
            <w:noProof/>
            <w:webHidden/>
          </w:rPr>
          <w:instrText xml:space="preserve"> PAGEREF _Toc524354066 \h </w:instrText>
        </w:r>
        <w:r w:rsidR="008B3018">
          <w:rPr>
            <w:noProof/>
            <w:webHidden/>
          </w:rPr>
        </w:r>
        <w:r w:rsidR="008B3018">
          <w:rPr>
            <w:noProof/>
            <w:webHidden/>
          </w:rPr>
          <w:fldChar w:fldCharType="separate"/>
        </w:r>
        <w:r w:rsidR="00A07703">
          <w:rPr>
            <w:noProof/>
            <w:webHidden/>
          </w:rPr>
          <w:t>5</w:t>
        </w:r>
        <w:r w:rsidR="008B3018">
          <w:rPr>
            <w:noProof/>
            <w:webHidden/>
          </w:rPr>
          <w:fldChar w:fldCharType="end"/>
        </w:r>
      </w:hyperlink>
    </w:p>
    <w:p w14:paraId="1537BED9" w14:textId="64798B70" w:rsidR="008B3018" w:rsidRDefault="00CA5735">
      <w:pPr>
        <w:pStyle w:val="TOC2"/>
        <w:tabs>
          <w:tab w:val="right" w:leader="dot" w:pos="8290"/>
        </w:tabs>
        <w:rPr>
          <w:rFonts w:asciiTheme="minorHAnsi" w:eastAsiaTheme="minorEastAsia" w:hAnsiTheme="minorHAnsi" w:cstheme="minorBidi"/>
          <w:noProof/>
          <w:sz w:val="22"/>
          <w:szCs w:val="22"/>
        </w:rPr>
      </w:pPr>
      <w:hyperlink w:anchor="_Toc524354067" w:history="1">
        <w:r w:rsidR="008B3018" w:rsidRPr="000D3F05">
          <w:rPr>
            <w:rStyle w:val="Hyperlink"/>
            <w:noProof/>
          </w:rPr>
          <w:t>One-off supply contracts</w:t>
        </w:r>
        <w:r w:rsidR="008B3018">
          <w:rPr>
            <w:noProof/>
            <w:webHidden/>
          </w:rPr>
          <w:tab/>
        </w:r>
        <w:r w:rsidR="008B3018">
          <w:rPr>
            <w:noProof/>
            <w:webHidden/>
          </w:rPr>
          <w:fldChar w:fldCharType="begin"/>
        </w:r>
        <w:r w:rsidR="008B3018">
          <w:rPr>
            <w:noProof/>
            <w:webHidden/>
          </w:rPr>
          <w:instrText xml:space="preserve"> PAGEREF _Toc524354067 \h </w:instrText>
        </w:r>
        <w:r w:rsidR="008B3018">
          <w:rPr>
            <w:noProof/>
            <w:webHidden/>
          </w:rPr>
        </w:r>
        <w:r w:rsidR="008B3018">
          <w:rPr>
            <w:noProof/>
            <w:webHidden/>
          </w:rPr>
          <w:fldChar w:fldCharType="separate"/>
        </w:r>
        <w:r w:rsidR="00A07703">
          <w:rPr>
            <w:noProof/>
            <w:webHidden/>
          </w:rPr>
          <w:t>5</w:t>
        </w:r>
        <w:r w:rsidR="008B3018">
          <w:rPr>
            <w:noProof/>
            <w:webHidden/>
          </w:rPr>
          <w:fldChar w:fldCharType="end"/>
        </w:r>
      </w:hyperlink>
    </w:p>
    <w:p w14:paraId="16A14E1F" w14:textId="3367B6E4" w:rsidR="008B3018" w:rsidRDefault="00CA5735">
      <w:pPr>
        <w:pStyle w:val="TOC2"/>
        <w:tabs>
          <w:tab w:val="right" w:leader="dot" w:pos="8290"/>
        </w:tabs>
        <w:rPr>
          <w:rFonts w:asciiTheme="minorHAnsi" w:eastAsiaTheme="minorEastAsia" w:hAnsiTheme="minorHAnsi" w:cstheme="minorBidi"/>
          <w:noProof/>
          <w:sz w:val="22"/>
          <w:szCs w:val="22"/>
        </w:rPr>
      </w:pPr>
      <w:hyperlink w:anchor="_Toc524354068" w:history="1">
        <w:r w:rsidR="008B3018" w:rsidRPr="000D3F05">
          <w:rPr>
            <w:rStyle w:val="Hyperlink"/>
            <w:noProof/>
          </w:rPr>
          <w:t>Procurement complexity</w:t>
        </w:r>
        <w:r w:rsidR="008B3018">
          <w:rPr>
            <w:noProof/>
            <w:webHidden/>
          </w:rPr>
          <w:tab/>
        </w:r>
        <w:r w:rsidR="008B3018">
          <w:rPr>
            <w:noProof/>
            <w:webHidden/>
          </w:rPr>
          <w:fldChar w:fldCharType="begin"/>
        </w:r>
        <w:r w:rsidR="008B3018">
          <w:rPr>
            <w:noProof/>
            <w:webHidden/>
          </w:rPr>
          <w:instrText xml:space="preserve"> PAGEREF _Toc524354068 \h </w:instrText>
        </w:r>
        <w:r w:rsidR="008B3018">
          <w:rPr>
            <w:noProof/>
            <w:webHidden/>
          </w:rPr>
        </w:r>
        <w:r w:rsidR="008B3018">
          <w:rPr>
            <w:noProof/>
            <w:webHidden/>
          </w:rPr>
          <w:fldChar w:fldCharType="separate"/>
        </w:r>
        <w:r w:rsidR="00A07703">
          <w:rPr>
            <w:noProof/>
            <w:webHidden/>
          </w:rPr>
          <w:t>5</w:t>
        </w:r>
        <w:r w:rsidR="008B3018">
          <w:rPr>
            <w:noProof/>
            <w:webHidden/>
          </w:rPr>
          <w:fldChar w:fldCharType="end"/>
        </w:r>
      </w:hyperlink>
    </w:p>
    <w:p w14:paraId="453EC0BD" w14:textId="2C4E7AED" w:rsidR="008B3018" w:rsidRDefault="00CA5735">
      <w:pPr>
        <w:pStyle w:val="TOC2"/>
        <w:tabs>
          <w:tab w:val="right" w:leader="dot" w:pos="8290"/>
        </w:tabs>
        <w:rPr>
          <w:rFonts w:asciiTheme="minorHAnsi" w:eastAsiaTheme="minorEastAsia" w:hAnsiTheme="minorHAnsi" w:cstheme="minorBidi"/>
          <w:noProof/>
          <w:sz w:val="22"/>
          <w:szCs w:val="22"/>
        </w:rPr>
      </w:pPr>
      <w:hyperlink w:anchor="_Toc524354069" w:history="1">
        <w:r w:rsidR="008B3018" w:rsidRPr="000D3F05">
          <w:rPr>
            <w:rStyle w:val="Hyperlink"/>
            <w:noProof/>
          </w:rPr>
          <w:t>Critical incident procurement</w:t>
        </w:r>
        <w:r w:rsidR="008B3018">
          <w:rPr>
            <w:noProof/>
            <w:webHidden/>
          </w:rPr>
          <w:tab/>
        </w:r>
        <w:r w:rsidR="008B3018">
          <w:rPr>
            <w:noProof/>
            <w:webHidden/>
          </w:rPr>
          <w:fldChar w:fldCharType="begin"/>
        </w:r>
        <w:r w:rsidR="008B3018">
          <w:rPr>
            <w:noProof/>
            <w:webHidden/>
          </w:rPr>
          <w:instrText xml:space="preserve"> PAGEREF _Toc524354069 \h </w:instrText>
        </w:r>
        <w:r w:rsidR="008B3018">
          <w:rPr>
            <w:noProof/>
            <w:webHidden/>
          </w:rPr>
        </w:r>
        <w:r w:rsidR="008B3018">
          <w:rPr>
            <w:noProof/>
            <w:webHidden/>
          </w:rPr>
          <w:fldChar w:fldCharType="separate"/>
        </w:r>
        <w:r w:rsidR="00A07703">
          <w:rPr>
            <w:noProof/>
            <w:webHidden/>
          </w:rPr>
          <w:t>5</w:t>
        </w:r>
        <w:r w:rsidR="008B3018">
          <w:rPr>
            <w:noProof/>
            <w:webHidden/>
          </w:rPr>
          <w:fldChar w:fldCharType="end"/>
        </w:r>
      </w:hyperlink>
    </w:p>
    <w:p w14:paraId="1374F344" w14:textId="66B3D937" w:rsidR="008B3018" w:rsidRDefault="00CA5735">
      <w:pPr>
        <w:pStyle w:val="TOC1"/>
        <w:rPr>
          <w:rFonts w:asciiTheme="minorHAnsi" w:eastAsiaTheme="minorEastAsia" w:hAnsiTheme="minorHAnsi" w:cstheme="minorBidi"/>
          <w:noProof/>
          <w:sz w:val="22"/>
          <w:szCs w:val="22"/>
        </w:rPr>
      </w:pPr>
      <w:hyperlink w:anchor="_Toc524354070" w:history="1">
        <w:r w:rsidR="008B3018" w:rsidRPr="000D3F05">
          <w:rPr>
            <w:rStyle w:val="Hyperlink"/>
            <w:noProof/>
          </w:rPr>
          <w:t>Harnessing the buying power of government</w:t>
        </w:r>
        <w:r w:rsidR="008B3018">
          <w:rPr>
            <w:noProof/>
            <w:webHidden/>
          </w:rPr>
          <w:tab/>
        </w:r>
        <w:r w:rsidR="008B3018">
          <w:rPr>
            <w:noProof/>
            <w:webHidden/>
          </w:rPr>
          <w:fldChar w:fldCharType="begin"/>
        </w:r>
        <w:r w:rsidR="008B3018">
          <w:rPr>
            <w:noProof/>
            <w:webHidden/>
          </w:rPr>
          <w:instrText xml:space="preserve"> PAGEREF _Toc524354070 \h </w:instrText>
        </w:r>
        <w:r w:rsidR="008B3018">
          <w:rPr>
            <w:noProof/>
            <w:webHidden/>
          </w:rPr>
        </w:r>
        <w:r w:rsidR="008B3018">
          <w:rPr>
            <w:noProof/>
            <w:webHidden/>
          </w:rPr>
          <w:fldChar w:fldCharType="separate"/>
        </w:r>
        <w:r w:rsidR="00A07703">
          <w:rPr>
            <w:noProof/>
            <w:webHidden/>
          </w:rPr>
          <w:t>5</w:t>
        </w:r>
        <w:r w:rsidR="008B3018">
          <w:rPr>
            <w:noProof/>
            <w:webHidden/>
          </w:rPr>
          <w:fldChar w:fldCharType="end"/>
        </w:r>
      </w:hyperlink>
    </w:p>
    <w:p w14:paraId="08A5287C" w14:textId="66CF0D42" w:rsidR="008B3018" w:rsidRDefault="00CA5735">
      <w:pPr>
        <w:pStyle w:val="TOC2"/>
        <w:tabs>
          <w:tab w:val="right" w:leader="dot" w:pos="8290"/>
        </w:tabs>
        <w:rPr>
          <w:rFonts w:asciiTheme="minorHAnsi" w:eastAsiaTheme="minorEastAsia" w:hAnsiTheme="minorHAnsi" w:cstheme="minorBidi"/>
          <w:noProof/>
          <w:sz w:val="22"/>
          <w:szCs w:val="22"/>
        </w:rPr>
      </w:pPr>
      <w:hyperlink w:anchor="_Toc524354071" w:history="1">
        <w:r w:rsidR="008B3018" w:rsidRPr="000D3F05">
          <w:rPr>
            <w:rStyle w:val="Hyperlink"/>
            <w:noProof/>
          </w:rPr>
          <w:t>State purchase contracts</w:t>
        </w:r>
        <w:r w:rsidR="008B3018">
          <w:rPr>
            <w:noProof/>
            <w:webHidden/>
          </w:rPr>
          <w:tab/>
        </w:r>
        <w:r w:rsidR="008B3018">
          <w:rPr>
            <w:noProof/>
            <w:webHidden/>
          </w:rPr>
          <w:fldChar w:fldCharType="begin"/>
        </w:r>
        <w:r w:rsidR="008B3018">
          <w:rPr>
            <w:noProof/>
            <w:webHidden/>
          </w:rPr>
          <w:instrText xml:space="preserve"> PAGEREF _Toc524354071 \h </w:instrText>
        </w:r>
        <w:r w:rsidR="008B3018">
          <w:rPr>
            <w:noProof/>
            <w:webHidden/>
          </w:rPr>
        </w:r>
        <w:r w:rsidR="008B3018">
          <w:rPr>
            <w:noProof/>
            <w:webHidden/>
          </w:rPr>
          <w:fldChar w:fldCharType="separate"/>
        </w:r>
        <w:r w:rsidR="00A07703">
          <w:rPr>
            <w:noProof/>
            <w:webHidden/>
          </w:rPr>
          <w:t>5</w:t>
        </w:r>
        <w:r w:rsidR="008B3018">
          <w:rPr>
            <w:noProof/>
            <w:webHidden/>
          </w:rPr>
          <w:fldChar w:fldCharType="end"/>
        </w:r>
      </w:hyperlink>
    </w:p>
    <w:p w14:paraId="430EDA0A" w14:textId="1D5BC26F" w:rsidR="008B3018" w:rsidRDefault="00CA5735">
      <w:pPr>
        <w:pStyle w:val="TOC2"/>
        <w:tabs>
          <w:tab w:val="right" w:leader="dot" w:pos="8290"/>
        </w:tabs>
        <w:rPr>
          <w:rFonts w:asciiTheme="minorHAnsi" w:eastAsiaTheme="minorEastAsia" w:hAnsiTheme="minorHAnsi" w:cstheme="minorBidi"/>
          <w:noProof/>
          <w:sz w:val="22"/>
          <w:szCs w:val="22"/>
        </w:rPr>
      </w:pPr>
      <w:hyperlink w:anchor="_Toc524354072" w:history="1">
        <w:r w:rsidR="008B3018" w:rsidRPr="000D3F05">
          <w:rPr>
            <w:rStyle w:val="Hyperlink"/>
            <w:noProof/>
          </w:rPr>
          <w:t>Sole entity purchase contracts</w:t>
        </w:r>
        <w:r w:rsidR="008B3018">
          <w:rPr>
            <w:noProof/>
            <w:webHidden/>
          </w:rPr>
          <w:tab/>
        </w:r>
        <w:r w:rsidR="008B3018">
          <w:rPr>
            <w:noProof/>
            <w:webHidden/>
          </w:rPr>
          <w:fldChar w:fldCharType="begin"/>
        </w:r>
        <w:r w:rsidR="008B3018">
          <w:rPr>
            <w:noProof/>
            <w:webHidden/>
          </w:rPr>
          <w:instrText xml:space="preserve"> PAGEREF _Toc524354072 \h </w:instrText>
        </w:r>
        <w:r w:rsidR="008B3018">
          <w:rPr>
            <w:noProof/>
            <w:webHidden/>
          </w:rPr>
        </w:r>
        <w:r w:rsidR="008B3018">
          <w:rPr>
            <w:noProof/>
            <w:webHidden/>
          </w:rPr>
          <w:fldChar w:fldCharType="separate"/>
        </w:r>
        <w:r w:rsidR="00A07703">
          <w:rPr>
            <w:noProof/>
            <w:webHidden/>
          </w:rPr>
          <w:t>5</w:t>
        </w:r>
        <w:r w:rsidR="008B3018">
          <w:rPr>
            <w:noProof/>
            <w:webHidden/>
          </w:rPr>
          <w:fldChar w:fldCharType="end"/>
        </w:r>
      </w:hyperlink>
    </w:p>
    <w:p w14:paraId="2BCF85EE" w14:textId="5949568C" w:rsidR="008B3018" w:rsidRDefault="00CA5735">
      <w:pPr>
        <w:pStyle w:val="TOC1"/>
        <w:rPr>
          <w:rFonts w:asciiTheme="minorHAnsi" w:eastAsiaTheme="minorEastAsia" w:hAnsiTheme="minorHAnsi" w:cstheme="minorBidi"/>
          <w:noProof/>
          <w:sz w:val="22"/>
          <w:szCs w:val="22"/>
        </w:rPr>
      </w:pPr>
      <w:hyperlink w:anchor="_Toc524354073" w:history="1">
        <w:r w:rsidR="008B3018" w:rsidRPr="000D3F05">
          <w:rPr>
            <w:rStyle w:val="Hyperlink"/>
            <w:noProof/>
          </w:rPr>
          <w:t>Monitoring compliance</w:t>
        </w:r>
        <w:r w:rsidR="008B3018">
          <w:rPr>
            <w:noProof/>
            <w:webHidden/>
          </w:rPr>
          <w:tab/>
        </w:r>
        <w:r w:rsidR="008B3018">
          <w:rPr>
            <w:noProof/>
            <w:webHidden/>
          </w:rPr>
          <w:fldChar w:fldCharType="begin"/>
        </w:r>
        <w:r w:rsidR="008B3018">
          <w:rPr>
            <w:noProof/>
            <w:webHidden/>
          </w:rPr>
          <w:instrText xml:space="preserve"> PAGEREF _Toc524354073 \h </w:instrText>
        </w:r>
        <w:r w:rsidR="008B3018">
          <w:rPr>
            <w:noProof/>
            <w:webHidden/>
          </w:rPr>
        </w:r>
        <w:r w:rsidR="008B3018">
          <w:rPr>
            <w:noProof/>
            <w:webHidden/>
          </w:rPr>
          <w:fldChar w:fldCharType="separate"/>
        </w:r>
        <w:r w:rsidR="00A07703">
          <w:rPr>
            <w:noProof/>
            <w:webHidden/>
          </w:rPr>
          <w:t>5</w:t>
        </w:r>
        <w:r w:rsidR="008B3018">
          <w:rPr>
            <w:noProof/>
            <w:webHidden/>
          </w:rPr>
          <w:fldChar w:fldCharType="end"/>
        </w:r>
      </w:hyperlink>
    </w:p>
    <w:p w14:paraId="5351BC33" w14:textId="67EA6CF1" w:rsidR="008B3018" w:rsidRDefault="00CA5735">
      <w:pPr>
        <w:pStyle w:val="TOC2"/>
        <w:tabs>
          <w:tab w:val="right" w:leader="dot" w:pos="8290"/>
        </w:tabs>
        <w:rPr>
          <w:rFonts w:asciiTheme="minorHAnsi" w:eastAsiaTheme="minorEastAsia" w:hAnsiTheme="minorHAnsi" w:cstheme="minorBidi"/>
          <w:noProof/>
          <w:sz w:val="22"/>
          <w:szCs w:val="22"/>
        </w:rPr>
      </w:pPr>
      <w:hyperlink w:anchor="_Toc524354074" w:history="1">
        <w:r w:rsidR="008B3018" w:rsidRPr="000D3F05">
          <w:rPr>
            <w:rStyle w:val="Hyperlink"/>
            <w:noProof/>
          </w:rPr>
          <w:t>Performance measures</w:t>
        </w:r>
        <w:r w:rsidR="008B3018">
          <w:rPr>
            <w:noProof/>
            <w:webHidden/>
          </w:rPr>
          <w:tab/>
        </w:r>
        <w:r w:rsidR="008B3018">
          <w:rPr>
            <w:noProof/>
            <w:webHidden/>
          </w:rPr>
          <w:fldChar w:fldCharType="begin"/>
        </w:r>
        <w:r w:rsidR="008B3018">
          <w:rPr>
            <w:noProof/>
            <w:webHidden/>
          </w:rPr>
          <w:instrText xml:space="preserve"> PAGEREF _Toc524354074 \h </w:instrText>
        </w:r>
        <w:r w:rsidR="008B3018">
          <w:rPr>
            <w:noProof/>
            <w:webHidden/>
          </w:rPr>
        </w:r>
        <w:r w:rsidR="008B3018">
          <w:rPr>
            <w:noProof/>
            <w:webHidden/>
          </w:rPr>
          <w:fldChar w:fldCharType="separate"/>
        </w:r>
        <w:r w:rsidR="00A07703">
          <w:rPr>
            <w:noProof/>
            <w:webHidden/>
          </w:rPr>
          <w:t>5</w:t>
        </w:r>
        <w:r w:rsidR="008B3018">
          <w:rPr>
            <w:noProof/>
            <w:webHidden/>
          </w:rPr>
          <w:fldChar w:fldCharType="end"/>
        </w:r>
      </w:hyperlink>
    </w:p>
    <w:p w14:paraId="01ADC7F9" w14:textId="02D515E5" w:rsidR="008B3018" w:rsidRDefault="00CA5735">
      <w:pPr>
        <w:pStyle w:val="TOC2"/>
        <w:tabs>
          <w:tab w:val="right" w:leader="dot" w:pos="8290"/>
        </w:tabs>
        <w:rPr>
          <w:rFonts w:asciiTheme="minorHAnsi" w:eastAsiaTheme="minorEastAsia" w:hAnsiTheme="minorHAnsi" w:cstheme="minorBidi"/>
          <w:noProof/>
          <w:sz w:val="22"/>
          <w:szCs w:val="22"/>
        </w:rPr>
      </w:pPr>
      <w:hyperlink w:anchor="_Toc524354075" w:history="1">
        <w:r w:rsidR="008B3018" w:rsidRPr="000D3F05">
          <w:rPr>
            <w:rStyle w:val="Hyperlink"/>
            <w:noProof/>
          </w:rPr>
          <w:t>Audits</w:t>
        </w:r>
        <w:r w:rsidR="008B3018">
          <w:rPr>
            <w:noProof/>
            <w:webHidden/>
          </w:rPr>
          <w:tab/>
        </w:r>
        <w:r w:rsidR="008B3018">
          <w:rPr>
            <w:noProof/>
            <w:webHidden/>
          </w:rPr>
          <w:fldChar w:fldCharType="begin"/>
        </w:r>
        <w:r w:rsidR="008B3018">
          <w:rPr>
            <w:noProof/>
            <w:webHidden/>
          </w:rPr>
          <w:instrText xml:space="preserve"> PAGEREF _Toc524354075 \h </w:instrText>
        </w:r>
        <w:r w:rsidR="008B3018">
          <w:rPr>
            <w:noProof/>
            <w:webHidden/>
          </w:rPr>
        </w:r>
        <w:r w:rsidR="008B3018">
          <w:rPr>
            <w:noProof/>
            <w:webHidden/>
          </w:rPr>
          <w:fldChar w:fldCharType="separate"/>
        </w:r>
        <w:r w:rsidR="00A07703">
          <w:rPr>
            <w:noProof/>
            <w:webHidden/>
          </w:rPr>
          <w:t>5</w:t>
        </w:r>
        <w:r w:rsidR="008B3018">
          <w:rPr>
            <w:noProof/>
            <w:webHidden/>
          </w:rPr>
          <w:fldChar w:fldCharType="end"/>
        </w:r>
      </w:hyperlink>
    </w:p>
    <w:p w14:paraId="02DD4DF6" w14:textId="28233F82" w:rsidR="008B3018" w:rsidRDefault="00CA5735">
      <w:pPr>
        <w:pStyle w:val="TOC2"/>
        <w:tabs>
          <w:tab w:val="right" w:leader="dot" w:pos="8290"/>
        </w:tabs>
        <w:rPr>
          <w:rFonts w:asciiTheme="minorHAnsi" w:eastAsiaTheme="minorEastAsia" w:hAnsiTheme="minorHAnsi" w:cstheme="minorBidi"/>
          <w:noProof/>
          <w:sz w:val="22"/>
          <w:szCs w:val="22"/>
        </w:rPr>
      </w:pPr>
      <w:hyperlink w:anchor="_Toc524354076" w:history="1">
        <w:r w:rsidR="008B3018" w:rsidRPr="000D3F05">
          <w:rPr>
            <w:rStyle w:val="Hyperlink"/>
            <w:noProof/>
          </w:rPr>
          <w:t>Procurement activity subject to VGPB oversight</w:t>
        </w:r>
        <w:r w:rsidR="008B3018">
          <w:rPr>
            <w:noProof/>
            <w:webHidden/>
          </w:rPr>
          <w:tab/>
        </w:r>
        <w:r w:rsidR="008B3018">
          <w:rPr>
            <w:noProof/>
            <w:webHidden/>
          </w:rPr>
          <w:fldChar w:fldCharType="begin"/>
        </w:r>
        <w:r w:rsidR="008B3018">
          <w:rPr>
            <w:noProof/>
            <w:webHidden/>
          </w:rPr>
          <w:instrText xml:space="preserve"> PAGEREF _Toc524354076 \h </w:instrText>
        </w:r>
        <w:r w:rsidR="008B3018">
          <w:rPr>
            <w:noProof/>
            <w:webHidden/>
          </w:rPr>
        </w:r>
        <w:r w:rsidR="008B3018">
          <w:rPr>
            <w:noProof/>
            <w:webHidden/>
          </w:rPr>
          <w:fldChar w:fldCharType="separate"/>
        </w:r>
        <w:r w:rsidR="00A07703">
          <w:rPr>
            <w:noProof/>
            <w:webHidden/>
          </w:rPr>
          <w:t>5</w:t>
        </w:r>
        <w:r w:rsidR="008B3018">
          <w:rPr>
            <w:noProof/>
            <w:webHidden/>
          </w:rPr>
          <w:fldChar w:fldCharType="end"/>
        </w:r>
      </w:hyperlink>
    </w:p>
    <w:p w14:paraId="7F049A2D" w14:textId="495CFB39" w:rsidR="008B3018" w:rsidRDefault="00CA5735">
      <w:pPr>
        <w:pStyle w:val="TOC2"/>
        <w:tabs>
          <w:tab w:val="right" w:leader="dot" w:pos="8290"/>
        </w:tabs>
        <w:rPr>
          <w:rFonts w:asciiTheme="minorHAnsi" w:eastAsiaTheme="minorEastAsia" w:hAnsiTheme="minorHAnsi" w:cstheme="minorBidi"/>
          <w:noProof/>
          <w:sz w:val="22"/>
          <w:szCs w:val="22"/>
        </w:rPr>
      </w:pPr>
      <w:hyperlink w:anchor="_Toc524354077" w:history="1">
        <w:r w:rsidR="008B3018" w:rsidRPr="000D3F05">
          <w:rPr>
            <w:rStyle w:val="Hyperlink"/>
            <w:noProof/>
          </w:rPr>
          <w:t>Non-compliance</w:t>
        </w:r>
        <w:r w:rsidR="008B3018">
          <w:rPr>
            <w:noProof/>
            <w:webHidden/>
          </w:rPr>
          <w:tab/>
        </w:r>
        <w:r w:rsidR="008B3018">
          <w:rPr>
            <w:noProof/>
            <w:webHidden/>
          </w:rPr>
          <w:fldChar w:fldCharType="begin"/>
        </w:r>
        <w:r w:rsidR="008B3018">
          <w:rPr>
            <w:noProof/>
            <w:webHidden/>
          </w:rPr>
          <w:instrText xml:space="preserve"> PAGEREF _Toc524354077 \h </w:instrText>
        </w:r>
        <w:r w:rsidR="008B3018">
          <w:rPr>
            <w:noProof/>
            <w:webHidden/>
          </w:rPr>
        </w:r>
        <w:r w:rsidR="008B3018">
          <w:rPr>
            <w:noProof/>
            <w:webHidden/>
          </w:rPr>
          <w:fldChar w:fldCharType="separate"/>
        </w:r>
        <w:r w:rsidR="00A07703">
          <w:rPr>
            <w:noProof/>
            <w:webHidden/>
          </w:rPr>
          <w:t>5</w:t>
        </w:r>
        <w:r w:rsidR="008B3018">
          <w:rPr>
            <w:noProof/>
            <w:webHidden/>
          </w:rPr>
          <w:fldChar w:fldCharType="end"/>
        </w:r>
      </w:hyperlink>
    </w:p>
    <w:p w14:paraId="6E9BAFF1" w14:textId="2342F135" w:rsidR="008B3018" w:rsidRDefault="00CA5735">
      <w:pPr>
        <w:pStyle w:val="TOC2"/>
        <w:tabs>
          <w:tab w:val="right" w:leader="dot" w:pos="8290"/>
        </w:tabs>
        <w:rPr>
          <w:rFonts w:asciiTheme="minorHAnsi" w:eastAsiaTheme="minorEastAsia" w:hAnsiTheme="minorHAnsi" w:cstheme="minorBidi"/>
          <w:noProof/>
          <w:sz w:val="22"/>
          <w:szCs w:val="22"/>
        </w:rPr>
      </w:pPr>
      <w:hyperlink w:anchor="_Toc524354078" w:history="1">
        <w:r w:rsidR="008B3018" w:rsidRPr="000D3F05">
          <w:rPr>
            <w:rStyle w:val="Hyperlink"/>
            <w:noProof/>
          </w:rPr>
          <w:t>Complaints</w:t>
        </w:r>
        <w:r w:rsidR="008B3018">
          <w:rPr>
            <w:noProof/>
            <w:webHidden/>
          </w:rPr>
          <w:tab/>
        </w:r>
        <w:r w:rsidR="008B3018">
          <w:rPr>
            <w:noProof/>
            <w:webHidden/>
          </w:rPr>
          <w:fldChar w:fldCharType="begin"/>
        </w:r>
        <w:r w:rsidR="008B3018">
          <w:rPr>
            <w:noProof/>
            <w:webHidden/>
          </w:rPr>
          <w:instrText xml:space="preserve"> PAGEREF _Toc524354078 \h </w:instrText>
        </w:r>
        <w:r w:rsidR="008B3018">
          <w:rPr>
            <w:noProof/>
            <w:webHidden/>
          </w:rPr>
        </w:r>
        <w:r w:rsidR="008B3018">
          <w:rPr>
            <w:noProof/>
            <w:webHidden/>
          </w:rPr>
          <w:fldChar w:fldCharType="separate"/>
        </w:r>
        <w:r w:rsidR="00A07703">
          <w:rPr>
            <w:noProof/>
            <w:webHidden/>
          </w:rPr>
          <w:t>5</w:t>
        </w:r>
        <w:r w:rsidR="008B3018">
          <w:rPr>
            <w:noProof/>
            <w:webHidden/>
          </w:rPr>
          <w:fldChar w:fldCharType="end"/>
        </w:r>
      </w:hyperlink>
    </w:p>
    <w:p w14:paraId="65B9B5FF" w14:textId="6CCD20FB" w:rsidR="008B3018" w:rsidRDefault="00CA5735">
      <w:pPr>
        <w:pStyle w:val="TOC1"/>
        <w:rPr>
          <w:rFonts w:asciiTheme="minorHAnsi" w:eastAsiaTheme="minorEastAsia" w:hAnsiTheme="minorHAnsi" w:cstheme="minorBidi"/>
          <w:noProof/>
          <w:sz w:val="22"/>
          <w:szCs w:val="22"/>
        </w:rPr>
      </w:pPr>
      <w:hyperlink w:anchor="_Toc524354079" w:history="1">
        <w:r w:rsidR="008B3018" w:rsidRPr="000D3F05">
          <w:rPr>
            <w:rStyle w:val="Hyperlink"/>
            <w:noProof/>
          </w:rPr>
          <w:t>Organisational procurement profiles</w:t>
        </w:r>
        <w:r w:rsidR="008B3018">
          <w:rPr>
            <w:noProof/>
            <w:webHidden/>
          </w:rPr>
          <w:tab/>
        </w:r>
        <w:r w:rsidR="008B3018">
          <w:rPr>
            <w:noProof/>
            <w:webHidden/>
          </w:rPr>
          <w:fldChar w:fldCharType="begin"/>
        </w:r>
        <w:r w:rsidR="008B3018">
          <w:rPr>
            <w:noProof/>
            <w:webHidden/>
          </w:rPr>
          <w:instrText xml:space="preserve"> PAGEREF _Toc524354079 \h </w:instrText>
        </w:r>
        <w:r w:rsidR="008B3018">
          <w:rPr>
            <w:noProof/>
            <w:webHidden/>
          </w:rPr>
        </w:r>
        <w:r w:rsidR="008B3018">
          <w:rPr>
            <w:noProof/>
            <w:webHidden/>
          </w:rPr>
          <w:fldChar w:fldCharType="separate"/>
        </w:r>
        <w:r w:rsidR="00A07703">
          <w:rPr>
            <w:noProof/>
            <w:webHidden/>
          </w:rPr>
          <w:t>5</w:t>
        </w:r>
        <w:r w:rsidR="008B3018">
          <w:rPr>
            <w:noProof/>
            <w:webHidden/>
          </w:rPr>
          <w:fldChar w:fldCharType="end"/>
        </w:r>
      </w:hyperlink>
    </w:p>
    <w:p w14:paraId="2087E4CF" w14:textId="3D5E1201" w:rsidR="008B3018" w:rsidRDefault="00CA5735">
      <w:pPr>
        <w:pStyle w:val="TOC2"/>
        <w:tabs>
          <w:tab w:val="right" w:leader="dot" w:pos="8290"/>
        </w:tabs>
        <w:rPr>
          <w:rFonts w:asciiTheme="minorHAnsi" w:eastAsiaTheme="minorEastAsia" w:hAnsiTheme="minorHAnsi" w:cstheme="minorBidi"/>
          <w:noProof/>
          <w:sz w:val="22"/>
          <w:szCs w:val="22"/>
        </w:rPr>
      </w:pPr>
      <w:hyperlink w:anchor="_Toc524354080" w:history="1">
        <w:r w:rsidR="008B3018" w:rsidRPr="000D3F05">
          <w:rPr>
            <w:rStyle w:val="Hyperlink"/>
            <w:noProof/>
          </w:rPr>
          <w:t>Performance measures methodology</w:t>
        </w:r>
        <w:r w:rsidR="008B3018">
          <w:rPr>
            <w:noProof/>
            <w:webHidden/>
          </w:rPr>
          <w:tab/>
        </w:r>
        <w:r w:rsidR="008B3018">
          <w:rPr>
            <w:noProof/>
            <w:webHidden/>
          </w:rPr>
          <w:fldChar w:fldCharType="begin"/>
        </w:r>
        <w:r w:rsidR="008B3018">
          <w:rPr>
            <w:noProof/>
            <w:webHidden/>
          </w:rPr>
          <w:instrText xml:space="preserve"> PAGEREF _Toc524354080 \h </w:instrText>
        </w:r>
        <w:r w:rsidR="008B3018">
          <w:rPr>
            <w:noProof/>
            <w:webHidden/>
          </w:rPr>
        </w:r>
        <w:r w:rsidR="008B3018">
          <w:rPr>
            <w:noProof/>
            <w:webHidden/>
          </w:rPr>
          <w:fldChar w:fldCharType="separate"/>
        </w:r>
        <w:r w:rsidR="00A07703">
          <w:rPr>
            <w:noProof/>
            <w:webHidden/>
          </w:rPr>
          <w:t>5</w:t>
        </w:r>
        <w:r w:rsidR="008B3018">
          <w:rPr>
            <w:noProof/>
            <w:webHidden/>
          </w:rPr>
          <w:fldChar w:fldCharType="end"/>
        </w:r>
      </w:hyperlink>
    </w:p>
    <w:p w14:paraId="1861A5A1" w14:textId="6E5B0E65" w:rsidR="008B3018" w:rsidRDefault="00CA5735">
      <w:pPr>
        <w:pStyle w:val="TOC2"/>
        <w:tabs>
          <w:tab w:val="right" w:leader="dot" w:pos="8290"/>
        </w:tabs>
        <w:rPr>
          <w:rFonts w:asciiTheme="minorHAnsi" w:eastAsiaTheme="minorEastAsia" w:hAnsiTheme="minorHAnsi" w:cstheme="minorBidi"/>
          <w:noProof/>
          <w:sz w:val="22"/>
          <w:szCs w:val="22"/>
        </w:rPr>
      </w:pPr>
      <w:hyperlink w:anchor="_Toc524354081" w:history="1">
        <w:r w:rsidR="008B3018" w:rsidRPr="000D3F05">
          <w:rPr>
            <w:rStyle w:val="Hyperlink"/>
            <w:noProof/>
          </w:rPr>
          <w:t>Department of Economic Development, Jobs, Transport and Resources</w:t>
        </w:r>
        <w:r w:rsidR="008B3018">
          <w:rPr>
            <w:noProof/>
            <w:webHidden/>
          </w:rPr>
          <w:tab/>
        </w:r>
        <w:r w:rsidR="008B3018">
          <w:rPr>
            <w:noProof/>
            <w:webHidden/>
          </w:rPr>
          <w:fldChar w:fldCharType="begin"/>
        </w:r>
        <w:r w:rsidR="008B3018">
          <w:rPr>
            <w:noProof/>
            <w:webHidden/>
          </w:rPr>
          <w:instrText xml:space="preserve"> PAGEREF _Toc524354081 \h </w:instrText>
        </w:r>
        <w:r w:rsidR="008B3018">
          <w:rPr>
            <w:noProof/>
            <w:webHidden/>
          </w:rPr>
        </w:r>
        <w:r w:rsidR="008B3018">
          <w:rPr>
            <w:noProof/>
            <w:webHidden/>
          </w:rPr>
          <w:fldChar w:fldCharType="separate"/>
        </w:r>
        <w:r w:rsidR="00A07703">
          <w:rPr>
            <w:noProof/>
            <w:webHidden/>
          </w:rPr>
          <w:t>5</w:t>
        </w:r>
        <w:r w:rsidR="008B3018">
          <w:rPr>
            <w:noProof/>
            <w:webHidden/>
          </w:rPr>
          <w:fldChar w:fldCharType="end"/>
        </w:r>
      </w:hyperlink>
    </w:p>
    <w:p w14:paraId="751BCF73" w14:textId="6FC0B81C" w:rsidR="008B3018" w:rsidRDefault="00CA5735">
      <w:pPr>
        <w:pStyle w:val="TOC2"/>
        <w:tabs>
          <w:tab w:val="right" w:leader="dot" w:pos="8290"/>
        </w:tabs>
        <w:rPr>
          <w:rFonts w:asciiTheme="minorHAnsi" w:eastAsiaTheme="minorEastAsia" w:hAnsiTheme="minorHAnsi" w:cstheme="minorBidi"/>
          <w:noProof/>
          <w:sz w:val="22"/>
          <w:szCs w:val="22"/>
        </w:rPr>
      </w:pPr>
      <w:hyperlink w:anchor="_Toc524354082" w:history="1">
        <w:r w:rsidR="008B3018" w:rsidRPr="000D3F05">
          <w:rPr>
            <w:rStyle w:val="Hyperlink"/>
            <w:noProof/>
          </w:rPr>
          <w:t>Department of Education and Training</w:t>
        </w:r>
        <w:r w:rsidR="008B3018">
          <w:rPr>
            <w:noProof/>
            <w:webHidden/>
          </w:rPr>
          <w:tab/>
        </w:r>
        <w:r w:rsidR="008B3018">
          <w:rPr>
            <w:noProof/>
            <w:webHidden/>
          </w:rPr>
          <w:fldChar w:fldCharType="begin"/>
        </w:r>
        <w:r w:rsidR="008B3018">
          <w:rPr>
            <w:noProof/>
            <w:webHidden/>
          </w:rPr>
          <w:instrText xml:space="preserve"> PAGEREF _Toc524354082 \h </w:instrText>
        </w:r>
        <w:r w:rsidR="008B3018">
          <w:rPr>
            <w:noProof/>
            <w:webHidden/>
          </w:rPr>
        </w:r>
        <w:r w:rsidR="008B3018">
          <w:rPr>
            <w:noProof/>
            <w:webHidden/>
          </w:rPr>
          <w:fldChar w:fldCharType="separate"/>
        </w:r>
        <w:r w:rsidR="00A07703">
          <w:rPr>
            <w:noProof/>
            <w:webHidden/>
          </w:rPr>
          <w:t>5</w:t>
        </w:r>
        <w:r w:rsidR="008B3018">
          <w:rPr>
            <w:noProof/>
            <w:webHidden/>
          </w:rPr>
          <w:fldChar w:fldCharType="end"/>
        </w:r>
      </w:hyperlink>
    </w:p>
    <w:p w14:paraId="46F2774C" w14:textId="492E9662" w:rsidR="008B3018" w:rsidRDefault="00CA5735">
      <w:pPr>
        <w:pStyle w:val="TOC2"/>
        <w:tabs>
          <w:tab w:val="right" w:leader="dot" w:pos="8290"/>
        </w:tabs>
        <w:rPr>
          <w:rFonts w:asciiTheme="minorHAnsi" w:eastAsiaTheme="minorEastAsia" w:hAnsiTheme="minorHAnsi" w:cstheme="minorBidi"/>
          <w:noProof/>
          <w:sz w:val="22"/>
          <w:szCs w:val="22"/>
        </w:rPr>
      </w:pPr>
      <w:hyperlink w:anchor="_Toc524354083" w:history="1">
        <w:r w:rsidR="008B3018" w:rsidRPr="000D3F05">
          <w:rPr>
            <w:rStyle w:val="Hyperlink"/>
            <w:noProof/>
          </w:rPr>
          <w:t>Department of Environment, Land, Water and Planning</w:t>
        </w:r>
        <w:r w:rsidR="008B3018">
          <w:rPr>
            <w:noProof/>
            <w:webHidden/>
          </w:rPr>
          <w:tab/>
        </w:r>
        <w:r w:rsidR="008B3018">
          <w:rPr>
            <w:noProof/>
            <w:webHidden/>
          </w:rPr>
          <w:fldChar w:fldCharType="begin"/>
        </w:r>
        <w:r w:rsidR="008B3018">
          <w:rPr>
            <w:noProof/>
            <w:webHidden/>
          </w:rPr>
          <w:instrText xml:space="preserve"> PAGEREF _Toc524354083 \h </w:instrText>
        </w:r>
        <w:r w:rsidR="008B3018">
          <w:rPr>
            <w:noProof/>
            <w:webHidden/>
          </w:rPr>
        </w:r>
        <w:r w:rsidR="008B3018">
          <w:rPr>
            <w:noProof/>
            <w:webHidden/>
          </w:rPr>
          <w:fldChar w:fldCharType="separate"/>
        </w:r>
        <w:r w:rsidR="00A07703">
          <w:rPr>
            <w:noProof/>
            <w:webHidden/>
          </w:rPr>
          <w:t>5</w:t>
        </w:r>
        <w:r w:rsidR="008B3018">
          <w:rPr>
            <w:noProof/>
            <w:webHidden/>
          </w:rPr>
          <w:fldChar w:fldCharType="end"/>
        </w:r>
      </w:hyperlink>
    </w:p>
    <w:p w14:paraId="5ED776A6" w14:textId="4CE08194" w:rsidR="008B3018" w:rsidRDefault="00CA5735">
      <w:pPr>
        <w:pStyle w:val="TOC2"/>
        <w:tabs>
          <w:tab w:val="right" w:leader="dot" w:pos="8290"/>
        </w:tabs>
        <w:rPr>
          <w:rFonts w:asciiTheme="minorHAnsi" w:eastAsiaTheme="minorEastAsia" w:hAnsiTheme="minorHAnsi" w:cstheme="minorBidi"/>
          <w:noProof/>
          <w:sz w:val="22"/>
          <w:szCs w:val="22"/>
        </w:rPr>
      </w:pPr>
      <w:hyperlink w:anchor="_Toc524354084" w:history="1">
        <w:r w:rsidR="008B3018" w:rsidRPr="000D3F05">
          <w:rPr>
            <w:rStyle w:val="Hyperlink"/>
            <w:noProof/>
          </w:rPr>
          <w:t>Department of Health and Human Services</w:t>
        </w:r>
        <w:r w:rsidR="008B3018">
          <w:rPr>
            <w:noProof/>
            <w:webHidden/>
          </w:rPr>
          <w:tab/>
        </w:r>
        <w:r w:rsidR="008B3018">
          <w:rPr>
            <w:noProof/>
            <w:webHidden/>
          </w:rPr>
          <w:fldChar w:fldCharType="begin"/>
        </w:r>
        <w:r w:rsidR="008B3018">
          <w:rPr>
            <w:noProof/>
            <w:webHidden/>
          </w:rPr>
          <w:instrText xml:space="preserve"> PAGEREF _Toc524354084 \h </w:instrText>
        </w:r>
        <w:r w:rsidR="008B3018">
          <w:rPr>
            <w:noProof/>
            <w:webHidden/>
          </w:rPr>
        </w:r>
        <w:r w:rsidR="008B3018">
          <w:rPr>
            <w:noProof/>
            <w:webHidden/>
          </w:rPr>
          <w:fldChar w:fldCharType="separate"/>
        </w:r>
        <w:r w:rsidR="00A07703">
          <w:rPr>
            <w:noProof/>
            <w:webHidden/>
          </w:rPr>
          <w:t>5</w:t>
        </w:r>
        <w:r w:rsidR="008B3018">
          <w:rPr>
            <w:noProof/>
            <w:webHidden/>
          </w:rPr>
          <w:fldChar w:fldCharType="end"/>
        </w:r>
      </w:hyperlink>
    </w:p>
    <w:p w14:paraId="0AEFA88E" w14:textId="053BB68B" w:rsidR="008B3018" w:rsidRDefault="00CA5735">
      <w:pPr>
        <w:pStyle w:val="TOC2"/>
        <w:tabs>
          <w:tab w:val="right" w:leader="dot" w:pos="8290"/>
        </w:tabs>
        <w:rPr>
          <w:rFonts w:asciiTheme="minorHAnsi" w:eastAsiaTheme="minorEastAsia" w:hAnsiTheme="minorHAnsi" w:cstheme="minorBidi"/>
          <w:noProof/>
          <w:sz w:val="22"/>
          <w:szCs w:val="22"/>
        </w:rPr>
      </w:pPr>
      <w:hyperlink w:anchor="_Toc524354085" w:history="1">
        <w:r w:rsidR="008B3018" w:rsidRPr="000D3F05">
          <w:rPr>
            <w:rStyle w:val="Hyperlink"/>
            <w:noProof/>
          </w:rPr>
          <w:t>Department of Justice and Regulation</w:t>
        </w:r>
        <w:r w:rsidR="008B3018">
          <w:rPr>
            <w:noProof/>
            <w:webHidden/>
          </w:rPr>
          <w:tab/>
        </w:r>
        <w:r w:rsidR="008B3018">
          <w:rPr>
            <w:noProof/>
            <w:webHidden/>
          </w:rPr>
          <w:fldChar w:fldCharType="begin"/>
        </w:r>
        <w:r w:rsidR="008B3018">
          <w:rPr>
            <w:noProof/>
            <w:webHidden/>
          </w:rPr>
          <w:instrText xml:space="preserve"> PAGEREF _Toc524354085 \h </w:instrText>
        </w:r>
        <w:r w:rsidR="008B3018">
          <w:rPr>
            <w:noProof/>
            <w:webHidden/>
          </w:rPr>
        </w:r>
        <w:r w:rsidR="008B3018">
          <w:rPr>
            <w:noProof/>
            <w:webHidden/>
          </w:rPr>
          <w:fldChar w:fldCharType="separate"/>
        </w:r>
        <w:r w:rsidR="00A07703">
          <w:rPr>
            <w:noProof/>
            <w:webHidden/>
          </w:rPr>
          <w:t>5</w:t>
        </w:r>
        <w:r w:rsidR="008B3018">
          <w:rPr>
            <w:noProof/>
            <w:webHidden/>
          </w:rPr>
          <w:fldChar w:fldCharType="end"/>
        </w:r>
      </w:hyperlink>
    </w:p>
    <w:p w14:paraId="272218CB" w14:textId="6C81A96D" w:rsidR="008B3018" w:rsidRDefault="00CA5735">
      <w:pPr>
        <w:pStyle w:val="TOC2"/>
        <w:tabs>
          <w:tab w:val="right" w:leader="dot" w:pos="8290"/>
        </w:tabs>
        <w:rPr>
          <w:rFonts w:asciiTheme="minorHAnsi" w:eastAsiaTheme="minorEastAsia" w:hAnsiTheme="minorHAnsi" w:cstheme="minorBidi"/>
          <w:noProof/>
          <w:sz w:val="22"/>
          <w:szCs w:val="22"/>
        </w:rPr>
      </w:pPr>
      <w:hyperlink w:anchor="_Toc524354086" w:history="1">
        <w:r w:rsidR="008B3018" w:rsidRPr="000D3F05">
          <w:rPr>
            <w:rStyle w:val="Hyperlink"/>
            <w:noProof/>
          </w:rPr>
          <w:t>Department of Premier and Cabinet</w:t>
        </w:r>
        <w:r w:rsidR="008B3018">
          <w:rPr>
            <w:noProof/>
            <w:webHidden/>
          </w:rPr>
          <w:tab/>
        </w:r>
        <w:r w:rsidR="008B3018">
          <w:rPr>
            <w:noProof/>
            <w:webHidden/>
          </w:rPr>
          <w:fldChar w:fldCharType="begin"/>
        </w:r>
        <w:r w:rsidR="008B3018">
          <w:rPr>
            <w:noProof/>
            <w:webHidden/>
          </w:rPr>
          <w:instrText xml:space="preserve"> PAGEREF _Toc524354086 \h </w:instrText>
        </w:r>
        <w:r w:rsidR="008B3018">
          <w:rPr>
            <w:noProof/>
            <w:webHidden/>
          </w:rPr>
        </w:r>
        <w:r w:rsidR="008B3018">
          <w:rPr>
            <w:noProof/>
            <w:webHidden/>
          </w:rPr>
          <w:fldChar w:fldCharType="separate"/>
        </w:r>
        <w:r w:rsidR="00A07703">
          <w:rPr>
            <w:noProof/>
            <w:webHidden/>
          </w:rPr>
          <w:t>5</w:t>
        </w:r>
        <w:r w:rsidR="008B3018">
          <w:rPr>
            <w:noProof/>
            <w:webHidden/>
          </w:rPr>
          <w:fldChar w:fldCharType="end"/>
        </w:r>
      </w:hyperlink>
    </w:p>
    <w:p w14:paraId="621DE8FA" w14:textId="519F80AC" w:rsidR="008B3018" w:rsidRDefault="00CA5735">
      <w:pPr>
        <w:pStyle w:val="TOC2"/>
        <w:tabs>
          <w:tab w:val="right" w:leader="dot" w:pos="8290"/>
        </w:tabs>
        <w:rPr>
          <w:rFonts w:asciiTheme="minorHAnsi" w:eastAsiaTheme="minorEastAsia" w:hAnsiTheme="minorHAnsi" w:cstheme="minorBidi"/>
          <w:noProof/>
          <w:sz w:val="22"/>
          <w:szCs w:val="22"/>
        </w:rPr>
      </w:pPr>
      <w:hyperlink w:anchor="_Toc524354087" w:history="1">
        <w:r w:rsidR="008B3018" w:rsidRPr="000D3F05">
          <w:rPr>
            <w:rStyle w:val="Hyperlink"/>
            <w:noProof/>
          </w:rPr>
          <w:t>Department of Treasury and Finance</w:t>
        </w:r>
        <w:r w:rsidR="008B3018">
          <w:rPr>
            <w:noProof/>
            <w:webHidden/>
          </w:rPr>
          <w:tab/>
        </w:r>
        <w:r w:rsidR="008B3018">
          <w:rPr>
            <w:noProof/>
            <w:webHidden/>
          </w:rPr>
          <w:fldChar w:fldCharType="begin"/>
        </w:r>
        <w:r w:rsidR="008B3018">
          <w:rPr>
            <w:noProof/>
            <w:webHidden/>
          </w:rPr>
          <w:instrText xml:space="preserve"> PAGEREF _Toc524354087 \h </w:instrText>
        </w:r>
        <w:r w:rsidR="008B3018">
          <w:rPr>
            <w:noProof/>
            <w:webHidden/>
          </w:rPr>
        </w:r>
        <w:r w:rsidR="008B3018">
          <w:rPr>
            <w:noProof/>
            <w:webHidden/>
          </w:rPr>
          <w:fldChar w:fldCharType="separate"/>
        </w:r>
        <w:r w:rsidR="00A07703">
          <w:rPr>
            <w:noProof/>
            <w:webHidden/>
          </w:rPr>
          <w:t>5</w:t>
        </w:r>
        <w:r w:rsidR="008B3018">
          <w:rPr>
            <w:noProof/>
            <w:webHidden/>
          </w:rPr>
          <w:fldChar w:fldCharType="end"/>
        </w:r>
      </w:hyperlink>
    </w:p>
    <w:p w14:paraId="307FB8BB" w14:textId="0A2A1283" w:rsidR="008B3018" w:rsidRDefault="00CA5735">
      <w:pPr>
        <w:pStyle w:val="TOC2"/>
        <w:tabs>
          <w:tab w:val="right" w:leader="dot" w:pos="8290"/>
        </w:tabs>
        <w:rPr>
          <w:rFonts w:asciiTheme="minorHAnsi" w:eastAsiaTheme="minorEastAsia" w:hAnsiTheme="minorHAnsi" w:cstheme="minorBidi"/>
          <w:noProof/>
          <w:sz w:val="22"/>
          <w:szCs w:val="22"/>
        </w:rPr>
      </w:pPr>
      <w:hyperlink w:anchor="_Toc524354088" w:history="1">
        <w:r w:rsidR="008B3018" w:rsidRPr="000D3F05">
          <w:rPr>
            <w:rStyle w:val="Hyperlink"/>
            <w:rFonts w:ascii="Calibri" w:hAnsi="Calibri" w:cs="Calibri"/>
            <w:noProof/>
            <w:kern w:val="28"/>
          </w:rPr>
          <w:t>CenITex</w:t>
        </w:r>
        <w:r w:rsidR="008B3018">
          <w:rPr>
            <w:noProof/>
            <w:webHidden/>
          </w:rPr>
          <w:tab/>
        </w:r>
        <w:r w:rsidR="008B3018">
          <w:rPr>
            <w:noProof/>
            <w:webHidden/>
          </w:rPr>
          <w:fldChar w:fldCharType="begin"/>
        </w:r>
        <w:r w:rsidR="008B3018">
          <w:rPr>
            <w:noProof/>
            <w:webHidden/>
          </w:rPr>
          <w:instrText xml:space="preserve"> PAGEREF _Toc524354088 \h </w:instrText>
        </w:r>
        <w:r w:rsidR="008B3018">
          <w:rPr>
            <w:noProof/>
            <w:webHidden/>
          </w:rPr>
        </w:r>
        <w:r w:rsidR="008B3018">
          <w:rPr>
            <w:noProof/>
            <w:webHidden/>
          </w:rPr>
          <w:fldChar w:fldCharType="separate"/>
        </w:r>
        <w:r w:rsidR="00A07703">
          <w:rPr>
            <w:noProof/>
            <w:webHidden/>
          </w:rPr>
          <w:t>5</w:t>
        </w:r>
        <w:r w:rsidR="008B3018">
          <w:rPr>
            <w:noProof/>
            <w:webHidden/>
          </w:rPr>
          <w:fldChar w:fldCharType="end"/>
        </w:r>
      </w:hyperlink>
    </w:p>
    <w:p w14:paraId="2EDEA5B7" w14:textId="39DE2AF0" w:rsidR="008B3018" w:rsidRDefault="00CA5735">
      <w:pPr>
        <w:pStyle w:val="TOC2"/>
        <w:tabs>
          <w:tab w:val="right" w:leader="dot" w:pos="8290"/>
        </w:tabs>
        <w:rPr>
          <w:rFonts w:asciiTheme="minorHAnsi" w:eastAsiaTheme="minorEastAsia" w:hAnsiTheme="minorHAnsi" w:cstheme="minorBidi"/>
          <w:noProof/>
          <w:sz w:val="22"/>
          <w:szCs w:val="22"/>
        </w:rPr>
      </w:pPr>
      <w:hyperlink w:anchor="_Toc524354089" w:history="1">
        <w:r w:rsidR="008B3018" w:rsidRPr="000D3F05">
          <w:rPr>
            <w:rStyle w:val="Hyperlink"/>
            <w:noProof/>
          </w:rPr>
          <w:t>Public Transport Victoria</w:t>
        </w:r>
        <w:r w:rsidR="008B3018">
          <w:rPr>
            <w:noProof/>
            <w:webHidden/>
          </w:rPr>
          <w:tab/>
        </w:r>
        <w:r w:rsidR="008B3018">
          <w:rPr>
            <w:noProof/>
            <w:webHidden/>
          </w:rPr>
          <w:fldChar w:fldCharType="begin"/>
        </w:r>
        <w:r w:rsidR="008B3018">
          <w:rPr>
            <w:noProof/>
            <w:webHidden/>
          </w:rPr>
          <w:instrText xml:space="preserve"> PAGEREF _Toc524354089 \h </w:instrText>
        </w:r>
        <w:r w:rsidR="008B3018">
          <w:rPr>
            <w:noProof/>
            <w:webHidden/>
          </w:rPr>
        </w:r>
        <w:r w:rsidR="008B3018">
          <w:rPr>
            <w:noProof/>
            <w:webHidden/>
          </w:rPr>
          <w:fldChar w:fldCharType="separate"/>
        </w:r>
        <w:r w:rsidR="00A07703">
          <w:rPr>
            <w:noProof/>
            <w:webHidden/>
          </w:rPr>
          <w:t>5</w:t>
        </w:r>
        <w:r w:rsidR="008B3018">
          <w:rPr>
            <w:noProof/>
            <w:webHidden/>
          </w:rPr>
          <w:fldChar w:fldCharType="end"/>
        </w:r>
      </w:hyperlink>
    </w:p>
    <w:p w14:paraId="2E8837C5" w14:textId="019D6F1F" w:rsidR="008B3018" w:rsidRDefault="00CA5735">
      <w:pPr>
        <w:pStyle w:val="TOC2"/>
        <w:tabs>
          <w:tab w:val="right" w:leader="dot" w:pos="8290"/>
        </w:tabs>
        <w:rPr>
          <w:rFonts w:asciiTheme="minorHAnsi" w:eastAsiaTheme="minorEastAsia" w:hAnsiTheme="minorHAnsi" w:cstheme="minorBidi"/>
          <w:noProof/>
          <w:sz w:val="22"/>
          <w:szCs w:val="22"/>
        </w:rPr>
      </w:pPr>
      <w:hyperlink w:anchor="_Toc524354090" w:history="1">
        <w:r w:rsidR="008B3018" w:rsidRPr="000D3F05">
          <w:rPr>
            <w:rStyle w:val="Hyperlink"/>
            <w:noProof/>
          </w:rPr>
          <w:t>VicRoads</w:t>
        </w:r>
        <w:r w:rsidR="008B3018">
          <w:rPr>
            <w:noProof/>
            <w:webHidden/>
          </w:rPr>
          <w:tab/>
        </w:r>
        <w:r w:rsidR="008B3018">
          <w:rPr>
            <w:noProof/>
            <w:webHidden/>
          </w:rPr>
          <w:fldChar w:fldCharType="begin"/>
        </w:r>
        <w:r w:rsidR="008B3018">
          <w:rPr>
            <w:noProof/>
            <w:webHidden/>
          </w:rPr>
          <w:instrText xml:space="preserve"> PAGEREF _Toc524354090 \h </w:instrText>
        </w:r>
        <w:r w:rsidR="008B3018">
          <w:rPr>
            <w:noProof/>
            <w:webHidden/>
          </w:rPr>
        </w:r>
        <w:r w:rsidR="008B3018">
          <w:rPr>
            <w:noProof/>
            <w:webHidden/>
          </w:rPr>
          <w:fldChar w:fldCharType="separate"/>
        </w:r>
        <w:r w:rsidR="00A07703">
          <w:rPr>
            <w:noProof/>
            <w:webHidden/>
          </w:rPr>
          <w:t>5</w:t>
        </w:r>
        <w:r w:rsidR="008B3018">
          <w:rPr>
            <w:noProof/>
            <w:webHidden/>
          </w:rPr>
          <w:fldChar w:fldCharType="end"/>
        </w:r>
      </w:hyperlink>
    </w:p>
    <w:p w14:paraId="3AD055B0" w14:textId="52E4910A" w:rsidR="008B3018" w:rsidRDefault="00CA5735">
      <w:pPr>
        <w:pStyle w:val="TOC2"/>
        <w:tabs>
          <w:tab w:val="right" w:leader="dot" w:pos="8290"/>
        </w:tabs>
        <w:rPr>
          <w:rFonts w:asciiTheme="minorHAnsi" w:eastAsiaTheme="minorEastAsia" w:hAnsiTheme="minorHAnsi" w:cstheme="minorBidi"/>
          <w:noProof/>
          <w:sz w:val="22"/>
          <w:szCs w:val="22"/>
        </w:rPr>
      </w:pPr>
      <w:hyperlink w:anchor="_Toc524354091" w:history="1">
        <w:r w:rsidR="008B3018" w:rsidRPr="000D3F05">
          <w:rPr>
            <w:rStyle w:val="Hyperlink"/>
            <w:noProof/>
          </w:rPr>
          <w:t>Victoria Police</w:t>
        </w:r>
        <w:r w:rsidR="008B3018">
          <w:rPr>
            <w:noProof/>
            <w:webHidden/>
          </w:rPr>
          <w:tab/>
        </w:r>
        <w:r w:rsidR="008B3018">
          <w:rPr>
            <w:noProof/>
            <w:webHidden/>
          </w:rPr>
          <w:fldChar w:fldCharType="begin"/>
        </w:r>
        <w:r w:rsidR="008B3018">
          <w:rPr>
            <w:noProof/>
            <w:webHidden/>
          </w:rPr>
          <w:instrText xml:space="preserve"> PAGEREF _Toc524354091 \h </w:instrText>
        </w:r>
        <w:r w:rsidR="008B3018">
          <w:rPr>
            <w:noProof/>
            <w:webHidden/>
          </w:rPr>
        </w:r>
        <w:r w:rsidR="008B3018">
          <w:rPr>
            <w:noProof/>
            <w:webHidden/>
          </w:rPr>
          <w:fldChar w:fldCharType="separate"/>
        </w:r>
        <w:r w:rsidR="00A07703">
          <w:rPr>
            <w:noProof/>
            <w:webHidden/>
          </w:rPr>
          <w:t>5</w:t>
        </w:r>
        <w:r w:rsidR="008B3018">
          <w:rPr>
            <w:noProof/>
            <w:webHidden/>
          </w:rPr>
          <w:fldChar w:fldCharType="end"/>
        </w:r>
      </w:hyperlink>
    </w:p>
    <w:p w14:paraId="65740199" w14:textId="17EF44FD" w:rsidR="008B3018" w:rsidRDefault="00CA5735">
      <w:pPr>
        <w:pStyle w:val="TOC1"/>
        <w:rPr>
          <w:rFonts w:asciiTheme="minorHAnsi" w:eastAsiaTheme="minorEastAsia" w:hAnsiTheme="minorHAnsi" w:cstheme="minorBidi"/>
          <w:noProof/>
          <w:sz w:val="22"/>
          <w:szCs w:val="22"/>
        </w:rPr>
      </w:pPr>
      <w:hyperlink w:anchor="_Toc524354092" w:history="1">
        <w:r w:rsidR="008B3018" w:rsidRPr="000D3F05">
          <w:rPr>
            <w:rStyle w:val="Hyperlink"/>
            <w:noProof/>
          </w:rPr>
          <w:t>Appendix</w:t>
        </w:r>
        <w:r w:rsidR="008B3018">
          <w:rPr>
            <w:noProof/>
            <w:webHidden/>
          </w:rPr>
          <w:tab/>
        </w:r>
        <w:r w:rsidR="008B3018">
          <w:rPr>
            <w:noProof/>
            <w:webHidden/>
          </w:rPr>
          <w:fldChar w:fldCharType="begin"/>
        </w:r>
        <w:r w:rsidR="008B3018">
          <w:rPr>
            <w:noProof/>
            <w:webHidden/>
          </w:rPr>
          <w:instrText xml:space="preserve"> PAGEREF _Toc524354092 \h </w:instrText>
        </w:r>
        <w:r w:rsidR="008B3018">
          <w:rPr>
            <w:noProof/>
            <w:webHidden/>
          </w:rPr>
        </w:r>
        <w:r w:rsidR="008B3018">
          <w:rPr>
            <w:noProof/>
            <w:webHidden/>
          </w:rPr>
          <w:fldChar w:fldCharType="separate"/>
        </w:r>
        <w:r w:rsidR="00A07703">
          <w:rPr>
            <w:noProof/>
            <w:webHidden/>
          </w:rPr>
          <w:t>5</w:t>
        </w:r>
        <w:r w:rsidR="008B3018">
          <w:rPr>
            <w:noProof/>
            <w:webHidden/>
          </w:rPr>
          <w:fldChar w:fldCharType="end"/>
        </w:r>
      </w:hyperlink>
    </w:p>
    <w:p w14:paraId="2E6E416B" w14:textId="2BA956F7" w:rsidR="008B3018" w:rsidRDefault="00CA5735">
      <w:pPr>
        <w:pStyle w:val="TOC2"/>
        <w:tabs>
          <w:tab w:val="right" w:leader="dot" w:pos="8290"/>
        </w:tabs>
        <w:rPr>
          <w:rFonts w:asciiTheme="minorHAnsi" w:eastAsiaTheme="minorEastAsia" w:hAnsiTheme="minorHAnsi" w:cstheme="minorBidi"/>
          <w:noProof/>
          <w:sz w:val="22"/>
          <w:szCs w:val="22"/>
        </w:rPr>
      </w:pPr>
      <w:hyperlink w:anchor="_Toc524354093" w:history="1">
        <w:r w:rsidR="008B3018" w:rsidRPr="000D3F05">
          <w:rPr>
            <w:rStyle w:val="Hyperlink"/>
            <w:noProof/>
          </w:rPr>
          <w:t>SEPC data breakdown</w:t>
        </w:r>
        <w:r w:rsidR="008B3018">
          <w:rPr>
            <w:noProof/>
            <w:webHidden/>
          </w:rPr>
          <w:tab/>
        </w:r>
        <w:r w:rsidR="008B3018">
          <w:rPr>
            <w:noProof/>
            <w:webHidden/>
          </w:rPr>
          <w:fldChar w:fldCharType="begin"/>
        </w:r>
        <w:r w:rsidR="008B3018">
          <w:rPr>
            <w:noProof/>
            <w:webHidden/>
          </w:rPr>
          <w:instrText xml:space="preserve"> PAGEREF _Toc524354093 \h </w:instrText>
        </w:r>
        <w:r w:rsidR="008B3018">
          <w:rPr>
            <w:noProof/>
            <w:webHidden/>
          </w:rPr>
        </w:r>
        <w:r w:rsidR="008B3018">
          <w:rPr>
            <w:noProof/>
            <w:webHidden/>
          </w:rPr>
          <w:fldChar w:fldCharType="separate"/>
        </w:r>
        <w:r w:rsidR="00A07703">
          <w:rPr>
            <w:noProof/>
            <w:webHidden/>
          </w:rPr>
          <w:t>5</w:t>
        </w:r>
        <w:r w:rsidR="008B3018">
          <w:rPr>
            <w:noProof/>
            <w:webHidden/>
          </w:rPr>
          <w:fldChar w:fldCharType="end"/>
        </w:r>
      </w:hyperlink>
    </w:p>
    <w:p w14:paraId="56D082DB" w14:textId="590D86E2" w:rsidR="008B3018" w:rsidRDefault="00CA5735">
      <w:pPr>
        <w:pStyle w:val="TOC1"/>
        <w:rPr>
          <w:rFonts w:asciiTheme="minorHAnsi" w:eastAsiaTheme="minorEastAsia" w:hAnsiTheme="minorHAnsi" w:cstheme="minorBidi"/>
          <w:noProof/>
          <w:sz w:val="22"/>
          <w:szCs w:val="22"/>
        </w:rPr>
      </w:pPr>
      <w:hyperlink w:anchor="_Toc524354094" w:history="1">
        <w:r w:rsidR="008B3018" w:rsidRPr="000D3F05">
          <w:rPr>
            <w:rStyle w:val="Hyperlink"/>
            <w:noProof/>
          </w:rPr>
          <w:t>Acronyms</w:t>
        </w:r>
        <w:r w:rsidR="008B3018">
          <w:rPr>
            <w:noProof/>
            <w:webHidden/>
          </w:rPr>
          <w:tab/>
        </w:r>
        <w:r w:rsidR="008B3018">
          <w:rPr>
            <w:noProof/>
            <w:webHidden/>
          </w:rPr>
          <w:fldChar w:fldCharType="begin"/>
        </w:r>
        <w:r w:rsidR="008B3018">
          <w:rPr>
            <w:noProof/>
            <w:webHidden/>
          </w:rPr>
          <w:instrText xml:space="preserve"> PAGEREF _Toc524354094 \h </w:instrText>
        </w:r>
        <w:r w:rsidR="008B3018">
          <w:rPr>
            <w:noProof/>
            <w:webHidden/>
          </w:rPr>
        </w:r>
        <w:r w:rsidR="008B3018">
          <w:rPr>
            <w:noProof/>
            <w:webHidden/>
          </w:rPr>
          <w:fldChar w:fldCharType="separate"/>
        </w:r>
        <w:r w:rsidR="00A07703">
          <w:rPr>
            <w:noProof/>
            <w:webHidden/>
          </w:rPr>
          <w:t>5</w:t>
        </w:r>
        <w:r w:rsidR="008B3018">
          <w:rPr>
            <w:noProof/>
            <w:webHidden/>
          </w:rPr>
          <w:fldChar w:fldCharType="end"/>
        </w:r>
      </w:hyperlink>
    </w:p>
    <w:p w14:paraId="3D3A510E" w14:textId="22F47891" w:rsidR="008E25F0" w:rsidRDefault="00A61178" w:rsidP="00E41631">
      <w:pPr>
        <w:pStyle w:val="Normal1"/>
      </w:pPr>
      <w:r>
        <w:rPr>
          <w:rFonts w:asciiTheme="majorHAnsi" w:hAnsiTheme="majorHAnsi" w:cs="Arial"/>
          <w:sz w:val="20"/>
          <w:szCs w:val="24"/>
        </w:rPr>
        <w:fldChar w:fldCharType="end"/>
      </w:r>
    </w:p>
    <w:p w14:paraId="366BC0EB" w14:textId="77777777" w:rsidR="008E25F0" w:rsidRDefault="008E25F0">
      <w:pPr>
        <w:rPr>
          <w:rFonts w:asciiTheme="majorHAnsi" w:hAnsiTheme="majorHAnsi" w:cs="Arial"/>
          <w:sz w:val="22"/>
          <w:szCs w:val="22"/>
        </w:rPr>
      </w:pPr>
      <w:r>
        <w:rPr>
          <w:rFonts w:asciiTheme="majorHAnsi" w:hAnsiTheme="majorHAnsi" w:cs="Arial"/>
        </w:rPr>
        <w:br w:type="page"/>
      </w:r>
    </w:p>
    <w:p w14:paraId="2231CCA1" w14:textId="441176F7" w:rsidR="00812C89" w:rsidRPr="00B45C4C" w:rsidRDefault="00812C89" w:rsidP="000C3B64">
      <w:pPr>
        <w:pStyle w:val="Sectionintro"/>
      </w:pPr>
      <w:r w:rsidRPr="00B45C4C">
        <w:lastRenderedPageBreak/>
        <w:t>Tables</w:t>
      </w:r>
      <w:bookmarkEnd w:id="2"/>
      <w:bookmarkEnd w:id="3"/>
    </w:p>
    <w:p w14:paraId="0C68A31D" w14:textId="25037976" w:rsidR="008B3018" w:rsidRDefault="002B07C2">
      <w:pPr>
        <w:pStyle w:val="TableofFigures"/>
        <w:tabs>
          <w:tab w:val="right" w:leader="dot" w:pos="8290"/>
        </w:tabs>
        <w:rPr>
          <w:rFonts w:asciiTheme="minorHAnsi" w:eastAsiaTheme="minorEastAsia" w:hAnsiTheme="minorHAnsi" w:cstheme="minorBidi"/>
          <w:noProof/>
          <w:sz w:val="22"/>
          <w:szCs w:val="22"/>
        </w:rPr>
      </w:pPr>
      <w:r w:rsidRPr="00CD6245">
        <w:rPr>
          <w:rFonts w:cs="Arial"/>
        </w:rPr>
        <w:fldChar w:fldCharType="begin"/>
      </w:r>
      <w:r w:rsidR="009F4D80" w:rsidRPr="00CD6245">
        <w:rPr>
          <w:rFonts w:cs="Arial"/>
        </w:rPr>
        <w:instrText xml:space="preserve"> TOC \h \z \c "Table" </w:instrText>
      </w:r>
      <w:r w:rsidRPr="00CD6245">
        <w:rPr>
          <w:rFonts w:cs="Arial"/>
        </w:rPr>
        <w:fldChar w:fldCharType="separate"/>
      </w:r>
      <w:hyperlink w:anchor="_Toc524353994" w:history="1">
        <w:r w:rsidR="008B3018" w:rsidRPr="006409C3">
          <w:rPr>
            <w:rStyle w:val="Hyperlink"/>
            <w:noProof/>
          </w:rPr>
          <w:t>Table 1: Summary of VGPB workstream projects and initiatives in 2017–18</w:t>
        </w:r>
        <w:r w:rsidR="008B3018">
          <w:rPr>
            <w:noProof/>
            <w:webHidden/>
          </w:rPr>
          <w:tab/>
        </w:r>
        <w:r w:rsidR="008B3018">
          <w:rPr>
            <w:noProof/>
            <w:webHidden/>
          </w:rPr>
          <w:fldChar w:fldCharType="begin"/>
        </w:r>
        <w:r w:rsidR="008B3018">
          <w:rPr>
            <w:noProof/>
            <w:webHidden/>
          </w:rPr>
          <w:instrText xml:space="preserve"> PAGEREF _Toc524353994 \h </w:instrText>
        </w:r>
        <w:r w:rsidR="008B3018">
          <w:rPr>
            <w:noProof/>
            <w:webHidden/>
          </w:rPr>
        </w:r>
        <w:r w:rsidR="008B3018">
          <w:rPr>
            <w:noProof/>
            <w:webHidden/>
          </w:rPr>
          <w:fldChar w:fldCharType="separate"/>
        </w:r>
        <w:r w:rsidR="00A07703">
          <w:rPr>
            <w:noProof/>
            <w:webHidden/>
          </w:rPr>
          <w:t>5</w:t>
        </w:r>
        <w:r w:rsidR="008B3018">
          <w:rPr>
            <w:noProof/>
            <w:webHidden/>
          </w:rPr>
          <w:fldChar w:fldCharType="end"/>
        </w:r>
      </w:hyperlink>
    </w:p>
    <w:p w14:paraId="254636E0" w14:textId="608A87F2" w:rsidR="008B3018" w:rsidRDefault="00CA5735">
      <w:pPr>
        <w:pStyle w:val="TableofFigures"/>
        <w:tabs>
          <w:tab w:val="right" w:leader="dot" w:pos="8290"/>
        </w:tabs>
        <w:rPr>
          <w:rFonts w:asciiTheme="minorHAnsi" w:eastAsiaTheme="minorEastAsia" w:hAnsiTheme="minorHAnsi" w:cstheme="minorBidi"/>
          <w:noProof/>
          <w:sz w:val="22"/>
          <w:szCs w:val="22"/>
        </w:rPr>
      </w:pPr>
      <w:hyperlink w:anchor="_Toc524353995" w:history="1">
        <w:r w:rsidR="008B3018" w:rsidRPr="006409C3">
          <w:rPr>
            <w:rStyle w:val="Hyperlink"/>
            <w:noProof/>
          </w:rPr>
          <w:t>Table 2: VGPB members at 30 June 2018</w:t>
        </w:r>
        <w:r w:rsidR="008B3018">
          <w:rPr>
            <w:noProof/>
            <w:webHidden/>
          </w:rPr>
          <w:tab/>
        </w:r>
        <w:r w:rsidR="008B3018">
          <w:rPr>
            <w:noProof/>
            <w:webHidden/>
          </w:rPr>
          <w:fldChar w:fldCharType="begin"/>
        </w:r>
        <w:r w:rsidR="008B3018">
          <w:rPr>
            <w:noProof/>
            <w:webHidden/>
          </w:rPr>
          <w:instrText xml:space="preserve"> PAGEREF _Toc524353995 \h </w:instrText>
        </w:r>
        <w:r w:rsidR="008B3018">
          <w:rPr>
            <w:noProof/>
            <w:webHidden/>
          </w:rPr>
        </w:r>
        <w:r w:rsidR="008B3018">
          <w:rPr>
            <w:noProof/>
            <w:webHidden/>
          </w:rPr>
          <w:fldChar w:fldCharType="separate"/>
        </w:r>
        <w:r w:rsidR="00A07703">
          <w:rPr>
            <w:noProof/>
            <w:webHidden/>
          </w:rPr>
          <w:t>5</w:t>
        </w:r>
        <w:r w:rsidR="008B3018">
          <w:rPr>
            <w:noProof/>
            <w:webHidden/>
          </w:rPr>
          <w:fldChar w:fldCharType="end"/>
        </w:r>
      </w:hyperlink>
    </w:p>
    <w:p w14:paraId="11B3F0B7" w14:textId="1658D0C4" w:rsidR="008B3018" w:rsidRDefault="00CA5735">
      <w:pPr>
        <w:pStyle w:val="TableofFigures"/>
        <w:tabs>
          <w:tab w:val="right" w:leader="dot" w:pos="8290"/>
        </w:tabs>
        <w:rPr>
          <w:rFonts w:asciiTheme="minorHAnsi" w:eastAsiaTheme="minorEastAsia" w:hAnsiTheme="minorHAnsi" w:cstheme="minorBidi"/>
          <w:noProof/>
          <w:sz w:val="22"/>
          <w:szCs w:val="22"/>
        </w:rPr>
      </w:pPr>
      <w:hyperlink w:anchor="_Toc524353996" w:history="1">
        <w:r w:rsidR="008B3018" w:rsidRPr="006409C3">
          <w:rPr>
            <w:rStyle w:val="Hyperlink"/>
            <w:noProof/>
          </w:rPr>
          <w:t>Table 3: Total number and value of contract approvals in 2017–18 by goods and services</w:t>
        </w:r>
        <w:r w:rsidR="008B3018">
          <w:rPr>
            <w:noProof/>
            <w:webHidden/>
          </w:rPr>
          <w:tab/>
        </w:r>
        <w:r w:rsidR="008B3018">
          <w:rPr>
            <w:noProof/>
            <w:webHidden/>
          </w:rPr>
          <w:fldChar w:fldCharType="begin"/>
        </w:r>
        <w:r w:rsidR="008B3018">
          <w:rPr>
            <w:noProof/>
            <w:webHidden/>
          </w:rPr>
          <w:instrText xml:space="preserve"> PAGEREF _Toc524353996 \h </w:instrText>
        </w:r>
        <w:r w:rsidR="008B3018">
          <w:rPr>
            <w:noProof/>
            <w:webHidden/>
          </w:rPr>
        </w:r>
        <w:r w:rsidR="008B3018">
          <w:rPr>
            <w:noProof/>
            <w:webHidden/>
          </w:rPr>
          <w:fldChar w:fldCharType="separate"/>
        </w:r>
        <w:r w:rsidR="00A07703">
          <w:rPr>
            <w:noProof/>
            <w:webHidden/>
          </w:rPr>
          <w:t>5</w:t>
        </w:r>
        <w:r w:rsidR="008B3018">
          <w:rPr>
            <w:noProof/>
            <w:webHidden/>
          </w:rPr>
          <w:fldChar w:fldCharType="end"/>
        </w:r>
      </w:hyperlink>
    </w:p>
    <w:p w14:paraId="3F265EF1" w14:textId="05164282" w:rsidR="008B3018" w:rsidRDefault="00CA5735">
      <w:pPr>
        <w:pStyle w:val="TableofFigures"/>
        <w:tabs>
          <w:tab w:val="right" w:leader="dot" w:pos="8290"/>
        </w:tabs>
        <w:rPr>
          <w:rFonts w:asciiTheme="minorHAnsi" w:eastAsiaTheme="minorEastAsia" w:hAnsiTheme="minorHAnsi" w:cstheme="minorBidi"/>
          <w:noProof/>
          <w:sz w:val="22"/>
          <w:szCs w:val="22"/>
        </w:rPr>
      </w:pPr>
      <w:hyperlink w:anchor="_Toc524353997" w:history="1">
        <w:r w:rsidR="008B3018" w:rsidRPr="006409C3">
          <w:rPr>
            <w:rStyle w:val="Hyperlink"/>
            <w:noProof/>
          </w:rPr>
          <w:t>Table 4: Trends in one-off supply, SEPC and SPC contract approvals from 2014–15 to 2017–18</w:t>
        </w:r>
        <w:r w:rsidR="008B3018">
          <w:rPr>
            <w:noProof/>
            <w:webHidden/>
          </w:rPr>
          <w:tab/>
        </w:r>
        <w:r w:rsidR="008B3018">
          <w:rPr>
            <w:noProof/>
            <w:webHidden/>
          </w:rPr>
          <w:fldChar w:fldCharType="begin"/>
        </w:r>
        <w:r w:rsidR="008B3018">
          <w:rPr>
            <w:noProof/>
            <w:webHidden/>
          </w:rPr>
          <w:instrText xml:space="preserve"> PAGEREF _Toc524353997 \h </w:instrText>
        </w:r>
        <w:r w:rsidR="008B3018">
          <w:rPr>
            <w:noProof/>
            <w:webHidden/>
          </w:rPr>
        </w:r>
        <w:r w:rsidR="008B3018">
          <w:rPr>
            <w:noProof/>
            <w:webHidden/>
          </w:rPr>
          <w:fldChar w:fldCharType="separate"/>
        </w:r>
        <w:r w:rsidR="00A07703">
          <w:rPr>
            <w:noProof/>
            <w:webHidden/>
          </w:rPr>
          <w:t>5</w:t>
        </w:r>
        <w:r w:rsidR="008B3018">
          <w:rPr>
            <w:noProof/>
            <w:webHidden/>
          </w:rPr>
          <w:fldChar w:fldCharType="end"/>
        </w:r>
      </w:hyperlink>
    </w:p>
    <w:p w14:paraId="3E1521D0" w14:textId="67DA9352" w:rsidR="008B3018" w:rsidRDefault="00CA5735">
      <w:pPr>
        <w:pStyle w:val="TableofFigures"/>
        <w:tabs>
          <w:tab w:val="right" w:leader="dot" w:pos="8290"/>
        </w:tabs>
        <w:rPr>
          <w:rFonts w:asciiTheme="minorHAnsi" w:eastAsiaTheme="minorEastAsia" w:hAnsiTheme="minorHAnsi" w:cstheme="minorBidi"/>
          <w:noProof/>
          <w:sz w:val="22"/>
          <w:szCs w:val="22"/>
        </w:rPr>
      </w:pPr>
      <w:hyperlink w:anchor="_Toc524353998" w:history="1">
        <w:r w:rsidR="008B3018" w:rsidRPr="006409C3">
          <w:rPr>
            <w:rStyle w:val="Hyperlink"/>
            <w:noProof/>
          </w:rPr>
          <w:t>Table 5: One-off supply contract approvals by organisation and by goods and services in 2017–18</w:t>
        </w:r>
        <w:r w:rsidR="008B3018">
          <w:rPr>
            <w:noProof/>
            <w:webHidden/>
          </w:rPr>
          <w:tab/>
        </w:r>
        <w:r w:rsidR="008B3018">
          <w:rPr>
            <w:noProof/>
            <w:webHidden/>
          </w:rPr>
          <w:fldChar w:fldCharType="begin"/>
        </w:r>
        <w:r w:rsidR="008B3018">
          <w:rPr>
            <w:noProof/>
            <w:webHidden/>
          </w:rPr>
          <w:instrText xml:space="preserve"> PAGEREF _Toc524353998 \h </w:instrText>
        </w:r>
        <w:r w:rsidR="008B3018">
          <w:rPr>
            <w:noProof/>
            <w:webHidden/>
          </w:rPr>
        </w:r>
        <w:r w:rsidR="008B3018">
          <w:rPr>
            <w:noProof/>
            <w:webHidden/>
          </w:rPr>
          <w:fldChar w:fldCharType="separate"/>
        </w:r>
        <w:r w:rsidR="00A07703">
          <w:rPr>
            <w:noProof/>
            <w:webHidden/>
          </w:rPr>
          <w:t>5</w:t>
        </w:r>
        <w:r w:rsidR="008B3018">
          <w:rPr>
            <w:noProof/>
            <w:webHidden/>
          </w:rPr>
          <w:fldChar w:fldCharType="end"/>
        </w:r>
      </w:hyperlink>
    </w:p>
    <w:p w14:paraId="4BBEEF5F" w14:textId="45C806B6" w:rsidR="008B3018" w:rsidRDefault="00CA5735">
      <w:pPr>
        <w:pStyle w:val="TableofFigures"/>
        <w:tabs>
          <w:tab w:val="right" w:leader="dot" w:pos="8290"/>
        </w:tabs>
        <w:rPr>
          <w:rFonts w:asciiTheme="minorHAnsi" w:eastAsiaTheme="minorEastAsia" w:hAnsiTheme="minorHAnsi" w:cstheme="minorBidi"/>
          <w:noProof/>
          <w:sz w:val="22"/>
          <w:szCs w:val="22"/>
        </w:rPr>
      </w:pPr>
      <w:hyperlink w:anchor="_Toc524353999" w:history="1">
        <w:r w:rsidR="008B3018" w:rsidRPr="006409C3">
          <w:rPr>
            <w:rStyle w:val="Hyperlink"/>
            <w:noProof/>
          </w:rPr>
          <w:t>Table 6: Description of complexity quadrants</w:t>
        </w:r>
        <w:r w:rsidR="008B3018">
          <w:rPr>
            <w:noProof/>
            <w:webHidden/>
          </w:rPr>
          <w:tab/>
        </w:r>
        <w:r w:rsidR="008B3018">
          <w:rPr>
            <w:noProof/>
            <w:webHidden/>
          </w:rPr>
          <w:fldChar w:fldCharType="begin"/>
        </w:r>
        <w:r w:rsidR="008B3018">
          <w:rPr>
            <w:noProof/>
            <w:webHidden/>
          </w:rPr>
          <w:instrText xml:space="preserve"> PAGEREF _Toc524353999 \h </w:instrText>
        </w:r>
        <w:r w:rsidR="008B3018">
          <w:rPr>
            <w:noProof/>
            <w:webHidden/>
          </w:rPr>
        </w:r>
        <w:r w:rsidR="008B3018">
          <w:rPr>
            <w:noProof/>
            <w:webHidden/>
          </w:rPr>
          <w:fldChar w:fldCharType="separate"/>
        </w:r>
        <w:r w:rsidR="00A07703">
          <w:rPr>
            <w:noProof/>
            <w:webHidden/>
          </w:rPr>
          <w:t>5</w:t>
        </w:r>
        <w:r w:rsidR="008B3018">
          <w:rPr>
            <w:noProof/>
            <w:webHidden/>
          </w:rPr>
          <w:fldChar w:fldCharType="end"/>
        </w:r>
      </w:hyperlink>
    </w:p>
    <w:p w14:paraId="76F1DBF0" w14:textId="5CCB4DD5" w:rsidR="008B3018" w:rsidRDefault="00CA5735">
      <w:pPr>
        <w:pStyle w:val="TableofFigures"/>
        <w:tabs>
          <w:tab w:val="right" w:leader="dot" w:pos="8290"/>
        </w:tabs>
        <w:rPr>
          <w:rFonts w:asciiTheme="minorHAnsi" w:eastAsiaTheme="minorEastAsia" w:hAnsiTheme="minorHAnsi" w:cstheme="minorBidi"/>
          <w:noProof/>
          <w:sz w:val="22"/>
          <w:szCs w:val="22"/>
        </w:rPr>
      </w:pPr>
      <w:hyperlink w:anchor="_Toc524354000" w:history="1">
        <w:r w:rsidR="008B3018" w:rsidRPr="006409C3">
          <w:rPr>
            <w:rStyle w:val="Hyperlink"/>
            <w:noProof/>
          </w:rPr>
          <w:t>Table 7: Contract approvals by complexity quadrant in 2017–18</w:t>
        </w:r>
        <w:r w:rsidR="008B3018">
          <w:rPr>
            <w:noProof/>
            <w:webHidden/>
          </w:rPr>
          <w:tab/>
        </w:r>
        <w:r w:rsidR="008B3018">
          <w:rPr>
            <w:noProof/>
            <w:webHidden/>
          </w:rPr>
          <w:fldChar w:fldCharType="begin"/>
        </w:r>
        <w:r w:rsidR="008B3018">
          <w:rPr>
            <w:noProof/>
            <w:webHidden/>
          </w:rPr>
          <w:instrText xml:space="preserve"> PAGEREF _Toc524354000 \h </w:instrText>
        </w:r>
        <w:r w:rsidR="008B3018">
          <w:rPr>
            <w:noProof/>
            <w:webHidden/>
          </w:rPr>
        </w:r>
        <w:r w:rsidR="008B3018">
          <w:rPr>
            <w:noProof/>
            <w:webHidden/>
          </w:rPr>
          <w:fldChar w:fldCharType="separate"/>
        </w:r>
        <w:r w:rsidR="00A07703">
          <w:rPr>
            <w:noProof/>
            <w:webHidden/>
          </w:rPr>
          <w:t>5</w:t>
        </w:r>
        <w:r w:rsidR="008B3018">
          <w:rPr>
            <w:noProof/>
            <w:webHidden/>
          </w:rPr>
          <w:fldChar w:fldCharType="end"/>
        </w:r>
      </w:hyperlink>
    </w:p>
    <w:p w14:paraId="378F6A84" w14:textId="068DB654" w:rsidR="008B3018" w:rsidRDefault="00CA5735">
      <w:pPr>
        <w:pStyle w:val="TableofFigures"/>
        <w:tabs>
          <w:tab w:val="right" w:leader="dot" w:pos="8290"/>
        </w:tabs>
        <w:rPr>
          <w:rFonts w:asciiTheme="minorHAnsi" w:eastAsiaTheme="minorEastAsia" w:hAnsiTheme="minorHAnsi" w:cstheme="minorBidi"/>
          <w:noProof/>
          <w:sz w:val="22"/>
          <w:szCs w:val="22"/>
        </w:rPr>
      </w:pPr>
      <w:hyperlink w:anchor="_Toc524354001" w:history="1">
        <w:r w:rsidR="008B3018" w:rsidRPr="006409C3">
          <w:rPr>
            <w:rStyle w:val="Hyperlink"/>
            <w:noProof/>
          </w:rPr>
          <w:t>Table 8: Complexity quadrants (number) by organisation in 2017–18</w:t>
        </w:r>
        <w:r w:rsidR="008B3018">
          <w:rPr>
            <w:noProof/>
            <w:webHidden/>
          </w:rPr>
          <w:tab/>
        </w:r>
        <w:r w:rsidR="008B3018">
          <w:rPr>
            <w:noProof/>
            <w:webHidden/>
          </w:rPr>
          <w:fldChar w:fldCharType="begin"/>
        </w:r>
        <w:r w:rsidR="008B3018">
          <w:rPr>
            <w:noProof/>
            <w:webHidden/>
          </w:rPr>
          <w:instrText xml:space="preserve"> PAGEREF _Toc524354001 \h </w:instrText>
        </w:r>
        <w:r w:rsidR="008B3018">
          <w:rPr>
            <w:noProof/>
            <w:webHidden/>
          </w:rPr>
        </w:r>
        <w:r w:rsidR="008B3018">
          <w:rPr>
            <w:noProof/>
            <w:webHidden/>
          </w:rPr>
          <w:fldChar w:fldCharType="separate"/>
        </w:r>
        <w:r w:rsidR="00A07703">
          <w:rPr>
            <w:noProof/>
            <w:webHidden/>
          </w:rPr>
          <w:t>5</w:t>
        </w:r>
        <w:r w:rsidR="008B3018">
          <w:rPr>
            <w:noProof/>
            <w:webHidden/>
          </w:rPr>
          <w:fldChar w:fldCharType="end"/>
        </w:r>
      </w:hyperlink>
    </w:p>
    <w:p w14:paraId="13F62C30" w14:textId="44613B5B" w:rsidR="008B3018" w:rsidRDefault="00CA5735">
      <w:pPr>
        <w:pStyle w:val="TableofFigures"/>
        <w:tabs>
          <w:tab w:val="right" w:leader="dot" w:pos="8290"/>
        </w:tabs>
        <w:rPr>
          <w:rFonts w:asciiTheme="minorHAnsi" w:eastAsiaTheme="minorEastAsia" w:hAnsiTheme="minorHAnsi" w:cstheme="minorBidi"/>
          <w:noProof/>
          <w:sz w:val="22"/>
          <w:szCs w:val="22"/>
        </w:rPr>
      </w:pPr>
      <w:hyperlink w:anchor="_Toc524354002" w:history="1">
        <w:r w:rsidR="008B3018" w:rsidRPr="006409C3">
          <w:rPr>
            <w:rStyle w:val="Hyperlink"/>
            <w:noProof/>
          </w:rPr>
          <w:t>Table 9: Trends in procurement complexity</w:t>
        </w:r>
        <w:r w:rsidR="008B3018">
          <w:rPr>
            <w:noProof/>
            <w:webHidden/>
          </w:rPr>
          <w:tab/>
        </w:r>
        <w:r w:rsidR="008B3018">
          <w:rPr>
            <w:noProof/>
            <w:webHidden/>
          </w:rPr>
          <w:fldChar w:fldCharType="begin"/>
        </w:r>
        <w:r w:rsidR="008B3018">
          <w:rPr>
            <w:noProof/>
            <w:webHidden/>
          </w:rPr>
          <w:instrText xml:space="preserve"> PAGEREF _Toc524354002 \h </w:instrText>
        </w:r>
        <w:r w:rsidR="008B3018">
          <w:rPr>
            <w:noProof/>
            <w:webHidden/>
          </w:rPr>
        </w:r>
        <w:r w:rsidR="008B3018">
          <w:rPr>
            <w:noProof/>
            <w:webHidden/>
          </w:rPr>
          <w:fldChar w:fldCharType="separate"/>
        </w:r>
        <w:r w:rsidR="00A07703">
          <w:rPr>
            <w:noProof/>
            <w:webHidden/>
          </w:rPr>
          <w:t>5</w:t>
        </w:r>
        <w:r w:rsidR="008B3018">
          <w:rPr>
            <w:noProof/>
            <w:webHidden/>
          </w:rPr>
          <w:fldChar w:fldCharType="end"/>
        </w:r>
      </w:hyperlink>
    </w:p>
    <w:p w14:paraId="6609E5EE" w14:textId="624A4F23" w:rsidR="008B3018" w:rsidRDefault="00CA5735">
      <w:pPr>
        <w:pStyle w:val="TableofFigures"/>
        <w:tabs>
          <w:tab w:val="right" w:leader="dot" w:pos="8290"/>
        </w:tabs>
        <w:rPr>
          <w:rFonts w:asciiTheme="minorHAnsi" w:eastAsiaTheme="minorEastAsia" w:hAnsiTheme="minorHAnsi" w:cstheme="minorBidi"/>
          <w:noProof/>
          <w:sz w:val="22"/>
          <w:szCs w:val="22"/>
        </w:rPr>
      </w:pPr>
      <w:hyperlink w:anchor="_Toc524354003" w:history="1">
        <w:r w:rsidR="008B3018" w:rsidRPr="006409C3">
          <w:rPr>
            <w:rStyle w:val="Hyperlink"/>
            <w:noProof/>
          </w:rPr>
          <w:t>Table 10: Trends in number of transactional procurements by organisation</w:t>
        </w:r>
        <w:r w:rsidR="008B3018">
          <w:rPr>
            <w:noProof/>
            <w:webHidden/>
          </w:rPr>
          <w:tab/>
        </w:r>
        <w:r w:rsidR="008B3018">
          <w:rPr>
            <w:noProof/>
            <w:webHidden/>
          </w:rPr>
          <w:fldChar w:fldCharType="begin"/>
        </w:r>
        <w:r w:rsidR="008B3018">
          <w:rPr>
            <w:noProof/>
            <w:webHidden/>
          </w:rPr>
          <w:instrText xml:space="preserve"> PAGEREF _Toc524354003 \h </w:instrText>
        </w:r>
        <w:r w:rsidR="008B3018">
          <w:rPr>
            <w:noProof/>
            <w:webHidden/>
          </w:rPr>
        </w:r>
        <w:r w:rsidR="008B3018">
          <w:rPr>
            <w:noProof/>
            <w:webHidden/>
          </w:rPr>
          <w:fldChar w:fldCharType="separate"/>
        </w:r>
        <w:r w:rsidR="00A07703">
          <w:rPr>
            <w:noProof/>
            <w:webHidden/>
          </w:rPr>
          <w:t>5</w:t>
        </w:r>
        <w:r w:rsidR="008B3018">
          <w:rPr>
            <w:noProof/>
            <w:webHidden/>
          </w:rPr>
          <w:fldChar w:fldCharType="end"/>
        </w:r>
      </w:hyperlink>
    </w:p>
    <w:p w14:paraId="24C6DA04" w14:textId="1ACA4E6E" w:rsidR="008B3018" w:rsidRDefault="00CA5735">
      <w:pPr>
        <w:pStyle w:val="TableofFigures"/>
        <w:tabs>
          <w:tab w:val="right" w:leader="dot" w:pos="8290"/>
        </w:tabs>
        <w:rPr>
          <w:rFonts w:asciiTheme="minorHAnsi" w:eastAsiaTheme="minorEastAsia" w:hAnsiTheme="minorHAnsi" w:cstheme="minorBidi"/>
          <w:noProof/>
          <w:sz w:val="22"/>
          <w:szCs w:val="22"/>
        </w:rPr>
      </w:pPr>
      <w:hyperlink w:anchor="_Toc524354004" w:history="1">
        <w:r w:rsidR="008B3018" w:rsidRPr="006409C3">
          <w:rPr>
            <w:rStyle w:val="Hyperlink"/>
            <w:noProof/>
          </w:rPr>
          <w:t>Table 11: Trends in number of leveraged procurements by organisation</w:t>
        </w:r>
        <w:r w:rsidR="008B3018">
          <w:rPr>
            <w:noProof/>
            <w:webHidden/>
          </w:rPr>
          <w:tab/>
        </w:r>
        <w:r w:rsidR="008B3018">
          <w:rPr>
            <w:noProof/>
            <w:webHidden/>
          </w:rPr>
          <w:fldChar w:fldCharType="begin"/>
        </w:r>
        <w:r w:rsidR="008B3018">
          <w:rPr>
            <w:noProof/>
            <w:webHidden/>
          </w:rPr>
          <w:instrText xml:space="preserve"> PAGEREF _Toc524354004 \h </w:instrText>
        </w:r>
        <w:r w:rsidR="008B3018">
          <w:rPr>
            <w:noProof/>
            <w:webHidden/>
          </w:rPr>
        </w:r>
        <w:r w:rsidR="008B3018">
          <w:rPr>
            <w:noProof/>
            <w:webHidden/>
          </w:rPr>
          <w:fldChar w:fldCharType="separate"/>
        </w:r>
        <w:r w:rsidR="00A07703">
          <w:rPr>
            <w:noProof/>
            <w:webHidden/>
          </w:rPr>
          <w:t>5</w:t>
        </w:r>
        <w:r w:rsidR="008B3018">
          <w:rPr>
            <w:noProof/>
            <w:webHidden/>
          </w:rPr>
          <w:fldChar w:fldCharType="end"/>
        </w:r>
      </w:hyperlink>
    </w:p>
    <w:p w14:paraId="7BA69D46" w14:textId="64DBF4C8" w:rsidR="008B3018" w:rsidRDefault="00CA5735">
      <w:pPr>
        <w:pStyle w:val="TableofFigures"/>
        <w:tabs>
          <w:tab w:val="right" w:leader="dot" w:pos="8290"/>
        </w:tabs>
        <w:rPr>
          <w:rFonts w:asciiTheme="minorHAnsi" w:eastAsiaTheme="minorEastAsia" w:hAnsiTheme="minorHAnsi" w:cstheme="minorBidi"/>
          <w:noProof/>
          <w:sz w:val="22"/>
          <w:szCs w:val="22"/>
        </w:rPr>
      </w:pPr>
      <w:hyperlink w:anchor="_Toc524354005" w:history="1">
        <w:r w:rsidR="008B3018" w:rsidRPr="006409C3">
          <w:rPr>
            <w:rStyle w:val="Hyperlink"/>
            <w:noProof/>
          </w:rPr>
          <w:t>Table 12: Trends in number of focused procurements by organisation</w:t>
        </w:r>
        <w:r w:rsidR="008B3018">
          <w:rPr>
            <w:noProof/>
            <w:webHidden/>
          </w:rPr>
          <w:tab/>
        </w:r>
        <w:r w:rsidR="008B3018">
          <w:rPr>
            <w:noProof/>
            <w:webHidden/>
          </w:rPr>
          <w:fldChar w:fldCharType="begin"/>
        </w:r>
        <w:r w:rsidR="008B3018">
          <w:rPr>
            <w:noProof/>
            <w:webHidden/>
          </w:rPr>
          <w:instrText xml:space="preserve"> PAGEREF _Toc524354005 \h </w:instrText>
        </w:r>
        <w:r w:rsidR="008B3018">
          <w:rPr>
            <w:noProof/>
            <w:webHidden/>
          </w:rPr>
        </w:r>
        <w:r w:rsidR="008B3018">
          <w:rPr>
            <w:noProof/>
            <w:webHidden/>
          </w:rPr>
          <w:fldChar w:fldCharType="separate"/>
        </w:r>
        <w:r w:rsidR="00A07703">
          <w:rPr>
            <w:noProof/>
            <w:webHidden/>
          </w:rPr>
          <w:t>5</w:t>
        </w:r>
        <w:r w:rsidR="008B3018">
          <w:rPr>
            <w:noProof/>
            <w:webHidden/>
          </w:rPr>
          <w:fldChar w:fldCharType="end"/>
        </w:r>
      </w:hyperlink>
    </w:p>
    <w:p w14:paraId="41EC6DC2" w14:textId="78768C5A" w:rsidR="008B3018" w:rsidRDefault="00CA5735">
      <w:pPr>
        <w:pStyle w:val="TableofFigures"/>
        <w:tabs>
          <w:tab w:val="right" w:leader="dot" w:pos="8290"/>
        </w:tabs>
        <w:rPr>
          <w:rFonts w:asciiTheme="minorHAnsi" w:eastAsiaTheme="minorEastAsia" w:hAnsiTheme="minorHAnsi" w:cstheme="minorBidi"/>
          <w:noProof/>
          <w:sz w:val="22"/>
          <w:szCs w:val="22"/>
        </w:rPr>
      </w:pPr>
      <w:hyperlink w:anchor="_Toc524354006" w:history="1">
        <w:r w:rsidR="008B3018" w:rsidRPr="006409C3">
          <w:rPr>
            <w:rStyle w:val="Hyperlink"/>
            <w:noProof/>
          </w:rPr>
          <w:t>Table 13: Trends in number of strategic procurements by organisation</w:t>
        </w:r>
        <w:r w:rsidR="008B3018">
          <w:rPr>
            <w:noProof/>
            <w:webHidden/>
          </w:rPr>
          <w:tab/>
        </w:r>
        <w:r w:rsidR="008B3018">
          <w:rPr>
            <w:noProof/>
            <w:webHidden/>
          </w:rPr>
          <w:fldChar w:fldCharType="begin"/>
        </w:r>
        <w:r w:rsidR="008B3018">
          <w:rPr>
            <w:noProof/>
            <w:webHidden/>
          </w:rPr>
          <w:instrText xml:space="preserve"> PAGEREF _Toc524354006 \h </w:instrText>
        </w:r>
        <w:r w:rsidR="008B3018">
          <w:rPr>
            <w:noProof/>
            <w:webHidden/>
          </w:rPr>
        </w:r>
        <w:r w:rsidR="008B3018">
          <w:rPr>
            <w:noProof/>
            <w:webHidden/>
          </w:rPr>
          <w:fldChar w:fldCharType="separate"/>
        </w:r>
        <w:r w:rsidR="00A07703">
          <w:rPr>
            <w:noProof/>
            <w:webHidden/>
          </w:rPr>
          <w:t>5</w:t>
        </w:r>
        <w:r w:rsidR="008B3018">
          <w:rPr>
            <w:noProof/>
            <w:webHidden/>
          </w:rPr>
          <w:fldChar w:fldCharType="end"/>
        </w:r>
      </w:hyperlink>
    </w:p>
    <w:p w14:paraId="263B7189" w14:textId="700B0848" w:rsidR="008B3018" w:rsidRDefault="00CA5735">
      <w:pPr>
        <w:pStyle w:val="TableofFigures"/>
        <w:tabs>
          <w:tab w:val="right" w:leader="dot" w:pos="8290"/>
        </w:tabs>
        <w:rPr>
          <w:rFonts w:asciiTheme="minorHAnsi" w:eastAsiaTheme="minorEastAsia" w:hAnsiTheme="minorHAnsi" w:cstheme="minorBidi"/>
          <w:noProof/>
          <w:sz w:val="22"/>
          <w:szCs w:val="22"/>
        </w:rPr>
      </w:pPr>
      <w:hyperlink w:anchor="_Toc524354007" w:history="1">
        <w:r w:rsidR="008B3018" w:rsidRPr="006409C3">
          <w:rPr>
            <w:rStyle w:val="Hyperlink"/>
            <w:noProof/>
          </w:rPr>
          <w:t>Table 14: Critical incident procurement in 2017–18</w:t>
        </w:r>
        <w:r w:rsidR="008B3018">
          <w:rPr>
            <w:noProof/>
            <w:webHidden/>
          </w:rPr>
          <w:tab/>
        </w:r>
        <w:r w:rsidR="008B3018">
          <w:rPr>
            <w:noProof/>
            <w:webHidden/>
          </w:rPr>
          <w:fldChar w:fldCharType="begin"/>
        </w:r>
        <w:r w:rsidR="008B3018">
          <w:rPr>
            <w:noProof/>
            <w:webHidden/>
          </w:rPr>
          <w:instrText xml:space="preserve"> PAGEREF _Toc524354007 \h </w:instrText>
        </w:r>
        <w:r w:rsidR="008B3018">
          <w:rPr>
            <w:noProof/>
            <w:webHidden/>
          </w:rPr>
        </w:r>
        <w:r w:rsidR="008B3018">
          <w:rPr>
            <w:noProof/>
            <w:webHidden/>
          </w:rPr>
          <w:fldChar w:fldCharType="separate"/>
        </w:r>
        <w:r w:rsidR="00A07703">
          <w:rPr>
            <w:noProof/>
            <w:webHidden/>
          </w:rPr>
          <w:t>5</w:t>
        </w:r>
        <w:r w:rsidR="008B3018">
          <w:rPr>
            <w:noProof/>
            <w:webHidden/>
          </w:rPr>
          <w:fldChar w:fldCharType="end"/>
        </w:r>
      </w:hyperlink>
    </w:p>
    <w:p w14:paraId="517F683D" w14:textId="102406FC" w:rsidR="008B3018" w:rsidRDefault="00CA5735">
      <w:pPr>
        <w:pStyle w:val="TableofFigures"/>
        <w:tabs>
          <w:tab w:val="right" w:leader="dot" w:pos="8290"/>
        </w:tabs>
        <w:rPr>
          <w:rFonts w:asciiTheme="minorHAnsi" w:eastAsiaTheme="minorEastAsia" w:hAnsiTheme="minorHAnsi" w:cstheme="minorBidi"/>
          <w:noProof/>
          <w:sz w:val="22"/>
          <w:szCs w:val="22"/>
        </w:rPr>
      </w:pPr>
      <w:hyperlink w:anchor="_Toc524354008" w:history="1">
        <w:r w:rsidR="008B3018" w:rsidRPr="006409C3">
          <w:rPr>
            <w:rStyle w:val="Hyperlink"/>
            <w:noProof/>
          </w:rPr>
          <w:t>Table 15: SPCs approved in 2017–18</w:t>
        </w:r>
        <w:r w:rsidR="008B3018">
          <w:rPr>
            <w:noProof/>
            <w:webHidden/>
          </w:rPr>
          <w:tab/>
        </w:r>
        <w:r w:rsidR="008B3018">
          <w:rPr>
            <w:noProof/>
            <w:webHidden/>
          </w:rPr>
          <w:fldChar w:fldCharType="begin"/>
        </w:r>
        <w:r w:rsidR="008B3018">
          <w:rPr>
            <w:noProof/>
            <w:webHidden/>
          </w:rPr>
          <w:instrText xml:space="preserve"> PAGEREF _Toc524354008 \h </w:instrText>
        </w:r>
        <w:r w:rsidR="008B3018">
          <w:rPr>
            <w:noProof/>
            <w:webHidden/>
          </w:rPr>
        </w:r>
        <w:r w:rsidR="008B3018">
          <w:rPr>
            <w:noProof/>
            <w:webHidden/>
          </w:rPr>
          <w:fldChar w:fldCharType="separate"/>
        </w:r>
        <w:r w:rsidR="00A07703">
          <w:rPr>
            <w:noProof/>
            <w:webHidden/>
          </w:rPr>
          <w:t>5</w:t>
        </w:r>
        <w:r w:rsidR="008B3018">
          <w:rPr>
            <w:noProof/>
            <w:webHidden/>
          </w:rPr>
          <w:fldChar w:fldCharType="end"/>
        </w:r>
      </w:hyperlink>
    </w:p>
    <w:p w14:paraId="1FCED357" w14:textId="36E67E52" w:rsidR="008B3018" w:rsidRDefault="00CA5735">
      <w:pPr>
        <w:pStyle w:val="TableofFigures"/>
        <w:tabs>
          <w:tab w:val="right" w:leader="dot" w:pos="8290"/>
        </w:tabs>
        <w:rPr>
          <w:rFonts w:asciiTheme="minorHAnsi" w:eastAsiaTheme="minorEastAsia" w:hAnsiTheme="minorHAnsi" w:cstheme="minorBidi"/>
          <w:noProof/>
          <w:sz w:val="22"/>
          <w:szCs w:val="22"/>
        </w:rPr>
      </w:pPr>
      <w:hyperlink w:anchor="_Toc524354009" w:history="1">
        <w:r w:rsidR="008B3018" w:rsidRPr="006409C3">
          <w:rPr>
            <w:rStyle w:val="Hyperlink"/>
            <w:noProof/>
          </w:rPr>
          <w:t>Table 16: SEPCs approved in 2017–18</w:t>
        </w:r>
        <w:r w:rsidR="008B3018">
          <w:rPr>
            <w:noProof/>
            <w:webHidden/>
          </w:rPr>
          <w:tab/>
        </w:r>
        <w:r w:rsidR="008B3018">
          <w:rPr>
            <w:noProof/>
            <w:webHidden/>
          </w:rPr>
          <w:fldChar w:fldCharType="begin"/>
        </w:r>
        <w:r w:rsidR="008B3018">
          <w:rPr>
            <w:noProof/>
            <w:webHidden/>
          </w:rPr>
          <w:instrText xml:space="preserve"> PAGEREF _Toc524354009 \h </w:instrText>
        </w:r>
        <w:r w:rsidR="008B3018">
          <w:rPr>
            <w:noProof/>
            <w:webHidden/>
          </w:rPr>
        </w:r>
        <w:r w:rsidR="008B3018">
          <w:rPr>
            <w:noProof/>
            <w:webHidden/>
          </w:rPr>
          <w:fldChar w:fldCharType="separate"/>
        </w:r>
        <w:r w:rsidR="00A07703">
          <w:rPr>
            <w:noProof/>
            <w:webHidden/>
          </w:rPr>
          <w:t>5</w:t>
        </w:r>
        <w:r w:rsidR="008B3018">
          <w:rPr>
            <w:noProof/>
            <w:webHidden/>
          </w:rPr>
          <w:fldChar w:fldCharType="end"/>
        </w:r>
      </w:hyperlink>
    </w:p>
    <w:p w14:paraId="5C8E68A7" w14:textId="756F230E" w:rsidR="008B3018" w:rsidRDefault="00CA5735">
      <w:pPr>
        <w:pStyle w:val="TableofFigures"/>
        <w:tabs>
          <w:tab w:val="right" w:leader="dot" w:pos="8290"/>
        </w:tabs>
        <w:rPr>
          <w:rFonts w:asciiTheme="minorHAnsi" w:eastAsiaTheme="minorEastAsia" w:hAnsiTheme="minorHAnsi" w:cstheme="minorBidi"/>
          <w:noProof/>
          <w:sz w:val="22"/>
          <w:szCs w:val="22"/>
        </w:rPr>
      </w:pPr>
      <w:hyperlink w:anchor="_Toc524354010" w:history="1">
        <w:r w:rsidR="008B3018" w:rsidRPr="006409C3">
          <w:rPr>
            <w:rStyle w:val="Hyperlink"/>
            <w:noProof/>
          </w:rPr>
          <w:t>Table 17: Monitoring compliance with VGPB policies</w:t>
        </w:r>
        <w:r w:rsidR="008B3018">
          <w:rPr>
            <w:noProof/>
            <w:webHidden/>
          </w:rPr>
          <w:tab/>
        </w:r>
        <w:r w:rsidR="008B3018">
          <w:rPr>
            <w:noProof/>
            <w:webHidden/>
          </w:rPr>
          <w:fldChar w:fldCharType="begin"/>
        </w:r>
        <w:r w:rsidR="008B3018">
          <w:rPr>
            <w:noProof/>
            <w:webHidden/>
          </w:rPr>
          <w:instrText xml:space="preserve"> PAGEREF _Toc524354010 \h </w:instrText>
        </w:r>
        <w:r w:rsidR="008B3018">
          <w:rPr>
            <w:noProof/>
            <w:webHidden/>
          </w:rPr>
        </w:r>
        <w:r w:rsidR="008B3018">
          <w:rPr>
            <w:noProof/>
            <w:webHidden/>
          </w:rPr>
          <w:fldChar w:fldCharType="separate"/>
        </w:r>
        <w:r w:rsidR="00A07703">
          <w:rPr>
            <w:noProof/>
            <w:webHidden/>
          </w:rPr>
          <w:t>5</w:t>
        </w:r>
        <w:r w:rsidR="008B3018">
          <w:rPr>
            <w:noProof/>
            <w:webHidden/>
          </w:rPr>
          <w:fldChar w:fldCharType="end"/>
        </w:r>
      </w:hyperlink>
    </w:p>
    <w:p w14:paraId="5E51A369" w14:textId="0AA5C12B" w:rsidR="008B3018" w:rsidRDefault="00CA5735">
      <w:pPr>
        <w:pStyle w:val="TableofFigures"/>
        <w:tabs>
          <w:tab w:val="right" w:leader="dot" w:pos="8290"/>
        </w:tabs>
        <w:rPr>
          <w:rFonts w:asciiTheme="minorHAnsi" w:eastAsiaTheme="minorEastAsia" w:hAnsiTheme="minorHAnsi" w:cstheme="minorBidi"/>
          <w:noProof/>
          <w:sz w:val="22"/>
          <w:szCs w:val="22"/>
        </w:rPr>
      </w:pPr>
      <w:hyperlink w:anchor="_Toc524354011" w:history="1">
        <w:r w:rsidR="008B3018" w:rsidRPr="006409C3">
          <w:rPr>
            <w:rStyle w:val="Hyperlink"/>
            <w:noProof/>
          </w:rPr>
          <w:t>Table 18: Summary of performance measure results in 2017–18</w:t>
        </w:r>
        <w:r w:rsidR="008B3018">
          <w:rPr>
            <w:noProof/>
            <w:webHidden/>
          </w:rPr>
          <w:tab/>
        </w:r>
        <w:r w:rsidR="008B3018">
          <w:rPr>
            <w:noProof/>
            <w:webHidden/>
          </w:rPr>
          <w:fldChar w:fldCharType="begin"/>
        </w:r>
        <w:r w:rsidR="008B3018">
          <w:rPr>
            <w:noProof/>
            <w:webHidden/>
          </w:rPr>
          <w:instrText xml:space="preserve"> PAGEREF _Toc524354011 \h </w:instrText>
        </w:r>
        <w:r w:rsidR="008B3018">
          <w:rPr>
            <w:noProof/>
            <w:webHidden/>
          </w:rPr>
        </w:r>
        <w:r w:rsidR="008B3018">
          <w:rPr>
            <w:noProof/>
            <w:webHidden/>
          </w:rPr>
          <w:fldChar w:fldCharType="separate"/>
        </w:r>
        <w:r w:rsidR="00A07703">
          <w:rPr>
            <w:noProof/>
            <w:webHidden/>
          </w:rPr>
          <w:t>5</w:t>
        </w:r>
        <w:r w:rsidR="008B3018">
          <w:rPr>
            <w:noProof/>
            <w:webHidden/>
          </w:rPr>
          <w:fldChar w:fldCharType="end"/>
        </w:r>
      </w:hyperlink>
    </w:p>
    <w:p w14:paraId="7CF6DDB0" w14:textId="04A2D98F" w:rsidR="008B3018" w:rsidRDefault="00CA5735">
      <w:pPr>
        <w:pStyle w:val="TableofFigures"/>
        <w:tabs>
          <w:tab w:val="right" w:leader="dot" w:pos="8290"/>
        </w:tabs>
        <w:rPr>
          <w:rFonts w:asciiTheme="minorHAnsi" w:eastAsiaTheme="minorEastAsia" w:hAnsiTheme="minorHAnsi" w:cstheme="minorBidi"/>
          <w:noProof/>
          <w:sz w:val="22"/>
          <w:szCs w:val="22"/>
        </w:rPr>
      </w:pPr>
      <w:hyperlink w:anchor="_Toc524354012" w:history="1">
        <w:r w:rsidR="008B3018" w:rsidRPr="006409C3">
          <w:rPr>
            <w:rStyle w:val="Hyperlink"/>
            <w:noProof/>
          </w:rPr>
          <w:t>Table 19: Audit program schedule and results at 30 June 2018</w:t>
        </w:r>
        <w:r w:rsidR="008B3018">
          <w:rPr>
            <w:noProof/>
            <w:webHidden/>
          </w:rPr>
          <w:tab/>
        </w:r>
        <w:r w:rsidR="008B3018">
          <w:rPr>
            <w:noProof/>
            <w:webHidden/>
          </w:rPr>
          <w:fldChar w:fldCharType="begin"/>
        </w:r>
        <w:r w:rsidR="008B3018">
          <w:rPr>
            <w:noProof/>
            <w:webHidden/>
          </w:rPr>
          <w:instrText xml:space="preserve"> PAGEREF _Toc524354012 \h </w:instrText>
        </w:r>
        <w:r w:rsidR="008B3018">
          <w:rPr>
            <w:noProof/>
            <w:webHidden/>
          </w:rPr>
        </w:r>
        <w:r w:rsidR="008B3018">
          <w:rPr>
            <w:noProof/>
            <w:webHidden/>
          </w:rPr>
          <w:fldChar w:fldCharType="separate"/>
        </w:r>
        <w:r w:rsidR="00A07703">
          <w:rPr>
            <w:noProof/>
            <w:webHidden/>
          </w:rPr>
          <w:t>5</w:t>
        </w:r>
        <w:r w:rsidR="008B3018">
          <w:rPr>
            <w:noProof/>
            <w:webHidden/>
          </w:rPr>
          <w:fldChar w:fldCharType="end"/>
        </w:r>
      </w:hyperlink>
    </w:p>
    <w:p w14:paraId="25A3B462" w14:textId="4AC2B90E" w:rsidR="008B3018" w:rsidRDefault="00CA5735">
      <w:pPr>
        <w:pStyle w:val="TableofFigures"/>
        <w:tabs>
          <w:tab w:val="right" w:leader="dot" w:pos="8290"/>
        </w:tabs>
        <w:rPr>
          <w:rFonts w:asciiTheme="minorHAnsi" w:eastAsiaTheme="minorEastAsia" w:hAnsiTheme="minorHAnsi" w:cstheme="minorBidi"/>
          <w:noProof/>
          <w:sz w:val="22"/>
          <w:szCs w:val="22"/>
        </w:rPr>
      </w:pPr>
      <w:hyperlink w:anchor="_Toc524354013" w:history="1">
        <w:r w:rsidR="008B3018" w:rsidRPr="006409C3">
          <w:rPr>
            <w:rStyle w:val="Hyperlink"/>
            <w:noProof/>
          </w:rPr>
          <w:t>Table 20: Procurement activities subject to VGPB oversight in 2017–18</w:t>
        </w:r>
        <w:r w:rsidR="008B3018">
          <w:rPr>
            <w:noProof/>
            <w:webHidden/>
          </w:rPr>
          <w:tab/>
        </w:r>
        <w:r w:rsidR="008B3018">
          <w:rPr>
            <w:noProof/>
            <w:webHidden/>
          </w:rPr>
          <w:fldChar w:fldCharType="begin"/>
        </w:r>
        <w:r w:rsidR="008B3018">
          <w:rPr>
            <w:noProof/>
            <w:webHidden/>
          </w:rPr>
          <w:instrText xml:space="preserve"> PAGEREF _Toc524354013 \h </w:instrText>
        </w:r>
        <w:r w:rsidR="008B3018">
          <w:rPr>
            <w:noProof/>
            <w:webHidden/>
          </w:rPr>
        </w:r>
        <w:r w:rsidR="008B3018">
          <w:rPr>
            <w:noProof/>
            <w:webHidden/>
          </w:rPr>
          <w:fldChar w:fldCharType="separate"/>
        </w:r>
        <w:r w:rsidR="00A07703">
          <w:rPr>
            <w:noProof/>
            <w:webHidden/>
          </w:rPr>
          <w:t>5</w:t>
        </w:r>
        <w:r w:rsidR="008B3018">
          <w:rPr>
            <w:noProof/>
            <w:webHidden/>
          </w:rPr>
          <w:fldChar w:fldCharType="end"/>
        </w:r>
      </w:hyperlink>
    </w:p>
    <w:p w14:paraId="144BC86E" w14:textId="26752494" w:rsidR="008B3018" w:rsidRDefault="00CA5735">
      <w:pPr>
        <w:pStyle w:val="TableofFigures"/>
        <w:tabs>
          <w:tab w:val="right" w:leader="dot" w:pos="8290"/>
        </w:tabs>
        <w:rPr>
          <w:rFonts w:asciiTheme="minorHAnsi" w:eastAsiaTheme="minorEastAsia" w:hAnsiTheme="minorHAnsi" w:cstheme="minorBidi"/>
          <w:noProof/>
          <w:sz w:val="22"/>
          <w:szCs w:val="22"/>
        </w:rPr>
      </w:pPr>
      <w:hyperlink w:anchor="_Toc524354014" w:history="1">
        <w:r w:rsidR="008B3018" w:rsidRPr="006409C3">
          <w:rPr>
            <w:rStyle w:val="Hyperlink"/>
            <w:noProof/>
          </w:rPr>
          <w:t>Table 21: Non-compliance in 2017–18</w:t>
        </w:r>
        <w:r w:rsidR="008B3018">
          <w:rPr>
            <w:noProof/>
            <w:webHidden/>
          </w:rPr>
          <w:tab/>
        </w:r>
        <w:r w:rsidR="008B3018">
          <w:rPr>
            <w:noProof/>
            <w:webHidden/>
          </w:rPr>
          <w:fldChar w:fldCharType="begin"/>
        </w:r>
        <w:r w:rsidR="008B3018">
          <w:rPr>
            <w:noProof/>
            <w:webHidden/>
          </w:rPr>
          <w:instrText xml:space="preserve"> PAGEREF _Toc524354014 \h </w:instrText>
        </w:r>
        <w:r w:rsidR="008B3018">
          <w:rPr>
            <w:noProof/>
            <w:webHidden/>
          </w:rPr>
        </w:r>
        <w:r w:rsidR="008B3018">
          <w:rPr>
            <w:noProof/>
            <w:webHidden/>
          </w:rPr>
          <w:fldChar w:fldCharType="separate"/>
        </w:r>
        <w:r w:rsidR="00A07703">
          <w:rPr>
            <w:noProof/>
            <w:webHidden/>
          </w:rPr>
          <w:t>5</w:t>
        </w:r>
        <w:r w:rsidR="008B3018">
          <w:rPr>
            <w:noProof/>
            <w:webHidden/>
          </w:rPr>
          <w:fldChar w:fldCharType="end"/>
        </w:r>
      </w:hyperlink>
    </w:p>
    <w:p w14:paraId="3A54D99C" w14:textId="30FC776F" w:rsidR="008B3018" w:rsidRDefault="00CA5735">
      <w:pPr>
        <w:pStyle w:val="TableofFigures"/>
        <w:tabs>
          <w:tab w:val="right" w:leader="dot" w:pos="8290"/>
        </w:tabs>
        <w:rPr>
          <w:rFonts w:asciiTheme="minorHAnsi" w:eastAsiaTheme="minorEastAsia" w:hAnsiTheme="minorHAnsi" w:cstheme="minorBidi"/>
          <w:noProof/>
          <w:sz w:val="22"/>
          <w:szCs w:val="22"/>
        </w:rPr>
      </w:pPr>
      <w:hyperlink w:anchor="_Toc524354015" w:history="1">
        <w:r w:rsidR="008B3018" w:rsidRPr="006409C3">
          <w:rPr>
            <w:rStyle w:val="Hyperlink"/>
            <w:noProof/>
          </w:rPr>
          <w:t>Table 22: Complaints related to procurement activity in 2017–18</w:t>
        </w:r>
        <w:r w:rsidR="008B3018">
          <w:rPr>
            <w:noProof/>
            <w:webHidden/>
          </w:rPr>
          <w:tab/>
        </w:r>
        <w:r w:rsidR="008B3018">
          <w:rPr>
            <w:noProof/>
            <w:webHidden/>
          </w:rPr>
          <w:fldChar w:fldCharType="begin"/>
        </w:r>
        <w:r w:rsidR="008B3018">
          <w:rPr>
            <w:noProof/>
            <w:webHidden/>
          </w:rPr>
          <w:instrText xml:space="preserve"> PAGEREF _Toc524354015 \h </w:instrText>
        </w:r>
        <w:r w:rsidR="008B3018">
          <w:rPr>
            <w:noProof/>
            <w:webHidden/>
          </w:rPr>
        </w:r>
        <w:r w:rsidR="008B3018">
          <w:rPr>
            <w:noProof/>
            <w:webHidden/>
          </w:rPr>
          <w:fldChar w:fldCharType="separate"/>
        </w:r>
        <w:r w:rsidR="00A07703">
          <w:rPr>
            <w:noProof/>
            <w:webHidden/>
          </w:rPr>
          <w:t>5</w:t>
        </w:r>
        <w:r w:rsidR="008B3018">
          <w:rPr>
            <w:noProof/>
            <w:webHidden/>
          </w:rPr>
          <w:fldChar w:fldCharType="end"/>
        </w:r>
      </w:hyperlink>
    </w:p>
    <w:p w14:paraId="642D119B" w14:textId="761DB0C2" w:rsidR="008B3018" w:rsidRDefault="00CA5735">
      <w:pPr>
        <w:pStyle w:val="TableofFigures"/>
        <w:tabs>
          <w:tab w:val="right" w:leader="dot" w:pos="8290"/>
        </w:tabs>
        <w:rPr>
          <w:rFonts w:asciiTheme="minorHAnsi" w:eastAsiaTheme="minorEastAsia" w:hAnsiTheme="minorHAnsi" w:cstheme="minorBidi"/>
          <w:noProof/>
          <w:sz w:val="22"/>
          <w:szCs w:val="22"/>
        </w:rPr>
      </w:pPr>
      <w:hyperlink w:anchor="_Toc524354016" w:history="1">
        <w:r w:rsidR="008B3018" w:rsidRPr="006409C3">
          <w:rPr>
            <w:rStyle w:val="Hyperlink"/>
            <w:noProof/>
          </w:rPr>
          <w:t>Table 23: Performance measure methodology</w:t>
        </w:r>
        <w:r w:rsidR="008B3018">
          <w:rPr>
            <w:noProof/>
            <w:webHidden/>
          </w:rPr>
          <w:tab/>
        </w:r>
        <w:r w:rsidR="008B3018">
          <w:rPr>
            <w:noProof/>
            <w:webHidden/>
          </w:rPr>
          <w:fldChar w:fldCharType="begin"/>
        </w:r>
        <w:r w:rsidR="008B3018">
          <w:rPr>
            <w:noProof/>
            <w:webHidden/>
          </w:rPr>
          <w:instrText xml:space="preserve"> PAGEREF _Toc524354016 \h </w:instrText>
        </w:r>
        <w:r w:rsidR="008B3018">
          <w:rPr>
            <w:noProof/>
            <w:webHidden/>
          </w:rPr>
        </w:r>
        <w:r w:rsidR="008B3018">
          <w:rPr>
            <w:noProof/>
            <w:webHidden/>
          </w:rPr>
          <w:fldChar w:fldCharType="separate"/>
        </w:r>
        <w:r w:rsidR="00A07703">
          <w:rPr>
            <w:noProof/>
            <w:webHidden/>
          </w:rPr>
          <w:t>5</w:t>
        </w:r>
        <w:r w:rsidR="008B3018">
          <w:rPr>
            <w:noProof/>
            <w:webHidden/>
          </w:rPr>
          <w:fldChar w:fldCharType="end"/>
        </w:r>
      </w:hyperlink>
    </w:p>
    <w:p w14:paraId="300962A4" w14:textId="2E217891" w:rsidR="008B3018" w:rsidRDefault="00CA5735">
      <w:pPr>
        <w:pStyle w:val="TableofFigures"/>
        <w:tabs>
          <w:tab w:val="right" w:leader="dot" w:pos="8290"/>
        </w:tabs>
        <w:rPr>
          <w:rFonts w:asciiTheme="minorHAnsi" w:eastAsiaTheme="minorEastAsia" w:hAnsiTheme="minorHAnsi" w:cstheme="minorBidi"/>
          <w:noProof/>
          <w:sz w:val="22"/>
          <w:szCs w:val="22"/>
        </w:rPr>
      </w:pPr>
      <w:hyperlink w:anchor="_Toc524354017" w:history="1">
        <w:r w:rsidR="008B3018" w:rsidRPr="006409C3">
          <w:rPr>
            <w:rStyle w:val="Hyperlink"/>
            <w:noProof/>
          </w:rPr>
          <w:t>Table 24: DEDJTR’s compliance activities in 2017–18</w:t>
        </w:r>
        <w:r w:rsidR="008B3018">
          <w:rPr>
            <w:noProof/>
            <w:webHidden/>
          </w:rPr>
          <w:tab/>
        </w:r>
        <w:r w:rsidR="008B3018">
          <w:rPr>
            <w:noProof/>
            <w:webHidden/>
          </w:rPr>
          <w:fldChar w:fldCharType="begin"/>
        </w:r>
        <w:r w:rsidR="008B3018">
          <w:rPr>
            <w:noProof/>
            <w:webHidden/>
          </w:rPr>
          <w:instrText xml:space="preserve"> PAGEREF _Toc524354017 \h </w:instrText>
        </w:r>
        <w:r w:rsidR="008B3018">
          <w:rPr>
            <w:noProof/>
            <w:webHidden/>
          </w:rPr>
        </w:r>
        <w:r w:rsidR="008B3018">
          <w:rPr>
            <w:noProof/>
            <w:webHidden/>
          </w:rPr>
          <w:fldChar w:fldCharType="separate"/>
        </w:r>
        <w:r w:rsidR="00A07703">
          <w:rPr>
            <w:noProof/>
            <w:webHidden/>
          </w:rPr>
          <w:t>5</w:t>
        </w:r>
        <w:r w:rsidR="008B3018">
          <w:rPr>
            <w:noProof/>
            <w:webHidden/>
          </w:rPr>
          <w:fldChar w:fldCharType="end"/>
        </w:r>
      </w:hyperlink>
    </w:p>
    <w:p w14:paraId="731A06AA" w14:textId="0B517A9E" w:rsidR="008B3018" w:rsidRDefault="00CA5735">
      <w:pPr>
        <w:pStyle w:val="TableofFigures"/>
        <w:tabs>
          <w:tab w:val="right" w:leader="dot" w:pos="8290"/>
        </w:tabs>
        <w:rPr>
          <w:rFonts w:asciiTheme="minorHAnsi" w:eastAsiaTheme="minorEastAsia" w:hAnsiTheme="minorHAnsi" w:cstheme="minorBidi"/>
          <w:noProof/>
          <w:sz w:val="22"/>
          <w:szCs w:val="22"/>
        </w:rPr>
      </w:pPr>
      <w:hyperlink w:anchor="_Toc524354018" w:history="1">
        <w:r w:rsidR="008B3018" w:rsidRPr="006409C3">
          <w:rPr>
            <w:rStyle w:val="Hyperlink"/>
            <w:noProof/>
          </w:rPr>
          <w:t>Table 25: DEDJTR’s performance in 2017–18</w:t>
        </w:r>
        <w:r w:rsidR="008B3018">
          <w:rPr>
            <w:noProof/>
            <w:webHidden/>
          </w:rPr>
          <w:tab/>
        </w:r>
        <w:r w:rsidR="008B3018">
          <w:rPr>
            <w:noProof/>
            <w:webHidden/>
          </w:rPr>
          <w:fldChar w:fldCharType="begin"/>
        </w:r>
        <w:r w:rsidR="008B3018">
          <w:rPr>
            <w:noProof/>
            <w:webHidden/>
          </w:rPr>
          <w:instrText xml:space="preserve"> PAGEREF _Toc524354018 \h </w:instrText>
        </w:r>
        <w:r w:rsidR="008B3018">
          <w:rPr>
            <w:noProof/>
            <w:webHidden/>
          </w:rPr>
        </w:r>
        <w:r w:rsidR="008B3018">
          <w:rPr>
            <w:noProof/>
            <w:webHidden/>
          </w:rPr>
          <w:fldChar w:fldCharType="separate"/>
        </w:r>
        <w:r w:rsidR="00A07703">
          <w:rPr>
            <w:noProof/>
            <w:webHidden/>
          </w:rPr>
          <w:t>5</w:t>
        </w:r>
        <w:r w:rsidR="008B3018">
          <w:rPr>
            <w:noProof/>
            <w:webHidden/>
          </w:rPr>
          <w:fldChar w:fldCharType="end"/>
        </w:r>
      </w:hyperlink>
    </w:p>
    <w:p w14:paraId="487EA6D6" w14:textId="6C06A02F" w:rsidR="008B3018" w:rsidRDefault="00CA5735">
      <w:pPr>
        <w:pStyle w:val="TableofFigures"/>
        <w:tabs>
          <w:tab w:val="right" w:leader="dot" w:pos="8290"/>
        </w:tabs>
        <w:rPr>
          <w:rFonts w:asciiTheme="minorHAnsi" w:eastAsiaTheme="minorEastAsia" w:hAnsiTheme="minorHAnsi" w:cstheme="minorBidi"/>
          <w:noProof/>
          <w:sz w:val="22"/>
          <w:szCs w:val="22"/>
        </w:rPr>
      </w:pPr>
      <w:hyperlink w:anchor="_Toc524354019" w:history="1">
        <w:r w:rsidR="008B3018" w:rsidRPr="006409C3">
          <w:rPr>
            <w:rStyle w:val="Hyperlink"/>
            <w:noProof/>
          </w:rPr>
          <w:t>Table 26: DET’s compliance activities in 2017–18</w:t>
        </w:r>
        <w:r w:rsidR="008B3018">
          <w:rPr>
            <w:noProof/>
            <w:webHidden/>
          </w:rPr>
          <w:tab/>
        </w:r>
        <w:r w:rsidR="008B3018">
          <w:rPr>
            <w:noProof/>
            <w:webHidden/>
          </w:rPr>
          <w:fldChar w:fldCharType="begin"/>
        </w:r>
        <w:r w:rsidR="008B3018">
          <w:rPr>
            <w:noProof/>
            <w:webHidden/>
          </w:rPr>
          <w:instrText xml:space="preserve"> PAGEREF _Toc524354019 \h </w:instrText>
        </w:r>
        <w:r w:rsidR="008B3018">
          <w:rPr>
            <w:noProof/>
            <w:webHidden/>
          </w:rPr>
        </w:r>
        <w:r w:rsidR="008B3018">
          <w:rPr>
            <w:noProof/>
            <w:webHidden/>
          </w:rPr>
          <w:fldChar w:fldCharType="separate"/>
        </w:r>
        <w:r w:rsidR="00A07703">
          <w:rPr>
            <w:noProof/>
            <w:webHidden/>
          </w:rPr>
          <w:t>5</w:t>
        </w:r>
        <w:r w:rsidR="008B3018">
          <w:rPr>
            <w:noProof/>
            <w:webHidden/>
          </w:rPr>
          <w:fldChar w:fldCharType="end"/>
        </w:r>
      </w:hyperlink>
    </w:p>
    <w:p w14:paraId="3DD33BFB" w14:textId="7FAE5C09" w:rsidR="008B3018" w:rsidRDefault="00CA5735">
      <w:pPr>
        <w:pStyle w:val="TableofFigures"/>
        <w:tabs>
          <w:tab w:val="right" w:leader="dot" w:pos="8290"/>
        </w:tabs>
        <w:rPr>
          <w:rFonts w:asciiTheme="minorHAnsi" w:eastAsiaTheme="minorEastAsia" w:hAnsiTheme="minorHAnsi" w:cstheme="minorBidi"/>
          <w:noProof/>
          <w:sz w:val="22"/>
          <w:szCs w:val="22"/>
        </w:rPr>
      </w:pPr>
      <w:hyperlink w:anchor="_Toc524354020" w:history="1">
        <w:r w:rsidR="008B3018" w:rsidRPr="006409C3">
          <w:rPr>
            <w:rStyle w:val="Hyperlink"/>
            <w:noProof/>
          </w:rPr>
          <w:t>Table 27: DET’s performance in 2017–18</w:t>
        </w:r>
        <w:r w:rsidR="008B3018">
          <w:rPr>
            <w:noProof/>
            <w:webHidden/>
          </w:rPr>
          <w:tab/>
        </w:r>
        <w:r w:rsidR="008B3018">
          <w:rPr>
            <w:noProof/>
            <w:webHidden/>
          </w:rPr>
          <w:fldChar w:fldCharType="begin"/>
        </w:r>
        <w:r w:rsidR="008B3018">
          <w:rPr>
            <w:noProof/>
            <w:webHidden/>
          </w:rPr>
          <w:instrText xml:space="preserve"> PAGEREF _Toc524354020 \h </w:instrText>
        </w:r>
        <w:r w:rsidR="008B3018">
          <w:rPr>
            <w:noProof/>
            <w:webHidden/>
          </w:rPr>
        </w:r>
        <w:r w:rsidR="008B3018">
          <w:rPr>
            <w:noProof/>
            <w:webHidden/>
          </w:rPr>
          <w:fldChar w:fldCharType="separate"/>
        </w:r>
        <w:r w:rsidR="00A07703">
          <w:rPr>
            <w:noProof/>
            <w:webHidden/>
          </w:rPr>
          <w:t>5</w:t>
        </w:r>
        <w:r w:rsidR="008B3018">
          <w:rPr>
            <w:noProof/>
            <w:webHidden/>
          </w:rPr>
          <w:fldChar w:fldCharType="end"/>
        </w:r>
      </w:hyperlink>
    </w:p>
    <w:p w14:paraId="6BB0D6A9" w14:textId="30AACA1E" w:rsidR="008B3018" w:rsidRDefault="00CA5735">
      <w:pPr>
        <w:pStyle w:val="TableofFigures"/>
        <w:tabs>
          <w:tab w:val="right" w:leader="dot" w:pos="8290"/>
        </w:tabs>
        <w:rPr>
          <w:rFonts w:asciiTheme="minorHAnsi" w:eastAsiaTheme="minorEastAsia" w:hAnsiTheme="minorHAnsi" w:cstheme="minorBidi"/>
          <w:noProof/>
          <w:sz w:val="22"/>
          <w:szCs w:val="22"/>
        </w:rPr>
      </w:pPr>
      <w:hyperlink w:anchor="_Toc524354021" w:history="1">
        <w:r w:rsidR="008B3018" w:rsidRPr="006409C3">
          <w:rPr>
            <w:rStyle w:val="Hyperlink"/>
            <w:noProof/>
          </w:rPr>
          <w:t>Table 28: DELWP’s compliance activities in 2017–18</w:t>
        </w:r>
        <w:r w:rsidR="008B3018">
          <w:rPr>
            <w:noProof/>
            <w:webHidden/>
          </w:rPr>
          <w:tab/>
        </w:r>
        <w:r w:rsidR="008B3018">
          <w:rPr>
            <w:noProof/>
            <w:webHidden/>
          </w:rPr>
          <w:fldChar w:fldCharType="begin"/>
        </w:r>
        <w:r w:rsidR="008B3018">
          <w:rPr>
            <w:noProof/>
            <w:webHidden/>
          </w:rPr>
          <w:instrText xml:space="preserve"> PAGEREF _Toc524354021 \h </w:instrText>
        </w:r>
        <w:r w:rsidR="008B3018">
          <w:rPr>
            <w:noProof/>
            <w:webHidden/>
          </w:rPr>
        </w:r>
        <w:r w:rsidR="008B3018">
          <w:rPr>
            <w:noProof/>
            <w:webHidden/>
          </w:rPr>
          <w:fldChar w:fldCharType="separate"/>
        </w:r>
        <w:r w:rsidR="00A07703">
          <w:rPr>
            <w:noProof/>
            <w:webHidden/>
          </w:rPr>
          <w:t>5</w:t>
        </w:r>
        <w:r w:rsidR="008B3018">
          <w:rPr>
            <w:noProof/>
            <w:webHidden/>
          </w:rPr>
          <w:fldChar w:fldCharType="end"/>
        </w:r>
      </w:hyperlink>
    </w:p>
    <w:p w14:paraId="7A28005C" w14:textId="068FD889" w:rsidR="008B3018" w:rsidRDefault="00CA5735">
      <w:pPr>
        <w:pStyle w:val="TableofFigures"/>
        <w:tabs>
          <w:tab w:val="right" w:leader="dot" w:pos="8290"/>
        </w:tabs>
        <w:rPr>
          <w:rFonts w:asciiTheme="minorHAnsi" w:eastAsiaTheme="minorEastAsia" w:hAnsiTheme="minorHAnsi" w:cstheme="minorBidi"/>
          <w:noProof/>
          <w:sz w:val="22"/>
          <w:szCs w:val="22"/>
        </w:rPr>
      </w:pPr>
      <w:hyperlink w:anchor="_Toc524354022" w:history="1">
        <w:r w:rsidR="008B3018" w:rsidRPr="006409C3">
          <w:rPr>
            <w:rStyle w:val="Hyperlink"/>
            <w:noProof/>
          </w:rPr>
          <w:t>Table 29: DELWP’s performance in 2017–18</w:t>
        </w:r>
        <w:r w:rsidR="008B3018">
          <w:rPr>
            <w:noProof/>
            <w:webHidden/>
          </w:rPr>
          <w:tab/>
        </w:r>
        <w:r w:rsidR="008B3018">
          <w:rPr>
            <w:noProof/>
            <w:webHidden/>
          </w:rPr>
          <w:fldChar w:fldCharType="begin"/>
        </w:r>
        <w:r w:rsidR="008B3018">
          <w:rPr>
            <w:noProof/>
            <w:webHidden/>
          </w:rPr>
          <w:instrText xml:space="preserve"> PAGEREF _Toc524354022 \h </w:instrText>
        </w:r>
        <w:r w:rsidR="008B3018">
          <w:rPr>
            <w:noProof/>
            <w:webHidden/>
          </w:rPr>
        </w:r>
        <w:r w:rsidR="008B3018">
          <w:rPr>
            <w:noProof/>
            <w:webHidden/>
          </w:rPr>
          <w:fldChar w:fldCharType="separate"/>
        </w:r>
        <w:r w:rsidR="00A07703">
          <w:rPr>
            <w:noProof/>
            <w:webHidden/>
          </w:rPr>
          <w:t>5</w:t>
        </w:r>
        <w:r w:rsidR="008B3018">
          <w:rPr>
            <w:noProof/>
            <w:webHidden/>
          </w:rPr>
          <w:fldChar w:fldCharType="end"/>
        </w:r>
      </w:hyperlink>
    </w:p>
    <w:p w14:paraId="6BA2CA12" w14:textId="654235D8" w:rsidR="008B3018" w:rsidRDefault="00CA5735">
      <w:pPr>
        <w:pStyle w:val="TableofFigures"/>
        <w:tabs>
          <w:tab w:val="right" w:leader="dot" w:pos="8290"/>
        </w:tabs>
        <w:rPr>
          <w:rFonts w:asciiTheme="minorHAnsi" w:eastAsiaTheme="minorEastAsia" w:hAnsiTheme="minorHAnsi" w:cstheme="minorBidi"/>
          <w:noProof/>
          <w:sz w:val="22"/>
          <w:szCs w:val="22"/>
        </w:rPr>
      </w:pPr>
      <w:hyperlink w:anchor="_Toc524354023" w:history="1">
        <w:r w:rsidR="008B3018" w:rsidRPr="006409C3">
          <w:rPr>
            <w:rStyle w:val="Hyperlink"/>
            <w:noProof/>
          </w:rPr>
          <w:t>Table 30: DHHS compliance activities in 2017–18</w:t>
        </w:r>
        <w:r w:rsidR="008B3018">
          <w:rPr>
            <w:noProof/>
            <w:webHidden/>
          </w:rPr>
          <w:tab/>
        </w:r>
        <w:r w:rsidR="008B3018">
          <w:rPr>
            <w:noProof/>
            <w:webHidden/>
          </w:rPr>
          <w:fldChar w:fldCharType="begin"/>
        </w:r>
        <w:r w:rsidR="008B3018">
          <w:rPr>
            <w:noProof/>
            <w:webHidden/>
          </w:rPr>
          <w:instrText xml:space="preserve"> PAGEREF _Toc524354023 \h </w:instrText>
        </w:r>
        <w:r w:rsidR="008B3018">
          <w:rPr>
            <w:noProof/>
            <w:webHidden/>
          </w:rPr>
        </w:r>
        <w:r w:rsidR="008B3018">
          <w:rPr>
            <w:noProof/>
            <w:webHidden/>
          </w:rPr>
          <w:fldChar w:fldCharType="separate"/>
        </w:r>
        <w:r w:rsidR="00A07703">
          <w:rPr>
            <w:noProof/>
            <w:webHidden/>
          </w:rPr>
          <w:t>5</w:t>
        </w:r>
        <w:r w:rsidR="008B3018">
          <w:rPr>
            <w:noProof/>
            <w:webHidden/>
          </w:rPr>
          <w:fldChar w:fldCharType="end"/>
        </w:r>
      </w:hyperlink>
    </w:p>
    <w:p w14:paraId="5F2F1018" w14:textId="1F0F3092" w:rsidR="008B3018" w:rsidRDefault="00CA5735">
      <w:pPr>
        <w:pStyle w:val="TableofFigures"/>
        <w:tabs>
          <w:tab w:val="right" w:leader="dot" w:pos="8290"/>
        </w:tabs>
        <w:rPr>
          <w:rFonts w:asciiTheme="minorHAnsi" w:eastAsiaTheme="minorEastAsia" w:hAnsiTheme="minorHAnsi" w:cstheme="minorBidi"/>
          <w:noProof/>
          <w:sz w:val="22"/>
          <w:szCs w:val="22"/>
        </w:rPr>
      </w:pPr>
      <w:hyperlink w:anchor="_Toc524354024" w:history="1">
        <w:r w:rsidR="008B3018" w:rsidRPr="006409C3">
          <w:rPr>
            <w:rStyle w:val="Hyperlink"/>
            <w:noProof/>
          </w:rPr>
          <w:t>Table 31: DHHS performance in 2017–18</w:t>
        </w:r>
        <w:r w:rsidR="008B3018">
          <w:rPr>
            <w:noProof/>
            <w:webHidden/>
          </w:rPr>
          <w:tab/>
        </w:r>
        <w:r w:rsidR="008B3018">
          <w:rPr>
            <w:noProof/>
            <w:webHidden/>
          </w:rPr>
          <w:fldChar w:fldCharType="begin"/>
        </w:r>
        <w:r w:rsidR="008B3018">
          <w:rPr>
            <w:noProof/>
            <w:webHidden/>
          </w:rPr>
          <w:instrText xml:space="preserve"> PAGEREF _Toc524354024 \h </w:instrText>
        </w:r>
        <w:r w:rsidR="008B3018">
          <w:rPr>
            <w:noProof/>
            <w:webHidden/>
          </w:rPr>
        </w:r>
        <w:r w:rsidR="008B3018">
          <w:rPr>
            <w:noProof/>
            <w:webHidden/>
          </w:rPr>
          <w:fldChar w:fldCharType="separate"/>
        </w:r>
        <w:r w:rsidR="00A07703">
          <w:rPr>
            <w:noProof/>
            <w:webHidden/>
          </w:rPr>
          <w:t>5</w:t>
        </w:r>
        <w:r w:rsidR="008B3018">
          <w:rPr>
            <w:noProof/>
            <w:webHidden/>
          </w:rPr>
          <w:fldChar w:fldCharType="end"/>
        </w:r>
      </w:hyperlink>
    </w:p>
    <w:p w14:paraId="2B8956CA" w14:textId="040D5639" w:rsidR="008B3018" w:rsidRDefault="00CA5735">
      <w:pPr>
        <w:pStyle w:val="TableofFigures"/>
        <w:tabs>
          <w:tab w:val="right" w:leader="dot" w:pos="8290"/>
        </w:tabs>
        <w:rPr>
          <w:rFonts w:asciiTheme="minorHAnsi" w:eastAsiaTheme="minorEastAsia" w:hAnsiTheme="minorHAnsi" w:cstheme="minorBidi"/>
          <w:noProof/>
          <w:sz w:val="22"/>
          <w:szCs w:val="22"/>
        </w:rPr>
      </w:pPr>
      <w:hyperlink w:anchor="_Toc524354025" w:history="1">
        <w:r w:rsidR="008B3018" w:rsidRPr="006409C3">
          <w:rPr>
            <w:rStyle w:val="Hyperlink"/>
            <w:noProof/>
          </w:rPr>
          <w:t>Table 32: DJR’s compliance activities in 2017–18</w:t>
        </w:r>
        <w:r w:rsidR="008B3018">
          <w:rPr>
            <w:noProof/>
            <w:webHidden/>
          </w:rPr>
          <w:tab/>
        </w:r>
        <w:r w:rsidR="008B3018">
          <w:rPr>
            <w:noProof/>
            <w:webHidden/>
          </w:rPr>
          <w:fldChar w:fldCharType="begin"/>
        </w:r>
        <w:r w:rsidR="008B3018">
          <w:rPr>
            <w:noProof/>
            <w:webHidden/>
          </w:rPr>
          <w:instrText xml:space="preserve"> PAGEREF _Toc524354025 \h </w:instrText>
        </w:r>
        <w:r w:rsidR="008B3018">
          <w:rPr>
            <w:noProof/>
            <w:webHidden/>
          </w:rPr>
        </w:r>
        <w:r w:rsidR="008B3018">
          <w:rPr>
            <w:noProof/>
            <w:webHidden/>
          </w:rPr>
          <w:fldChar w:fldCharType="separate"/>
        </w:r>
        <w:r w:rsidR="00A07703">
          <w:rPr>
            <w:noProof/>
            <w:webHidden/>
          </w:rPr>
          <w:t>5</w:t>
        </w:r>
        <w:r w:rsidR="008B3018">
          <w:rPr>
            <w:noProof/>
            <w:webHidden/>
          </w:rPr>
          <w:fldChar w:fldCharType="end"/>
        </w:r>
      </w:hyperlink>
    </w:p>
    <w:p w14:paraId="4ED356B4" w14:textId="475826E1" w:rsidR="008B3018" w:rsidRDefault="00CA5735">
      <w:pPr>
        <w:pStyle w:val="TableofFigures"/>
        <w:tabs>
          <w:tab w:val="right" w:leader="dot" w:pos="8290"/>
        </w:tabs>
        <w:rPr>
          <w:rFonts w:asciiTheme="minorHAnsi" w:eastAsiaTheme="minorEastAsia" w:hAnsiTheme="minorHAnsi" w:cstheme="minorBidi"/>
          <w:noProof/>
          <w:sz w:val="22"/>
          <w:szCs w:val="22"/>
        </w:rPr>
      </w:pPr>
      <w:hyperlink w:anchor="_Toc524354026" w:history="1">
        <w:r w:rsidR="008B3018" w:rsidRPr="006409C3">
          <w:rPr>
            <w:rStyle w:val="Hyperlink"/>
            <w:noProof/>
          </w:rPr>
          <w:t>Table 33: DJR’s performance in 2017–18</w:t>
        </w:r>
        <w:r w:rsidR="008B3018">
          <w:rPr>
            <w:noProof/>
            <w:webHidden/>
          </w:rPr>
          <w:tab/>
        </w:r>
        <w:r w:rsidR="008B3018">
          <w:rPr>
            <w:noProof/>
            <w:webHidden/>
          </w:rPr>
          <w:fldChar w:fldCharType="begin"/>
        </w:r>
        <w:r w:rsidR="008B3018">
          <w:rPr>
            <w:noProof/>
            <w:webHidden/>
          </w:rPr>
          <w:instrText xml:space="preserve"> PAGEREF _Toc524354026 \h </w:instrText>
        </w:r>
        <w:r w:rsidR="008B3018">
          <w:rPr>
            <w:noProof/>
            <w:webHidden/>
          </w:rPr>
        </w:r>
        <w:r w:rsidR="008B3018">
          <w:rPr>
            <w:noProof/>
            <w:webHidden/>
          </w:rPr>
          <w:fldChar w:fldCharType="separate"/>
        </w:r>
        <w:r w:rsidR="00A07703">
          <w:rPr>
            <w:noProof/>
            <w:webHidden/>
          </w:rPr>
          <w:t>5</w:t>
        </w:r>
        <w:r w:rsidR="008B3018">
          <w:rPr>
            <w:noProof/>
            <w:webHidden/>
          </w:rPr>
          <w:fldChar w:fldCharType="end"/>
        </w:r>
      </w:hyperlink>
    </w:p>
    <w:p w14:paraId="1CB210A2" w14:textId="56F16146" w:rsidR="008B3018" w:rsidRDefault="00CA5735">
      <w:pPr>
        <w:pStyle w:val="TableofFigures"/>
        <w:tabs>
          <w:tab w:val="right" w:leader="dot" w:pos="8290"/>
        </w:tabs>
        <w:rPr>
          <w:rFonts w:asciiTheme="minorHAnsi" w:eastAsiaTheme="minorEastAsia" w:hAnsiTheme="minorHAnsi" w:cstheme="minorBidi"/>
          <w:noProof/>
          <w:sz w:val="22"/>
          <w:szCs w:val="22"/>
        </w:rPr>
      </w:pPr>
      <w:hyperlink w:anchor="_Toc524354027" w:history="1">
        <w:r w:rsidR="008B3018" w:rsidRPr="006409C3">
          <w:rPr>
            <w:rStyle w:val="Hyperlink"/>
            <w:noProof/>
          </w:rPr>
          <w:t>Table 34: DPC’s compliance activities in 2017–18</w:t>
        </w:r>
        <w:r w:rsidR="008B3018">
          <w:rPr>
            <w:noProof/>
            <w:webHidden/>
          </w:rPr>
          <w:tab/>
        </w:r>
        <w:r w:rsidR="008B3018">
          <w:rPr>
            <w:noProof/>
            <w:webHidden/>
          </w:rPr>
          <w:fldChar w:fldCharType="begin"/>
        </w:r>
        <w:r w:rsidR="008B3018">
          <w:rPr>
            <w:noProof/>
            <w:webHidden/>
          </w:rPr>
          <w:instrText xml:space="preserve"> PAGEREF _Toc524354027 \h </w:instrText>
        </w:r>
        <w:r w:rsidR="008B3018">
          <w:rPr>
            <w:noProof/>
            <w:webHidden/>
          </w:rPr>
        </w:r>
        <w:r w:rsidR="008B3018">
          <w:rPr>
            <w:noProof/>
            <w:webHidden/>
          </w:rPr>
          <w:fldChar w:fldCharType="separate"/>
        </w:r>
        <w:r w:rsidR="00A07703">
          <w:rPr>
            <w:noProof/>
            <w:webHidden/>
          </w:rPr>
          <w:t>5</w:t>
        </w:r>
        <w:r w:rsidR="008B3018">
          <w:rPr>
            <w:noProof/>
            <w:webHidden/>
          </w:rPr>
          <w:fldChar w:fldCharType="end"/>
        </w:r>
      </w:hyperlink>
    </w:p>
    <w:p w14:paraId="7634D723" w14:textId="40BD8B51" w:rsidR="008B3018" w:rsidRDefault="00CA5735">
      <w:pPr>
        <w:pStyle w:val="TableofFigures"/>
        <w:tabs>
          <w:tab w:val="right" w:leader="dot" w:pos="8290"/>
        </w:tabs>
        <w:rPr>
          <w:rFonts w:asciiTheme="minorHAnsi" w:eastAsiaTheme="minorEastAsia" w:hAnsiTheme="minorHAnsi" w:cstheme="minorBidi"/>
          <w:noProof/>
          <w:sz w:val="22"/>
          <w:szCs w:val="22"/>
        </w:rPr>
      </w:pPr>
      <w:hyperlink w:anchor="_Toc524354028" w:history="1">
        <w:r w:rsidR="008B3018" w:rsidRPr="006409C3">
          <w:rPr>
            <w:rStyle w:val="Hyperlink"/>
            <w:noProof/>
          </w:rPr>
          <w:t>Table 35: DPC’s performance in 2017–18</w:t>
        </w:r>
        <w:r w:rsidR="008B3018">
          <w:rPr>
            <w:noProof/>
            <w:webHidden/>
          </w:rPr>
          <w:tab/>
        </w:r>
        <w:r w:rsidR="008B3018">
          <w:rPr>
            <w:noProof/>
            <w:webHidden/>
          </w:rPr>
          <w:fldChar w:fldCharType="begin"/>
        </w:r>
        <w:r w:rsidR="008B3018">
          <w:rPr>
            <w:noProof/>
            <w:webHidden/>
          </w:rPr>
          <w:instrText xml:space="preserve"> PAGEREF _Toc524354028 \h </w:instrText>
        </w:r>
        <w:r w:rsidR="008B3018">
          <w:rPr>
            <w:noProof/>
            <w:webHidden/>
          </w:rPr>
        </w:r>
        <w:r w:rsidR="008B3018">
          <w:rPr>
            <w:noProof/>
            <w:webHidden/>
          </w:rPr>
          <w:fldChar w:fldCharType="separate"/>
        </w:r>
        <w:r w:rsidR="00A07703">
          <w:rPr>
            <w:noProof/>
            <w:webHidden/>
          </w:rPr>
          <w:t>5</w:t>
        </w:r>
        <w:r w:rsidR="008B3018">
          <w:rPr>
            <w:noProof/>
            <w:webHidden/>
          </w:rPr>
          <w:fldChar w:fldCharType="end"/>
        </w:r>
      </w:hyperlink>
    </w:p>
    <w:p w14:paraId="642E5412" w14:textId="210D7B2E" w:rsidR="008B3018" w:rsidRDefault="00CA5735">
      <w:pPr>
        <w:pStyle w:val="TableofFigures"/>
        <w:tabs>
          <w:tab w:val="right" w:leader="dot" w:pos="8290"/>
        </w:tabs>
        <w:rPr>
          <w:rFonts w:asciiTheme="minorHAnsi" w:eastAsiaTheme="minorEastAsia" w:hAnsiTheme="minorHAnsi" w:cstheme="minorBidi"/>
          <w:noProof/>
          <w:sz w:val="22"/>
          <w:szCs w:val="22"/>
        </w:rPr>
      </w:pPr>
      <w:hyperlink w:anchor="_Toc524354029" w:history="1">
        <w:r w:rsidR="008B3018" w:rsidRPr="006409C3">
          <w:rPr>
            <w:rStyle w:val="Hyperlink"/>
            <w:noProof/>
          </w:rPr>
          <w:t>Table 36: DTF’s compliance activities in 2017–18</w:t>
        </w:r>
        <w:r w:rsidR="008B3018">
          <w:rPr>
            <w:noProof/>
            <w:webHidden/>
          </w:rPr>
          <w:tab/>
        </w:r>
        <w:r w:rsidR="008B3018">
          <w:rPr>
            <w:noProof/>
            <w:webHidden/>
          </w:rPr>
          <w:fldChar w:fldCharType="begin"/>
        </w:r>
        <w:r w:rsidR="008B3018">
          <w:rPr>
            <w:noProof/>
            <w:webHidden/>
          </w:rPr>
          <w:instrText xml:space="preserve"> PAGEREF _Toc524354029 \h </w:instrText>
        </w:r>
        <w:r w:rsidR="008B3018">
          <w:rPr>
            <w:noProof/>
            <w:webHidden/>
          </w:rPr>
        </w:r>
        <w:r w:rsidR="008B3018">
          <w:rPr>
            <w:noProof/>
            <w:webHidden/>
          </w:rPr>
          <w:fldChar w:fldCharType="separate"/>
        </w:r>
        <w:r w:rsidR="00A07703">
          <w:rPr>
            <w:noProof/>
            <w:webHidden/>
          </w:rPr>
          <w:t>5</w:t>
        </w:r>
        <w:r w:rsidR="008B3018">
          <w:rPr>
            <w:noProof/>
            <w:webHidden/>
          </w:rPr>
          <w:fldChar w:fldCharType="end"/>
        </w:r>
      </w:hyperlink>
    </w:p>
    <w:p w14:paraId="605C2834" w14:textId="09BBC4DC" w:rsidR="008B3018" w:rsidRDefault="00CA5735">
      <w:pPr>
        <w:pStyle w:val="TableofFigures"/>
        <w:tabs>
          <w:tab w:val="right" w:leader="dot" w:pos="8290"/>
        </w:tabs>
        <w:rPr>
          <w:rFonts w:asciiTheme="minorHAnsi" w:eastAsiaTheme="minorEastAsia" w:hAnsiTheme="minorHAnsi" w:cstheme="minorBidi"/>
          <w:noProof/>
          <w:sz w:val="22"/>
          <w:szCs w:val="22"/>
        </w:rPr>
      </w:pPr>
      <w:hyperlink w:anchor="_Toc524354030" w:history="1">
        <w:r w:rsidR="008B3018" w:rsidRPr="006409C3">
          <w:rPr>
            <w:rStyle w:val="Hyperlink"/>
            <w:noProof/>
          </w:rPr>
          <w:t>Table 37: DTF’s performance in 2017–18</w:t>
        </w:r>
        <w:r w:rsidR="008B3018">
          <w:rPr>
            <w:noProof/>
            <w:webHidden/>
          </w:rPr>
          <w:tab/>
        </w:r>
        <w:r w:rsidR="008B3018">
          <w:rPr>
            <w:noProof/>
            <w:webHidden/>
          </w:rPr>
          <w:fldChar w:fldCharType="begin"/>
        </w:r>
        <w:r w:rsidR="008B3018">
          <w:rPr>
            <w:noProof/>
            <w:webHidden/>
          </w:rPr>
          <w:instrText xml:space="preserve"> PAGEREF _Toc524354030 \h </w:instrText>
        </w:r>
        <w:r w:rsidR="008B3018">
          <w:rPr>
            <w:noProof/>
            <w:webHidden/>
          </w:rPr>
        </w:r>
        <w:r w:rsidR="008B3018">
          <w:rPr>
            <w:noProof/>
            <w:webHidden/>
          </w:rPr>
          <w:fldChar w:fldCharType="separate"/>
        </w:r>
        <w:r w:rsidR="00A07703">
          <w:rPr>
            <w:noProof/>
            <w:webHidden/>
          </w:rPr>
          <w:t>5</w:t>
        </w:r>
        <w:r w:rsidR="008B3018">
          <w:rPr>
            <w:noProof/>
            <w:webHidden/>
          </w:rPr>
          <w:fldChar w:fldCharType="end"/>
        </w:r>
      </w:hyperlink>
    </w:p>
    <w:p w14:paraId="4A7F41C9" w14:textId="409B1038" w:rsidR="008B3018" w:rsidRDefault="00CA5735">
      <w:pPr>
        <w:pStyle w:val="TableofFigures"/>
        <w:tabs>
          <w:tab w:val="right" w:leader="dot" w:pos="8290"/>
        </w:tabs>
        <w:rPr>
          <w:rFonts w:asciiTheme="minorHAnsi" w:eastAsiaTheme="minorEastAsia" w:hAnsiTheme="minorHAnsi" w:cstheme="minorBidi"/>
          <w:noProof/>
          <w:sz w:val="22"/>
          <w:szCs w:val="22"/>
        </w:rPr>
      </w:pPr>
      <w:hyperlink w:anchor="_Toc524354031" w:history="1">
        <w:r w:rsidR="008B3018" w:rsidRPr="006409C3">
          <w:rPr>
            <w:rStyle w:val="Hyperlink"/>
            <w:noProof/>
          </w:rPr>
          <w:t>Table 38: CenITex’s compliance activities in 2017–18</w:t>
        </w:r>
        <w:r w:rsidR="008B3018">
          <w:rPr>
            <w:noProof/>
            <w:webHidden/>
          </w:rPr>
          <w:tab/>
        </w:r>
        <w:r w:rsidR="008B3018">
          <w:rPr>
            <w:noProof/>
            <w:webHidden/>
          </w:rPr>
          <w:fldChar w:fldCharType="begin"/>
        </w:r>
        <w:r w:rsidR="008B3018">
          <w:rPr>
            <w:noProof/>
            <w:webHidden/>
          </w:rPr>
          <w:instrText xml:space="preserve"> PAGEREF _Toc524354031 \h </w:instrText>
        </w:r>
        <w:r w:rsidR="008B3018">
          <w:rPr>
            <w:noProof/>
            <w:webHidden/>
          </w:rPr>
        </w:r>
        <w:r w:rsidR="008B3018">
          <w:rPr>
            <w:noProof/>
            <w:webHidden/>
          </w:rPr>
          <w:fldChar w:fldCharType="separate"/>
        </w:r>
        <w:r w:rsidR="00A07703">
          <w:rPr>
            <w:noProof/>
            <w:webHidden/>
          </w:rPr>
          <w:t>5</w:t>
        </w:r>
        <w:r w:rsidR="008B3018">
          <w:rPr>
            <w:noProof/>
            <w:webHidden/>
          </w:rPr>
          <w:fldChar w:fldCharType="end"/>
        </w:r>
      </w:hyperlink>
    </w:p>
    <w:p w14:paraId="0F0B8F45" w14:textId="3F917B99" w:rsidR="008B3018" w:rsidRDefault="00CA5735">
      <w:pPr>
        <w:pStyle w:val="TableofFigures"/>
        <w:tabs>
          <w:tab w:val="right" w:leader="dot" w:pos="8290"/>
        </w:tabs>
        <w:rPr>
          <w:rFonts w:asciiTheme="minorHAnsi" w:eastAsiaTheme="minorEastAsia" w:hAnsiTheme="minorHAnsi" w:cstheme="minorBidi"/>
          <w:noProof/>
          <w:sz w:val="22"/>
          <w:szCs w:val="22"/>
        </w:rPr>
      </w:pPr>
      <w:hyperlink w:anchor="_Toc524354032" w:history="1">
        <w:r w:rsidR="008B3018" w:rsidRPr="006409C3">
          <w:rPr>
            <w:rStyle w:val="Hyperlink"/>
            <w:noProof/>
          </w:rPr>
          <w:t>Table 39: CenITex’s performance in 2017–18</w:t>
        </w:r>
        <w:r w:rsidR="008B3018">
          <w:rPr>
            <w:noProof/>
            <w:webHidden/>
          </w:rPr>
          <w:tab/>
        </w:r>
        <w:r w:rsidR="008B3018">
          <w:rPr>
            <w:noProof/>
            <w:webHidden/>
          </w:rPr>
          <w:fldChar w:fldCharType="begin"/>
        </w:r>
        <w:r w:rsidR="008B3018">
          <w:rPr>
            <w:noProof/>
            <w:webHidden/>
          </w:rPr>
          <w:instrText xml:space="preserve"> PAGEREF _Toc524354032 \h </w:instrText>
        </w:r>
        <w:r w:rsidR="008B3018">
          <w:rPr>
            <w:noProof/>
            <w:webHidden/>
          </w:rPr>
        </w:r>
        <w:r w:rsidR="008B3018">
          <w:rPr>
            <w:noProof/>
            <w:webHidden/>
          </w:rPr>
          <w:fldChar w:fldCharType="separate"/>
        </w:r>
        <w:r w:rsidR="00A07703">
          <w:rPr>
            <w:noProof/>
            <w:webHidden/>
          </w:rPr>
          <w:t>5</w:t>
        </w:r>
        <w:r w:rsidR="008B3018">
          <w:rPr>
            <w:noProof/>
            <w:webHidden/>
          </w:rPr>
          <w:fldChar w:fldCharType="end"/>
        </w:r>
      </w:hyperlink>
    </w:p>
    <w:p w14:paraId="4983F5F9" w14:textId="5B4D4ED0" w:rsidR="008B3018" w:rsidRDefault="00CA5735">
      <w:pPr>
        <w:pStyle w:val="TableofFigures"/>
        <w:tabs>
          <w:tab w:val="right" w:leader="dot" w:pos="8290"/>
        </w:tabs>
        <w:rPr>
          <w:rFonts w:asciiTheme="minorHAnsi" w:eastAsiaTheme="minorEastAsia" w:hAnsiTheme="minorHAnsi" w:cstheme="minorBidi"/>
          <w:noProof/>
          <w:sz w:val="22"/>
          <w:szCs w:val="22"/>
        </w:rPr>
      </w:pPr>
      <w:hyperlink w:anchor="_Toc524354033" w:history="1">
        <w:r w:rsidR="008B3018" w:rsidRPr="006409C3">
          <w:rPr>
            <w:rStyle w:val="Hyperlink"/>
            <w:noProof/>
          </w:rPr>
          <w:t>Table 40: PTV’s compliance activities in 2017–18</w:t>
        </w:r>
        <w:r w:rsidR="008B3018">
          <w:rPr>
            <w:noProof/>
            <w:webHidden/>
          </w:rPr>
          <w:tab/>
        </w:r>
        <w:r w:rsidR="008B3018">
          <w:rPr>
            <w:noProof/>
            <w:webHidden/>
          </w:rPr>
          <w:fldChar w:fldCharType="begin"/>
        </w:r>
        <w:r w:rsidR="008B3018">
          <w:rPr>
            <w:noProof/>
            <w:webHidden/>
          </w:rPr>
          <w:instrText xml:space="preserve"> PAGEREF _Toc524354033 \h </w:instrText>
        </w:r>
        <w:r w:rsidR="008B3018">
          <w:rPr>
            <w:noProof/>
            <w:webHidden/>
          </w:rPr>
        </w:r>
        <w:r w:rsidR="008B3018">
          <w:rPr>
            <w:noProof/>
            <w:webHidden/>
          </w:rPr>
          <w:fldChar w:fldCharType="separate"/>
        </w:r>
        <w:r w:rsidR="00A07703">
          <w:rPr>
            <w:noProof/>
            <w:webHidden/>
          </w:rPr>
          <w:t>5</w:t>
        </w:r>
        <w:r w:rsidR="008B3018">
          <w:rPr>
            <w:noProof/>
            <w:webHidden/>
          </w:rPr>
          <w:fldChar w:fldCharType="end"/>
        </w:r>
      </w:hyperlink>
    </w:p>
    <w:p w14:paraId="66803C3A" w14:textId="784862C4" w:rsidR="008B3018" w:rsidRDefault="00CA5735">
      <w:pPr>
        <w:pStyle w:val="TableofFigures"/>
        <w:tabs>
          <w:tab w:val="right" w:leader="dot" w:pos="8290"/>
        </w:tabs>
        <w:rPr>
          <w:rFonts w:asciiTheme="minorHAnsi" w:eastAsiaTheme="minorEastAsia" w:hAnsiTheme="minorHAnsi" w:cstheme="minorBidi"/>
          <w:noProof/>
          <w:sz w:val="22"/>
          <w:szCs w:val="22"/>
        </w:rPr>
      </w:pPr>
      <w:hyperlink w:anchor="_Toc524354034" w:history="1">
        <w:r w:rsidR="008B3018" w:rsidRPr="006409C3">
          <w:rPr>
            <w:rStyle w:val="Hyperlink"/>
            <w:noProof/>
          </w:rPr>
          <w:t>Table 41: PTV’s performance in 2017–18</w:t>
        </w:r>
        <w:r w:rsidR="008B3018">
          <w:rPr>
            <w:noProof/>
            <w:webHidden/>
          </w:rPr>
          <w:tab/>
        </w:r>
        <w:r w:rsidR="008B3018">
          <w:rPr>
            <w:noProof/>
            <w:webHidden/>
          </w:rPr>
          <w:fldChar w:fldCharType="begin"/>
        </w:r>
        <w:r w:rsidR="008B3018">
          <w:rPr>
            <w:noProof/>
            <w:webHidden/>
          </w:rPr>
          <w:instrText xml:space="preserve"> PAGEREF _Toc524354034 \h </w:instrText>
        </w:r>
        <w:r w:rsidR="008B3018">
          <w:rPr>
            <w:noProof/>
            <w:webHidden/>
          </w:rPr>
        </w:r>
        <w:r w:rsidR="008B3018">
          <w:rPr>
            <w:noProof/>
            <w:webHidden/>
          </w:rPr>
          <w:fldChar w:fldCharType="separate"/>
        </w:r>
        <w:r w:rsidR="00A07703">
          <w:rPr>
            <w:noProof/>
            <w:webHidden/>
          </w:rPr>
          <w:t>5</w:t>
        </w:r>
        <w:r w:rsidR="008B3018">
          <w:rPr>
            <w:noProof/>
            <w:webHidden/>
          </w:rPr>
          <w:fldChar w:fldCharType="end"/>
        </w:r>
      </w:hyperlink>
    </w:p>
    <w:p w14:paraId="6093770D" w14:textId="4259C17F" w:rsidR="008B3018" w:rsidRDefault="00CA5735">
      <w:pPr>
        <w:pStyle w:val="TableofFigures"/>
        <w:tabs>
          <w:tab w:val="right" w:leader="dot" w:pos="8290"/>
        </w:tabs>
        <w:rPr>
          <w:rFonts w:asciiTheme="minorHAnsi" w:eastAsiaTheme="minorEastAsia" w:hAnsiTheme="minorHAnsi" w:cstheme="minorBidi"/>
          <w:noProof/>
          <w:sz w:val="22"/>
          <w:szCs w:val="22"/>
        </w:rPr>
      </w:pPr>
      <w:hyperlink w:anchor="_Toc524354035" w:history="1">
        <w:r w:rsidR="008B3018" w:rsidRPr="006409C3">
          <w:rPr>
            <w:rStyle w:val="Hyperlink"/>
            <w:noProof/>
          </w:rPr>
          <w:t>Table 42: VicRoads’ compliance activities in 2017–18</w:t>
        </w:r>
        <w:r w:rsidR="008B3018">
          <w:rPr>
            <w:noProof/>
            <w:webHidden/>
          </w:rPr>
          <w:tab/>
        </w:r>
        <w:r w:rsidR="008B3018">
          <w:rPr>
            <w:noProof/>
            <w:webHidden/>
          </w:rPr>
          <w:fldChar w:fldCharType="begin"/>
        </w:r>
        <w:r w:rsidR="008B3018">
          <w:rPr>
            <w:noProof/>
            <w:webHidden/>
          </w:rPr>
          <w:instrText xml:space="preserve"> PAGEREF _Toc524354035 \h </w:instrText>
        </w:r>
        <w:r w:rsidR="008B3018">
          <w:rPr>
            <w:noProof/>
            <w:webHidden/>
          </w:rPr>
        </w:r>
        <w:r w:rsidR="008B3018">
          <w:rPr>
            <w:noProof/>
            <w:webHidden/>
          </w:rPr>
          <w:fldChar w:fldCharType="separate"/>
        </w:r>
        <w:r w:rsidR="00A07703">
          <w:rPr>
            <w:noProof/>
            <w:webHidden/>
          </w:rPr>
          <w:t>5</w:t>
        </w:r>
        <w:r w:rsidR="008B3018">
          <w:rPr>
            <w:noProof/>
            <w:webHidden/>
          </w:rPr>
          <w:fldChar w:fldCharType="end"/>
        </w:r>
      </w:hyperlink>
    </w:p>
    <w:p w14:paraId="144B22D7" w14:textId="0D2822BA" w:rsidR="008B3018" w:rsidRDefault="00CA5735">
      <w:pPr>
        <w:pStyle w:val="TableofFigures"/>
        <w:tabs>
          <w:tab w:val="right" w:leader="dot" w:pos="8290"/>
        </w:tabs>
        <w:rPr>
          <w:rFonts w:asciiTheme="minorHAnsi" w:eastAsiaTheme="minorEastAsia" w:hAnsiTheme="minorHAnsi" w:cstheme="minorBidi"/>
          <w:noProof/>
          <w:sz w:val="22"/>
          <w:szCs w:val="22"/>
        </w:rPr>
      </w:pPr>
      <w:hyperlink w:anchor="_Toc524354036" w:history="1">
        <w:r w:rsidR="008B3018" w:rsidRPr="006409C3">
          <w:rPr>
            <w:rStyle w:val="Hyperlink"/>
            <w:noProof/>
          </w:rPr>
          <w:t>Table 43: VicRoads’ performance in 2017–18</w:t>
        </w:r>
        <w:r w:rsidR="008B3018">
          <w:rPr>
            <w:noProof/>
            <w:webHidden/>
          </w:rPr>
          <w:tab/>
        </w:r>
        <w:r w:rsidR="008B3018">
          <w:rPr>
            <w:noProof/>
            <w:webHidden/>
          </w:rPr>
          <w:fldChar w:fldCharType="begin"/>
        </w:r>
        <w:r w:rsidR="008B3018">
          <w:rPr>
            <w:noProof/>
            <w:webHidden/>
          </w:rPr>
          <w:instrText xml:space="preserve"> PAGEREF _Toc524354036 \h </w:instrText>
        </w:r>
        <w:r w:rsidR="008B3018">
          <w:rPr>
            <w:noProof/>
            <w:webHidden/>
          </w:rPr>
        </w:r>
        <w:r w:rsidR="008B3018">
          <w:rPr>
            <w:noProof/>
            <w:webHidden/>
          </w:rPr>
          <w:fldChar w:fldCharType="separate"/>
        </w:r>
        <w:r w:rsidR="00A07703">
          <w:rPr>
            <w:noProof/>
            <w:webHidden/>
          </w:rPr>
          <w:t>5</w:t>
        </w:r>
        <w:r w:rsidR="008B3018">
          <w:rPr>
            <w:noProof/>
            <w:webHidden/>
          </w:rPr>
          <w:fldChar w:fldCharType="end"/>
        </w:r>
      </w:hyperlink>
    </w:p>
    <w:p w14:paraId="218441E9" w14:textId="537408EF" w:rsidR="008B3018" w:rsidRDefault="00CA5735">
      <w:pPr>
        <w:pStyle w:val="TableofFigures"/>
        <w:tabs>
          <w:tab w:val="right" w:leader="dot" w:pos="8290"/>
        </w:tabs>
        <w:rPr>
          <w:rFonts w:asciiTheme="minorHAnsi" w:eastAsiaTheme="minorEastAsia" w:hAnsiTheme="minorHAnsi" w:cstheme="minorBidi"/>
          <w:noProof/>
          <w:sz w:val="22"/>
          <w:szCs w:val="22"/>
        </w:rPr>
      </w:pPr>
      <w:hyperlink w:anchor="_Toc524354037" w:history="1">
        <w:r w:rsidR="008B3018" w:rsidRPr="006409C3">
          <w:rPr>
            <w:rStyle w:val="Hyperlink"/>
            <w:noProof/>
          </w:rPr>
          <w:t>Table 44: Victoria Police’s compliance activities in 2017–18</w:t>
        </w:r>
        <w:r w:rsidR="008B3018">
          <w:rPr>
            <w:noProof/>
            <w:webHidden/>
          </w:rPr>
          <w:tab/>
        </w:r>
        <w:r w:rsidR="008B3018">
          <w:rPr>
            <w:noProof/>
            <w:webHidden/>
          </w:rPr>
          <w:fldChar w:fldCharType="begin"/>
        </w:r>
        <w:r w:rsidR="008B3018">
          <w:rPr>
            <w:noProof/>
            <w:webHidden/>
          </w:rPr>
          <w:instrText xml:space="preserve"> PAGEREF _Toc524354037 \h </w:instrText>
        </w:r>
        <w:r w:rsidR="008B3018">
          <w:rPr>
            <w:noProof/>
            <w:webHidden/>
          </w:rPr>
        </w:r>
        <w:r w:rsidR="008B3018">
          <w:rPr>
            <w:noProof/>
            <w:webHidden/>
          </w:rPr>
          <w:fldChar w:fldCharType="separate"/>
        </w:r>
        <w:r w:rsidR="00A07703">
          <w:rPr>
            <w:noProof/>
            <w:webHidden/>
          </w:rPr>
          <w:t>5</w:t>
        </w:r>
        <w:r w:rsidR="008B3018">
          <w:rPr>
            <w:noProof/>
            <w:webHidden/>
          </w:rPr>
          <w:fldChar w:fldCharType="end"/>
        </w:r>
      </w:hyperlink>
    </w:p>
    <w:p w14:paraId="69E15D23" w14:textId="5EAD62EF" w:rsidR="008B3018" w:rsidRDefault="00CA5735">
      <w:pPr>
        <w:pStyle w:val="TableofFigures"/>
        <w:tabs>
          <w:tab w:val="right" w:leader="dot" w:pos="8290"/>
        </w:tabs>
        <w:rPr>
          <w:rFonts w:asciiTheme="minorHAnsi" w:eastAsiaTheme="minorEastAsia" w:hAnsiTheme="minorHAnsi" w:cstheme="minorBidi"/>
          <w:noProof/>
          <w:sz w:val="22"/>
          <w:szCs w:val="22"/>
        </w:rPr>
      </w:pPr>
      <w:hyperlink w:anchor="_Toc524354038" w:history="1">
        <w:r w:rsidR="008B3018" w:rsidRPr="006409C3">
          <w:rPr>
            <w:rStyle w:val="Hyperlink"/>
            <w:noProof/>
          </w:rPr>
          <w:t>Table 45: Victoria Police performance in 2017–18</w:t>
        </w:r>
        <w:r w:rsidR="008B3018">
          <w:rPr>
            <w:noProof/>
            <w:webHidden/>
          </w:rPr>
          <w:tab/>
        </w:r>
        <w:r w:rsidR="008B3018">
          <w:rPr>
            <w:noProof/>
            <w:webHidden/>
          </w:rPr>
          <w:fldChar w:fldCharType="begin"/>
        </w:r>
        <w:r w:rsidR="008B3018">
          <w:rPr>
            <w:noProof/>
            <w:webHidden/>
          </w:rPr>
          <w:instrText xml:space="preserve"> PAGEREF _Toc524354038 \h </w:instrText>
        </w:r>
        <w:r w:rsidR="008B3018">
          <w:rPr>
            <w:noProof/>
            <w:webHidden/>
          </w:rPr>
        </w:r>
        <w:r w:rsidR="008B3018">
          <w:rPr>
            <w:noProof/>
            <w:webHidden/>
          </w:rPr>
          <w:fldChar w:fldCharType="separate"/>
        </w:r>
        <w:r w:rsidR="00A07703">
          <w:rPr>
            <w:noProof/>
            <w:webHidden/>
          </w:rPr>
          <w:t>5</w:t>
        </w:r>
        <w:r w:rsidR="008B3018">
          <w:rPr>
            <w:noProof/>
            <w:webHidden/>
          </w:rPr>
          <w:fldChar w:fldCharType="end"/>
        </w:r>
      </w:hyperlink>
    </w:p>
    <w:p w14:paraId="05BEEB39" w14:textId="2E26B5EB" w:rsidR="008B3018" w:rsidRDefault="00CA5735">
      <w:pPr>
        <w:pStyle w:val="TableofFigures"/>
        <w:tabs>
          <w:tab w:val="right" w:leader="dot" w:pos="8290"/>
        </w:tabs>
        <w:rPr>
          <w:rFonts w:asciiTheme="minorHAnsi" w:eastAsiaTheme="minorEastAsia" w:hAnsiTheme="minorHAnsi" w:cstheme="minorBidi"/>
          <w:noProof/>
          <w:sz w:val="22"/>
          <w:szCs w:val="22"/>
        </w:rPr>
      </w:pPr>
      <w:hyperlink w:anchor="_Toc524354039" w:history="1">
        <w:r w:rsidR="008B3018" w:rsidRPr="006409C3">
          <w:rPr>
            <w:rStyle w:val="Hyperlink"/>
            <w:noProof/>
          </w:rPr>
          <w:t>Table 46: Breakdown of SEPCs approved in 2017–18</w:t>
        </w:r>
        <w:r w:rsidR="008B3018">
          <w:rPr>
            <w:noProof/>
            <w:webHidden/>
          </w:rPr>
          <w:tab/>
        </w:r>
        <w:r w:rsidR="008B3018">
          <w:rPr>
            <w:noProof/>
            <w:webHidden/>
          </w:rPr>
          <w:fldChar w:fldCharType="begin"/>
        </w:r>
        <w:r w:rsidR="008B3018">
          <w:rPr>
            <w:noProof/>
            <w:webHidden/>
          </w:rPr>
          <w:instrText xml:space="preserve"> PAGEREF _Toc524354039 \h </w:instrText>
        </w:r>
        <w:r w:rsidR="008B3018">
          <w:rPr>
            <w:noProof/>
            <w:webHidden/>
          </w:rPr>
        </w:r>
        <w:r w:rsidR="008B3018">
          <w:rPr>
            <w:noProof/>
            <w:webHidden/>
          </w:rPr>
          <w:fldChar w:fldCharType="separate"/>
        </w:r>
        <w:r w:rsidR="00A07703">
          <w:rPr>
            <w:noProof/>
            <w:webHidden/>
          </w:rPr>
          <w:t>5</w:t>
        </w:r>
        <w:r w:rsidR="008B3018">
          <w:rPr>
            <w:noProof/>
            <w:webHidden/>
          </w:rPr>
          <w:fldChar w:fldCharType="end"/>
        </w:r>
      </w:hyperlink>
    </w:p>
    <w:p w14:paraId="312ACBCD" w14:textId="368E4E8F" w:rsidR="00812C89" w:rsidRPr="00CD6245" w:rsidRDefault="002B07C2" w:rsidP="007C2A1B">
      <w:pPr>
        <w:ind w:left="851"/>
        <w:rPr>
          <w:rFonts w:cs="Arial"/>
        </w:rPr>
      </w:pPr>
      <w:r w:rsidRPr="00CD6245">
        <w:rPr>
          <w:rFonts w:cs="Arial"/>
        </w:rPr>
        <w:fldChar w:fldCharType="end"/>
      </w:r>
    </w:p>
    <w:p w14:paraId="2EEE1FED" w14:textId="77777777" w:rsidR="00B45C4C" w:rsidRDefault="00B45C4C">
      <w:pPr>
        <w:pStyle w:val="TableofFigures"/>
        <w:tabs>
          <w:tab w:val="right" w:leader="dot" w:pos="8290"/>
        </w:tabs>
        <w:rPr>
          <w:rFonts w:cs="Arial"/>
        </w:rPr>
      </w:pPr>
    </w:p>
    <w:p w14:paraId="745C2F14" w14:textId="6740793E" w:rsidR="00B45C4C" w:rsidRPr="009D2BCF" w:rsidRDefault="00B45C4C" w:rsidP="009D2BCF">
      <w:pPr>
        <w:pStyle w:val="Sectionintro"/>
      </w:pPr>
      <w:r>
        <w:rPr>
          <w:rFonts w:cs="Arial"/>
        </w:rPr>
        <w:br w:type="page"/>
      </w:r>
      <w:r w:rsidRPr="009D2BCF">
        <w:lastRenderedPageBreak/>
        <w:t>Figures</w:t>
      </w:r>
    </w:p>
    <w:p w14:paraId="765BB021" w14:textId="763EF401" w:rsidR="008B3018" w:rsidRDefault="00F50102">
      <w:pPr>
        <w:pStyle w:val="TableofFigures"/>
        <w:tabs>
          <w:tab w:val="right" w:leader="dot" w:pos="8290"/>
        </w:tabs>
        <w:rPr>
          <w:rFonts w:asciiTheme="minorHAnsi" w:eastAsiaTheme="minorEastAsia" w:hAnsiTheme="minorHAnsi" w:cstheme="minorBidi"/>
          <w:noProof/>
          <w:sz w:val="22"/>
          <w:szCs w:val="22"/>
        </w:rPr>
      </w:pPr>
      <w:r>
        <w:rPr>
          <w:rFonts w:cs="Arial"/>
        </w:rPr>
        <w:fldChar w:fldCharType="begin"/>
      </w:r>
      <w:r>
        <w:rPr>
          <w:rFonts w:cs="Arial"/>
        </w:rPr>
        <w:instrText xml:space="preserve"> TOC \h \z \c "Figure" </w:instrText>
      </w:r>
      <w:r>
        <w:rPr>
          <w:rFonts w:cs="Arial"/>
        </w:rPr>
        <w:fldChar w:fldCharType="separate"/>
      </w:r>
      <w:hyperlink w:anchor="_Toc524354040" w:history="1">
        <w:r w:rsidR="008B3018" w:rsidRPr="00E83F76">
          <w:rPr>
            <w:rStyle w:val="Hyperlink"/>
            <w:noProof/>
          </w:rPr>
          <w:t>Figure 1: VGPB strategic overview</w:t>
        </w:r>
        <w:r w:rsidR="008B3018">
          <w:rPr>
            <w:noProof/>
            <w:webHidden/>
          </w:rPr>
          <w:tab/>
        </w:r>
        <w:r w:rsidR="008B3018">
          <w:rPr>
            <w:noProof/>
            <w:webHidden/>
          </w:rPr>
          <w:fldChar w:fldCharType="begin"/>
        </w:r>
        <w:r w:rsidR="008B3018">
          <w:rPr>
            <w:noProof/>
            <w:webHidden/>
          </w:rPr>
          <w:instrText xml:space="preserve"> PAGEREF _Toc524354040 \h </w:instrText>
        </w:r>
        <w:r w:rsidR="008B3018">
          <w:rPr>
            <w:noProof/>
            <w:webHidden/>
          </w:rPr>
        </w:r>
        <w:r w:rsidR="008B3018">
          <w:rPr>
            <w:noProof/>
            <w:webHidden/>
          </w:rPr>
          <w:fldChar w:fldCharType="separate"/>
        </w:r>
        <w:r w:rsidR="00A07703">
          <w:rPr>
            <w:noProof/>
            <w:webHidden/>
          </w:rPr>
          <w:t>5</w:t>
        </w:r>
        <w:r w:rsidR="008B3018">
          <w:rPr>
            <w:noProof/>
            <w:webHidden/>
          </w:rPr>
          <w:fldChar w:fldCharType="end"/>
        </w:r>
      </w:hyperlink>
    </w:p>
    <w:p w14:paraId="3680DF0B" w14:textId="4113435B" w:rsidR="008B3018" w:rsidRDefault="00CA5735">
      <w:pPr>
        <w:pStyle w:val="TableofFigures"/>
        <w:tabs>
          <w:tab w:val="right" w:leader="dot" w:pos="8290"/>
        </w:tabs>
        <w:rPr>
          <w:rFonts w:asciiTheme="minorHAnsi" w:eastAsiaTheme="minorEastAsia" w:hAnsiTheme="minorHAnsi" w:cstheme="minorBidi"/>
          <w:noProof/>
          <w:sz w:val="22"/>
          <w:szCs w:val="22"/>
        </w:rPr>
      </w:pPr>
      <w:hyperlink w:anchor="_Toc524354041" w:history="1">
        <w:r w:rsidR="008B3018" w:rsidRPr="00E83F76">
          <w:rPr>
            <w:rStyle w:val="Hyperlink"/>
            <w:noProof/>
          </w:rPr>
          <w:t>Figure 2: VGPB reporting relationship</w:t>
        </w:r>
        <w:r w:rsidR="008B3018">
          <w:rPr>
            <w:noProof/>
            <w:webHidden/>
          </w:rPr>
          <w:tab/>
        </w:r>
        <w:r w:rsidR="008B3018">
          <w:rPr>
            <w:noProof/>
            <w:webHidden/>
          </w:rPr>
          <w:fldChar w:fldCharType="begin"/>
        </w:r>
        <w:r w:rsidR="008B3018">
          <w:rPr>
            <w:noProof/>
            <w:webHidden/>
          </w:rPr>
          <w:instrText xml:space="preserve"> PAGEREF _Toc524354041 \h </w:instrText>
        </w:r>
        <w:r w:rsidR="008B3018">
          <w:rPr>
            <w:noProof/>
            <w:webHidden/>
          </w:rPr>
        </w:r>
        <w:r w:rsidR="008B3018">
          <w:rPr>
            <w:noProof/>
            <w:webHidden/>
          </w:rPr>
          <w:fldChar w:fldCharType="separate"/>
        </w:r>
        <w:r w:rsidR="00A07703">
          <w:rPr>
            <w:noProof/>
            <w:webHidden/>
          </w:rPr>
          <w:t>5</w:t>
        </w:r>
        <w:r w:rsidR="008B3018">
          <w:rPr>
            <w:noProof/>
            <w:webHidden/>
          </w:rPr>
          <w:fldChar w:fldCharType="end"/>
        </w:r>
      </w:hyperlink>
    </w:p>
    <w:p w14:paraId="08F988FC" w14:textId="2EFB19AB" w:rsidR="008B3018" w:rsidRDefault="00CA5735">
      <w:pPr>
        <w:pStyle w:val="TableofFigures"/>
        <w:tabs>
          <w:tab w:val="right" w:leader="dot" w:pos="8290"/>
        </w:tabs>
        <w:rPr>
          <w:rFonts w:asciiTheme="minorHAnsi" w:eastAsiaTheme="minorEastAsia" w:hAnsiTheme="minorHAnsi" w:cstheme="minorBidi"/>
          <w:noProof/>
          <w:sz w:val="22"/>
          <w:szCs w:val="22"/>
        </w:rPr>
      </w:pPr>
      <w:hyperlink w:anchor="_Toc524354042" w:history="1">
        <w:r w:rsidR="008B3018" w:rsidRPr="00E83F76">
          <w:rPr>
            <w:rStyle w:val="Hyperlink"/>
            <w:noProof/>
          </w:rPr>
          <w:t>Figure 3: VGPB supply policies, procurement lifecycle and principles</w:t>
        </w:r>
        <w:r w:rsidR="008B3018">
          <w:rPr>
            <w:noProof/>
            <w:webHidden/>
          </w:rPr>
          <w:tab/>
        </w:r>
        <w:r w:rsidR="008B3018">
          <w:rPr>
            <w:noProof/>
            <w:webHidden/>
          </w:rPr>
          <w:fldChar w:fldCharType="begin"/>
        </w:r>
        <w:r w:rsidR="008B3018">
          <w:rPr>
            <w:noProof/>
            <w:webHidden/>
          </w:rPr>
          <w:instrText xml:space="preserve"> PAGEREF _Toc524354042 \h </w:instrText>
        </w:r>
        <w:r w:rsidR="008B3018">
          <w:rPr>
            <w:noProof/>
            <w:webHidden/>
          </w:rPr>
        </w:r>
        <w:r w:rsidR="008B3018">
          <w:rPr>
            <w:noProof/>
            <w:webHidden/>
          </w:rPr>
          <w:fldChar w:fldCharType="separate"/>
        </w:r>
        <w:r w:rsidR="00A07703">
          <w:rPr>
            <w:noProof/>
            <w:webHidden/>
          </w:rPr>
          <w:t>5</w:t>
        </w:r>
        <w:r w:rsidR="008B3018">
          <w:rPr>
            <w:noProof/>
            <w:webHidden/>
          </w:rPr>
          <w:fldChar w:fldCharType="end"/>
        </w:r>
      </w:hyperlink>
    </w:p>
    <w:p w14:paraId="6808D2CF" w14:textId="18C3304B" w:rsidR="008B3018" w:rsidRDefault="00CA5735">
      <w:pPr>
        <w:pStyle w:val="TableofFigures"/>
        <w:tabs>
          <w:tab w:val="right" w:leader="dot" w:pos="8290"/>
        </w:tabs>
        <w:rPr>
          <w:rFonts w:asciiTheme="minorHAnsi" w:eastAsiaTheme="minorEastAsia" w:hAnsiTheme="minorHAnsi" w:cstheme="minorBidi"/>
          <w:noProof/>
          <w:sz w:val="22"/>
          <w:szCs w:val="22"/>
        </w:rPr>
      </w:pPr>
      <w:hyperlink w:anchor="_Toc524354043" w:history="1">
        <w:r w:rsidR="008B3018" w:rsidRPr="00E83F76">
          <w:rPr>
            <w:rStyle w:val="Hyperlink"/>
            <w:noProof/>
          </w:rPr>
          <w:t>Figure 4: Trends in number and value of contract approvals from 2014–15 to 2017–18</w:t>
        </w:r>
        <w:r w:rsidR="008B3018">
          <w:rPr>
            <w:noProof/>
            <w:webHidden/>
          </w:rPr>
          <w:tab/>
        </w:r>
        <w:r w:rsidR="008B3018">
          <w:rPr>
            <w:noProof/>
            <w:webHidden/>
          </w:rPr>
          <w:fldChar w:fldCharType="begin"/>
        </w:r>
        <w:r w:rsidR="008B3018">
          <w:rPr>
            <w:noProof/>
            <w:webHidden/>
          </w:rPr>
          <w:instrText xml:space="preserve"> PAGEREF _Toc524354043 \h </w:instrText>
        </w:r>
        <w:r w:rsidR="008B3018">
          <w:rPr>
            <w:noProof/>
            <w:webHidden/>
          </w:rPr>
        </w:r>
        <w:r w:rsidR="008B3018">
          <w:rPr>
            <w:noProof/>
            <w:webHidden/>
          </w:rPr>
          <w:fldChar w:fldCharType="separate"/>
        </w:r>
        <w:r w:rsidR="00A07703">
          <w:rPr>
            <w:noProof/>
            <w:webHidden/>
          </w:rPr>
          <w:t>5</w:t>
        </w:r>
        <w:r w:rsidR="008B3018">
          <w:rPr>
            <w:noProof/>
            <w:webHidden/>
          </w:rPr>
          <w:fldChar w:fldCharType="end"/>
        </w:r>
      </w:hyperlink>
    </w:p>
    <w:p w14:paraId="358C2FEF" w14:textId="5E19D4A2" w:rsidR="008B3018" w:rsidRDefault="00CA5735">
      <w:pPr>
        <w:pStyle w:val="TableofFigures"/>
        <w:tabs>
          <w:tab w:val="right" w:leader="dot" w:pos="8290"/>
        </w:tabs>
        <w:rPr>
          <w:rFonts w:asciiTheme="minorHAnsi" w:eastAsiaTheme="minorEastAsia" w:hAnsiTheme="minorHAnsi" w:cstheme="minorBidi"/>
          <w:noProof/>
          <w:sz w:val="22"/>
          <w:szCs w:val="22"/>
        </w:rPr>
      </w:pPr>
      <w:hyperlink w:anchor="_Toc524354044" w:history="1">
        <w:r w:rsidR="008B3018" w:rsidRPr="00E83F76">
          <w:rPr>
            <w:rStyle w:val="Hyperlink"/>
            <w:noProof/>
          </w:rPr>
          <w:t>Figure 5: Number of contract approvals by complexity quadrant in 2017–18</w:t>
        </w:r>
        <w:r w:rsidR="008B3018">
          <w:rPr>
            <w:noProof/>
            <w:webHidden/>
          </w:rPr>
          <w:tab/>
        </w:r>
        <w:r w:rsidR="008B3018">
          <w:rPr>
            <w:noProof/>
            <w:webHidden/>
          </w:rPr>
          <w:fldChar w:fldCharType="begin"/>
        </w:r>
        <w:r w:rsidR="008B3018">
          <w:rPr>
            <w:noProof/>
            <w:webHidden/>
          </w:rPr>
          <w:instrText xml:space="preserve"> PAGEREF _Toc524354044 \h </w:instrText>
        </w:r>
        <w:r w:rsidR="008B3018">
          <w:rPr>
            <w:noProof/>
            <w:webHidden/>
          </w:rPr>
        </w:r>
        <w:r w:rsidR="008B3018">
          <w:rPr>
            <w:noProof/>
            <w:webHidden/>
          </w:rPr>
          <w:fldChar w:fldCharType="separate"/>
        </w:r>
        <w:r w:rsidR="00A07703">
          <w:rPr>
            <w:noProof/>
            <w:webHidden/>
          </w:rPr>
          <w:t>5</w:t>
        </w:r>
        <w:r w:rsidR="008B3018">
          <w:rPr>
            <w:noProof/>
            <w:webHidden/>
          </w:rPr>
          <w:fldChar w:fldCharType="end"/>
        </w:r>
      </w:hyperlink>
    </w:p>
    <w:p w14:paraId="5E17AA68" w14:textId="1D208A17" w:rsidR="008B3018" w:rsidRDefault="00CA5735">
      <w:pPr>
        <w:pStyle w:val="TableofFigures"/>
        <w:tabs>
          <w:tab w:val="right" w:leader="dot" w:pos="8290"/>
        </w:tabs>
        <w:rPr>
          <w:rFonts w:asciiTheme="minorHAnsi" w:eastAsiaTheme="minorEastAsia" w:hAnsiTheme="minorHAnsi" w:cstheme="minorBidi"/>
          <w:noProof/>
          <w:sz w:val="22"/>
          <w:szCs w:val="22"/>
        </w:rPr>
      </w:pPr>
      <w:hyperlink w:anchor="_Toc524354045" w:history="1">
        <w:r w:rsidR="008B3018" w:rsidRPr="00E83F76">
          <w:rPr>
            <w:rStyle w:val="Hyperlink"/>
            <w:noProof/>
          </w:rPr>
          <w:t>Figure 6: Value of contract approvals by complexity quadrant in 2017–18</w:t>
        </w:r>
        <w:r w:rsidR="008B3018">
          <w:rPr>
            <w:noProof/>
            <w:webHidden/>
          </w:rPr>
          <w:tab/>
        </w:r>
        <w:r w:rsidR="008B3018">
          <w:rPr>
            <w:noProof/>
            <w:webHidden/>
          </w:rPr>
          <w:fldChar w:fldCharType="begin"/>
        </w:r>
        <w:r w:rsidR="008B3018">
          <w:rPr>
            <w:noProof/>
            <w:webHidden/>
          </w:rPr>
          <w:instrText xml:space="preserve"> PAGEREF _Toc524354045 \h </w:instrText>
        </w:r>
        <w:r w:rsidR="008B3018">
          <w:rPr>
            <w:noProof/>
            <w:webHidden/>
          </w:rPr>
        </w:r>
        <w:r w:rsidR="008B3018">
          <w:rPr>
            <w:noProof/>
            <w:webHidden/>
          </w:rPr>
          <w:fldChar w:fldCharType="separate"/>
        </w:r>
        <w:r w:rsidR="00A07703">
          <w:rPr>
            <w:noProof/>
            <w:webHidden/>
          </w:rPr>
          <w:t>5</w:t>
        </w:r>
        <w:r w:rsidR="008B3018">
          <w:rPr>
            <w:noProof/>
            <w:webHidden/>
          </w:rPr>
          <w:fldChar w:fldCharType="end"/>
        </w:r>
      </w:hyperlink>
    </w:p>
    <w:p w14:paraId="4CF135AA" w14:textId="34D0502F" w:rsidR="008B3018" w:rsidRDefault="00CA5735">
      <w:pPr>
        <w:pStyle w:val="TableofFigures"/>
        <w:tabs>
          <w:tab w:val="right" w:leader="dot" w:pos="8290"/>
        </w:tabs>
        <w:rPr>
          <w:rFonts w:asciiTheme="minorHAnsi" w:eastAsiaTheme="minorEastAsia" w:hAnsiTheme="minorHAnsi" w:cstheme="minorBidi"/>
          <w:noProof/>
          <w:sz w:val="22"/>
          <w:szCs w:val="22"/>
        </w:rPr>
      </w:pPr>
      <w:hyperlink w:anchor="_Toc524354046" w:history="1">
        <w:r w:rsidR="008B3018" w:rsidRPr="00E83F76">
          <w:rPr>
            <w:rStyle w:val="Hyperlink"/>
            <w:noProof/>
          </w:rPr>
          <w:t>Figure 7: Trends in number and value of procurement complexity from 2015–16 to 2017–18</w:t>
        </w:r>
        <w:r w:rsidR="008B3018">
          <w:rPr>
            <w:noProof/>
            <w:webHidden/>
          </w:rPr>
          <w:tab/>
        </w:r>
        <w:r w:rsidR="008B3018">
          <w:rPr>
            <w:noProof/>
            <w:webHidden/>
          </w:rPr>
          <w:fldChar w:fldCharType="begin"/>
        </w:r>
        <w:r w:rsidR="008B3018">
          <w:rPr>
            <w:noProof/>
            <w:webHidden/>
          </w:rPr>
          <w:instrText xml:space="preserve"> PAGEREF _Toc524354046 \h </w:instrText>
        </w:r>
        <w:r w:rsidR="008B3018">
          <w:rPr>
            <w:noProof/>
            <w:webHidden/>
          </w:rPr>
        </w:r>
        <w:r w:rsidR="008B3018">
          <w:rPr>
            <w:noProof/>
            <w:webHidden/>
          </w:rPr>
          <w:fldChar w:fldCharType="separate"/>
        </w:r>
        <w:r w:rsidR="00A07703">
          <w:rPr>
            <w:noProof/>
            <w:webHidden/>
          </w:rPr>
          <w:t>5</w:t>
        </w:r>
        <w:r w:rsidR="008B3018">
          <w:rPr>
            <w:noProof/>
            <w:webHidden/>
          </w:rPr>
          <w:fldChar w:fldCharType="end"/>
        </w:r>
      </w:hyperlink>
    </w:p>
    <w:p w14:paraId="5CA4AB73" w14:textId="5579625B" w:rsidR="008B3018" w:rsidRDefault="00CA5735">
      <w:pPr>
        <w:pStyle w:val="TableofFigures"/>
        <w:tabs>
          <w:tab w:val="right" w:leader="dot" w:pos="8290"/>
        </w:tabs>
        <w:rPr>
          <w:rFonts w:asciiTheme="minorHAnsi" w:eastAsiaTheme="minorEastAsia" w:hAnsiTheme="minorHAnsi" w:cstheme="minorBidi"/>
          <w:noProof/>
          <w:sz w:val="22"/>
          <w:szCs w:val="22"/>
        </w:rPr>
      </w:pPr>
      <w:hyperlink w:anchor="_Toc524354047" w:history="1">
        <w:r w:rsidR="008B3018" w:rsidRPr="00E83F76">
          <w:rPr>
            <w:rStyle w:val="Hyperlink"/>
            <w:noProof/>
          </w:rPr>
          <w:t xml:space="preserve">Figure 8: </w:t>
        </w:r>
        <w:r w:rsidR="008B3018" w:rsidRPr="00E83F76">
          <w:rPr>
            <w:rStyle w:val="Hyperlink"/>
            <w:noProof/>
            <w:lang w:eastAsia="en-US"/>
          </w:rPr>
          <w:t>SPC categories</w:t>
        </w:r>
        <w:r w:rsidR="008B3018">
          <w:rPr>
            <w:noProof/>
            <w:webHidden/>
          </w:rPr>
          <w:tab/>
        </w:r>
        <w:r w:rsidR="008B3018">
          <w:rPr>
            <w:noProof/>
            <w:webHidden/>
          </w:rPr>
          <w:fldChar w:fldCharType="begin"/>
        </w:r>
        <w:r w:rsidR="008B3018">
          <w:rPr>
            <w:noProof/>
            <w:webHidden/>
          </w:rPr>
          <w:instrText xml:space="preserve"> PAGEREF _Toc524354047 \h </w:instrText>
        </w:r>
        <w:r w:rsidR="008B3018">
          <w:rPr>
            <w:noProof/>
            <w:webHidden/>
          </w:rPr>
        </w:r>
        <w:r w:rsidR="008B3018">
          <w:rPr>
            <w:noProof/>
            <w:webHidden/>
          </w:rPr>
          <w:fldChar w:fldCharType="separate"/>
        </w:r>
        <w:r w:rsidR="00A07703">
          <w:rPr>
            <w:noProof/>
            <w:webHidden/>
          </w:rPr>
          <w:t>5</w:t>
        </w:r>
        <w:r w:rsidR="008B3018">
          <w:rPr>
            <w:noProof/>
            <w:webHidden/>
          </w:rPr>
          <w:fldChar w:fldCharType="end"/>
        </w:r>
      </w:hyperlink>
    </w:p>
    <w:p w14:paraId="34523BCF" w14:textId="39BBC8C7" w:rsidR="008B3018" w:rsidRDefault="00CA5735">
      <w:pPr>
        <w:pStyle w:val="TableofFigures"/>
        <w:tabs>
          <w:tab w:val="right" w:leader="dot" w:pos="8290"/>
        </w:tabs>
        <w:rPr>
          <w:rFonts w:asciiTheme="minorHAnsi" w:eastAsiaTheme="minorEastAsia" w:hAnsiTheme="minorHAnsi" w:cstheme="minorBidi"/>
          <w:noProof/>
          <w:sz w:val="22"/>
          <w:szCs w:val="22"/>
        </w:rPr>
      </w:pPr>
      <w:hyperlink w:anchor="_Toc524354048" w:history="1">
        <w:r w:rsidR="008B3018" w:rsidRPr="00E83F76">
          <w:rPr>
            <w:rStyle w:val="Hyperlink"/>
            <w:noProof/>
          </w:rPr>
          <w:t>Figure 9: Compliance mechanisms</w:t>
        </w:r>
        <w:r w:rsidR="008B3018">
          <w:rPr>
            <w:noProof/>
            <w:webHidden/>
          </w:rPr>
          <w:tab/>
        </w:r>
        <w:r w:rsidR="008B3018">
          <w:rPr>
            <w:noProof/>
            <w:webHidden/>
          </w:rPr>
          <w:fldChar w:fldCharType="begin"/>
        </w:r>
        <w:r w:rsidR="008B3018">
          <w:rPr>
            <w:noProof/>
            <w:webHidden/>
          </w:rPr>
          <w:instrText xml:space="preserve"> PAGEREF _Toc524354048 \h </w:instrText>
        </w:r>
        <w:r w:rsidR="008B3018">
          <w:rPr>
            <w:noProof/>
            <w:webHidden/>
          </w:rPr>
        </w:r>
        <w:r w:rsidR="008B3018">
          <w:rPr>
            <w:noProof/>
            <w:webHidden/>
          </w:rPr>
          <w:fldChar w:fldCharType="separate"/>
        </w:r>
        <w:r w:rsidR="00A07703">
          <w:rPr>
            <w:noProof/>
            <w:webHidden/>
          </w:rPr>
          <w:t>5</w:t>
        </w:r>
        <w:r w:rsidR="008B3018">
          <w:rPr>
            <w:noProof/>
            <w:webHidden/>
          </w:rPr>
          <w:fldChar w:fldCharType="end"/>
        </w:r>
      </w:hyperlink>
    </w:p>
    <w:p w14:paraId="4D7731A1" w14:textId="4E56E352" w:rsidR="009F4D80" w:rsidRPr="00CD6245" w:rsidRDefault="00F50102" w:rsidP="007C2A1B">
      <w:pPr>
        <w:ind w:left="851"/>
        <w:rPr>
          <w:rFonts w:cs="Arial"/>
        </w:rPr>
        <w:sectPr w:rsidR="009F4D80" w:rsidRPr="00CD6245" w:rsidSect="00A07703">
          <w:headerReference w:type="default" r:id="rId13"/>
          <w:footerReference w:type="even" r:id="rId14"/>
          <w:footerReference w:type="default" r:id="rId15"/>
          <w:pgSz w:w="11900" w:h="16840"/>
          <w:pgMar w:top="1440" w:right="1800" w:bottom="1440" w:left="1800" w:header="708" w:footer="708" w:gutter="0"/>
          <w:pgNumType w:fmt="lowerRoman" w:start="1"/>
          <w:cols w:space="708"/>
          <w:titlePg/>
          <w:docGrid w:linePitch="360"/>
        </w:sectPr>
      </w:pPr>
      <w:r>
        <w:rPr>
          <w:rFonts w:asciiTheme="majorHAnsi" w:hAnsiTheme="majorHAnsi" w:cs="Arial"/>
          <w:sz w:val="20"/>
        </w:rPr>
        <w:fldChar w:fldCharType="end"/>
      </w:r>
    </w:p>
    <w:p w14:paraId="0EE88F4C" w14:textId="74BDE003" w:rsidR="00853907" w:rsidRDefault="008E25F0" w:rsidP="00853907">
      <w:pPr>
        <w:pStyle w:val="Heading1NoNum"/>
      </w:pPr>
      <w:bookmarkStart w:id="5" w:name="_Toc524354049"/>
      <w:bookmarkStart w:id="6" w:name="_Hlk489516524"/>
      <w:bookmarkStart w:id="7" w:name="_Toc366693292"/>
      <w:r>
        <w:lastRenderedPageBreak/>
        <w:t>Better procurement practice</w:t>
      </w:r>
      <w:bookmarkEnd w:id="5"/>
    </w:p>
    <w:p w14:paraId="0ACE11BB" w14:textId="77777777" w:rsidR="00853907" w:rsidRDefault="00853907" w:rsidP="00853907"/>
    <w:p w14:paraId="7E421323" w14:textId="651A8E96" w:rsidR="006073BC" w:rsidRDefault="0046207B" w:rsidP="00FE1F84">
      <w:pPr>
        <w:pStyle w:val="Normal1"/>
        <w:rPr>
          <w:rStyle w:val="tgc"/>
        </w:rPr>
      </w:pPr>
      <w:r>
        <w:rPr>
          <w:rStyle w:val="tgc"/>
        </w:rPr>
        <w:t>G</w:t>
      </w:r>
      <w:r w:rsidR="00620EE5">
        <w:rPr>
          <w:rStyle w:val="tgc"/>
        </w:rPr>
        <w:t xml:space="preserve">ood procurement </w:t>
      </w:r>
      <w:r w:rsidR="006073BC">
        <w:rPr>
          <w:rStyle w:val="tgc"/>
        </w:rPr>
        <w:t xml:space="preserve">saves time and </w:t>
      </w:r>
      <w:r w:rsidR="00FA3C24">
        <w:rPr>
          <w:rStyle w:val="tgc"/>
        </w:rPr>
        <w:t>money</w:t>
      </w:r>
      <w:r w:rsidR="00035E3E">
        <w:rPr>
          <w:rStyle w:val="tgc"/>
        </w:rPr>
        <w:t>, reduces risk</w:t>
      </w:r>
      <w:r w:rsidR="00FA3C24">
        <w:rPr>
          <w:rStyle w:val="tgc"/>
        </w:rPr>
        <w:t xml:space="preserve"> and</w:t>
      </w:r>
      <w:r w:rsidR="006073BC">
        <w:rPr>
          <w:rStyle w:val="tgc"/>
        </w:rPr>
        <w:t xml:space="preserve"> supports a well-functioning government </w:t>
      </w:r>
      <w:r w:rsidR="006073BC" w:rsidRPr="00BF587D">
        <w:rPr>
          <w:rStyle w:val="tgc"/>
        </w:rPr>
        <w:t>and a thriving Victorian community.</w:t>
      </w:r>
    </w:p>
    <w:p w14:paraId="52034E87" w14:textId="6D0DB99E" w:rsidR="00691985" w:rsidRDefault="006073BC" w:rsidP="006073BC">
      <w:pPr>
        <w:pStyle w:val="Normal1"/>
      </w:pPr>
      <w:r>
        <w:t>The Victorian Government Purchasing Board (VGPB) sets the policies that govern procurement of non-construction goods and services across all Victorian Government departments and some public bodies.</w:t>
      </w:r>
    </w:p>
    <w:p w14:paraId="67B91C2C" w14:textId="4296E513" w:rsidR="00691985" w:rsidRDefault="00691985" w:rsidP="00691985">
      <w:pPr>
        <w:pStyle w:val="Normal1"/>
      </w:pPr>
      <w:r w:rsidRPr="008D5173">
        <w:t>Our vision</w:t>
      </w:r>
      <w:r w:rsidRPr="00780F7F">
        <w:t xml:space="preserve"> i</w:t>
      </w:r>
      <w:r w:rsidRPr="00CD6245">
        <w:t>s to provide leadership in government procurement of goods and services to deliver value-for-money outcomes for Victoria.</w:t>
      </w:r>
    </w:p>
    <w:p w14:paraId="25D080BB" w14:textId="55F68D15" w:rsidR="00853907" w:rsidRDefault="00691985" w:rsidP="00E41631">
      <w:pPr>
        <w:pStyle w:val="Normal1"/>
      </w:pPr>
      <w:r>
        <w:t>We</w:t>
      </w:r>
      <w:r w:rsidR="00AD561E">
        <w:t xml:space="preserve"> </w:t>
      </w:r>
      <w:r w:rsidR="00853907">
        <w:t>recognise</w:t>
      </w:r>
      <w:r>
        <w:t xml:space="preserve"> that many people inside and outside of government are affected by </w:t>
      </w:r>
      <w:r w:rsidR="00853907">
        <w:t>Vi</w:t>
      </w:r>
      <w:r w:rsidR="00DC3598">
        <w:t>ctorian Government procurement</w:t>
      </w:r>
      <w:r>
        <w:t xml:space="preserve">. We </w:t>
      </w:r>
      <w:r w:rsidR="00853907">
        <w:t>strive to</w:t>
      </w:r>
      <w:r>
        <w:t xml:space="preserve"> work with all our stakeholders to get the most out of procurement, </w:t>
      </w:r>
      <w:r w:rsidR="00156DA0">
        <w:t>for the</w:t>
      </w:r>
      <w:r>
        <w:t xml:space="preserve"> benefit</w:t>
      </w:r>
      <w:r w:rsidR="00156DA0">
        <w:t xml:space="preserve"> of</w:t>
      </w:r>
      <w:r>
        <w:t xml:space="preserve"> all Victorians.</w:t>
      </w:r>
    </w:p>
    <w:p w14:paraId="6E8F3060" w14:textId="77777777" w:rsidR="006919A6" w:rsidRDefault="006919A6" w:rsidP="00E41631">
      <w:pPr>
        <w:pStyle w:val="Normal1"/>
      </w:pPr>
    </w:p>
    <w:p w14:paraId="282FADAA" w14:textId="77777777" w:rsidR="00853907" w:rsidRDefault="00853907" w:rsidP="00853907">
      <w:pPr>
        <w:ind w:left="851"/>
      </w:pPr>
      <w:r>
        <w:rPr>
          <w:noProof/>
          <w:lang w:val="en-US" w:eastAsia="en-US"/>
        </w:rPr>
        <mc:AlternateContent>
          <mc:Choice Requires="wps">
            <w:drawing>
              <wp:inline distT="0" distB="0" distL="0" distR="0" wp14:anchorId="7A9B25FC" wp14:editId="66B67BAC">
                <wp:extent cx="5562600" cy="2590800"/>
                <wp:effectExtent l="0" t="0" r="19050" b="22225"/>
                <wp:docPr id="1" name="Text Box 1"/>
                <wp:cNvGraphicFramePr/>
                <a:graphic xmlns:a="http://schemas.openxmlformats.org/drawingml/2006/main">
                  <a:graphicData uri="http://schemas.microsoft.com/office/word/2010/wordprocessingShape">
                    <wps:wsp>
                      <wps:cNvSpPr txBox="1"/>
                      <wps:spPr>
                        <a:xfrm>
                          <a:off x="0" y="0"/>
                          <a:ext cx="5562600" cy="2590800"/>
                        </a:xfrm>
                        <a:prstGeom prst="rect">
                          <a:avLst/>
                        </a:prstGeom>
                        <a:noFill/>
                        <a:ln w="6350">
                          <a:solidFill>
                            <a:prstClr val="black"/>
                          </a:solidFill>
                        </a:ln>
                      </wps:spPr>
                      <wps:txbx>
                        <w:txbxContent>
                          <w:p w14:paraId="0BB95240" w14:textId="77777777" w:rsidR="001206E5" w:rsidRPr="00235E8C" w:rsidRDefault="001206E5" w:rsidP="00235E8C">
                            <w:pPr>
                              <w:pStyle w:val="Normal1"/>
                              <w:ind w:left="0"/>
                              <w:rPr>
                                <w:b/>
                              </w:rPr>
                            </w:pPr>
                            <w:r w:rsidRPr="00235E8C">
                              <w:rPr>
                                <w:b/>
                              </w:rPr>
                              <w:t>About this report</w:t>
                            </w:r>
                          </w:p>
                          <w:p w14:paraId="3CEBA7BA" w14:textId="77777777" w:rsidR="001206E5" w:rsidRDefault="001206E5" w:rsidP="00235E8C">
                            <w:pPr>
                              <w:pStyle w:val="Normal1"/>
                              <w:ind w:left="0"/>
                            </w:pPr>
                            <w:r w:rsidRPr="00DC3598">
                              <w:t xml:space="preserve">The </w:t>
                            </w:r>
                            <w:r w:rsidRPr="00974A71">
                              <w:rPr>
                                <w:b/>
                              </w:rPr>
                              <w:t>VGPB Annual Report 2017–18</w:t>
                            </w:r>
                            <w:r w:rsidRPr="00DC3598">
                              <w:t xml:space="preserve"> describes </w:t>
                            </w:r>
                            <w:r>
                              <w:t>our</w:t>
                            </w:r>
                            <w:r w:rsidRPr="00DC3598">
                              <w:t xml:space="preserve"> </w:t>
                            </w:r>
                            <w:r>
                              <w:t xml:space="preserve">work and </w:t>
                            </w:r>
                            <w:r w:rsidRPr="00DC3598">
                              <w:t>activities between 1 July 201</w:t>
                            </w:r>
                            <w:r>
                              <w:t>7</w:t>
                            </w:r>
                            <w:r w:rsidRPr="00DC3598">
                              <w:t xml:space="preserve"> </w:t>
                            </w:r>
                            <w:r>
                              <w:t xml:space="preserve">and 30 June 2018. </w:t>
                            </w:r>
                          </w:p>
                          <w:p w14:paraId="10A9D11C" w14:textId="05E8F9A7" w:rsidR="001206E5" w:rsidRPr="00DC3598" w:rsidRDefault="001206E5" w:rsidP="00235E8C">
                            <w:pPr>
                              <w:pStyle w:val="Normal1"/>
                              <w:ind w:left="0"/>
                            </w:pPr>
                            <w:r>
                              <w:t>It</w:t>
                            </w:r>
                            <w:r w:rsidRPr="00DC3598">
                              <w:t xml:space="preserve"> </w:t>
                            </w:r>
                            <w:r>
                              <w:t>summarises</w:t>
                            </w:r>
                            <w:r w:rsidRPr="00DC3598">
                              <w:t xml:space="preserve"> work carried out to meet our regulatory obligations and achieve our vision</w:t>
                            </w:r>
                            <w:r>
                              <w:t xml:space="preserve">. We also report on the </w:t>
                            </w:r>
                            <w:r w:rsidRPr="00DC3598">
                              <w:t>purchasin</w:t>
                            </w:r>
                            <w:r w:rsidRPr="00AB3B5E">
                              <w:t xml:space="preserve">g activity and procurement performance of </w:t>
                            </w:r>
                            <w:r w:rsidRPr="00FB6FF3">
                              <w:t>11 organisations mandated or accredited to apply VGPB policies:</w:t>
                            </w:r>
                            <w:r w:rsidRPr="00C600DA">
                              <w:t xml:space="preserve"> the </w:t>
                            </w:r>
                            <w:r w:rsidRPr="00FB6FF3">
                              <w:t>seven Victorian Government departments, CenITex,  Public Transport Victo</w:t>
                            </w:r>
                            <w:r w:rsidRPr="00AB3B5E">
                              <w:t>ria, VicRoads and Victoria Police.</w:t>
                            </w:r>
                            <w:r>
                              <w:t xml:space="preserve"> </w:t>
                            </w:r>
                          </w:p>
                          <w:p w14:paraId="68357D1E" w14:textId="7774228C" w:rsidR="001206E5" w:rsidRPr="00DC3598" w:rsidRDefault="001206E5" w:rsidP="00156DA0">
                            <w:pPr>
                              <w:pStyle w:val="Normal1"/>
                              <w:ind w:left="0"/>
                            </w:pPr>
                            <w:r w:rsidRPr="00DC3598">
                              <w:t>The</w:t>
                            </w:r>
                            <w:r>
                              <w:t xml:space="preserve"> VGPB is a Victorian Government-</w:t>
                            </w:r>
                            <w:r w:rsidRPr="00DC3598">
                              <w:t>owned body corporate</w:t>
                            </w:r>
                            <w:r>
                              <w:t>. This report is required under s</w:t>
                            </w:r>
                            <w:r w:rsidRPr="00DC3598">
                              <w:t xml:space="preserve">ection 54M of the </w:t>
                            </w:r>
                            <w:r w:rsidRPr="00DC3598">
                              <w:rPr>
                                <w:i/>
                              </w:rPr>
                              <w:t>Financial Management Act 1994</w:t>
                            </w:r>
                            <w:r w:rsidRPr="00DC3598">
                              <w:t xml:space="preserve">. </w:t>
                            </w:r>
                          </w:p>
                          <w:p w14:paraId="547ECC45" w14:textId="3E7E6F98" w:rsidR="001206E5" w:rsidRPr="00DC3598" w:rsidRDefault="001206E5" w:rsidP="00235E8C">
                            <w:pPr>
                              <w:pStyle w:val="Normal1"/>
                              <w:ind w:left="0"/>
                            </w:pPr>
                            <w:r w:rsidRPr="00DC3598">
                              <w:t xml:space="preserve">As part of our commitment to sustainability, we print a limited number of copies of this report. An online version and accessible text format of this report is available from </w:t>
                            </w:r>
                            <w:hyperlink r:id="rId16" w:history="1">
                              <w:r>
                                <w:t>procurement.vic.gov.au/about-the-VGPB</w:t>
                              </w:r>
                            </w:hyperlink>
                            <w:r w:rsidRPr="009B31EC">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inline>
            </w:drawing>
          </mc:Choice>
          <mc:Fallback>
            <w:pict>
              <v:shapetype w14:anchorId="7A9B25FC" id="_x0000_t202" coordsize="21600,21600" o:spt="202" path="m,l,21600r21600,l21600,xe">
                <v:stroke joinstyle="miter"/>
                <v:path gradientshapeok="t" o:connecttype="rect"/>
              </v:shapetype>
              <v:shape id="Text Box 1" o:spid="_x0000_s1026" type="#_x0000_t202" style="width:438pt;height:20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" filled="f" strokeweight=".5pt">
                <v:textbox style="mso-fit-shape-to-text:t">
                  <w:txbxContent>
                    <w:p w14:paraId="0BB95240" w14:textId="77777777" w:rsidR="001206E5" w:rsidRPr="00235E8C" w:rsidRDefault="001206E5" w:rsidP="00235E8C">
                      <w:pPr>
                        <w:pStyle w:val="Normal1"/>
                        <w:ind w:left="0"/>
                        <w:rPr>
                          <w:b/>
                        </w:rPr>
                      </w:pPr>
                      <w:r w:rsidRPr="00235E8C">
                        <w:rPr>
                          <w:b/>
                        </w:rPr>
                        <w:t>About this report</w:t>
                      </w:r>
                    </w:p>
                    <w:p w14:paraId="3CEBA7BA" w14:textId="77777777" w:rsidR="001206E5" w:rsidRDefault="001206E5" w:rsidP="00235E8C">
                      <w:pPr>
                        <w:pStyle w:val="Normal1"/>
                        <w:ind w:left="0"/>
                      </w:pPr>
                      <w:r w:rsidRPr="00DC3598">
                        <w:t xml:space="preserve">The </w:t>
                      </w:r>
                      <w:r w:rsidRPr="00974A71">
                        <w:rPr>
                          <w:b/>
                        </w:rPr>
                        <w:t>VGPB Annual Report 2017–18</w:t>
                      </w:r>
                      <w:r w:rsidRPr="00DC3598">
                        <w:t xml:space="preserve"> describes </w:t>
                      </w:r>
                      <w:r>
                        <w:t>our</w:t>
                      </w:r>
                      <w:r w:rsidRPr="00DC3598">
                        <w:t xml:space="preserve"> </w:t>
                      </w:r>
                      <w:r>
                        <w:t xml:space="preserve">work and </w:t>
                      </w:r>
                      <w:r w:rsidRPr="00DC3598">
                        <w:t>activities between 1 July 201</w:t>
                      </w:r>
                      <w:r>
                        <w:t>7</w:t>
                      </w:r>
                      <w:r w:rsidRPr="00DC3598">
                        <w:t xml:space="preserve"> </w:t>
                      </w:r>
                      <w:r>
                        <w:t xml:space="preserve">and 30 June 2018. </w:t>
                      </w:r>
                    </w:p>
                    <w:p w14:paraId="10A9D11C" w14:textId="05E8F9A7" w:rsidR="001206E5" w:rsidRPr="00DC3598" w:rsidRDefault="001206E5" w:rsidP="00235E8C">
                      <w:pPr>
                        <w:pStyle w:val="Normal1"/>
                        <w:ind w:left="0"/>
                      </w:pPr>
                      <w:r>
                        <w:t>It</w:t>
                      </w:r>
                      <w:r w:rsidRPr="00DC3598">
                        <w:t xml:space="preserve"> </w:t>
                      </w:r>
                      <w:r>
                        <w:t>summarises</w:t>
                      </w:r>
                      <w:r w:rsidRPr="00DC3598">
                        <w:t xml:space="preserve"> work carried out to meet our regulatory obligations and achieve our vision</w:t>
                      </w:r>
                      <w:r>
                        <w:t xml:space="preserve">. We also report on the </w:t>
                      </w:r>
                      <w:r w:rsidRPr="00DC3598">
                        <w:t>purchasin</w:t>
                      </w:r>
                      <w:r w:rsidRPr="00AB3B5E">
                        <w:t xml:space="preserve">g activity and procurement performance of </w:t>
                      </w:r>
                      <w:r w:rsidRPr="00FB6FF3">
                        <w:t>11 organisations mandated or accredited to apply VGPB policies:</w:t>
                      </w:r>
                      <w:r w:rsidRPr="00C600DA">
                        <w:t xml:space="preserve"> the </w:t>
                      </w:r>
                      <w:r w:rsidRPr="00FB6FF3">
                        <w:t>seven Victorian Government departments, CenITex,  Public Transport Victo</w:t>
                      </w:r>
                      <w:r w:rsidRPr="00AB3B5E">
                        <w:t>ria, VicRoads and Victoria Police.</w:t>
                      </w:r>
                      <w:r>
                        <w:t xml:space="preserve"> </w:t>
                      </w:r>
                    </w:p>
                    <w:p w14:paraId="68357D1E" w14:textId="7774228C" w:rsidR="001206E5" w:rsidRPr="00DC3598" w:rsidRDefault="001206E5" w:rsidP="00156DA0">
                      <w:pPr>
                        <w:pStyle w:val="Normal1"/>
                        <w:ind w:left="0"/>
                      </w:pPr>
                      <w:r w:rsidRPr="00DC3598">
                        <w:t>The</w:t>
                      </w:r>
                      <w:r>
                        <w:t xml:space="preserve"> VGPB is a Victorian Government-</w:t>
                      </w:r>
                      <w:r w:rsidRPr="00DC3598">
                        <w:t>owned body corporate</w:t>
                      </w:r>
                      <w:r>
                        <w:t>. This report is required under s</w:t>
                      </w:r>
                      <w:r w:rsidRPr="00DC3598">
                        <w:t xml:space="preserve">ection 54M of the </w:t>
                      </w:r>
                      <w:r w:rsidRPr="00DC3598">
                        <w:rPr>
                          <w:i/>
                        </w:rPr>
                        <w:t>Financial Management Act 1994</w:t>
                      </w:r>
                      <w:r w:rsidRPr="00DC3598">
                        <w:t xml:space="preserve">. </w:t>
                      </w:r>
                    </w:p>
                    <w:p w14:paraId="547ECC45" w14:textId="3E7E6F98" w:rsidR="001206E5" w:rsidRPr="00DC3598" w:rsidRDefault="001206E5" w:rsidP="00235E8C">
                      <w:pPr>
                        <w:pStyle w:val="Normal1"/>
                        <w:ind w:left="0"/>
                      </w:pPr>
                      <w:r w:rsidRPr="00DC3598">
                        <w:t xml:space="preserve">As part of our commitment to sustainability, we print a limited number of copies of this report. An online version and accessible text format of this report is available from </w:t>
                      </w:r>
                      <w:hyperlink r:id="rId17" w:history="1">
                        <w:r>
                          <w:t>procurement.vic.gov.au/about-the-VGPB</w:t>
                        </w:r>
                      </w:hyperlink>
                      <w:r w:rsidRPr="009B31EC">
                        <w:t>.</w:t>
                      </w:r>
                    </w:p>
                  </w:txbxContent>
                </v:textbox>
                <w10:anchorlock/>
              </v:shape>
            </w:pict>
          </mc:Fallback>
        </mc:AlternateContent>
      </w:r>
    </w:p>
    <w:bookmarkEnd w:id="6"/>
    <w:p w14:paraId="48262661" w14:textId="77777777" w:rsidR="00853907" w:rsidRDefault="00853907" w:rsidP="00853907"/>
    <w:p w14:paraId="70B7C287" w14:textId="425EE866" w:rsidR="002F7CF6" w:rsidRPr="00CD6245" w:rsidRDefault="00E07B86" w:rsidP="006F7C68">
      <w:pPr>
        <w:pStyle w:val="Heading1NoNum"/>
        <w:spacing w:after="400"/>
      </w:pPr>
      <w:bookmarkStart w:id="8" w:name="_Toc524354050"/>
      <w:bookmarkStart w:id="9" w:name="_Hlk489349639"/>
      <w:bookmarkStart w:id="10" w:name="_Hlk489358350"/>
      <w:bookmarkStart w:id="11" w:name="_Hlk515368103"/>
      <w:bookmarkStart w:id="12" w:name="_Hlk521608382"/>
      <w:r w:rsidRPr="00CD6245">
        <w:lastRenderedPageBreak/>
        <w:t>Message from the Chair</w:t>
      </w:r>
      <w:bookmarkEnd w:id="8"/>
    </w:p>
    <w:bookmarkEnd w:id="7"/>
    <w:p w14:paraId="6337E5DD" w14:textId="77777777" w:rsidR="004B7B3B" w:rsidRDefault="004B7B3B" w:rsidP="00BF1DF3">
      <w:pPr>
        <w:pStyle w:val="Normal1"/>
        <w:rPr>
          <w:lang w:eastAsia="en-US"/>
        </w:rPr>
      </w:pPr>
    </w:p>
    <w:p w14:paraId="022D7BA9" w14:textId="574F224A" w:rsidR="00B4118C" w:rsidRDefault="00B4118C" w:rsidP="00BF1DF3">
      <w:pPr>
        <w:pStyle w:val="Normal1"/>
        <w:rPr>
          <w:lang w:eastAsia="en-US"/>
        </w:rPr>
      </w:pPr>
    </w:p>
    <w:p w14:paraId="11E36660" w14:textId="77777777" w:rsidR="00B4118C" w:rsidRDefault="00B4118C" w:rsidP="00BF1DF3">
      <w:pPr>
        <w:pStyle w:val="Normal1"/>
        <w:rPr>
          <w:lang w:eastAsia="en-US"/>
        </w:rPr>
      </w:pPr>
    </w:p>
    <w:p w14:paraId="6E1E4B0C" w14:textId="115B67EF" w:rsidR="000C18E4" w:rsidRDefault="000C18E4" w:rsidP="000C18E4">
      <w:pPr>
        <w:spacing w:before="100" w:after="100"/>
        <w:ind w:left="794"/>
        <w:rPr>
          <w:rFonts w:ascii="Calibri" w:hAnsi="Calibri" w:cs="Calibri"/>
          <w:sz w:val="22"/>
          <w:szCs w:val="22"/>
          <w:lang w:eastAsia="en-US"/>
        </w:rPr>
      </w:pPr>
      <w:r>
        <w:rPr>
          <w:rFonts w:ascii="Calibri" w:hAnsi="Calibri" w:cs="Calibri"/>
          <w:sz w:val="22"/>
          <w:szCs w:val="22"/>
          <w:lang w:eastAsia="en-US"/>
        </w:rPr>
        <w:t xml:space="preserve">It’s an exciting time for procurement in Victoria as </w:t>
      </w:r>
      <w:r w:rsidR="002624C4">
        <w:rPr>
          <w:rFonts w:ascii="Calibri" w:hAnsi="Calibri" w:cs="Calibri"/>
          <w:sz w:val="22"/>
          <w:szCs w:val="22"/>
          <w:lang w:eastAsia="en-US"/>
        </w:rPr>
        <w:t xml:space="preserve">we </w:t>
      </w:r>
      <w:r>
        <w:rPr>
          <w:rFonts w:ascii="Calibri" w:hAnsi="Calibri" w:cs="Calibri"/>
          <w:sz w:val="22"/>
          <w:szCs w:val="22"/>
          <w:lang w:eastAsia="en-US"/>
        </w:rPr>
        <w:t xml:space="preserve">introduce important changes, building on the foundations </w:t>
      </w:r>
      <w:r w:rsidR="002624C4">
        <w:rPr>
          <w:rFonts w:ascii="Calibri" w:hAnsi="Calibri" w:cs="Calibri"/>
          <w:sz w:val="22"/>
          <w:szCs w:val="22"/>
          <w:lang w:eastAsia="en-US"/>
        </w:rPr>
        <w:t>we have</w:t>
      </w:r>
      <w:r>
        <w:rPr>
          <w:rFonts w:ascii="Calibri" w:hAnsi="Calibri" w:cs="Calibri"/>
          <w:sz w:val="22"/>
          <w:szCs w:val="22"/>
          <w:lang w:eastAsia="en-US"/>
        </w:rPr>
        <w:t xml:space="preserve"> established, to optimise effective and efficien</w:t>
      </w:r>
      <w:r w:rsidRPr="006160BA">
        <w:rPr>
          <w:rFonts w:ascii="Calibri" w:hAnsi="Calibri" w:cs="Calibri"/>
          <w:sz w:val="22"/>
          <w:szCs w:val="22"/>
          <w:lang w:eastAsia="en-US"/>
        </w:rPr>
        <w:t xml:space="preserve">t </w:t>
      </w:r>
      <w:r w:rsidR="002624C4" w:rsidRPr="006160BA">
        <w:rPr>
          <w:rFonts w:ascii="Calibri" w:hAnsi="Calibri" w:cs="Calibri"/>
          <w:sz w:val="22"/>
          <w:szCs w:val="22"/>
          <w:lang w:eastAsia="en-US"/>
        </w:rPr>
        <w:t>use</w:t>
      </w:r>
      <w:r>
        <w:rPr>
          <w:rFonts w:ascii="Calibri" w:hAnsi="Calibri" w:cs="Calibri"/>
          <w:sz w:val="22"/>
          <w:szCs w:val="22"/>
          <w:lang w:eastAsia="en-US"/>
        </w:rPr>
        <w:t xml:space="preserve"> </w:t>
      </w:r>
      <w:r w:rsidR="002624C4">
        <w:rPr>
          <w:rFonts w:ascii="Calibri" w:hAnsi="Calibri" w:cs="Calibri"/>
          <w:sz w:val="22"/>
          <w:szCs w:val="22"/>
          <w:lang w:eastAsia="en-US"/>
        </w:rPr>
        <w:t xml:space="preserve">and governance </w:t>
      </w:r>
      <w:r>
        <w:rPr>
          <w:rFonts w:ascii="Calibri" w:hAnsi="Calibri" w:cs="Calibri"/>
          <w:sz w:val="22"/>
          <w:szCs w:val="22"/>
          <w:lang w:eastAsia="en-US"/>
        </w:rPr>
        <w:t>of public funds.</w:t>
      </w:r>
    </w:p>
    <w:p w14:paraId="118F6432" w14:textId="138C02D2" w:rsidR="000C18E4" w:rsidRPr="008D5173" w:rsidRDefault="000C18E4" w:rsidP="000C18E4">
      <w:pPr>
        <w:spacing w:before="100" w:after="100"/>
        <w:ind w:left="794"/>
        <w:rPr>
          <w:rFonts w:ascii="Calibri" w:hAnsi="Calibri" w:cs="Calibri"/>
          <w:sz w:val="22"/>
          <w:szCs w:val="22"/>
          <w:lang w:eastAsia="en-US"/>
        </w:rPr>
      </w:pPr>
      <w:r>
        <w:rPr>
          <w:rFonts w:ascii="Calibri" w:hAnsi="Calibri" w:cs="Calibri"/>
          <w:sz w:val="22"/>
          <w:szCs w:val="22"/>
          <w:lang w:eastAsia="en-US"/>
        </w:rPr>
        <w:t xml:space="preserve">Procurement is so much more than just buying goods and services – it is a strategic and operational management function to deliver business outcomes, support operations and manage risk. It has the power to influence markets and initiate change to benefit all Victorians. </w:t>
      </w:r>
      <w:r w:rsidRPr="008D5173">
        <w:rPr>
          <w:rFonts w:ascii="Calibri" w:hAnsi="Calibri" w:cs="Calibri"/>
          <w:sz w:val="22"/>
          <w:szCs w:val="22"/>
          <w:lang w:eastAsia="en-US"/>
        </w:rPr>
        <w:t>Government is able to use its buying power to enter into procurement contracts delivering social and sustainable benefits</w:t>
      </w:r>
      <w:r w:rsidR="00AE2B79" w:rsidRPr="008D5173">
        <w:rPr>
          <w:rFonts w:ascii="Calibri" w:hAnsi="Calibri" w:cs="Calibri"/>
          <w:sz w:val="22"/>
          <w:szCs w:val="22"/>
          <w:lang w:eastAsia="en-US"/>
        </w:rPr>
        <w:t>,</w:t>
      </w:r>
      <w:r w:rsidRPr="008D5173">
        <w:rPr>
          <w:rFonts w:ascii="Calibri" w:hAnsi="Calibri" w:cs="Calibri"/>
          <w:sz w:val="22"/>
          <w:szCs w:val="22"/>
          <w:lang w:eastAsia="en-US"/>
        </w:rPr>
        <w:t xml:space="preserve"> such as creating job opportunities or skills-based training in areas of disadvantage.</w:t>
      </w:r>
    </w:p>
    <w:p w14:paraId="45039693" w14:textId="3715985E" w:rsidR="000C18E4" w:rsidRDefault="000C18E4" w:rsidP="000C18E4">
      <w:pPr>
        <w:spacing w:before="100" w:after="100"/>
        <w:ind w:left="794"/>
        <w:rPr>
          <w:rFonts w:ascii="Calibri" w:hAnsi="Calibri" w:cs="Calibri"/>
          <w:sz w:val="22"/>
          <w:szCs w:val="22"/>
          <w:lang w:eastAsia="en-US"/>
        </w:rPr>
      </w:pPr>
      <w:r w:rsidRPr="008D5173">
        <w:rPr>
          <w:rFonts w:ascii="Calibri" w:hAnsi="Calibri" w:cs="Calibri"/>
          <w:sz w:val="22"/>
          <w:szCs w:val="22"/>
          <w:lang w:eastAsia="en-US"/>
        </w:rPr>
        <w:t>To ensure procurement make</w:t>
      </w:r>
      <w:r w:rsidR="00CF7F37" w:rsidRPr="008D5173">
        <w:rPr>
          <w:rFonts w:ascii="Calibri" w:hAnsi="Calibri" w:cs="Calibri"/>
          <w:sz w:val="22"/>
          <w:szCs w:val="22"/>
          <w:lang w:eastAsia="en-US"/>
        </w:rPr>
        <w:t>s</w:t>
      </w:r>
      <w:r w:rsidRPr="008D5173">
        <w:rPr>
          <w:rFonts w:ascii="Calibri" w:hAnsi="Calibri" w:cs="Calibri"/>
          <w:sz w:val="22"/>
          <w:szCs w:val="22"/>
          <w:lang w:eastAsia="en-US"/>
        </w:rPr>
        <w:t xml:space="preserve"> a positive difference to Victorians, the Government released Victoria’s Social Procurement Framework in April 2018. This framework will embed social procurement within government procurement processes to maximise benefits for the Victorian community.</w:t>
      </w:r>
    </w:p>
    <w:p w14:paraId="35B45906" w14:textId="57A835AC" w:rsidR="000C18E4" w:rsidRDefault="000C18E4" w:rsidP="000C18E4">
      <w:pPr>
        <w:spacing w:before="100" w:after="100"/>
        <w:ind w:left="794"/>
        <w:rPr>
          <w:rFonts w:ascii="Calibri" w:hAnsi="Calibri" w:cs="Calibri"/>
          <w:sz w:val="22"/>
          <w:szCs w:val="22"/>
          <w:lang w:eastAsia="en-US"/>
        </w:rPr>
      </w:pPr>
      <w:r>
        <w:rPr>
          <w:rFonts w:ascii="Calibri" w:hAnsi="Calibri" w:cs="Calibri"/>
          <w:sz w:val="22"/>
          <w:szCs w:val="22"/>
          <w:lang w:eastAsia="en-US"/>
        </w:rPr>
        <w:t>The</w:t>
      </w:r>
      <w:r w:rsidR="002624C4">
        <w:rPr>
          <w:rFonts w:ascii="Calibri" w:hAnsi="Calibri" w:cs="Calibri"/>
          <w:sz w:val="22"/>
          <w:szCs w:val="22"/>
          <w:lang w:eastAsia="en-US"/>
        </w:rPr>
        <w:t xml:space="preserve">re are greater </w:t>
      </w:r>
      <w:r>
        <w:rPr>
          <w:rFonts w:ascii="Calibri" w:hAnsi="Calibri" w:cs="Calibri"/>
          <w:sz w:val="22"/>
          <w:szCs w:val="22"/>
          <w:lang w:eastAsia="en-US"/>
        </w:rPr>
        <w:t>opportunities for digitisation and harmonisation across the</w:t>
      </w:r>
      <w:r w:rsidRPr="00A60491">
        <w:t xml:space="preserve"> </w:t>
      </w:r>
      <w:r w:rsidRPr="00A60491">
        <w:rPr>
          <w:rFonts w:ascii="Calibri" w:hAnsi="Calibri" w:cs="Calibri"/>
          <w:sz w:val="22"/>
          <w:szCs w:val="22"/>
          <w:lang w:eastAsia="en-US"/>
        </w:rPr>
        <w:t>Victorian procurement landscape</w:t>
      </w:r>
      <w:r>
        <w:rPr>
          <w:rFonts w:ascii="Calibri" w:hAnsi="Calibri" w:cs="Calibri"/>
          <w:sz w:val="22"/>
          <w:szCs w:val="22"/>
          <w:lang w:eastAsia="en-US"/>
        </w:rPr>
        <w:t xml:space="preserve">. </w:t>
      </w:r>
      <w:r w:rsidR="002624C4">
        <w:rPr>
          <w:rFonts w:ascii="Calibri" w:hAnsi="Calibri" w:cs="Calibri"/>
          <w:sz w:val="22"/>
          <w:szCs w:val="22"/>
          <w:lang w:eastAsia="en-US"/>
        </w:rPr>
        <w:t xml:space="preserve">Currently buyers operate under </w:t>
      </w:r>
      <w:r>
        <w:rPr>
          <w:rFonts w:ascii="Calibri" w:hAnsi="Calibri" w:cs="Calibri"/>
          <w:sz w:val="22"/>
          <w:szCs w:val="22"/>
          <w:lang w:eastAsia="en-US"/>
        </w:rPr>
        <w:t>two separate policy frameworks for construction and non-construction goods and services, with each located on different websites. Bringing these together under one website — along with all other government procurement</w:t>
      </w:r>
      <w:r w:rsidR="00DA09FB">
        <w:rPr>
          <w:rFonts w:ascii="Calibri" w:hAnsi="Calibri" w:cs="Calibri"/>
          <w:sz w:val="22"/>
          <w:szCs w:val="22"/>
          <w:lang w:eastAsia="en-US"/>
        </w:rPr>
        <w:t>-</w:t>
      </w:r>
      <w:r>
        <w:rPr>
          <w:rFonts w:ascii="Calibri" w:hAnsi="Calibri" w:cs="Calibri"/>
          <w:sz w:val="22"/>
          <w:szCs w:val="22"/>
          <w:lang w:eastAsia="en-US"/>
        </w:rPr>
        <w:t xml:space="preserve">related information — </w:t>
      </w:r>
      <w:r w:rsidRPr="00A60491">
        <w:rPr>
          <w:rFonts w:ascii="Calibri" w:hAnsi="Calibri" w:cs="Calibri"/>
          <w:sz w:val="22"/>
          <w:szCs w:val="22"/>
          <w:lang w:eastAsia="en-US"/>
        </w:rPr>
        <w:t xml:space="preserve">will make </w:t>
      </w:r>
      <w:r>
        <w:rPr>
          <w:rFonts w:ascii="Calibri" w:hAnsi="Calibri" w:cs="Calibri"/>
          <w:sz w:val="22"/>
          <w:szCs w:val="22"/>
          <w:lang w:eastAsia="en-US"/>
        </w:rPr>
        <w:t>it</w:t>
      </w:r>
      <w:r w:rsidRPr="00A60491">
        <w:rPr>
          <w:rFonts w:ascii="Calibri" w:hAnsi="Calibri" w:cs="Calibri"/>
          <w:sz w:val="22"/>
          <w:szCs w:val="22"/>
          <w:lang w:eastAsia="en-US"/>
        </w:rPr>
        <w:t xml:space="preserve"> easier for buyers and suppliers</w:t>
      </w:r>
      <w:r>
        <w:rPr>
          <w:rFonts w:ascii="Calibri" w:hAnsi="Calibri" w:cs="Calibri"/>
          <w:sz w:val="22"/>
          <w:szCs w:val="22"/>
          <w:lang w:eastAsia="en-US"/>
        </w:rPr>
        <w:t xml:space="preserve"> providing goods and services to government</w:t>
      </w:r>
      <w:r w:rsidRPr="00A60491">
        <w:rPr>
          <w:rFonts w:ascii="Calibri" w:hAnsi="Calibri" w:cs="Calibri"/>
          <w:sz w:val="22"/>
          <w:szCs w:val="22"/>
          <w:lang w:eastAsia="en-US"/>
        </w:rPr>
        <w:t>.</w:t>
      </w:r>
    </w:p>
    <w:p w14:paraId="62C809ED" w14:textId="1577A5F4" w:rsidR="000C18E4" w:rsidRDefault="002624C4" w:rsidP="000C18E4">
      <w:pPr>
        <w:spacing w:before="100" w:after="100"/>
        <w:ind w:left="794"/>
        <w:rPr>
          <w:rFonts w:ascii="Calibri" w:hAnsi="Calibri" w:cs="Calibri"/>
          <w:sz w:val="22"/>
          <w:szCs w:val="22"/>
          <w:lang w:eastAsia="en-US"/>
        </w:rPr>
      </w:pPr>
      <w:r>
        <w:rPr>
          <w:rFonts w:ascii="Calibri" w:hAnsi="Calibri" w:cs="Calibri"/>
          <w:sz w:val="22"/>
          <w:szCs w:val="22"/>
          <w:lang w:eastAsia="en-US"/>
        </w:rPr>
        <w:t>We</w:t>
      </w:r>
      <w:r w:rsidR="000C18E4">
        <w:rPr>
          <w:rFonts w:ascii="Calibri" w:hAnsi="Calibri" w:cs="Calibri"/>
          <w:sz w:val="22"/>
          <w:szCs w:val="22"/>
          <w:lang w:eastAsia="en-US"/>
        </w:rPr>
        <w:t xml:space="preserve"> </w:t>
      </w:r>
      <w:r w:rsidR="00AE2B79">
        <w:rPr>
          <w:rFonts w:ascii="Calibri" w:hAnsi="Calibri" w:cs="Calibri"/>
          <w:sz w:val="22"/>
          <w:szCs w:val="22"/>
          <w:lang w:eastAsia="en-US"/>
        </w:rPr>
        <w:t xml:space="preserve">also </w:t>
      </w:r>
      <w:r w:rsidR="000C18E4">
        <w:rPr>
          <w:rFonts w:ascii="Calibri" w:hAnsi="Calibri" w:cs="Calibri"/>
          <w:sz w:val="22"/>
          <w:szCs w:val="22"/>
          <w:lang w:eastAsia="en-US"/>
        </w:rPr>
        <w:t xml:space="preserve">plan to expand the remit of the VGPB from 32 to around 300 entities. Historically, smaller agencies have not reported to the VGPB for reasons of practicality. </w:t>
      </w:r>
      <w:r w:rsidR="00AE2B79">
        <w:rPr>
          <w:rFonts w:ascii="Calibri" w:hAnsi="Calibri" w:cs="Calibri"/>
          <w:sz w:val="22"/>
          <w:szCs w:val="22"/>
          <w:lang w:eastAsia="en-US"/>
        </w:rPr>
        <w:t>But t</w:t>
      </w:r>
      <w:r w:rsidR="000C18E4">
        <w:rPr>
          <w:rFonts w:ascii="Calibri" w:hAnsi="Calibri" w:cs="Calibri"/>
          <w:sz w:val="22"/>
          <w:szCs w:val="22"/>
          <w:lang w:eastAsia="en-US"/>
        </w:rPr>
        <w:t>he Board has always encouraged smaller entities to apply VGPB policies, especially since the 2013 reform</w:t>
      </w:r>
      <w:r w:rsidR="00A83D6E">
        <w:rPr>
          <w:rFonts w:ascii="Calibri" w:hAnsi="Calibri" w:cs="Calibri"/>
          <w:sz w:val="22"/>
          <w:szCs w:val="22"/>
          <w:lang w:eastAsia="en-US"/>
        </w:rPr>
        <w:t>,</w:t>
      </w:r>
      <w:r w:rsidR="000C18E4">
        <w:rPr>
          <w:rFonts w:ascii="Calibri" w:hAnsi="Calibri" w:cs="Calibri"/>
          <w:sz w:val="22"/>
          <w:szCs w:val="22"/>
          <w:lang w:eastAsia="en-US"/>
        </w:rPr>
        <w:t xml:space="preserve"> which enabled an entity to scale </w:t>
      </w:r>
      <w:r w:rsidR="00745110">
        <w:rPr>
          <w:rFonts w:ascii="Calibri" w:hAnsi="Calibri" w:cs="Calibri"/>
          <w:sz w:val="22"/>
          <w:szCs w:val="22"/>
          <w:lang w:eastAsia="en-US"/>
        </w:rPr>
        <w:t>its</w:t>
      </w:r>
      <w:r w:rsidR="000C18E4">
        <w:rPr>
          <w:rFonts w:ascii="Calibri" w:hAnsi="Calibri" w:cs="Calibri"/>
          <w:sz w:val="22"/>
          <w:szCs w:val="22"/>
          <w:lang w:eastAsia="en-US"/>
        </w:rPr>
        <w:t xml:space="preserve"> approach to procurement based on </w:t>
      </w:r>
      <w:r w:rsidR="00381601">
        <w:rPr>
          <w:rFonts w:ascii="Calibri" w:hAnsi="Calibri" w:cs="Calibri"/>
          <w:sz w:val="22"/>
          <w:szCs w:val="22"/>
          <w:lang w:eastAsia="en-US"/>
        </w:rPr>
        <w:t xml:space="preserve">its </w:t>
      </w:r>
      <w:r w:rsidR="000C18E4">
        <w:rPr>
          <w:rFonts w:ascii="Calibri" w:hAnsi="Calibri" w:cs="Calibri"/>
          <w:sz w:val="22"/>
          <w:szCs w:val="22"/>
          <w:lang w:eastAsia="en-US"/>
        </w:rPr>
        <w:t>complexity and risk profile. A new scalable approach will be developed to efficiently accredit the broader range of entities to operate under the VGPB supply policy framework.</w:t>
      </w:r>
    </w:p>
    <w:p w14:paraId="2F31C5A1" w14:textId="229C1943" w:rsidR="000C18E4" w:rsidRDefault="000C18E4" w:rsidP="000C18E4">
      <w:pPr>
        <w:spacing w:before="100" w:after="100"/>
        <w:ind w:left="794"/>
        <w:rPr>
          <w:rFonts w:ascii="Calibri" w:hAnsi="Calibri" w:cs="Calibri"/>
          <w:sz w:val="22"/>
          <w:szCs w:val="22"/>
          <w:lang w:eastAsia="en-US"/>
        </w:rPr>
      </w:pPr>
      <w:r>
        <w:rPr>
          <w:rFonts w:ascii="Calibri" w:hAnsi="Calibri" w:cs="Calibri"/>
          <w:sz w:val="22"/>
          <w:szCs w:val="22"/>
          <w:lang w:eastAsia="en-US"/>
        </w:rPr>
        <w:t xml:space="preserve">The </w:t>
      </w:r>
      <w:r w:rsidR="00A83D6E">
        <w:rPr>
          <w:rFonts w:ascii="Calibri" w:hAnsi="Calibri" w:cs="Calibri"/>
          <w:sz w:val="22"/>
          <w:szCs w:val="22"/>
          <w:lang w:eastAsia="en-US"/>
        </w:rPr>
        <w:t>p</w:t>
      </w:r>
      <w:r>
        <w:rPr>
          <w:rFonts w:ascii="Calibri" w:hAnsi="Calibri" w:cs="Calibri"/>
          <w:sz w:val="22"/>
          <w:szCs w:val="22"/>
          <w:lang w:eastAsia="en-US"/>
        </w:rPr>
        <w:t>ast few years have involved embedding the supply policies, but now the focus is on expanding the framework and harmonis</w:t>
      </w:r>
      <w:r w:rsidR="00AE2B79">
        <w:rPr>
          <w:rFonts w:ascii="Calibri" w:hAnsi="Calibri" w:cs="Calibri"/>
          <w:sz w:val="22"/>
          <w:szCs w:val="22"/>
          <w:lang w:eastAsia="en-US"/>
        </w:rPr>
        <w:t xml:space="preserve">ing </w:t>
      </w:r>
      <w:r>
        <w:rPr>
          <w:rFonts w:ascii="Calibri" w:hAnsi="Calibri" w:cs="Calibri"/>
          <w:sz w:val="22"/>
          <w:szCs w:val="22"/>
          <w:lang w:eastAsia="en-US"/>
        </w:rPr>
        <w:t>procurement across the wider Victorian public sector</w:t>
      </w:r>
      <w:r w:rsidR="002624C4">
        <w:rPr>
          <w:rFonts w:ascii="Calibri" w:hAnsi="Calibri" w:cs="Calibri"/>
          <w:sz w:val="22"/>
          <w:szCs w:val="22"/>
          <w:lang w:eastAsia="en-US"/>
        </w:rPr>
        <w:t>.</w:t>
      </w:r>
    </w:p>
    <w:p w14:paraId="237786FC" w14:textId="7AAEEE06" w:rsidR="000C18E4" w:rsidRDefault="000C18E4" w:rsidP="000C18E4">
      <w:pPr>
        <w:spacing w:before="100" w:after="100"/>
        <w:ind w:left="794"/>
        <w:rPr>
          <w:rFonts w:ascii="Calibri" w:hAnsi="Calibri" w:cs="Calibri"/>
          <w:sz w:val="22"/>
          <w:szCs w:val="22"/>
          <w:lang w:eastAsia="en-US"/>
        </w:rPr>
      </w:pPr>
      <w:r>
        <w:rPr>
          <w:rFonts w:ascii="Calibri" w:hAnsi="Calibri" w:cs="Calibri"/>
          <w:sz w:val="22"/>
          <w:szCs w:val="22"/>
          <w:lang w:eastAsia="en-US"/>
        </w:rPr>
        <w:t xml:space="preserve">The Board is working with </w:t>
      </w:r>
      <w:r w:rsidR="00AE2B79">
        <w:rPr>
          <w:rFonts w:ascii="Calibri" w:hAnsi="Calibri" w:cs="Calibri"/>
          <w:sz w:val="22"/>
          <w:szCs w:val="22"/>
          <w:lang w:eastAsia="en-US"/>
        </w:rPr>
        <w:t>d</w:t>
      </w:r>
      <w:r>
        <w:rPr>
          <w:rFonts w:ascii="Calibri" w:hAnsi="Calibri" w:cs="Calibri"/>
          <w:sz w:val="22"/>
          <w:szCs w:val="22"/>
          <w:lang w:eastAsia="en-US"/>
        </w:rPr>
        <w:t xml:space="preserve">epartments and </w:t>
      </w:r>
      <w:r w:rsidR="00AE2B79">
        <w:rPr>
          <w:rFonts w:ascii="Calibri" w:hAnsi="Calibri" w:cs="Calibri"/>
          <w:sz w:val="22"/>
          <w:szCs w:val="22"/>
          <w:lang w:eastAsia="en-US"/>
        </w:rPr>
        <w:t>chief procurement of</w:t>
      </w:r>
      <w:r>
        <w:rPr>
          <w:rFonts w:ascii="Calibri" w:hAnsi="Calibri" w:cs="Calibri"/>
          <w:sz w:val="22"/>
          <w:szCs w:val="22"/>
          <w:lang w:eastAsia="en-US"/>
        </w:rPr>
        <w:t xml:space="preserve">ficers (CPOs) across government to implement </w:t>
      </w:r>
      <w:r w:rsidR="00A83D6E">
        <w:rPr>
          <w:rFonts w:ascii="Calibri" w:hAnsi="Calibri" w:cs="Calibri"/>
          <w:sz w:val="22"/>
          <w:szCs w:val="22"/>
          <w:lang w:eastAsia="en-US"/>
        </w:rPr>
        <w:t>Victoria’s</w:t>
      </w:r>
      <w:r>
        <w:rPr>
          <w:rFonts w:ascii="Calibri" w:hAnsi="Calibri" w:cs="Calibri"/>
          <w:sz w:val="22"/>
          <w:szCs w:val="22"/>
          <w:lang w:eastAsia="en-US"/>
        </w:rPr>
        <w:t xml:space="preserve"> Social Procurement Framework, expand the VGPB’s framework, harmonise procurement policy and practice, drive digitisation of procurement and enhance buyer capability to help implement change. </w:t>
      </w:r>
      <w:r w:rsidRPr="008D5173">
        <w:rPr>
          <w:rFonts w:ascii="Calibri" w:hAnsi="Calibri" w:cs="Calibri"/>
          <w:sz w:val="22"/>
          <w:szCs w:val="22"/>
          <w:lang w:eastAsia="en-US"/>
        </w:rPr>
        <w:t>The VGPB has extensive commercial and government procurement experience and will continue to lead, advise and advocate for best practice in government procurement.</w:t>
      </w:r>
    </w:p>
    <w:p w14:paraId="3B822EB0" w14:textId="38DB5518" w:rsidR="000C18E4" w:rsidRPr="007D50C5" w:rsidRDefault="000C18E4" w:rsidP="000C18E4">
      <w:pPr>
        <w:spacing w:before="100" w:after="100"/>
        <w:ind w:left="794"/>
        <w:rPr>
          <w:rFonts w:ascii="Calibri" w:hAnsi="Calibri" w:cs="Calibri"/>
          <w:sz w:val="22"/>
          <w:szCs w:val="22"/>
          <w:lang w:eastAsia="en-US"/>
        </w:rPr>
      </w:pPr>
      <w:r w:rsidRPr="007D50C5">
        <w:rPr>
          <w:rFonts w:ascii="Calibri" w:hAnsi="Calibri" w:cs="Calibri"/>
          <w:sz w:val="22"/>
          <w:szCs w:val="22"/>
          <w:lang w:eastAsia="en-US"/>
        </w:rPr>
        <w:t xml:space="preserve">On behalf of the VGPB, I would like to </w:t>
      </w:r>
      <w:r>
        <w:rPr>
          <w:rFonts w:ascii="Calibri" w:hAnsi="Calibri" w:cs="Calibri"/>
          <w:sz w:val="22"/>
          <w:szCs w:val="22"/>
          <w:lang w:eastAsia="en-US"/>
        </w:rPr>
        <w:t xml:space="preserve">convey </w:t>
      </w:r>
      <w:r w:rsidRPr="007D50C5">
        <w:rPr>
          <w:rFonts w:ascii="Calibri" w:hAnsi="Calibri" w:cs="Calibri"/>
          <w:sz w:val="22"/>
          <w:szCs w:val="22"/>
          <w:lang w:eastAsia="en-US"/>
        </w:rPr>
        <w:t>my appreciation to the Minister for Finance, Robin Scott MP, for his continued support of the VGPB</w:t>
      </w:r>
      <w:r>
        <w:rPr>
          <w:rFonts w:ascii="Calibri" w:hAnsi="Calibri" w:cs="Calibri"/>
          <w:sz w:val="22"/>
          <w:szCs w:val="22"/>
          <w:lang w:eastAsia="en-US"/>
        </w:rPr>
        <w:t xml:space="preserve"> </w:t>
      </w:r>
      <w:r w:rsidRPr="00237C6A">
        <w:rPr>
          <w:rFonts w:ascii="Calibri" w:hAnsi="Calibri" w:cs="Calibri"/>
          <w:sz w:val="22"/>
          <w:szCs w:val="22"/>
          <w:lang w:eastAsia="en-US"/>
        </w:rPr>
        <w:t>to d</w:t>
      </w:r>
      <w:r>
        <w:rPr>
          <w:rFonts w:ascii="Calibri" w:hAnsi="Calibri" w:cs="Calibri"/>
          <w:sz w:val="22"/>
          <w:szCs w:val="22"/>
          <w:lang w:eastAsia="en-US"/>
        </w:rPr>
        <w:t>rive</w:t>
      </w:r>
      <w:r w:rsidRPr="00237C6A">
        <w:rPr>
          <w:rFonts w:ascii="Calibri" w:hAnsi="Calibri" w:cs="Calibri"/>
          <w:sz w:val="22"/>
          <w:szCs w:val="22"/>
          <w:lang w:eastAsia="en-US"/>
        </w:rPr>
        <w:t xml:space="preserve"> </w:t>
      </w:r>
      <w:r w:rsidR="002624C4">
        <w:rPr>
          <w:rFonts w:ascii="Calibri" w:hAnsi="Calibri" w:cs="Calibri"/>
          <w:sz w:val="22"/>
          <w:szCs w:val="22"/>
          <w:lang w:eastAsia="en-US"/>
        </w:rPr>
        <w:t>strategic change across</w:t>
      </w:r>
      <w:r w:rsidR="002624C4" w:rsidRPr="00237C6A">
        <w:rPr>
          <w:rFonts w:ascii="Calibri" w:hAnsi="Calibri" w:cs="Calibri"/>
          <w:sz w:val="22"/>
          <w:szCs w:val="22"/>
          <w:lang w:eastAsia="en-US"/>
        </w:rPr>
        <w:t xml:space="preserve"> </w:t>
      </w:r>
      <w:r w:rsidR="000B5AEA">
        <w:rPr>
          <w:rFonts w:ascii="Calibri" w:hAnsi="Calibri" w:cs="Calibri"/>
          <w:sz w:val="22"/>
          <w:szCs w:val="22"/>
          <w:lang w:eastAsia="en-US"/>
        </w:rPr>
        <w:t>g</w:t>
      </w:r>
      <w:r>
        <w:rPr>
          <w:rFonts w:ascii="Calibri" w:hAnsi="Calibri" w:cs="Calibri"/>
          <w:sz w:val="22"/>
          <w:szCs w:val="22"/>
          <w:lang w:eastAsia="en-US"/>
        </w:rPr>
        <w:t>overnment. The Board</w:t>
      </w:r>
      <w:r w:rsidR="00AE2B79">
        <w:rPr>
          <w:rFonts w:ascii="Calibri" w:hAnsi="Calibri" w:cs="Calibri"/>
          <w:sz w:val="22"/>
          <w:szCs w:val="22"/>
          <w:lang w:eastAsia="en-US"/>
        </w:rPr>
        <w:t xml:space="preserve"> </w:t>
      </w:r>
      <w:r>
        <w:rPr>
          <w:rFonts w:ascii="Calibri" w:hAnsi="Calibri" w:cs="Calibri"/>
          <w:sz w:val="22"/>
          <w:szCs w:val="22"/>
          <w:lang w:eastAsia="en-US"/>
        </w:rPr>
        <w:t>appreciate</w:t>
      </w:r>
      <w:r w:rsidR="00AE2B79">
        <w:rPr>
          <w:rFonts w:ascii="Calibri" w:hAnsi="Calibri" w:cs="Calibri"/>
          <w:sz w:val="22"/>
          <w:szCs w:val="22"/>
          <w:lang w:eastAsia="en-US"/>
        </w:rPr>
        <w:t>s</w:t>
      </w:r>
      <w:r>
        <w:rPr>
          <w:rFonts w:ascii="Calibri" w:hAnsi="Calibri" w:cs="Calibri"/>
          <w:sz w:val="22"/>
          <w:szCs w:val="22"/>
          <w:lang w:eastAsia="en-US"/>
        </w:rPr>
        <w:t xml:space="preserve"> the collaborative approach of the Government and CPOs in working with the VGPB to implement a governance structure to progress the current procurement objectives of delivering better value to government and reducing the burden on suppliers and buyers.</w:t>
      </w:r>
    </w:p>
    <w:p w14:paraId="0C45F82C" w14:textId="5C7FEAF9" w:rsidR="000C18E4" w:rsidRDefault="000C18E4" w:rsidP="000C18E4">
      <w:pPr>
        <w:spacing w:before="100" w:after="100"/>
        <w:ind w:left="794"/>
        <w:rPr>
          <w:rFonts w:ascii="Calibri" w:hAnsi="Calibri" w:cs="Calibri"/>
          <w:sz w:val="22"/>
          <w:szCs w:val="22"/>
          <w:lang w:eastAsia="en-US"/>
        </w:rPr>
      </w:pPr>
      <w:r>
        <w:rPr>
          <w:rFonts w:ascii="Calibri" w:hAnsi="Calibri" w:cs="Calibri"/>
          <w:sz w:val="22"/>
          <w:szCs w:val="22"/>
          <w:lang w:eastAsia="en-US"/>
        </w:rPr>
        <w:t xml:space="preserve">I would particularly like to thank our outgoing Chair, </w:t>
      </w:r>
      <w:r w:rsidR="0084604C">
        <w:rPr>
          <w:rFonts w:ascii="Calibri" w:hAnsi="Calibri" w:cs="Calibri"/>
          <w:sz w:val="22"/>
          <w:szCs w:val="22"/>
          <w:lang w:eastAsia="en-US"/>
        </w:rPr>
        <w:t>(</w:t>
      </w:r>
      <w:r>
        <w:rPr>
          <w:rFonts w:ascii="Calibri" w:hAnsi="Calibri" w:cs="Calibri"/>
          <w:sz w:val="22"/>
          <w:szCs w:val="22"/>
          <w:lang w:eastAsia="en-US"/>
        </w:rPr>
        <w:t>Dr</w:t>
      </w:r>
      <w:r w:rsidR="0084604C">
        <w:rPr>
          <w:rFonts w:ascii="Calibri" w:hAnsi="Calibri" w:cs="Calibri"/>
          <w:sz w:val="22"/>
          <w:szCs w:val="22"/>
          <w:lang w:eastAsia="en-US"/>
        </w:rPr>
        <w:t>)</w:t>
      </w:r>
      <w:r>
        <w:rPr>
          <w:rFonts w:ascii="Calibri" w:hAnsi="Calibri" w:cs="Calibri"/>
          <w:sz w:val="22"/>
          <w:szCs w:val="22"/>
          <w:lang w:eastAsia="en-US"/>
        </w:rPr>
        <w:t xml:space="preserve"> Lynne Williams. Lynne was instrumental in guiding the VGPB through its 2013 reform and has positioned the Board to tackle the challenges ahead. I would also like to thank our outgoing longest standing member, Marisa De Cicco, who contributed hugely over the years.</w:t>
      </w:r>
    </w:p>
    <w:p w14:paraId="734E687A" w14:textId="32663524" w:rsidR="000C18E4" w:rsidRPr="007D50C5" w:rsidRDefault="000C18E4" w:rsidP="000C18E4">
      <w:pPr>
        <w:spacing w:before="100" w:after="100"/>
        <w:ind w:left="794"/>
        <w:rPr>
          <w:rFonts w:ascii="Calibri" w:hAnsi="Calibri" w:cs="Calibri"/>
          <w:sz w:val="22"/>
          <w:szCs w:val="22"/>
          <w:lang w:eastAsia="en-US"/>
        </w:rPr>
      </w:pPr>
      <w:r>
        <w:rPr>
          <w:rFonts w:ascii="Calibri" w:hAnsi="Calibri" w:cs="Calibri"/>
          <w:sz w:val="22"/>
          <w:szCs w:val="22"/>
          <w:lang w:eastAsia="en-US"/>
        </w:rPr>
        <w:lastRenderedPageBreak/>
        <w:t>T</w:t>
      </w:r>
      <w:r w:rsidRPr="007D50C5">
        <w:rPr>
          <w:rFonts w:ascii="Calibri" w:hAnsi="Calibri" w:cs="Calibri"/>
          <w:sz w:val="22"/>
          <w:szCs w:val="22"/>
          <w:lang w:eastAsia="en-US"/>
        </w:rPr>
        <w:t>hank</w:t>
      </w:r>
      <w:r>
        <w:rPr>
          <w:rFonts w:ascii="Calibri" w:hAnsi="Calibri" w:cs="Calibri"/>
          <w:sz w:val="22"/>
          <w:szCs w:val="22"/>
          <w:lang w:eastAsia="en-US"/>
        </w:rPr>
        <w:t xml:space="preserve">s also to </w:t>
      </w:r>
      <w:r w:rsidRPr="007D50C5">
        <w:rPr>
          <w:rFonts w:ascii="Calibri" w:hAnsi="Calibri" w:cs="Calibri"/>
          <w:sz w:val="22"/>
          <w:szCs w:val="22"/>
          <w:lang w:eastAsia="en-US"/>
        </w:rPr>
        <w:t>all VGPB me</w:t>
      </w:r>
      <w:r>
        <w:rPr>
          <w:rFonts w:ascii="Calibri" w:hAnsi="Calibri" w:cs="Calibri"/>
          <w:sz w:val="22"/>
          <w:szCs w:val="22"/>
          <w:lang w:eastAsia="en-US"/>
        </w:rPr>
        <w:t xml:space="preserve">mbers </w:t>
      </w:r>
      <w:r w:rsidR="00B849E9">
        <w:rPr>
          <w:rFonts w:ascii="Calibri" w:hAnsi="Calibri" w:cs="Calibri"/>
          <w:sz w:val="22"/>
          <w:szCs w:val="22"/>
          <w:lang w:eastAsia="en-US"/>
        </w:rPr>
        <w:t>and the VGPB Secretariat</w:t>
      </w:r>
      <w:r w:rsidR="00D74EDA">
        <w:rPr>
          <w:rFonts w:ascii="Calibri" w:hAnsi="Calibri" w:cs="Calibri"/>
          <w:sz w:val="22"/>
          <w:szCs w:val="22"/>
          <w:lang w:eastAsia="en-US"/>
        </w:rPr>
        <w:t>,</w:t>
      </w:r>
      <w:r w:rsidR="00B849E9">
        <w:rPr>
          <w:rFonts w:ascii="Calibri" w:hAnsi="Calibri" w:cs="Calibri"/>
          <w:sz w:val="22"/>
          <w:szCs w:val="22"/>
          <w:lang w:eastAsia="en-US"/>
        </w:rPr>
        <w:t xml:space="preserve"> who demonstrated dedicated commitment to their roles throughout the year.</w:t>
      </w:r>
    </w:p>
    <w:p w14:paraId="1D467946" w14:textId="433E1D7A" w:rsidR="000C18E4" w:rsidRDefault="000C18E4" w:rsidP="000C18E4">
      <w:pPr>
        <w:spacing w:before="100" w:after="100"/>
        <w:ind w:left="794"/>
        <w:rPr>
          <w:rFonts w:ascii="Calibri" w:hAnsi="Calibri" w:cs="Calibri"/>
          <w:sz w:val="22"/>
          <w:szCs w:val="22"/>
          <w:lang w:eastAsia="en-US"/>
        </w:rPr>
      </w:pPr>
      <w:r>
        <w:rPr>
          <w:rFonts w:ascii="Calibri" w:hAnsi="Calibri" w:cs="Calibri"/>
          <w:sz w:val="22"/>
          <w:szCs w:val="22"/>
          <w:lang w:eastAsia="en-US"/>
        </w:rPr>
        <w:t xml:space="preserve">I look forward to an exciting and rewarding year ahead as we implement the </w:t>
      </w:r>
      <w:r w:rsidR="000B5AEA">
        <w:rPr>
          <w:rFonts w:ascii="Calibri" w:hAnsi="Calibri" w:cs="Calibri"/>
          <w:sz w:val="22"/>
          <w:szCs w:val="22"/>
          <w:lang w:eastAsia="en-US"/>
        </w:rPr>
        <w:t>workstreams</w:t>
      </w:r>
      <w:r>
        <w:rPr>
          <w:rFonts w:ascii="Calibri" w:hAnsi="Calibri" w:cs="Calibri"/>
          <w:sz w:val="22"/>
          <w:szCs w:val="22"/>
          <w:lang w:eastAsia="en-US"/>
        </w:rPr>
        <w:t xml:space="preserve"> and begin reshaping the Victorian Government procurement landscape.</w:t>
      </w:r>
    </w:p>
    <w:p w14:paraId="7FE8EA04" w14:textId="77777777" w:rsidR="003C10A7" w:rsidRDefault="003C10A7" w:rsidP="00BF1DF3">
      <w:pPr>
        <w:pStyle w:val="Normal1"/>
        <w:rPr>
          <w:lang w:eastAsia="en-US"/>
        </w:rPr>
      </w:pPr>
    </w:p>
    <w:p w14:paraId="2AEE172D" w14:textId="50DDFAC6" w:rsidR="00BF1DF3" w:rsidRPr="00CD6245" w:rsidRDefault="00620EE5" w:rsidP="00BF1DF3">
      <w:pPr>
        <w:pStyle w:val="Normal1"/>
        <w:rPr>
          <w:lang w:eastAsia="en-US"/>
        </w:rPr>
      </w:pPr>
      <w:r>
        <w:rPr>
          <w:lang w:eastAsia="en-US"/>
        </w:rPr>
        <w:t>Antoinette Brandi</w:t>
      </w:r>
      <w:r w:rsidR="00BF1DF3" w:rsidRPr="00CD6245">
        <w:rPr>
          <w:lang w:eastAsia="en-US"/>
        </w:rPr>
        <w:br/>
        <w:t>Chair, Victorian Government Purchasing Board</w:t>
      </w:r>
    </w:p>
    <w:p w14:paraId="04AB7302" w14:textId="459E48F4" w:rsidR="00E07B86" w:rsidRDefault="00E07B86" w:rsidP="00E07B86">
      <w:pPr>
        <w:pStyle w:val="Heading1NoNum"/>
      </w:pPr>
      <w:bookmarkStart w:id="13" w:name="_Toc524354051"/>
      <w:r w:rsidRPr="00CD6245">
        <w:lastRenderedPageBreak/>
        <w:t>Year in review</w:t>
      </w:r>
      <w:bookmarkEnd w:id="13"/>
    </w:p>
    <w:p w14:paraId="5410DB5E" w14:textId="4D91D02E" w:rsidR="003A4EBE" w:rsidRDefault="00035570" w:rsidP="003A4EBE">
      <w:pPr>
        <w:pStyle w:val="Heading2NoNum"/>
      </w:pPr>
      <w:bookmarkStart w:id="14" w:name="_Toc524354052"/>
      <w:r>
        <w:t>Our performance story</w:t>
      </w:r>
      <w:bookmarkEnd w:id="14"/>
    </w:p>
    <w:p w14:paraId="3B119204" w14:textId="4A05E4FE" w:rsidR="0093121A" w:rsidRDefault="0093121A" w:rsidP="0093121A">
      <w:pPr>
        <w:pStyle w:val="Normal1"/>
        <w:rPr>
          <w:lang w:eastAsia="en-US"/>
        </w:rPr>
      </w:pPr>
      <w:r>
        <w:rPr>
          <w:lang w:eastAsia="en-US"/>
        </w:rPr>
        <w:t xml:space="preserve">A major focus for the VGPB this year was establishing the governance </w:t>
      </w:r>
      <w:r w:rsidR="000B5AEA">
        <w:rPr>
          <w:lang w:eastAsia="en-US"/>
        </w:rPr>
        <w:t>framework for a new program of work.</w:t>
      </w:r>
      <w:r>
        <w:rPr>
          <w:lang w:eastAsia="en-US"/>
        </w:rPr>
        <w:t xml:space="preserve"> We are responsible and accountable for delivering the strategic objectives of this significant program of work.</w:t>
      </w:r>
    </w:p>
    <w:p w14:paraId="0A1F7A52" w14:textId="3A5F0E80" w:rsidR="000B5AEA" w:rsidRDefault="000B5AEA" w:rsidP="000B5AEA">
      <w:pPr>
        <w:pStyle w:val="Normal1"/>
        <w:rPr>
          <w:lang w:eastAsia="en-US"/>
        </w:rPr>
      </w:pPr>
      <w:r>
        <w:rPr>
          <w:lang w:eastAsia="en-US"/>
        </w:rPr>
        <w:t xml:space="preserve">In late 2017, the VGPB reviewed its strategic plan against broader </w:t>
      </w:r>
      <w:r w:rsidR="00BF7ED0">
        <w:rPr>
          <w:lang w:eastAsia="en-US"/>
        </w:rPr>
        <w:t>g</w:t>
      </w:r>
      <w:r>
        <w:rPr>
          <w:lang w:eastAsia="en-US"/>
        </w:rPr>
        <w:t xml:space="preserve">overnment initiatives. </w:t>
      </w:r>
      <w:r w:rsidRPr="008436CD">
        <w:t xml:space="preserve">From this review, </w:t>
      </w:r>
      <w:r>
        <w:t xml:space="preserve">we identified </w:t>
      </w:r>
      <w:r w:rsidRPr="008436CD">
        <w:t>five work</w:t>
      </w:r>
      <w:r>
        <w:rPr>
          <w:lang w:eastAsia="en-US"/>
        </w:rPr>
        <w:t>streams:</w:t>
      </w:r>
    </w:p>
    <w:p w14:paraId="11D46BAD" w14:textId="70E58F52" w:rsidR="0093121A" w:rsidRPr="00692D89" w:rsidRDefault="0093121A" w:rsidP="004C18E5">
      <w:pPr>
        <w:pStyle w:val="ListNumber"/>
        <w:rPr>
          <w:lang w:eastAsia="en-US"/>
        </w:rPr>
      </w:pPr>
      <w:r w:rsidRPr="00692D89">
        <w:t>Victoria’s Social Procurement Framework and reporting</w:t>
      </w:r>
    </w:p>
    <w:p w14:paraId="1D3391E8" w14:textId="31B82072" w:rsidR="0093121A" w:rsidRPr="00692D89" w:rsidRDefault="0093121A" w:rsidP="004C18E5">
      <w:pPr>
        <w:pStyle w:val="ListNumber"/>
        <w:rPr>
          <w:lang w:eastAsia="en-US"/>
        </w:rPr>
      </w:pPr>
      <w:r w:rsidRPr="00692D89">
        <w:t>Governance, extending the reach</w:t>
      </w:r>
    </w:p>
    <w:p w14:paraId="5E7144C0" w14:textId="7FC17F5D" w:rsidR="0093121A" w:rsidRPr="00692D89" w:rsidRDefault="0093121A" w:rsidP="004C18E5">
      <w:pPr>
        <w:pStyle w:val="ListNumber"/>
        <w:rPr>
          <w:lang w:eastAsia="en-US"/>
        </w:rPr>
      </w:pPr>
      <w:r w:rsidRPr="00692D89">
        <w:t>Policy and practice</w:t>
      </w:r>
    </w:p>
    <w:p w14:paraId="3A6760ED" w14:textId="3D401DB4" w:rsidR="0093121A" w:rsidRPr="00692D89" w:rsidRDefault="0093121A" w:rsidP="004C18E5">
      <w:pPr>
        <w:pStyle w:val="ListNumber"/>
        <w:rPr>
          <w:lang w:eastAsia="en-US"/>
        </w:rPr>
      </w:pPr>
      <w:r w:rsidRPr="00692D89">
        <w:t>Procurement technology</w:t>
      </w:r>
    </w:p>
    <w:p w14:paraId="2AFE4282" w14:textId="5FC0533D" w:rsidR="0093121A" w:rsidRPr="00692D89" w:rsidRDefault="0093121A" w:rsidP="004C18E5">
      <w:pPr>
        <w:pStyle w:val="ListNumber"/>
        <w:rPr>
          <w:lang w:eastAsia="en-US"/>
        </w:rPr>
      </w:pPr>
      <w:r w:rsidRPr="00692D89">
        <w:t>Capability</w:t>
      </w:r>
      <w:r>
        <w:t xml:space="preserve">, </w:t>
      </w:r>
      <w:r w:rsidRPr="00692D89">
        <w:t>streamlining processes</w:t>
      </w:r>
      <w:r>
        <w:t xml:space="preserve"> and </w:t>
      </w:r>
      <w:r w:rsidRPr="00692D89">
        <w:t>practices and leading change management</w:t>
      </w:r>
    </w:p>
    <w:p w14:paraId="774A49F8" w14:textId="520EF137" w:rsidR="0093121A" w:rsidRDefault="0093121A" w:rsidP="0093121A">
      <w:pPr>
        <w:pStyle w:val="Normal1"/>
        <w:rPr>
          <w:lang w:eastAsia="en-US"/>
        </w:rPr>
      </w:pPr>
      <w:r>
        <w:rPr>
          <w:lang w:eastAsia="en-US"/>
        </w:rPr>
        <w:t xml:space="preserve">Each workstream has multiple initiatives </w:t>
      </w:r>
      <w:r w:rsidRPr="009D7C0F">
        <w:rPr>
          <w:lang w:eastAsia="en-US"/>
        </w:rPr>
        <w:t>to be implemented progressively</w:t>
      </w:r>
      <w:r w:rsidR="00860D6B">
        <w:rPr>
          <w:lang w:eastAsia="en-US"/>
        </w:rPr>
        <w:t>. T</w:t>
      </w:r>
      <w:r>
        <w:rPr>
          <w:lang w:eastAsia="en-US"/>
        </w:rPr>
        <w:t>he fifth workstream (capability and change management) work</w:t>
      </w:r>
      <w:r w:rsidR="00860D6B">
        <w:rPr>
          <w:lang w:eastAsia="en-US"/>
        </w:rPr>
        <w:t>s</w:t>
      </w:r>
      <w:r>
        <w:rPr>
          <w:lang w:eastAsia="en-US"/>
        </w:rPr>
        <w:t xml:space="preserve"> across each stream to apply a standardised, aligned process to increase capability and deliver change</w:t>
      </w:r>
      <w:r w:rsidRPr="009D7C0F">
        <w:rPr>
          <w:lang w:eastAsia="en-US"/>
        </w:rPr>
        <w:t>.</w:t>
      </w:r>
    </w:p>
    <w:p w14:paraId="54B6B4F6" w14:textId="5AED4E5E" w:rsidR="00B54910" w:rsidRDefault="00B54910" w:rsidP="00B54910">
      <w:pPr>
        <w:pStyle w:val="Normal1"/>
        <w:rPr>
          <w:lang w:eastAsia="en-US"/>
        </w:rPr>
      </w:pPr>
      <w:r>
        <w:rPr>
          <w:lang w:eastAsia="en-US"/>
        </w:rPr>
        <w:t>Our remit will gradually expand from</w:t>
      </w:r>
      <w:r w:rsidR="001C1181">
        <w:rPr>
          <w:lang w:eastAsia="en-US"/>
        </w:rPr>
        <w:t xml:space="preserve"> </w:t>
      </w:r>
      <w:r>
        <w:rPr>
          <w:lang w:eastAsia="en-US"/>
        </w:rPr>
        <w:t xml:space="preserve">goods and services procurement </w:t>
      </w:r>
      <w:r w:rsidR="00860D6B">
        <w:rPr>
          <w:lang w:eastAsia="en-US"/>
        </w:rPr>
        <w:t>carried out by</w:t>
      </w:r>
      <w:r>
        <w:rPr>
          <w:lang w:eastAsia="en-US"/>
        </w:rPr>
        <w:t xml:space="preserve"> 32 </w:t>
      </w:r>
      <w:r w:rsidR="001C1181">
        <w:rPr>
          <w:lang w:eastAsia="en-US"/>
        </w:rPr>
        <w:t xml:space="preserve">government </w:t>
      </w:r>
      <w:r>
        <w:rPr>
          <w:lang w:eastAsia="en-US"/>
        </w:rPr>
        <w:t xml:space="preserve">entities to about 300 </w:t>
      </w:r>
      <w:r w:rsidR="001C1181">
        <w:rPr>
          <w:lang w:eastAsia="en-US"/>
        </w:rPr>
        <w:t xml:space="preserve">government </w:t>
      </w:r>
      <w:r>
        <w:rPr>
          <w:lang w:eastAsia="en-US"/>
        </w:rPr>
        <w:t>entities.</w:t>
      </w:r>
    </w:p>
    <w:p w14:paraId="004914C4" w14:textId="3EF69251" w:rsidR="00B54910" w:rsidRDefault="00B54910" w:rsidP="00B54910">
      <w:pPr>
        <w:pStyle w:val="Normal1"/>
        <w:rPr>
          <w:lang w:eastAsia="en-US"/>
        </w:rPr>
      </w:pPr>
      <w:r>
        <w:rPr>
          <w:lang w:eastAsia="en-US"/>
        </w:rPr>
        <w:t>We will work on greater harmonisation across the</w:t>
      </w:r>
      <w:r w:rsidRPr="00A60491">
        <w:t xml:space="preserve"> </w:t>
      </w:r>
      <w:r w:rsidRPr="00A60491">
        <w:rPr>
          <w:lang w:eastAsia="en-US"/>
        </w:rPr>
        <w:t>Victorian procurement landscape</w:t>
      </w:r>
      <w:r>
        <w:rPr>
          <w:lang w:eastAsia="en-US"/>
        </w:rPr>
        <w:t>, reducing the disconnect between</w:t>
      </w:r>
      <w:r w:rsidR="001C1181">
        <w:rPr>
          <w:lang w:eastAsia="en-US"/>
        </w:rPr>
        <w:t xml:space="preserve"> procurement of</w:t>
      </w:r>
      <w:r>
        <w:rPr>
          <w:lang w:eastAsia="en-US"/>
        </w:rPr>
        <w:t xml:space="preserve"> construction and </w:t>
      </w:r>
      <w:r w:rsidR="001C1181">
        <w:rPr>
          <w:lang w:eastAsia="en-US"/>
        </w:rPr>
        <w:t xml:space="preserve">that of </w:t>
      </w:r>
      <w:r>
        <w:rPr>
          <w:lang w:eastAsia="en-US"/>
        </w:rPr>
        <w:t>non-construction goods and services</w:t>
      </w:r>
      <w:r w:rsidR="00A83D6E">
        <w:rPr>
          <w:lang w:eastAsia="en-US"/>
        </w:rPr>
        <w:t>,</w:t>
      </w:r>
      <w:r>
        <w:rPr>
          <w:lang w:eastAsia="en-US"/>
        </w:rPr>
        <w:t xml:space="preserve"> and </w:t>
      </w:r>
      <w:r w:rsidR="001C1181">
        <w:rPr>
          <w:lang w:eastAsia="en-US"/>
        </w:rPr>
        <w:t>centralising</w:t>
      </w:r>
      <w:r>
        <w:rPr>
          <w:lang w:eastAsia="en-US"/>
        </w:rPr>
        <w:t xml:space="preserve"> all content </w:t>
      </w:r>
      <w:r w:rsidR="001C1181">
        <w:rPr>
          <w:lang w:eastAsia="en-US"/>
        </w:rPr>
        <w:t xml:space="preserve">to make it </w:t>
      </w:r>
      <w:r>
        <w:rPr>
          <w:lang w:eastAsia="en-US"/>
        </w:rPr>
        <w:t xml:space="preserve">available on one </w:t>
      </w:r>
      <w:r w:rsidR="008C05CD">
        <w:rPr>
          <w:lang w:eastAsia="en-US"/>
        </w:rPr>
        <w:t>website</w:t>
      </w:r>
      <w:r>
        <w:rPr>
          <w:lang w:eastAsia="en-US"/>
        </w:rPr>
        <w:t>.</w:t>
      </w:r>
    </w:p>
    <w:p w14:paraId="0EAE5D0D" w14:textId="5FA3AEB8" w:rsidR="00B54910" w:rsidRDefault="00B54910" w:rsidP="00B54910">
      <w:pPr>
        <w:pStyle w:val="Normal1"/>
        <w:rPr>
          <w:lang w:eastAsia="en-US"/>
        </w:rPr>
      </w:pPr>
      <w:r>
        <w:rPr>
          <w:lang w:eastAsia="en-US"/>
        </w:rPr>
        <w:t>Social procurement will be embedd</w:t>
      </w:r>
      <w:r w:rsidR="0074776B">
        <w:rPr>
          <w:lang w:eastAsia="en-US"/>
        </w:rPr>
        <w:t>ed</w:t>
      </w:r>
      <w:r>
        <w:rPr>
          <w:lang w:eastAsia="en-US"/>
        </w:rPr>
        <w:t xml:space="preserve"> into</w:t>
      </w:r>
      <w:r w:rsidR="0074776B">
        <w:rPr>
          <w:lang w:eastAsia="en-US"/>
        </w:rPr>
        <w:t xml:space="preserve"> the procurement process through our core principle of </w:t>
      </w:r>
      <w:r>
        <w:rPr>
          <w:lang w:eastAsia="en-US"/>
        </w:rPr>
        <w:t>value for money.</w:t>
      </w:r>
    </w:p>
    <w:p w14:paraId="441BB600" w14:textId="6CF7400D" w:rsidR="00B54910" w:rsidRDefault="00B54910" w:rsidP="00B54910">
      <w:pPr>
        <w:pStyle w:val="Normal1"/>
        <w:rPr>
          <w:lang w:eastAsia="en-US"/>
        </w:rPr>
      </w:pPr>
      <w:r>
        <w:rPr>
          <w:lang w:eastAsia="en-US"/>
        </w:rPr>
        <w:t xml:space="preserve">We will also work on driving </w:t>
      </w:r>
      <w:r w:rsidR="0074776B">
        <w:rPr>
          <w:lang w:eastAsia="en-US"/>
        </w:rPr>
        <w:t xml:space="preserve">procurement </w:t>
      </w:r>
      <w:r>
        <w:rPr>
          <w:lang w:eastAsia="en-US"/>
        </w:rPr>
        <w:t>digitisation and enhancing buyer capability to help implement change</w:t>
      </w:r>
      <w:r w:rsidR="00B13F27">
        <w:rPr>
          <w:lang w:eastAsia="en-US"/>
        </w:rPr>
        <w:t>.</w:t>
      </w:r>
    </w:p>
    <w:p w14:paraId="780499A4" w14:textId="77777777" w:rsidR="0093121A" w:rsidRDefault="0093121A" w:rsidP="0093121A">
      <w:pPr>
        <w:pStyle w:val="Heading3NoNum"/>
      </w:pPr>
      <w:r>
        <w:t>How will we implement it?</w:t>
      </w:r>
    </w:p>
    <w:p w14:paraId="63870DCE" w14:textId="049E7C8C" w:rsidR="0093121A" w:rsidRDefault="0093121A" w:rsidP="0093121A">
      <w:pPr>
        <w:pStyle w:val="Normal1"/>
        <w:rPr>
          <w:lang w:eastAsia="en-US"/>
        </w:rPr>
      </w:pPr>
      <w:r>
        <w:rPr>
          <w:lang w:eastAsia="en-US"/>
        </w:rPr>
        <w:t xml:space="preserve">We started </w:t>
      </w:r>
      <w:r w:rsidR="001C1181">
        <w:rPr>
          <w:lang w:eastAsia="en-US"/>
        </w:rPr>
        <w:t xml:space="preserve">by </w:t>
      </w:r>
      <w:r>
        <w:rPr>
          <w:lang w:eastAsia="en-US"/>
        </w:rPr>
        <w:t xml:space="preserve">revising our five-year strategic plan (2016–21) to </w:t>
      </w:r>
      <w:r w:rsidR="00913F59">
        <w:rPr>
          <w:lang w:eastAsia="en-US"/>
        </w:rPr>
        <w:t>align o</w:t>
      </w:r>
      <w:r>
        <w:rPr>
          <w:lang w:eastAsia="en-US"/>
        </w:rPr>
        <w:t xml:space="preserve">ur former strategic directions </w:t>
      </w:r>
      <w:r w:rsidR="00913F59">
        <w:rPr>
          <w:lang w:eastAsia="en-US"/>
        </w:rPr>
        <w:t>with</w:t>
      </w:r>
      <w:r>
        <w:rPr>
          <w:lang w:eastAsia="en-US"/>
        </w:rPr>
        <w:t xml:space="preserve"> the five workstreams</w:t>
      </w:r>
      <w:r w:rsidR="00860D6B">
        <w:rPr>
          <w:lang w:eastAsia="en-US"/>
        </w:rPr>
        <w:t xml:space="preserve">. We </w:t>
      </w:r>
      <w:r>
        <w:rPr>
          <w:lang w:eastAsia="en-US"/>
        </w:rPr>
        <w:t>have several new priorities to deliver over the coming years.</w:t>
      </w:r>
    </w:p>
    <w:p w14:paraId="4F2980F6" w14:textId="18058878" w:rsidR="0093121A" w:rsidRDefault="0093121A" w:rsidP="0093121A">
      <w:pPr>
        <w:pStyle w:val="Normal1"/>
      </w:pPr>
      <w:r>
        <w:fldChar w:fldCharType="begin"/>
      </w:r>
      <w:r>
        <w:instrText xml:space="preserve"> REF _Ref518992654 \h  \* MERGEFORMAT </w:instrText>
      </w:r>
      <w:r>
        <w:fldChar w:fldCharType="separate"/>
      </w:r>
      <w:r w:rsidR="00A07703" w:rsidRPr="00CD6245">
        <w:t xml:space="preserve">Figure </w:t>
      </w:r>
      <w:r w:rsidR="00A07703">
        <w:rPr>
          <w:noProof/>
        </w:rPr>
        <w:t>1</w:t>
      </w:r>
      <w:r>
        <w:fldChar w:fldCharType="end"/>
      </w:r>
      <w:r>
        <w:t xml:space="preserve"> shows how it all fits together.</w:t>
      </w:r>
    </w:p>
    <w:p w14:paraId="23EF0AF2" w14:textId="30385716" w:rsidR="0093121A" w:rsidRDefault="0093121A" w:rsidP="0093121A">
      <w:pPr>
        <w:pStyle w:val="Caption"/>
      </w:pPr>
      <w:bookmarkStart w:id="15" w:name="_Ref518992654"/>
      <w:bookmarkStart w:id="16" w:name="_Toc524354040"/>
      <w:r w:rsidRPr="00CD6245">
        <w:lastRenderedPageBreak/>
        <w:t xml:space="preserve">Figure </w:t>
      </w:r>
      <w:r>
        <w:rPr>
          <w:noProof/>
        </w:rPr>
        <w:fldChar w:fldCharType="begin"/>
      </w:r>
      <w:r>
        <w:rPr>
          <w:noProof/>
        </w:rPr>
        <w:instrText xml:space="preserve"> SEQ Figure \* ARABIC </w:instrText>
      </w:r>
      <w:r>
        <w:rPr>
          <w:noProof/>
        </w:rPr>
        <w:fldChar w:fldCharType="separate"/>
      </w:r>
      <w:r w:rsidR="00A07703">
        <w:rPr>
          <w:noProof/>
        </w:rPr>
        <w:t>1</w:t>
      </w:r>
      <w:r>
        <w:rPr>
          <w:noProof/>
        </w:rPr>
        <w:fldChar w:fldCharType="end"/>
      </w:r>
      <w:bookmarkEnd w:id="15"/>
      <w:r w:rsidRPr="00CD6245">
        <w:t xml:space="preserve">: VGPB </w:t>
      </w:r>
      <w:r>
        <w:t>s</w:t>
      </w:r>
      <w:r w:rsidRPr="00CD6245">
        <w:t>trateg</w:t>
      </w:r>
      <w:r>
        <w:t>ic</w:t>
      </w:r>
      <w:r w:rsidRPr="00CD6245">
        <w:t xml:space="preserve"> overview</w:t>
      </w:r>
      <w:bookmarkEnd w:id="16"/>
    </w:p>
    <w:p w14:paraId="24839BCA" w14:textId="77777777" w:rsidR="0093121A" w:rsidRDefault="0093121A" w:rsidP="0093121A">
      <w:pPr>
        <w:pStyle w:val="Caption"/>
      </w:pPr>
      <w:r>
        <w:rPr>
          <w:noProof/>
          <w:lang w:val="en-US" w:eastAsia="en-US"/>
        </w:rPr>
        <mc:AlternateContent>
          <mc:Choice Requires="wpc">
            <w:drawing>
              <wp:inline distT="0" distB="0" distL="0" distR="0" wp14:anchorId="67FC5EDC" wp14:editId="5E30DEB0">
                <wp:extent cx="5882640" cy="6991350"/>
                <wp:effectExtent l="0" t="0" r="0" b="0"/>
                <wp:docPr id="16" name="Canvas 16"/>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2" name="Text Box 2"/>
                        <wps:cNvSpPr txBox="1"/>
                        <wps:spPr>
                          <a:xfrm>
                            <a:off x="152401" y="35999"/>
                            <a:ext cx="1733550" cy="1592776"/>
                          </a:xfrm>
                          <a:prstGeom prst="rect">
                            <a:avLst/>
                          </a:prstGeom>
                          <a:solidFill>
                            <a:schemeClr val="lt1"/>
                          </a:solidFill>
                          <a:ln w="6350">
                            <a:solidFill>
                              <a:prstClr val="black"/>
                            </a:solidFill>
                          </a:ln>
                        </wps:spPr>
                        <wps:txbx>
                          <w:txbxContent>
                            <w:p w14:paraId="6523DBA1" w14:textId="77777777" w:rsidR="001206E5" w:rsidRPr="00692D89" w:rsidRDefault="001206E5" w:rsidP="0093121A">
                              <w:pPr>
                                <w:pStyle w:val="NormalWeb"/>
                                <w:spacing w:before="0" w:beforeAutospacing="0" w:after="160" w:afterAutospacing="0" w:line="256" w:lineRule="auto"/>
                                <w:rPr>
                                  <w:rFonts w:ascii="Calibri" w:eastAsia="Calibri" w:hAnsi="Calibri"/>
                                  <w:sz w:val="28"/>
                                  <w:szCs w:val="28"/>
                                </w:rPr>
                              </w:pPr>
                              <w:r w:rsidRPr="00692D89">
                                <w:rPr>
                                  <w:rFonts w:ascii="Calibri" w:eastAsia="Calibri" w:hAnsi="Calibri"/>
                                  <w:sz w:val="28"/>
                                  <w:szCs w:val="28"/>
                                </w:rPr>
                                <w:t xml:space="preserve">Our vision </w:t>
                              </w:r>
                            </w:p>
                            <w:p w14:paraId="2BAD9518" w14:textId="77777777" w:rsidR="001206E5" w:rsidRPr="00692D89" w:rsidRDefault="001206E5" w:rsidP="0093121A">
                              <w:pPr>
                                <w:pStyle w:val="NormalWeb"/>
                                <w:spacing w:before="0" w:beforeAutospacing="0" w:after="40" w:afterAutospacing="0" w:line="256" w:lineRule="auto"/>
                                <w:rPr>
                                  <w:rFonts w:ascii="Calibri" w:eastAsia="Calibri" w:hAnsi="Calibri"/>
                                  <w:sz w:val="22"/>
                                  <w:szCs w:val="22"/>
                                </w:rPr>
                              </w:pPr>
                              <w:r w:rsidRPr="00692D89">
                                <w:rPr>
                                  <w:rFonts w:ascii="Calibri" w:eastAsia="Calibri" w:hAnsi="Calibri"/>
                                  <w:sz w:val="22"/>
                                  <w:szCs w:val="22"/>
                                </w:rPr>
                                <w:t>To provide leadership in government procurement of goods and services to deliver value-for-money outcomes for Victoria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 name="Text Box 2"/>
                        <wps:cNvSpPr txBox="1"/>
                        <wps:spPr>
                          <a:xfrm>
                            <a:off x="1962150" y="36002"/>
                            <a:ext cx="3695700" cy="1592773"/>
                          </a:xfrm>
                          <a:prstGeom prst="rect">
                            <a:avLst/>
                          </a:prstGeom>
                          <a:solidFill>
                            <a:schemeClr val="lt1"/>
                          </a:solidFill>
                          <a:ln w="6350">
                            <a:solidFill>
                              <a:prstClr val="black"/>
                            </a:solidFill>
                          </a:ln>
                        </wps:spPr>
                        <wps:txbx>
                          <w:txbxContent>
                            <w:p w14:paraId="7A5354A8" w14:textId="77777777" w:rsidR="001206E5" w:rsidRDefault="001206E5" w:rsidP="0093121A">
                              <w:pPr>
                                <w:pStyle w:val="NormalWeb"/>
                                <w:spacing w:before="0" w:beforeAutospacing="0" w:after="160" w:afterAutospacing="0" w:line="256" w:lineRule="auto"/>
                              </w:pPr>
                              <w:r>
                                <w:rPr>
                                  <w:rFonts w:ascii="Calibri" w:eastAsia="Calibri" w:hAnsi="Calibri"/>
                                  <w:sz w:val="28"/>
                                  <w:szCs w:val="28"/>
                                </w:rPr>
                                <w:t>Our mission</w:t>
                              </w:r>
                            </w:p>
                            <w:p w14:paraId="69E3BA13" w14:textId="77777777" w:rsidR="001206E5" w:rsidRDefault="001206E5" w:rsidP="0093121A">
                              <w:pPr>
                                <w:pStyle w:val="NormalWeb"/>
                                <w:spacing w:before="0" w:beforeAutospacing="0" w:after="40" w:afterAutospacing="0" w:line="256" w:lineRule="auto"/>
                                <w:rPr>
                                  <w:rFonts w:ascii="Calibri" w:eastAsia="Calibri" w:hAnsi="Calibri"/>
                                  <w:sz w:val="22"/>
                                  <w:szCs w:val="22"/>
                                </w:rPr>
                              </w:pPr>
                              <w:r>
                                <w:rPr>
                                  <w:rFonts w:ascii="Calibri" w:eastAsia="Calibri" w:hAnsi="Calibri"/>
                                  <w:sz w:val="22"/>
                                  <w:szCs w:val="22"/>
                                </w:rPr>
                                <w:t>To ensure government:</w:t>
                              </w:r>
                            </w:p>
                            <w:p w14:paraId="60664D48" w14:textId="77777777" w:rsidR="001206E5" w:rsidRDefault="001206E5" w:rsidP="0093121A">
                              <w:pPr>
                                <w:pStyle w:val="NormalWeb"/>
                                <w:numPr>
                                  <w:ilvl w:val="0"/>
                                  <w:numId w:val="15"/>
                                </w:numPr>
                                <w:spacing w:before="0" w:beforeAutospacing="0" w:after="0" w:afterAutospacing="0" w:line="256" w:lineRule="auto"/>
                                <w:ind w:left="426" w:hanging="426"/>
                                <w:rPr>
                                  <w:rFonts w:ascii="Calibri" w:eastAsia="Calibri" w:hAnsi="Calibri"/>
                                  <w:sz w:val="22"/>
                                  <w:szCs w:val="22"/>
                                </w:rPr>
                              </w:pPr>
                              <w:r>
                                <w:rPr>
                                  <w:rFonts w:ascii="Calibri" w:eastAsia="Calibri" w:hAnsi="Calibri"/>
                                  <w:sz w:val="22"/>
                                  <w:szCs w:val="22"/>
                                </w:rPr>
                                <w:t>develops  procurement capability</w:t>
                              </w:r>
                            </w:p>
                            <w:p w14:paraId="4FAFAFF4" w14:textId="6CA4FEF8" w:rsidR="001206E5" w:rsidRPr="00BE46D1" w:rsidRDefault="001206E5" w:rsidP="0093121A">
                              <w:pPr>
                                <w:pStyle w:val="NormalWeb"/>
                                <w:numPr>
                                  <w:ilvl w:val="0"/>
                                  <w:numId w:val="15"/>
                                </w:numPr>
                                <w:spacing w:before="0" w:beforeAutospacing="0" w:after="0" w:afterAutospacing="0" w:line="256" w:lineRule="auto"/>
                                <w:ind w:left="426" w:hanging="426"/>
                                <w:rPr>
                                  <w:rFonts w:ascii="Calibri" w:eastAsia="Calibri" w:hAnsi="Calibri"/>
                                  <w:sz w:val="22"/>
                                  <w:szCs w:val="22"/>
                                </w:rPr>
                              </w:pPr>
                              <w:r w:rsidRPr="00BE46D1">
                                <w:rPr>
                                  <w:rFonts w:ascii="Calibri" w:eastAsia="Calibri" w:hAnsi="Calibri"/>
                                  <w:sz w:val="22"/>
                                  <w:szCs w:val="22"/>
                                </w:rPr>
                                <w:t>delivers value</w:t>
                              </w:r>
                              <w:r>
                                <w:rPr>
                                  <w:rFonts w:ascii="Calibri" w:eastAsia="Calibri" w:hAnsi="Calibri"/>
                                  <w:sz w:val="22"/>
                                  <w:szCs w:val="22"/>
                                </w:rPr>
                                <w:t>-</w:t>
                              </w:r>
                              <w:r w:rsidRPr="00BE46D1">
                                <w:rPr>
                                  <w:rFonts w:ascii="Calibri" w:eastAsia="Calibri" w:hAnsi="Calibri"/>
                                  <w:sz w:val="22"/>
                                  <w:szCs w:val="22"/>
                                </w:rPr>
                                <w:t>for</w:t>
                              </w:r>
                              <w:r>
                                <w:rPr>
                                  <w:rFonts w:ascii="Calibri" w:eastAsia="Calibri" w:hAnsi="Calibri"/>
                                  <w:sz w:val="22"/>
                                  <w:szCs w:val="22"/>
                                </w:rPr>
                                <w:t>-</w:t>
                              </w:r>
                              <w:r w:rsidRPr="00BE46D1">
                                <w:rPr>
                                  <w:rFonts w:ascii="Calibri" w:eastAsia="Calibri" w:hAnsi="Calibri"/>
                                  <w:sz w:val="22"/>
                                  <w:szCs w:val="22"/>
                                </w:rPr>
                                <w:t>money and fit</w:t>
                              </w:r>
                              <w:r>
                                <w:rPr>
                                  <w:rFonts w:ascii="Calibri" w:eastAsia="Calibri" w:hAnsi="Calibri"/>
                                  <w:sz w:val="22"/>
                                  <w:szCs w:val="22"/>
                                </w:rPr>
                                <w:t>-</w:t>
                              </w:r>
                              <w:r w:rsidRPr="00BE46D1">
                                <w:rPr>
                                  <w:rFonts w:ascii="Calibri" w:eastAsia="Calibri" w:hAnsi="Calibri"/>
                                  <w:sz w:val="22"/>
                                  <w:szCs w:val="22"/>
                                </w:rPr>
                                <w:t>for</w:t>
                              </w:r>
                              <w:r>
                                <w:rPr>
                                  <w:rFonts w:ascii="Calibri" w:eastAsia="Calibri" w:hAnsi="Calibri"/>
                                  <w:sz w:val="22"/>
                                  <w:szCs w:val="22"/>
                                </w:rPr>
                                <w:t>-</w:t>
                              </w:r>
                              <w:r w:rsidRPr="00BE46D1">
                                <w:rPr>
                                  <w:rFonts w:ascii="Calibri" w:eastAsia="Calibri" w:hAnsi="Calibri"/>
                                  <w:sz w:val="22"/>
                                  <w:szCs w:val="22"/>
                                </w:rPr>
                                <w:t>purpose outcomes</w:t>
                              </w:r>
                            </w:p>
                            <w:p w14:paraId="21FDF397" w14:textId="77777777" w:rsidR="001206E5" w:rsidRDefault="001206E5" w:rsidP="0093121A">
                              <w:pPr>
                                <w:pStyle w:val="NormalWeb"/>
                                <w:numPr>
                                  <w:ilvl w:val="0"/>
                                  <w:numId w:val="15"/>
                                </w:numPr>
                                <w:spacing w:before="0" w:beforeAutospacing="0" w:after="0" w:afterAutospacing="0" w:line="256" w:lineRule="auto"/>
                                <w:ind w:left="426" w:hanging="426"/>
                                <w:rPr>
                                  <w:rFonts w:ascii="Calibri" w:eastAsia="Calibri" w:hAnsi="Calibri"/>
                                  <w:sz w:val="22"/>
                                  <w:szCs w:val="22"/>
                                </w:rPr>
                              </w:pPr>
                              <w:r w:rsidRPr="00BE46D1">
                                <w:rPr>
                                  <w:rFonts w:ascii="Calibri" w:eastAsia="Calibri" w:hAnsi="Calibri"/>
                                  <w:sz w:val="22"/>
                                  <w:szCs w:val="22"/>
                                </w:rPr>
                                <w:t>minimises risk</w:t>
                              </w:r>
                            </w:p>
                            <w:p w14:paraId="2676BA6E" w14:textId="634425CD" w:rsidR="001206E5" w:rsidRPr="00BE46D1" w:rsidRDefault="001206E5" w:rsidP="0093121A">
                              <w:pPr>
                                <w:pStyle w:val="NormalWeb"/>
                                <w:numPr>
                                  <w:ilvl w:val="0"/>
                                  <w:numId w:val="15"/>
                                </w:numPr>
                                <w:spacing w:before="0" w:beforeAutospacing="0" w:after="0" w:afterAutospacing="0" w:line="256" w:lineRule="auto"/>
                                <w:ind w:left="426" w:hanging="426"/>
                                <w:rPr>
                                  <w:rFonts w:ascii="Calibri" w:eastAsia="Calibri" w:hAnsi="Calibri"/>
                                  <w:sz w:val="22"/>
                                  <w:szCs w:val="22"/>
                                </w:rPr>
                              </w:pPr>
                              <w:r>
                                <w:rPr>
                                  <w:rFonts w:ascii="Calibri" w:eastAsia="Calibri" w:hAnsi="Calibri"/>
                                  <w:sz w:val="22"/>
                                  <w:szCs w:val="22"/>
                                </w:rPr>
                                <w:t>enables access to procurement opportunities for all businesses</w:t>
                              </w:r>
                            </w:p>
                            <w:p w14:paraId="33DAC7E2" w14:textId="77777777" w:rsidR="001206E5" w:rsidRDefault="001206E5" w:rsidP="0093121A">
                              <w:pPr>
                                <w:pStyle w:val="NormalWeb"/>
                                <w:spacing w:before="0" w:beforeAutospacing="0" w:after="160" w:afterAutospacing="0" w:line="256" w:lineRule="auto"/>
                              </w:pP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5" name="Text Box 2"/>
                        <wps:cNvSpPr txBox="1"/>
                        <wps:spPr>
                          <a:xfrm>
                            <a:off x="152401" y="1711006"/>
                            <a:ext cx="1744051" cy="1632269"/>
                          </a:xfrm>
                          <a:prstGeom prst="rect">
                            <a:avLst/>
                          </a:prstGeom>
                          <a:solidFill>
                            <a:schemeClr val="lt1"/>
                          </a:solidFill>
                          <a:ln w="6350">
                            <a:solidFill>
                              <a:prstClr val="black"/>
                            </a:solidFill>
                          </a:ln>
                        </wps:spPr>
                        <wps:txbx>
                          <w:txbxContent>
                            <w:p w14:paraId="1B9DB069" w14:textId="2FCB6CFA" w:rsidR="001206E5" w:rsidRDefault="001206E5" w:rsidP="0093121A">
                              <w:pPr>
                                <w:pStyle w:val="NormalWeb"/>
                                <w:spacing w:before="0" w:beforeAutospacing="0" w:after="160" w:afterAutospacing="0" w:line="256" w:lineRule="auto"/>
                              </w:pPr>
                              <w:r>
                                <w:rPr>
                                  <w:rFonts w:ascii="Calibri" w:eastAsia="Calibri" w:hAnsi="Calibri"/>
                                  <w:sz w:val="28"/>
                                  <w:szCs w:val="28"/>
                                </w:rPr>
                                <w:t>Our principles</w:t>
                              </w:r>
                            </w:p>
                            <w:p w14:paraId="0B85744E" w14:textId="27095AED" w:rsidR="001206E5" w:rsidRDefault="001206E5" w:rsidP="0093121A">
                              <w:pPr>
                                <w:pStyle w:val="NormalWeb"/>
                                <w:spacing w:before="0" w:beforeAutospacing="0" w:after="40" w:afterAutospacing="0" w:line="256" w:lineRule="auto"/>
                                <w:rPr>
                                  <w:rFonts w:ascii="Calibri" w:eastAsia="Calibri" w:hAnsi="Calibri"/>
                                  <w:sz w:val="22"/>
                                  <w:szCs w:val="22"/>
                                </w:rPr>
                              </w:pPr>
                              <w:r>
                                <w:rPr>
                                  <w:rFonts w:ascii="Calibri" w:eastAsia="Calibri" w:hAnsi="Calibri"/>
                                  <w:sz w:val="22"/>
                                  <w:szCs w:val="22"/>
                                </w:rPr>
                                <w:t>All procurement activity must meet four principles:</w:t>
                              </w:r>
                            </w:p>
                            <w:p w14:paraId="19CB84BE" w14:textId="32BD4222" w:rsidR="001206E5" w:rsidRDefault="001206E5" w:rsidP="0093121A">
                              <w:pPr>
                                <w:pStyle w:val="NormalWeb"/>
                                <w:numPr>
                                  <w:ilvl w:val="0"/>
                                  <w:numId w:val="15"/>
                                </w:numPr>
                                <w:spacing w:before="0" w:beforeAutospacing="0" w:after="0" w:afterAutospacing="0" w:line="256" w:lineRule="auto"/>
                                <w:ind w:left="426" w:hanging="426"/>
                                <w:rPr>
                                  <w:rFonts w:ascii="Calibri" w:eastAsia="Calibri" w:hAnsi="Calibri"/>
                                  <w:sz w:val="22"/>
                                  <w:szCs w:val="22"/>
                                </w:rPr>
                              </w:pPr>
                              <w:r w:rsidRPr="00BE46D1">
                                <w:rPr>
                                  <w:rFonts w:ascii="Calibri" w:eastAsia="Calibri" w:hAnsi="Calibri"/>
                                  <w:sz w:val="22"/>
                                  <w:szCs w:val="22"/>
                                </w:rPr>
                                <w:t>Value for money</w:t>
                              </w:r>
                            </w:p>
                            <w:p w14:paraId="2FB02D8A" w14:textId="65279FF4" w:rsidR="001206E5" w:rsidRDefault="001206E5" w:rsidP="0093121A">
                              <w:pPr>
                                <w:pStyle w:val="NormalWeb"/>
                                <w:numPr>
                                  <w:ilvl w:val="0"/>
                                  <w:numId w:val="15"/>
                                </w:numPr>
                                <w:spacing w:before="0" w:beforeAutospacing="0" w:after="0" w:afterAutospacing="0" w:line="256" w:lineRule="auto"/>
                                <w:ind w:left="426" w:hanging="426"/>
                                <w:rPr>
                                  <w:rFonts w:ascii="Calibri" w:eastAsia="Calibri" w:hAnsi="Calibri"/>
                                  <w:sz w:val="22"/>
                                  <w:szCs w:val="22"/>
                                </w:rPr>
                              </w:pPr>
                              <w:r>
                                <w:rPr>
                                  <w:rFonts w:ascii="Calibri" w:eastAsia="Calibri" w:hAnsi="Calibri"/>
                                  <w:sz w:val="22"/>
                                  <w:szCs w:val="22"/>
                                </w:rPr>
                                <w:t>Accountability</w:t>
                              </w:r>
                            </w:p>
                            <w:p w14:paraId="14CFC9AC" w14:textId="23C435FD" w:rsidR="001206E5" w:rsidRDefault="001206E5" w:rsidP="0093121A">
                              <w:pPr>
                                <w:pStyle w:val="NormalWeb"/>
                                <w:numPr>
                                  <w:ilvl w:val="0"/>
                                  <w:numId w:val="15"/>
                                </w:numPr>
                                <w:spacing w:before="0" w:beforeAutospacing="0" w:after="0" w:afterAutospacing="0" w:line="256" w:lineRule="auto"/>
                                <w:ind w:left="426" w:hanging="426"/>
                                <w:rPr>
                                  <w:rFonts w:ascii="Calibri" w:eastAsia="Calibri" w:hAnsi="Calibri"/>
                                  <w:sz w:val="22"/>
                                  <w:szCs w:val="22"/>
                                </w:rPr>
                              </w:pPr>
                              <w:r>
                                <w:rPr>
                                  <w:rFonts w:ascii="Calibri" w:eastAsia="Calibri" w:hAnsi="Calibri"/>
                                  <w:sz w:val="22"/>
                                  <w:szCs w:val="22"/>
                                </w:rPr>
                                <w:t>Probity</w:t>
                              </w:r>
                            </w:p>
                            <w:p w14:paraId="02788A5A" w14:textId="7D28F48B" w:rsidR="001206E5" w:rsidRPr="00BE46D1" w:rsidRDefault="001206E5" w:rsidP="0093121A">
                              <w:pPr>
                                <w:pStyle w:val="NormalWeb"/>
                                <w:numPr>
                                  <w:ilvl w:val="0"/>
                                  <w:numId w:val="15"/>
                                </w:numPr>
                                <w:spacing w:before="0" w:beforeAutospacing="0" w:after="0" w:afterAutospacing="0" w:line="256" w:lineRule="auto"/>
                                <w:ind w:left="426" w:hanging="426"/>
                                <w:rPr>
                                  <w:rFonts w:ascii="Calibri" w:eastAsia="Calibri" w:hAnsi="Calibri"/>
                                  <w:sz w:val="22"/>
                                  <w:szCs w:val="22"/>
                                </w:rPr>
                              </w:pPr>
                              <w:r>
                                <w:rPr>
                                  <w:rFonts w:ascii="Calibri" w:eastAsia="Calibri" w:hAnsi="Calibri"/>
                                  <w:sz w:val="22"/>
                                  <w:szCs w:val="22"/>
                                </w:rPr>
                                <w:t>Scalability</w:t>
                              </w:r>
                            </w:p>
                            <w:p w14:paraId="65606161" w14:textId="77777777" w:rsidR="001206E5" w:rsidRDefault="001206E5" w:rsidP="0093121A">
                              <w:pPr>
                                <w:pStyle w:val="NormalWeb"/>
                                <w:spacing w:before="0" w:beforeAutospacing="0" w:after="160" w:afterAutospacing="0" w:line="256" w:lineRule="auto"/>
                              </w:pP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2" name="Text Box 2"/>
                        <wps:cNvSpPr txBox="1"/>
                        <wps:spPr>
                          <a:xfrm>
                            <a:off x="1962446" y="1701481"/>
                            <a:ext cx="3714454" cy="1632269"/>
                          </a:xfrm>
                          <a:prstGeom prst="rect">
                            <a:avLst/>
                          </a:prstGeom>
                          <a:solidFill>
                            <a:schemeClr val="lt1"/>
                          </a:solidFill>
                          <a:ln w="6350">
                            <a:solidFill>
                              <a:prstClr val="black"/>
                            </a:solidFill>
                          </a:ln>
                        </wps:spPr>
                        <wps:txbx>
                          <w:txbxContent>
                            <w:p w14:paraId="27C99C3B" w14:textId="77777777" w:rsidR="001206E5" w:rsidRDefault="001206E5" w:rsidP="0093121A">
                              <w:pPr>
                                <w:pStyle w:val="NormalWeb"/>
                                <w:spacing w:before="0" w:beforeAutospacing="0" w:after="120" w:afterAutospacing="0" w:line="254" w:lineRule="auto"/>
                                <w:rPr>
                                  <w:rFonts w:ascii="Calibri" w:eastAsia="Calibri" w:hAnsi="Calibri"/>
                                  <w:sz w:val="28"/>
                                  <w:szCs w:val="28"/>
                                </w:rPr>
                              </w:pPr>
                              <w:r>
                                <w:rPr>
                                  <w:rFonts w:ascii="Calibri" w:eastAsia="Calibri" w:hAnsi="Calibri"/>
                                  <w:sz w:val="28"/>
                                  <w:szCs w:val="28"/>
                                </w:rPr>
                                <w:t xml:space="preserve">Our policies </w:t>
                              </w:r>
                            </w:p>
                            <w:p w14:paraId="7C7B47EA" w14:textId="5D51137B" w:rsidR="001206E5" w:rsidRDefault="001206E5" w:rsidP="0093121A">
                              <w:pPr>
                                <w:pStyle w:val="NormalWeb"/>
                                <w:spacing w:before="0" w:beforeAutospacing="0" w:after="40" w:afterAutospacing="0" w:line="254" w:lineRule="auto"/>
                              </w:pPr>
                              <w:r>
                                <w:rPr>
                                  <w:rFonts w:ascii="Calibri" w:eastAsia="Calibri" w:hAnsi="Calibri"/>
                                </w:rPr>
                                <w:t xml:space="preserve">Five policies to </w:t>
                              </w:r>
                              <w:r w:rsidRPr="00BE46D1">
                                <w:rPr>
                                  <w:rFonts w:ascii="Calibri" w:eastAsia="Calibri" w:hAnsi="Calibri"/>
                                </w:rPr>
                                <w:t>cover end-to-end procurement activity</w:t>
                              </w:r>
                              <w:r>
                                <w:rPr>
                                  <w:rFonts w:ascii="Calibri" w:eastAsia="Calibri" w:hAnsi="Calibri"/>
                                </w:rPr>
                                <w:t xml:space="preserve">: </w:t>
                              </w:r>
                            </w:p>
                            <w:p w14:paraId="2082DCF6" w14:textId="1D0D7B72" w:rsidR="001206E5" w:rsidRPr="00C97DE7" w:rsidRDefault="001206E5" w:rsidP="0093121A">
                              <w:pPr>
                                <w:pStyle w:val="NormalWeb"/>
                                <w:numPr>
                                  <w:ilvl w:val="0"/>
                                  <w:numId w:val="15"/>
                                </w:numPr>
                                <w:spacing w:before="0" w:beforeAutospacing="0" w:after="0" w:afterAutospacing="0" w:line="256" w:lineRule="auto"/>
                                <w:ind w:left="426" w:hanging="426"/>
                                <w:rPr>
                                  <w:rFonts w:ascii="Calibri" w:eastAsia="Calibri" w:hAnsi="Calibri"/>
                                  <w:sz w:val="22"/>
                                  <w:szCs w:val="22"/>
                                </w:rPr>
                              </w:pPr>
                              <w:r>
                                <w:rPr>
                                  <w:rFonts w:ascii="Calibri" w:eastAsia="Calibri" w:hAnsi="Calibri"/>
                                  <w:sz w:val="22"/>
                                  <w:szCs w:val="22"/>
                                </w:rPr>
                                <w:t>Governance</w:t>
                              </w:r>
                            </w:p>
                            <w:p w14:paraId="57639412" w14:textId="6A4BA988" w:rsidR="001206E5" w:rsidRPr="00C97DE7" w:rsidRDefault="001206E5" w:rsidP="0093121A">
                              <w:pPr>
                                <w:pStyle w:val="NormalWeb"/>
                                <w:numPr>
                                  <w:ilvl w:val="0"/>
                                  <w:numId w:val="15"/>
                                </w:numPr>
                                <w:spacing w:before="0" w:beforeAutospacing="0" w:after="0" w:afterAutospacing="0" w:line="256" w:lineRule="auto"/>
                                <w:ind w:left="426" w:hanging="426"/>
                                <w:rPr>
                                  <w:rFonts w:ascii="Calibri" w:eastAsia="Calibri" w:hAnsi="Calibri"/>
                                  <w:sz w:val="22"/>
                                  <w:szCs w:val="22"/>
                                </w:rPr>
                              </w:pPr>
                              <w:r w:rsidRPr="00C97DE7">
                                <w:rPr>
                                  <w:rFonts w:ascii="Calibri" w:eastAsia="Calibri" w:hAnsi="Calibri"/>
                                  <w:sz w:val="22"/>
                                  <w:szCs w:val="22"/>
                                </w:rPr>
                                <w:t>Complexity and capability assessment</w:t>
                              </w:r>
                            </w:p>
                            <w:p w14:paraId="2234540D" w14:textId="4F5088F4" w:rsidR="001206E5" w:rsidRPr="00C97DE7" w:rsidRDefault="001206E5" w:rsidP="0093121A">
                              <w:pPr>
                                <w:pStyle w:val="NormalWeb"/>
                                <w:numPr>
                                  <w:ilvl w:val="0"/>
                                  <w:numId w:val="15"/>
                                </w:numPr>
                                <w:spacing w:before="0" w:beforeAutospacing="0" w:after="0" w:afterAutospacing="0" w:line="256" w:lineRule="auto"/>
                                <w:ind w:left="426" w:hanging="426"/>
                                <w:rPr>
                                  <w:rFonts w:ascii="Calibri" w:eastAsia="Calibri" w:hAnsi="Calibri"/>
                                  <w:sz w:val="22"/>
                                  <w:szCs w:val="22"/>
                                </w:rPr>
                              </w:pPr>
                              <w:r w:rsidRPr="00C97DE7">
                                <w:rPr>
                                  <w:rFonts w:ascii="Calibri" w:eastAsia="Calibri" w:hAnsi="Calibri"/>
                                  <w:sz w:val="22"/>
                                  <w:szCs w:val="22"/>
                                </w:rPr>
                                <w:t>Market analysis and review</w:t>
                              </w:r>
                            </w:p>
                            <w:p w14:paraId="4C894493" w14:textId="02D39CFB" w:rsidR="001206E5" w:rsidRPr="00C97DE7" w:rsidRDefault="001206E5" w:rsidP="0093121A">
                              <w:pPr>
                                <w:pStyle w:val="NormalWeb"/>
                                <w:numPr>
                                  <w:ilvl w:val="0"/>
                                  <w:numId w:val="15"/>
                                </w:numPr>
                                <w:spacing w:before="0" w:beforeAutospacing="0" w:after="0" w:afterAutospacing="0" w:line="256" w:lineRule="auto"/>
                                <w:ind w:left="426" w:hanging="426"/>
                                <w:rPr>
                                  <w:rFonts w:ascii="Calibri" w:eastAsia="Calibri" w:hAnsi="Calibri"/>
                                  <w:sz w:val="22"/>
                                  <w:szCs w:val="22"/>
                                </w:rPr>
                              </w:pPr>
                              <w:r w:rsidRPr="00C97DE7">
                                <w:rPr>
                                  <w:rFonts w:ascii="Calibri" w:eastAsia="Calibri" w:hAnsi="Calibri"/>
                                  <w:sz w:val="22"/>
                                  <w:szCs w:val="22"/>
                                </w:rPr>
                                <w:t>Market approach</w:t>
                              </w:r>
                            </w:p>
                            <w:p w14:paraId="49188AAD" w14:textId="4D3F52CE" w:rsidR="001206E5" w:rsidRPr="00C97DE7" w:rsidRDefault="001206E5" w:rsidP="0093121A">
                              <w:pPr>
                                <w:pStyle w:val="NormalWeb"/>
                                <w:numPr>
                                  <w:ilvl w:val="0"/>
                                  <w:numId w:val="15"/>
                                </w:numPr>
                                <w:spacing w:before="0" w:beforeAutospacing="0" w:after="0" w:afterAutospacing="0" w:line="256" w:lineRule="auto"/>
                                <w:ind w:left="426" w:hanging="426"/>
                                <w:rPr>
                                  <w:rFonts w:ascii="Calibri" w:eastAsia="Calibri" w:hAnsi="Calibri"/>
                                  <w:sz w:val="22"/>
                                  <w:szCs w:val="22"/>
                                </w:rPr>
                              </w:pPr>
                              <w:r w:rsidRPr="00C97DE7">
                                <w:rPr>
                                  <w:rFonts w:ascii="Calibri" w:eastAsia="Calibri" w:hAnsi="Calibri"/>
                                  <w:sz w:val="22"/>
                                  <w:szCs w:val="22"/>
                                </w:rPr>
                                <w:t>Contract management and contract disclosure</w:t>
                              </w:r>
                            </w:p>
                            <w:p w14:paraId="4D8CEF6E" w14:textId="77777777" w:rsidR="001206E5" w:rsidRDefault="001206E5" w:rsidP="0093121A">
                              <w:pPr>
                                <w:pStyle w:val="NormalWeb"/>
                                <w:spacing w:before="0" w:beforeAutospacing="0" w:after="160" w:afterAutospacing="0" w:line="254" w:lineRule="auto"/>
                              </w:pPr>
                              <w:r>
                                <w:t> </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3" name="Text Box 2"/>
                        <wps:cNvSpPr txBox="1"/>
                        <wps:spPr>
                          <a:xfrm>
                            <a:off x="142875" y="3429001"/>
                            <a:ext cx="5524499" cy="1638299"/>
                          </a:xfrm>
                          <a:prstGeom prst="rect">
                            <a:avLst/>
                          </a:prstGeom>
                          <a:solidFill>
                            <a:schemeClr val="lt1"/>
                          </a:solidFill>
                          <a:ln w="6350">
                            <a:solidFill>
                              <a:prstClr val="black"/>
                            </a:solidFill>
                          </a:ln>
                        </wps:spPr>
                        <wps:txbx>
                          <w:txbxContent>
                            <w:p w14:paraId="11526939" w14:textId="77777777" w:rsidR="001206E5" w:rsidRDefault="001206E5" w:rsidP="0093121A">
                              <w:pPr>
                                <w:pStyle w:val="NormalWeb"/>
                                <w:spacing w:before="0" w:beforeAutospacing="0" w:after="160" w:afterAutospacing="0" w:line="254" w:lineRule="auto"/>
                              </w:pPr>
                              <w:r>
                                <w:rPr>
                                  <w:rFonts w:ascii="Calibri" w:eastAsia="Calibri" w:hAnsi="Calibri"/>
                                  <w:sz w:val="28"/>
                                  <w:szCs w:val="28"/>
                                </w:rPr>
                                <w:t>Our strategy</w:t>
                              </w:r>
                            </w:p>
                            <w:p w14:paraId="219B794A" w14:textId="77777777" w:rsidR="001206E5" w:rsidRDefault="001206E5" w:rsidP="0093121A">
                              <w:pPr>
                                <w:pStyle w:val="NormalWeb"/>
                                <w:spacing w:before="0" w:beforeAutospacing="0" w:after="40" w:afterAutospacing="0" w:line="254" w:lineRule="auto"/>
                                <w:rPr>
                                  <w:rFonts w:ascii="Calibri" w:eastAsia="Calibri" w:hAnsi="Calibri"/>
                                  <w:sz w:val="22"/>
                                  <w:szCs w:val="22"/>
                                </w:rPr>
                              </w:pPr>
                              <w:r>
                                <w:rPr>
                                  <w:rFonts w:ascii="Calibri" w:eastAsia="Calibri" w:hAnsi="Calibri"/>
                                  <w:sz w:val="22"/>
                                  <w:szCs w:val="22"/>
                                </w:rPr>
                                <w:t>Five workstreams with multiple initiatives:</w:t>
                              </w:r>
                            </w:p>
                            <w:p w14:paraId="6488CD98" w14:textId="77777777" w:rsidR="001206E5" w:rsidRPr="006E10B5" w:rsidRDefault="001206E5" w:rsidP="0093121A">
                              <w:pPr>
                                <w:pStyle w:val="ListParagraph"/>
                                <w:numPr>
                                  <w:ilvl w:val="0"/>
                                  <w:numId w:val="16"/>
                                </w:numPr>
                                <w:spacing w:before="0" w:after="0" w:line="254" w:lineRule="auto"/>
                              </w:pPr>
                              <w:r>
                                <w:rPr>
                                  <w:rFonts w:eastAsia="Calibri"/>
                                </w:rPr>
                                <w:t>Victoria’s Social Procurement Framework and reporting</w:t>
                              </w:r>
                            </w:p>
                            <w:p w14:paraId="6F442585" w14:textId="77777777" w:rsidR="001206E5" w:rsidRPr="006E10B5" w:rsidRDefault="001206E5" w:rsidP="0093121A">
                              <w:pPr>
                                <w:pStyle w:val="ListParagraph"/>
                                <w:numPr>
                                  <w:ilvl w:val="0"/>
                                  <w:numId w:val="16"/>
                                </w:numPr>
                                <w:spacing w:before="0" w:after="0" w:line="254" w:lineRule="auto"/>
                                <w:rPr>
                                  <w:rFonts w:eastAsia="Calibri"/>
                                </w:rPr>
                              </w:pPr>
                              <w:r>
                                <w:rPr>
                                  <w:rFonts w:eastAsia="Calibri"/>
                                </w:rPr>
                                <w:t>Governance, extending the reach</w:t>
                              </w:r>
                            </w:p>
                            <w:p w14:paraId="24604F56" w14:textId="77777777" w:rsidR="001206E5" w:rsidRPr="006E10B5" w:rsidRDefault="001206E5" w:rsidP="0093121A">
                              <w:pPr>
                                <w:pStyle w:val="ListParagraph"/>
                                <w:numPr>
                                  <w:ilvl w:val="0"/>
                                  <w:numId w:val="16"/>
                                </w:numPr>
                                <w:spacing w:before="0" w:after="0" w:line="254" w:lineRule="auto"/>
                                <w:rPr>
                                  <w:rFonts w:eastAsia="Calibri"/>
                                </w:rPr>
                              </w:pPr>
                              <w:r w:rsidRPr="006E10B5">
                                <w:rPr>
                                  <w:rFonts w:eastAsia="Calibri"/>
                                </w:rPr>
                                <w:t>Policy and practice</w:t>
                              </w:r>
                            </w:p>
                            <w:p w14:paraId="1DD05F00" w14:textId="77777777" w:rsidR="001206E5" w:rsidRPr="006E10B5" w:rsidRDefault="001206E5" w:rsidP="0093121A">
                              <w:pPr>
                                <w:pStyle w:val="ListParagraph"/>
                                <w:numPr>
                                  <w:ilvl w:val="0"/>
                                  <w:numId w:val="16"/>
                                </w:numPr>
                                <w:spacing w:before="0" w:after="0" w:line="254" w:lineRule="auto"/>
                                <w:rPr>
                                  <w:rFonts w:eastAsia="Calibri"/>
                                </w:rPr>
                              </w:pPr>
                              <w:r w:rsidRPr="006E10B5">
                                <w:rPr>
                                  <w:rFonts w:eastAsia="Calibri"/>
                                </w:rPr>
                                <w:t>Procurement technology</w:t>
                              </w:r>
                            </w:p>
                            <w:p w14:paraId="5DD944C9" w14:textId="77777777" w:rsidR="001206E5" w:rsidRPr="006E10B5" w:rsidRDefault="001206E5" w:rsidP="0093121A">
                              <w:pPr>
                                <w:pStyle w:val="ListParagraph"/>
                                <w:numPr>
                                  <w:ilvl w:val="0"/>
                                  <w:numId w:val="16"/>
                                </w:numPr>
                                <w:spacing w:before="0" w:after="0" w:line="254" w:lineRule="auto"/>
                                <w:rPr>
                                  <w:rFonts w:eastAsia="Calibri"/>
                                </w:rPr>
                              </w:pPr>
                              <w:r w:rsidRPr="006E10B5">
                                <w:rPr>
                                  <w:rFonts w:eastAsia="Calibri"/>
                                </w:rPr>
                                <w:t>Capability</w:t>
                              </w:r>
                              <w:r>
                                <w:rPr>
                                  <w:rFonts w:eastAsia="Calibri"/>
                                </w:rPr>
                                <w:t>,</w:t>
                              </w:r>
                              <w:r w:rsidRPr="006E10B5">
                                <w:rPr>
                                  <w:rFonts w:eastAsia="Calibri"/>
                                </w:rPr>
                                <w:t xml:space="preserve"> streamlining processes</w:t>
                              </w:r>
                              <w:r>
                                <w:rPr>
                                  <w:rFonts w:eastAsia="Calibri"/>
                                </w:rPr>
                                <w:t xml:space="preserve"> and</w:t>
                              </w:r>
                              <w:r w:rsidRPr="006E10B5">
                                <w:rPr>
                                  <w:rFonts w:eastAsia="Calibri"/>
                                </w:rPr>
                                <w:t xml:space="preserve"> practices and leading change management</w:t>
                              </w:r>
                            </w:p>
                            <w:p w14:paraId="7330BF4A" w14:textId="77777777" w:rsidR="001206E5" w:rsidRDefault="001206E5" w:rsidP="0093121A">
                              <w:pPr>
                                <w:pStyle w:val="NormalWeb"/>
                                <w:spacing w:before="0" w:beforeAutospacing="0" w:after="160" w:afterAutospacing="0" w:line="254" w:lineRule="auto"/>
                              </w:pPr>
                              <w:r>
                                <w:t> </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4" name="Text Box 2"/>
                        <wps:cNvSpPr txBox="1"/>
                        <wps:spPr>
                          <a:xfrm>
                            <a:off x="141606" y="5128925"/>
                            <a:ext cx="5535294" cy="1452850"/>
                          </a:xfrm>
                          <a:prstGeom prst="rect">
                            <a:avLst/>
                          </a:prstGeom>
                          <a:solidFill>
                            <a:schemeClr val="lt1"/>
                          </a:solidFill>
                          <a:ln w="6350">
                            <a:solidFill>
                              <a:prstClr val="black"/>
                            </a:solidFill>
                          </a:ln>
                        </wps:spPr>
                        <wps:txbx>
                          <w:txbxContent>
                            <w:p w14:paraId="727872B5" w14:textId="77777777" w:rsidR="001206E5" w:rsidRDefault="001206E5" w:rsidP="0093121A">
                              <w:pPr>
                                <w:pStyle w:val="NormalWeb"/>
                                <w:spacing w:before="0" w:beforeAutospacing="0" w:after="160" w:afterAutospacing="0" w:line="254" w:lineRule="auto"/>
                                <w:rPr>
                                  <w:rFonts w:ascii="Calibri" w:eastAsia="Calibri" w:hAnsi="Calibri"/>
                                  <w:sz w:val="28"/>
                                  <w:szCs w:val="28"/>
                                </w:rPr>
                              </w:pPr>
                              <w:r>
                                <w:rPr>
                                  <w:rFonts w:ascii="Calibri" w:eastAsia="Calibri" w:hAnsi="Calibri"/>
                                  <w:sz w:val="28"/>
                                  <w:szCs w:val="28"/>
                                </w:rPr>
                                <w:t>Our network</w:t>
                              </w:r>
                            </w:p>
                            <w:p w14:paraId="34EDE93B" w14:textId="28FE86FD" w:rsidR="001206E5" w:rsidRDefault="001206E5" w:rsidP="00A12E8A">
                              <w:pPr>
                                <w:pStyle w:val="NormalWeb"/>
                                <w:spacing w:before="0" w:beforeAutospacing="0" w:after="160" w:afterAutospacing="0" w:line="254" w:lineRule="auto"/>
                                <w:rPr>
                                  <w:rFonts w:ascii="Calibri" w:eastAsia="Calibri" w:hAnsi="Calibri"/>
                                  <w:sz w:val="22"/>
                                  <w:szCs w:val="22"/>
                                </w:rPr>
                              </w:pPr>
                              <w:r w:rsidRPr="00A12E8A">
                                <w:rPr>
                                  <w:rFonts w:ascii="Calibri" w:eastAsia="Calibri" w:hAnsi="Calibri"/>
                                  <w:sz w:val="22"/>
                                  <w:szCs w:val="22"/>
                                </w:rPr>
                                <w:t>Th</w:t>
                              </w:r>
                              <w:r>
                                <w:rPr>
                                  <w:rFonts w:ascii="Calibri" w:eastAsia="Calibri" w:hAnsi="Calibri"/>
                                  <w:sz w:val="22"/>
                                  <w:szCs w:val="22"/>
                                </w:rPr>
                                <w:t xml:space="preserve">e VGPB covers 32 government organisations. This includes the </w:t>
                              </w:r>
                              <w:r w:rsidRPr="00A12E8A">
                                <w:rPr>
                                  <w:rFonts w:ascii="Calibri" w:eastAsia="Calibri" w:hAnsi="Calibri"/>
                                  <w:sz w:val="22"/>
                                  <w:szCs w:val="22"/>
                                </w:rPr>
                                <w:t xml:space="preserve">seven Victorian Government departments, </w:t>
                              </w:r>
                              <w:r>
                                <w:rPr>
                                  <w:rFonts w:ascii="Calibri" w:eastAsia="Calibri" w:hAnsi="Calibri"/>
                                  <w:sz w:val="22"/>
                                  <w:szCs w:val="22"/>
                                </w:rPr>
                                <w:t>CenITex,  Public Transport Victoria,</w:t>
                              </w:r>
                              <w:r w:rsidRPr="00A12E8A">
                                <w:rPr>
                                  <w:rFonts w:ascii="Calibri" w:eastAsia="Calibri" w:hAnsi="Calibri"/>
                                  <w:sz w:val="22"/>
                                  <w:szCs w:val="22"/>
                                </w:rPr>
                                <w:t xml:space="preserve"> </w:t>
                              </w:r>
                              <w:r>
                                <w:rPr>
                                  <w:rFonts w:ascii="Calibri" w:eastAsia="Calibri" w:hAnsi="Calibri"/>
                                  <w:sz w:val="22"/>
                                  <w:szCs w:val="22"/>
                                </w:rPr>
                                <w:t>VicRoads and</w:t>
                              </w:r>
                              <w:r w:rsidRPr="00A12E8A">
                                <w:rPr>
                                  <w:rFonts w:ascii="Calibri" w:eastAsia="Calibri" w:hAnsi="Calibri"/>
                                  <w:sz w:val="22"/>
                                  <w:szCs w:val="22"/>
                                </w:rPr>
                                <w:t xml:space="preserve"> Victoria Police</w:t>
                              </w:r>
                              <w:r>
                                <w:rPr>
                                  <w:rFonts w:ascii="Calibri" w:eastAsia="Calibri" w:hAnsi="Calibri"/>
                                  <w:sz w:val="22"/>
                                  <w:szCs w:val="22"/>
                                </w:rPr>
                                <w:t xml:space="preserve"> (see </w:t>
                              </w:r>
                              <w:r w:rsidRPr="001173EC">
                                <w:rPr>
                                  <w:rFonts w:ascii="Calibri" w:eastAsia="Calibri" w:hAnsi="Calibri"/>
                                  <w:i/>
                                  <w:sz w:val="22"/>
                                  <w:szCs w:val="22"/>
                                </w:rPr>
                                <w:t xml:space="preserve">Scope of our </w:t>
                              </w:r>
                              <w:r>
                                <w:rPr>
                                  <w:rFonts w:ascii="Calibri" w:eastAsia="Calibri" w:hAnsi="Calibri"/>
                                  <w:i/>
                                  <w:sz w:val="22"/>
                                  <w:szCs w:val="22"/>
                                </w:rPr>
                                <w:t>p</w:t>
                              </w:r>
                              <w:r w:rsidRPr="001173EC">
                                <w:rPr>
                                  <w:rFonts w:ascii="Calibri" w:eastAsia="Calibri" w:hAnsi="Calibri"/>
                                  <w:i/>
                                  <w:sz w:val="22"/>
                                  <w:szCs w:val="22"/>
                                </w:rPr>
                                <w:t>olicies</w:t>
                              </w:r>
                              <w:r>
                                <w:rPr>
                                  <w:rFonts w:ascii="Calibri" w:eastAsia="Calibri" w:hAnsi="Calibri"/>
                                  <w:sz w:val="22"/>
                                  <w:szCs w:val="22"/>
                                </w:rPr>
                                <w:t xml:space="preserve"> in </w:t>
                              </w:r>
                              <w:r w:rsidRPr="001173EC">
                                <w:rPr>
                                  <w:rFonts w:ascii="Calibri" w:eastAsia="Calibri" w:hAnsi="Calibri"/>
                                  <w:i/>
                                  <w:sz w:val="22"/>
                                  <w:szCs w:val="22"/>
                                </w:rPr>
                                <w:t xml:space="preserve">About the VGPB </w:t>
                              </w:r>
                              <w:r>
                                <w:rPr>
                                  <w:rFonts w:ascii="Calibri" w:eastAsia="Calibri" w:hAnsi="Calibri"/>
                                  <w:sz w:val="22"/>
                                  <w:szCs w:val="22"/>
                                </w:rPr>
                                <w:t xml:space="preserve">for more detail). </w:t>
                              </w:r>
                            </w:p>
                            <w:p w14:paraId="48ACE73B" w14:textId="0B9A2E46" w:rsidR="001206E5" w:rsidRPr="006E10B5" w:rsidRDefault="001206E5" w:rsidP="00A12E8A">
                              <w:pPr>
                                <w:pStyle w:val="NormalWeb"/>
                                <w:spacing w:before="0" w:beforeAutospacing="0" w:after="160" w:afterAutospacing="0" w:line="254" w:lineRule="auto"/>
                              </w:pPr>
                              <w:r w:rsidRPr="006E10B5">
                                <w:rPr>
                                  <w:rFonts w:ascii="Calibri" w:eastAsia="Calibri" w:hAnsi="Calibri"/>
                                  <w:sz w:val="22"/>
                                  <w:szCs w:val="22"/>
                                </w:rPr>
                                <w:t xml:space="preserve">We work </w:t>
                              </w:r>
                              <w:r>
                                <w:rPr>
                                  <w:rFonts w:ascii="Calibri" w:eastAsia="Calibri" w:hAnsi="Calibri"/>
                                  <w:sz w:val="22"/>
                                  <w:szCs w:val="22"/>
                                </w:rPr>
                                <w:t xml:space="preserve">closely with  our stakeholders to ensure our policies are modern, relevant and easy to apply. </w:t>
                              </w:r>
                            </w:p>
                            <w:p w14:paraId="2C2F9767" w14:textId="77777777" w:rsidR="001206E5" w:rsidRDefault="001206E5" w:rsidP="0093121A">
                              <w:pPr>
                                <w:pStyle w:val="NormalWeb"/>
                                <w:spacing w:before="0" w:beforeAutospacing="0" w:after="160" w:afterAutospacing="0" w:line="254" w:lineRule="auto"/>
                              </w:pPr>
                              <w:r>
                                <w:t> </w:t>
                              </w:r>
                            </w:p>
                          </w:txbxContent>
                        </wps:txbx>
                        <wps:bodyPr rot="0" spcFirstLastPara="0" vert="horz" wrap="square" lIns="91440" tIns="45720" rIns="91440" bIns="45720" numCol="1" spcCol="0" rtlCol="0" fromWordArt="0" anchor="t" anchorCtr="0" forceAA="0" compatLnSpc="1">
                          <a:prstTxWarp prst="textNoShape">
                            <a:avLst/>
                          </a:prstTxWarp>
                          <a:noAutofit/>
                        </wps:bodyPr>
                      </wps:wsp>
                    </wpc:wpc>
                  </a:graphicData>
                </a:graphic>
              </wp:inline>
            </w:drawing>
          </mc:Choice>
          <mc:Fallback>
            <w:pict>
              <v:group w14:anchorId="67FC5EDC" id="Canvas 16" o:spid="_x0000_s1027" editas="canvas" style="width:463.2pt;height:550.5pt;mso-position-horizontal-relative:char;mso-position-vertical-relative:line" coordsize="58826,699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width:58826;height:69913;visibility:visible;mso-wrap-style:square">
                  <v:fill o:detectmouseclick="t"/>
                  <v:path o:connecttype="none"/>
                </v:shape>
                <v:shape id="Text Box 2" o:spid="_x0000_s1029" type="#_x0000_t202" style="position:absolute;left:1524;top:359;width:17335;height:159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" fillcolor="white [3201]" strokeweight=".5pt">
                  <v:textbox>
                    <w:txbxContent>
                      <w:p w14:paraId="6523DBA1" w14:textId="77777777" w:rsidR="001206E5" w:rsidRPr="00692D89" w:rsidRDefault="001206E5" w:rsidP="0093121A">
                        <w:pPr>
                          <w:pStyle w:val="NormalWeb"/>
                          <w:spacing w:before="0" w:beforeAutospacing="0" w:after="160" w:afterAutospacing="0" w:line="256" w:lineRule="auto"/>
                          <w:rPr>
                            <w:rFonts w:ascii="Calibri" w:eastAsia="Calibri" w:hAnsi="Calibri"/>
                            <w:sz w:val="28"/>
                            <w:szCs w:val="28"/>
                          </w:rPr>
                        </w:pPr>
                        <w:r w:rsidRPr="00692D89">
                          <w:rPr>
                            <w:rFonts w:ascii="Calibri" w:eastAsia="Calibri" w:hAnsi="Calibri"/>
                            <w:sz w:val="28"/>
                            <w:szCs w:val="28"/>
                          </w:rPr>
                          <w:t xml:space="preserve">Our vision </w:t>
                        </w:r>
                      </w:p>
                      <w:p w14:paraId="2BAD9518" w14:textId="77777777" w:rsidR="001206E5" w:rsidRPr="00692D89" w:rsidRDefault="001206E5" w:rsidP="0093121A">
                        <w:pPr>
                          <w:pStyle w:val="NormalWeb"/>
                          <w:spacing w:before="0" w:beforeAutospacing="0" w:after="40" w:afterAutospacing="0" w:line="256" w:lineRule="auto"/>
                          <w:rPr>
                            <w:rFonts w:ascii="Calibri" w:eastAsia="Calibri" w:hAnsi="Calibri"/>
                            <w:sz w:val="22"/>
                            <w:szCs w:val="22"/>
                          </w:rPr>
                        </w:pPr>
                        <w:r w:rsidRPr="00692D89">
                          <w:rPr>
                            <w:rFonts w:ascii="Calibri" w:eastAsia="Calibri" w:hAnsi="Calibri"/>
                            <w:sz w:val="22"/>
                            <w:szCs w:val="22"/>
                          </w:rPr>
                          <w:t>To provide leadership in government procurement of goods and services to deliver value-for-money outcomes for Victoria</w:t>
                        </w:r>
                      </w:p>
                    </w:txbxContent>
                  </v:textbox>
                </v:shape>
                <v:shape id="Text Box 2" o:spid="_x0000_s1030" type="#_x0000_t202" style="position:absolute;left:19621;top:360;width:36957;height:159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" fillcolor="white [3201]" strokeweight=".5pt">
                  <v:textbox>
                    <w:txbxContent>
                      <w:p w14:paraId="7A5354A8" w14:textId="77777777" w:rsidR="001206E5" w:rsidRDefault="001206E5" w:rsidP="0093121A">
                        <w:pPr>
                          <w:pStyle w:val="NormalWeb"/>
                          <w:spacing w:before="0" w:beforeAutospacing="0" w:after="160" w:afterAutospacing="0" w:line="256" w:lineRule="auto"/>
                        </w:pPr>
                        <w:r>
                          <w:rPr>
                            <w:rFonts w:ascii="Calibri" w:eastAsia="Calibri" w:hAnsi="Calibri"/>
                            <w:sz w:val="28"/>
                            <w:szCs w:val="28"/>
                          </w:rPr>
                          <w:t>Our mission</w:t>
                        </w:r>
                      </w:p>
                      <w:p w14:paraId="69E3BA13" w14:textId="77777777" w:rsidR="001206E5" w:rsidRDefault="001206E5" w:rsidP="0093121A">
                        <w:pPr>
                          <w:pStyle w:val="NormalWeb"/>
                          <w:spacing w:before="0" w:beforeAutospacing="0" w:after="40" w:afterAutospacing="0" w:line="256" w:lineRule="auto"/>
                          <w:rPr>
                            <w:rFonts w:ascii="Calibri" w:eastAsia="Calibri" w:hAnsi="Calibri"/>
                            <w:sz w:val="22"/>
                            <w:szCs w:val="22"/>
                          </w:rPr>
                        </w:pPr>
                        <w:r>
                          <w:rPr>
                            <w:rFonts w:ascii="Calibri" w:eastAsia="Calibri" w:hAnsi="Calibri"/>
                            <w:sz w:val="22"/>
                            <w:szCs w:val="22"/>
                          </w:rPr>
                          <w:t>To ensure government:</w:t>
                        </w:r>
                      </w:p>
                      <w:p w14:paraId="60664D48" w14:textId="77777777" w:rsidR="001206E5" w:rsidRDefault="001206E5" w:rsidP="0093121A">
                        <w:pPr>
                          <w:pStyle w:val="NormalWeb"/>
                          <w:numPr>
                            <w:ilvl w:val="0"/>
                            <w:numId w:val="15"/>
                          </w:numPr>
                          <w:spacing w:before="0" w:beforeAutospacing="0" w:after="0" w:afterAutospacing="0" w:line="256" w:lineRule="auto"/>
                          <w:ind w:left="426" w:hanging="426"/>
                          <w:rPr>
                            <w:rFonts w:ascii="Calibri" w:eastAsia="Calibri" w:hAnsi="Calibri"/>
                            <w:sz w:val="22"/>
                            <w:szCs w:val="22"/>
                          </w:rPr>
                        </w:pPr>
                        <w:r>
                          <w:rPr>
                            <w:rFonts w:ascii="Calibri" w:eastAsia="Calibri" w:hAnsi="Calibri"/>
                            <w:sz w:val="22"/>
                            <w:szCs w:val="22"/>
                          </w:rPr>
                          <w:t>develops  procurement capability</w:t>
                        </w:r>
                      </w:p>
                      <w:p w14:paraId="4FAFAFF4" w14:textId="6CA4FEF8" w:rsidR="001206E5" w:rsidRPr="00BE46D1" w:rsidRDefault="001206E5" w:rsidP="0093121A">
                        <w:pPr>
                          <w:pStyle w:val="NormalWeb"/>
                          <w:numPr>
                            <w:ilvl w:val="0"/>
                            <w:numId w:val="15"/>
                          </w:numPr>
                          <w:spacing w:before="0" w:beforeAutospacing="0" w:after="0" w:afterAutospacing="0" w:line="256" w:lineRule="auto"/>
                          <w:ind w:left="426" w:hanging="426"/>
                          <w:rPr>
                            <w:rFonts w:ascii="Calibri" w:eastAsia="Calibri" w:hAnsi="Calibri"/>
                            <w:sz w:val="22"/>
                            <w:szCs w:val="22"/>
                          </w:rPr>
                        </w:pPr>
                        <w:r w:rsidRPr="00BE46D1">
                          <w:rPr>
                            <w:rFonts w:ascii="Calibri" w:eastAsia="Calibri" w:hAnsi="Calibri"/>
                            <w:sz w:val="22"/>
                            <w:szCs w:val="22"/>
                          </w:rPr>
                          <w:t>delivers value</w:t>
                        </w:r>
                        <w:r>
                          <w:rPr>
                            <w:rFonts w:ascii="Calibri" w:eastAsia="Calibri" w:hAnsi="Calibri"/>
                            <w:sz w:val="22"/>
                            <w:szCs w:val="22"/>
                          </w:rPr>
                          <w:t>-</w:t>
                        </w:r>
                        <w:r w:rsidRPr="00BE46D1">
                          <w:rPr>
                            <w:rFonts w:ascii="Calibri" w:eastAsia="Calibri" w:hAnsi="Calibri"/>
                            <w:sz w:val="22"/>
                            <w:szCs w:val="22"/>
                          </w:rPr>
                          <w:t>for</w:t>
                        </w:r>
                        <w:r>
                          <w:rPr>
                            <w:rFonts w:ascii="Calibri" w:eastAsia="Calibri" w:hAnsi="Calibri"/>
                            <w:sz w:val="22"/>
                            <w:szCs w:val="22"/>
                          </w:rPr>
                          <w:t>-</w:t>
                        </w:r>
                        <w:r w:rsidRPr="00BE46D1">
                          <w:rPr>
                            <w:rFonts w:ascii="Calibri" w:eastAsia="Calibri" w:hAnsi="Calibri"/>
                            <w:sz w:val="22"/>
                            <w:szCs w:val="22"/>
                          </w:rPr>
                          <w:t>money and fit</w:t>
                        </w:r>
                        <w:r>
                          <w:rPr>
                            <w:rFonts w:ascii="Calibri" w:eastAsia="Calibri" w:hAnsi="Calibri"/>
                            <w:sz w:val="22"/>
                            <w:szCs w:val="22"/>
                          </w:rPr>
                          <w:t>-</w:t>
                        </w:r>
                        <w:r w:rsidRPr="00BE46D1">
                          <w:rPr>
                            <w:rFonts w:ascii="Calibri" w:eastAsia="Calibri" w:hAnsi="Calibri"/>
                            <w:sz w:val="22"/>
                            <w:szCs w:val="22"/>
                          </w:rPr>
                          <w:t>for</w:t>
                        </w:r>
                        <w:r>
                          <w:rPr>
                            <w:rFonts w:ascii="Calibri" w:eastAsia="Calibri" w:hAnsi="Calibri"/>
                            <w:sz w:val="22"/>
                            <w:szCs w:val="22"/>
                          </w:rPr>
                          <w:t>-</w:t>
                        </w:r>
                        <w:r w:rsidRPr="00BE46D1">
                          <w:rPr>
                            <w:rFonts w:ascii="Calibri" w:eastAsia="Calibri" w:hAnsi="Calibri"/>
                            <w:sz w:val="22"/>
                            <w:szCs w:val="22"/>
                          </w:rPr>
                          <w:t>purpose outcomes</w:t>
                        </w:r>
                      </w:p>
                      <w:p w14:paraId="21FDF397" w14:textId="77777777" w:rsidR="001206E5" w:rsidRDefault="001206E5" w:rsidP="0093121A">
                        <w:pPr>
                          <w:pStyle w:val="NormalWeb"/>
                          <w:numPr>
                            <w:ilvl w:val="0"/>
                            <w:numId w:val="15"/>
                          </w:numPr>
                          <w:spacing w:before="0" w:beforeAutospacing="0" w:after="0" w:afterAutospacing="0" w:line="256" w:lineRule="auto"/>
                          <w:ind w:left="426" w:hanging="426"/>
                          <w:rPr>
                            <w:rFonts w:ascii="Calibri" w:eastAsia="Calibri" w:hAnsi="Calibri"/>
                            <w:sz w:val="22"/>
                            <w:szCs w:val="22"/>
                          </w:rPr>
                        </w:pPr>
                        <w:r w:rsidRPr="00BE46D1">
                          <w:rPr>
                            <w:rFonts w:ascii="Calibri" w:eastAsia="Calibri" w:hAnsi="Calibri"/>
                            <w:sz w:val="22"/>
                            <w:szCs w:val="22"/>
                          </w:rPr>
                          <w:t>minimises risk</w:t>
                        </w:r>
                      </w:p>
                      <w:p w14:paraId="2676BA6E" w14:textId="634425CD" w:rsidR="001206E5" w:rsidRPr="00BE46D1" w:rsidRDefault="001206E5" w:rsidP="0093121A">
                        <w:pPr>
                          <w:pStyle w:val="NormalWeb"/>
                          <w:numPr>
                            <w:ilvl w:val="0"/>
                            <w:numId w:val="15"/>
                          </w:numPr>
                          <w:spacing w:before="0" w:beforeAutospacing="0" w:after="0" w:afterAutospacing="0" w:line="256" w:lineRule="auto"/>
                          <w:ind w:left="426" w:hanging="426"/>
                          <w:rPr>
                            <w:rFonts w:ascii="Calibri" w:eastAsia="Calibri" w:hAnsi="Calibri"/>
                            <w:sz w:val="22"/>
                            <w:szCs w:val="22"/>
                          </w:rPr>
                        </w:pPr>
                        <w:r>
                          <w:rPr>
                            <w:rFonts w:ascii="Calibri" w:eastAsia="Calibri" w:hAnsi="Calibri"/>
                            <w:sz w:val="22"/>
                            <w:szCs w:val="22"/>
                          </w:rPr>
                          <w:t>enables access to procurement opportunities for all businesses</w:t>
                        </w:r>
                      </w:p>
                      <w:p w14:paraId="33DAC7E2" w14:textId="77777777" w:rsidR="001206E5" w:rsidRDefault="001206E5" w:rsidP="0093121A">
                        <w:pPr>
                          <w:pStyle w:val="NormalWeb"/>
                          <w:spacing w:before="0" w:beforeAutospacing="0" w:after="160" w:afterAutospacing="0" w:line="256" w:lineRule="auto"/>
                        </w:pPr>
                      </w:p>
                    </w:txbxContent>
                  </v:textbox>
                </v:shape>
                <v:shape id="Text Box 2" o:spid="_x0000_s1031" type="#_x0000_t202" style="position:absolute;left:1524;top:17110;width:17440;height:163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" fillcolor="white [3201]" strokeweight=".5pt">
                  <v:textbox>
                    <w:txbxContent>
                      <w:p w14:paraId="1B9DB069" w14:textId="2FCB6CFA" w:rsidR="001206E5" w:rsidRDefault="001206E5" w:rsidP="0093121A">
                        <w:pPr>
                          <w:pStyle w:val="NormalWeb"/>
                          <w:spacing w:before="0" w:beforeAutospacing="0" w:after="160" w:afterAutospacing="0" w:line="256" w:lineRule="auto"/>
                        </w:pPr>
                        <w:r>
                          <w:rPr>
                            <w:rFonts w:ascii="Calibri" w:eastAsia="Calibri" w:hAnsi="Calibri"/>
                            <w:sz w:val="28"/>
                            <w:szCs w:val="28"/>
                          </w:rPr>
                          <w:t>Our principles</w:t>
                        </w:r>
                      </w:p>
                      <w:p w14:paraId="0B85744E" w14:textId="27095AED" w:rsidR="001206E5" w:rsidRDefault="001206E5" w:rsidP="0093121A">
                        <w:pPr>
                          <w:pStyle w:val="NormalWeb"/>
                          <w:spacing w:before="0" w:beforeAutospacing="0" w:after="40" w:afterAutospacing="0" w:line="256" w:lineRule="auto"/>
                          <w:rPr>
                            <w:rFonts w:ascii="Calibri" w:eastAsia="Calibri" w:hAnsi="Calibri"/>
                            <w:sz w:val="22"/>
                            <w:szCs w:val="22"/>
                          </w:rPr>
                        </w:pPr>
                        <w:r>
                          <w:rPr>
                            <w:rFonts w:ascii="Calibri" w:eastAsia="Calibri" w:hAnsi="Calibri"/>
                            <w:sz w:val="22"/>
                            <w:szCs w:val="22"/>
                          </w:rPr>
                          <w:t>All procurement activity must meet four principles:</w:t>
                        </w:r>
                      </w:p>
                      <w:p w14:paraId="19CB84BE" w14:textId="32BD4222" w:rsidR="001206E5" w:rsidRDefault="001206E5" w:rsidP="0093121A">
                        <w:pPr>
                          <w:pStyle w:val="NormalWeb"/>
                          <w:numPr>
                            <w:ilvl w:val="0"/>
                            <w:numId w:val="15"/>
                          </w:numPr>
                          <w:spacing w:before="0" w:beforeAutospacing="0" w:after="0" w:afterAutospacing="0" w:line="256" w:lineRule="auto"/>
                          <w:ind w:left="426" w:hanging="426"/>
                          <w:rPr>
                            <w:rFonts w:ascii="Calibri" w:eastAsia="Calibri" w:hAnsi="Calibri"/>
                            <w:sz w:val="22"/>
                            <w:szCs w:val="22"/>
                          </w:rPr>
                        </w:pPr>
                        <w:r w:rsidRPr="00BE46D1">
                          <w:rPr>
                            <w:rFonts w:ascii="Calibri" w:eastAsia="Calibri" w:hAnsi="Calibri"/>
                            <w:sz w:val="22"/>
                            <w:szCs w:val="22"/>
                          </w:rPr>
                          <w:t>Value for money</w:t>
                        </w:r>
                      </w:p>
                      <w:p w14:paraId="2FB02D8A" w14:textId="65279FF4" w:rsidR="001206E5" w:rsidRDefault="001206E5" w:rsidP="0093121A">
                        <w:pPr>
                          <w:pStyle w:val="NormalWeb"/>
                          <w:numPr>
                            <w:ilvl w:val="0"/>
                            <w:numId w:val="15"/>
                          </w:numPr>
                          <w:spacing w:before="0" w:beforeAutospacing="0" w:after="0" w:afterAutospacing="0" w:line="256" w:lineRule="auto"/>
                          <w:ind w:left="426" w:hanging="426"/>
                          <w:rPr>
                            <w:rFonts w:ascii="Calibri" w:eastAsia="Calibri" w:hAnsi="Calibri"/>
                            <w:sz w:val="22"/>
                            <w:szCs w:val="22"/>
                          </w:rPr>
                        </w:pPr>
                        <w:r>
                          <w:rPr>
                            <w:rFonts w:ascii="Calibri" w:eastAsia="Calibri" w:hAnsi="Calibri"/>
                            <w:sz w:val="22"/>
                            <w:szCs w:val="22"/>
                          </w:rPr>
                          <w:t>Accountability</w:t>
                        </w:r>
                      </w:p>
                      <w:p w14:paraId="14CFC9AC" w14:textId="23C435FD" w:rsidR="001206E5" w:rsidRDefault="001206E5" w:rsidP="0093121A">
                        <w:pPr>
                          <w:pStyle w:val="NormalWeb"/>
                          <w:numPr>
                            <w:ilvl w:val="0"/>
                            <w:numId w:val="15"/>
                          </w:numPr>
                          <w:spacing w:before="0" w:beforeAutospacing="0" w:after="0" w:afterAutospacing="0" w:line="256" w:lineRule="auto"/>
                          <w:ind w:left="426" w:hanging="426"/>
                          <w:rPr>
                            <w:rFonts w:ascii="Calibri" w:eastAsia="Calibri" w:hAnsi="Calibri"/>
                            <w:sz w:val="22"/>
                            <w:szCs w:val="22"/>
                          </w:rPr>
                        </w:pPr>
                        <w:r>
                          <w:rPr>
                            <w:rFonts w:ascii="Calibri" w:eastAsia="Calibri" w:hAnsi="Calibri"/>
                            <w:sz w:val="22"/>
                            <w:szCs w:val="22"/>
                          </w:rPr>
                          <w:t>Probity</w:t>
                        </w:r>
                      </w:p>
                      <w:p w14:paraId="02788A5A" w14:textId="7D28F48B" w:rsidR="001206E5" w:rsidRPr="00BE46D1" w:rsidRDefault="001206E5" w:rsidP="0093121A">
                        <w:pPr>
                          <w:pStyle w:val="NormalWeb"/>
                          <w:numPr>
                            <w:ilvl w:val="0"/>
                            <w:numId w:val="15"/>
                          </w:numPr>
                          <w:spacing w:before="0" w:beforeAutospacing="0" w:after="0" w:afterAutospacing="0" w:line="256" w:lineRule="auto"/>
                          <w:ind w:left="426" w:hanging="426"/>
                          <w:rPr>
                            <w:rFonts w:ascii="Calibri" w:eastAsia="Calibri" w:hAnsi="Calibri"/>
                            <w:sz w:val="22"/>
                            <w:szCs w:val="22"/>
                          </w:rPr>
                        </w:pPr>
                        <w:r>
                          <w:rPr>
                            <w:rFonts w:ascii="Calibri" w:eastAsia="Calibri" w:hAnsi="Calibri"/>
                            <w:sz w:val="22"/>
                            <w:szCs w:val="22"/>
                          </w:rPr>
                          <w:t>Scalability</w:t>
                        </w:r>
                      </w:p>
                      <w:p w14:paraId="65606161" w14:textId="77777777" w:rsidR="001206E5" w:rsidRDefault="001206E5" w:rsidP="0093121A">
                        <w:pPr>
                          <w:pStyle w:val="NormalWeb"/>
                          <w:spacing w:before="0" w:beforeAutospacing="0" w:after="160" w:afterAutospacing="0" w:line="256" w:lineRule="auto"/>
                        </w:pPr>
                      </w:p>
                    </w:txbxContent>
                  </v:textbox>
                </v:shape>
                <v:shape id="Text Box 2" o:spid="_x0000_s1032" type="#_x0000_t202" style="position:absolute;left:19624;top:17014;width:37145;height:163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" fillcolor="white [3201]" strokeweight=".5pt">
                  <v:textbox>
                    <w:txbxContent>
                      <w:p w14:paraId="27C99C3B" w14:textId="77777777" w:rsidR="001206E5" w:rsidRDefault="001206E5" w:rsidP="0093121A">
                        <w:pPr>
                          <w:pStyle w:val="NormalWeb"/>
                          <w:spacing w:before="0" w:beforeAutospacing="0" w:after="120" w:afterAutospacing="0" w:line="254" w:lineRule="auto"/>
                          <w:rPr>
                            <w:rFonts w:ascii="Calibri" w:eastAsia="Calibri" w:hAnsi="Calibri"/>
                            <w:sz w:val="28"/>
                            <w:szCs w:val="28"/>
                          </w:rPr>
                        </w:pPr>
                        <w:r>
                          <w:rPr>
                            <w:rFonts w:ascii="Calibri" w:eastAsia="Calibri" w:hAnsi="Calibri"/>
                            <w:sz w:val="28"/>
                            <w:szCs w:val="28"/>
                          </w:rPr>
                          <w:t xml:space="preserve">Our policies </w:t>
                        </w:r>
                      </w:p>
                      <w:p w14:paraId="7C7B47EA" w14:textId="5D51137B" w:rsidR="001206E5" w:rsidRDefault="001206E5" w:rsidP="0093121A">
                        <w:pPr>
                          <w:pStyle w:val="NormalWeb"/>
                          <w:spacing w:before="0" w:beforeAutospacing="0" w:after="40" w:afterAutospacing="0" w:line="254" w:lineRule="auto"/>
                        </w:pPr>
                        <w:r>
                          <w:rPr>
                            <w:rFonts w:ascii="Calibri" w:eastAsia="Calibri" w:hAnsi="Calibri"/>
                          </w:rPr>
                          <w:t xml:space="preserve">Five policies to </w:t>
                        </w:r>
                        <w:r w:rsidRPr="00BE46D1">
                          <w:rPr>
                            <w:rFonts w:ascii="Calibri" w:eastAsia="Calibri" w:hAnsi="Calibri"/>
                          </w:rPr>
                          <w:t>cover end-to-end procurement activity</w:t>
                        </w:r>
                        <w:r>
                          <w:rPr>
                            <w:rFonts w:ascii="Calibri" w:eastAsia="Calibri" w:hAnsi="Calibri"/>
                          </w:rPr>
                          <w:t xml:space="preserve">: </w:t>
                        </w:r>
                      </w:p>
                      <w:p w14:paraId="2082DCF6" w14:textId="1D0D7B72" w:rsidR="001206E5" w:rsidRPr="00C97DE7" w:rsidRDefault="001206E5" w:rsidP="0093121A">
                        <w:pPr>
                          <w:pStyle w:val="NormalWeb"/>
                          <w:numPr>
                            <w:ilvl w:val="0"/>
                            <w:numId w:val="15"/>
                          </w:numPr>
                          <w:spacing w:before="0" w:beforeAutospacing="0" w:after="0" w:afterAutospacing="0" w:line="256" w:lineRule="auto"/>
                          <w:ind w:left="426" w:hanging="426"/>
                          <w:rPr>
                            <w:rFonts w:ascii="Calibri" w:eastAsia="Calibri" w:hAnsi="Calibri"/>
                            <w:sz w:val="22"/>
                            <w:szCs w:val="22"/>
                          </w:rPr>
                        </w:pPr>
                        <w:r>
                          <w:rPr>
                            <w:rFonts w:ascii="Calibri" w:eastAsia="Calibri" w:hAnsi="Calibri"/>
                            <w:sz w:val="22"/>
                            <w:szCs w:val="22"/>
                          </w:rPr>
                          <w:t>Governance</w:t>
                        </w:r>
                      </w:p>
                      <w:p w14:paraId="57639412" w14:textId="6A4BA988" w:rsidR="001206E5" w:rsidRPr="00C97DE7" w:rsidRDefault="001206E5" w:rsidP="0093121A">
                        <w:pPr>
                          <w:pStyle w:val="NormalWeb"/>
                          <w:numPr>
                            <w:ilvl w:val="0"/>
                            <w:numId w:val="15"/>
                          </w:numPr>
                          <w:spacing w:before="0" w:beforeAutospacing="0" w:after="0" w:afterAutospacing="0" w:line="256" w:lineRule="auto"/>
                          <w:ind w:left="426" w:hanging="426"/>
                          <w:rPr>
                            <w:rFonts w:ascii="Calibri" w:eastAsia="Calibri" w:hAnsi="Calibri"/>
                            <w:sz w:val="22"/>
                            <w:szCs w:val="22"/>
                          </w:rPr>
                        </w:pPr>
                        <w:r w:rsidRPr="00C97DE7">
                          <w:rPr>
                            <w:rFonts w:ascii="Calibri" w:eastAsia="Calibri" w:hAnsi="Calibri"/>
                            <w:sz w:val="22"/>
                            <w:szCs w:val="22"/>
                          </w:rPr>
                          <w:t>Complexity and capability assessment</w:t>
                        </w:r>
                      </w:p>
                      <w:p w14:paraId="2234540D" w14:textId="4F5088F4" w:rsidR="001206E5" w:rsidRPr="00C97DE7" w:rsidRDefault="001206E5" w:rsidP="0093121A">
                        <w:pPr>
                          <w:pStyle w:val="NormalWeb"/>
                          <w:numPr>
                            <w:ilvl w:val="0"/>
                            <w:numId w:val="15"/>
                          </w:numPr>
                          <w:spacing w:before="0" w:beforeAutospacing="0" w:after="0" w:afterAutospacing="0" w:line="256" w:lineRule="auto"/>
                          <w:ind w:left="426" w:hanging="426"/>
                          <w:rPr>
                            <w:rFonts w:ascii="Calibri" w:eastAsia="Calibri" w:hAnsi="Calibri"/>
                            <w:sz w:val="22"/>
                            <w:szCs w:val="22"/>
                          </w:rPr>
                        </w:pPr>
                        <w:r w:rsidRPr="00C97DE7">
                          <w:rPr>
                            <w:rFonts w:ascii="Calibri" w:eastAsia="Calibri" w:hAnsi="Calibri"/>
                            <w:sz w:val="22"/>
                            <w:szCs w:val="22"/>
                          </w:rPr>
                          <w:t>Market analysis and review</w:t>
                        </w:r>
                      </w:p>
                      <w:p w14:paraId="4C894493" w14:textId="02D39CFB" w:rsidR="001206E5" w:rsidRPr="00C97DE7" w:rsidRDefault="001206E5" w:rsidP="0093121A">
                        <w:pPr>
                          <w:pStyle w:val="NormalWeb"/>
                          <w:numPr>
                            <w:ilvl w:val="0"/>
                            <w:numId w:val="15"/>
                          </w:numPr>
                          <w:spacing w:before="0" w:beforeAutospacing="0" w:after="0" w:afterAutospacing="0" w:line="256" w:lineRule="auto"/>
                          <w:ind w:left="426" w:hanging="426"/>
                          <w:rPr>
                            <w:rFonts w:ascii="Calibri" w:eastAsia="Calibri" w:hAnsi="Calibri"/>
                            <w:sz w:val="22"/>
                            <w:szCs w:val="22"/>
                          </w:rPr>
                        </w:pPr>
                        <w:r w:rsidRPr="00C97DE7">
                          <w:rPr>
                            <w:rFonts w:ascii="Calibri" w:eastAsia="Calibri" w:hAnsi="Calibri"/>
                            <w:sz w:val="22"/>
                            <w:szCs w:val="22"/>
                          </w:rPr>
                          <w:t>Market approach</w:t>
                        </w:r>
                      </w:p>
                      <w:p w14:paraId="49188AAD" w14:textId="4D3F52CE" w:rsidR="001206E5" w:rsidRPr="00C97DE7" w:rsidRDefault="001206E5" w:rsidP="0093121A">
                        <w:pPr>
                          <w:pStyle w:val="NormalWeb"/>
                          <w:numPr>
                            <w:ilvl w:val="0"/>
                            <w:numId w:val="15"/>
                          </w:numPr>
                          <w:spacing w:before="0" w:beforeAutospacing="0" w:after="0" w:afterAutospacing="0" w:line="256" w:lineRule="auto"/>
                          <w:ind w:left="426" w:hanging="426"/>
                          <w:rPr>
                            <w:rFonts w:ascii="Calibri" w:eastAsia="Calibri" w:hAnsi="Calibri"/>
                            <w:sz w:val="22"/>
                            <w:szCs w:val="22"/>
                          </w:rPr>
                        </w:pPr>
                        <w:r w:rsidRPr="00C97DE7">
                          <w:rPr>
                            <w:rFonts w:ascii="Calibri" w:eastAsia="Calibri" w:hAnsi="Calibri"/>
                            <w:sz w:val="22"/>
                            <w:szCs w:val="22"/>
                          </w:rPr>
                          <w:t>Contract management and contract disclosure</w:t>
                        </w:r>
                      </w:p>
                      <w:p w14:paraId="4D8CEF6E" w14:textId="77777777" w:rsidR="001206E5" w:rsidRDefault="001206E5" w:rsidP="0093121A">
                        <w:pPr>
                          <w:pStyle w:val="NormalWeb"/>
                          <w:spacing w:before="0" w:beforeAutospacing="0" w:after="160" w:afterAutospacing="0" w:line="254" w:lineRule="auto"/>
                        </w:pPr>
                        <w:r>
                          <w:t> </w:t>
                        </w:r>
                      </w:p>
                    </w:txbxContent>
                  </v:textbox>
                </v:shape>
                <v:shape id="Text Box 2" o:spid="_x0000_s1033" type="#_x0000_t202" style="position:absolute;left:1428;top:34290;width:55245;height:16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" fillcolor="white [3201]" strokeweight=".5pt">
                  <v:textbox>
                    <w:txbxContent>
                      <w:p w14:paraId="11526939" w14:textId="77777777" w:rsidR="001206E5" w:rsidRDefault="001206E5" w:rsidP="0093121A">
                        <w:pPr>
                          <w:pStyle w:val="NormalWeb"/>
                          <w:spacing w:before="0" w:beforeAutospacing="0" w:after="160" w:afterAutospacing="0" w:line="254" w:lineRule="auto"/>
                        </w:pPr>
                        <w:r>
                          <w:rPr>
                            <w:rFonts w:ascii="Calibri" w:eastAsia="Calibri" w:hAnsi="Calibri"/>
                            <w:sz w:val="28"/>
                            <w:szCs w:val="28"/>
                          </w:rPr>
                          <w:t>Our strategy</w:t>
                        </w:r>
                      </w:p>
                      <w:p w14:paraId="219B794A" w14:textId="77777777" w:rsidR="001206E5" w:rsidRDefault="001206E5" w:rsidP="0093121A">
                        <w:pPr>
                          <w:pStyle w:val="NormalWeb"/>
                          <w:spacing w:before="0" w:beforeAutospacing="0" w:after="40" w:afterAutospacing="0" w:line="254" w:lineRule="auto"/>
                          <w:rPr>
                            <w:rFonts w:ascii="Calibri" w:eastAsia="Calibri" w:hAnsi="Calibri"/>
                            <w:sz w:val="22"/>
                            <w:szCs w:val="22"/>
                          </w:rPr>
                        </w:pPr>
                        <w:r>
                          <w:rPr>
                            <w:rFonts w:ascii="Calibri" w:eastAsia="Calibri" w:hAnsi="Calibri"/>
                            <w:sz w:val="22"/>
                            <w:szCs w:val="22"/>
                          </w:rPr>
                          <w:t>Five workstreams with multiple initiatives:</w:t>
                        </w:r>
                      </w:p>
                      <w:p w14:paraId="6488CD98" w14:textId="77777777" w:rsidR="001206E5" w:rsidRPr="006E10B5" w:rsidRDefault="001206E5" w:rsidP="0093121A">
                        <w:pPr>
                          <w:pStyle w:val="ListParagraph"/>
                          <w:numPr>
                            <w:ilvl w:val="0"/>
                            <w:numId w:val="16"/>
                          </w:numPr>
                          <w:spacing w:before="0" w:after="0" w:line="254" w:lineRule="auto"/>
                        </w:pPr>
                        <w:r>
                          <w:rPr>
                            <w:rFonts w:eastAsia="Calibri"/>
                          </w:rPr>
                          <w:t>Victoria’s Social Procurement Framework and reporting</w:t>
                        </w:r>
                      </w:p>
                      <w:p w14:paraId="6F442585" w14:textId="77777777" w:rsidR="001206E5" w:rsidRPr="006E10B5" w:rsidRDefault="001206E5" w:rsidP="0093121A">
                        <w:pPr>
                          <w:pStyle w:val="ListParagraph"/>
                          <w:numPr>
                            <w:ilvl w:val="0"/>
                            <w:numId w:val="16"/>
                          </w:numPr>
                          <w:spacing w:before="0" w:after="0" w:line="254" w:lineRule="auto"/>
                          <w:rPr>
                            <w:rFonts w:eastAsia="Calibri"/>
                          </w:rPr>
                        </w:pPr>
                        <w:r>
                          <w:rPr>
                            <w:rFonts w:eastAsia="Calibri"/>
                          </w:rPr>
                          <w:t>Governance, extending the reach</w:t>
                        </w:r>
                      </w:p>
                      <w:p w14:paraId="24604F56" w14:textId="77777777" w:rsidR="001206E5" w:rsidRPr="006E10B5" w:rsidRDefault="001206E5" w:rsidP="0093121A">
                        <w:pPr>
                          <w:pStyle w:val="ListParagraph"/>
                          <w:numPr>
                            <w:ilvl w:val="0"/>
                            <w:numId w:val="16"/>
                          </w:numPr>
                          <w:spacing w:before="0" w:after="0" w:line="254" w:lineRule="auto"/>
                          <w:rPr>
                            <w:rFonts w:eastAsia="Calibri"/>
                          </w:rPr>
                        </w:pPr>
                        <w:r w:rsidRPr="006E10B5">
                          <w:rPr>
                            <w:rFonts w:eastAsia="Calibri"/>
                          </w:rPr>
                          <w:t>Policy and practice</w:t>
                        </w:r>
                      </w:p>
                      <w:p w14:paraId="1DD05F00" w14:textId="77777777" w:rsidR="001206E5" w:rsidRPr="006E10B5" w:rsidRDefault="001206E5" w:rsidP="0093121A">
                        <w:pPr>
                          <w:pStyle w:val="ListParagraph"/>
                          <w:numPr>
                            <w:ilvl w:val="0"/>
                            <w:numId w:val="16"/>
                          </w:numPr>
                          <w:spacing w:before="0" w:after="0" w:line="254" w:lineRule="auto"/>
                          <w:rPr>
                            <w:rFonts w:eastAsia="Calibri"/>
                          </w:rPr>
                        </w:pPr>
                        <w:r w:rsidRPr="006E10B5">
                          <w:rPr>
                            <w:rFonts w:eastAsia="Calibri"/>
                          </w:rPr>
                          <w:t>Procurement technology</w:t>
                        </w:r>
                      </w:p>
                      <w:p w14:paraId="5DD944C9" w14:textId="77777777" w:rsidR="001206E5" w:rsidRPr="006E10B5" w:rsidRDefault="001206E5" w:rsidP="0093121A">
                        <w:pPr>
                          <w:pStyle w:val="ListParagraph"/>
                          <w:numPr>
                            <w:ilvl w:val="0"/>
                            <w:numId w:val="16"/>
                          </w:numPr>
                          <w:spacing w:before="0" w:after="0" w:line="254" w:lineRule="auto"/>
                          <w:rPr>
                            <w:rFonts w:eastAsia="Calibri"/>
                          </w:rPr>
                        </w:pPr>
                        <w:r w:rsidRPr="006E10B5">
                          <w:rPr>
                            <w:rFonts w:eastAsia="Calibri"/>
                          </w:rPr>
                          <w:t>Capability</w:t>
                        </w:r>
                        <w:r>
                          <w:rPr>
                            <w:rFonts w:eastAsia="Calibri"/>
                          </w:rPr>
                          <w:t>,</w:t>
                        </w:r>
                        <w:r w:rsidRPr="006E10B5">
                          <w:rPr>
                            <w:rFonts w:eastAsia="Calibri"/>
                          </w:rPr>
                          <w:t xml:space="preserve"> streamlining processes</w:t>
                        </w:r>
                        <w:r>
                          <w:rPr>
                            <w:rFonts w:eastAsia="Calibri"/>
                          </w:rPr>
                          <w:t xml:space="preserve"> and</w:t>
                        </w:r>
                        <w:r w:rsidRPr="006E10B5">
                          <w:rPr>
                            <w:rFonts w:eastAsia="Calibri"/>
                          </w:rPr>
                          <w:t xml:space="preserve"> practices and leading change management</w:t>
                        </w:r>
                      </w:p>
                      <w:p w14:paraId="7330BF4A" w14:textId="77777777" w:rsidR="001206E5" w:rsidRDefault="001206E5" w:rsidP="0093121A">
                        <w:pPr>
                          <w:pStyle w:val="NormalWeb"/>
                          <w:spacing w:before="0" w:beforeAutospacing="0" w:after="160" w:afterAutospacing="0" w:line="254" w:lineRule="auto"/>
                        </w:pPr>
                        <w:r>
                          <w:t> </w:t>
                        </w:r>
                      </w:p>
                    </w:txbxContent>
                  </v:textbox>
                </v:shape>
                <v:shape id="Text Box 2" o:spid="_x0000_s1034" type="#_x0000_t202" style="position:absolute;left:1416;top:51289;width:55353;height:145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" fillcolor="white [3201]" strokeweight=".5pt">
                  <v:textbox>
                    <w:txbxContent>
                      <w:p w14:paraId="727872B5" w14:textId="77777777" w:rsidR="001206E5" w:rsidRDefault="001206E5" w:rsidP="0093121A">
                        <w:pPr>
                          <w:pStyle w:val="NormalWeb"/>
                          <w:spacing w:before="0" w:beforeAutospacing="0" w:after="160" w:afterAutospacing="0" w:line="254" w:lineRule="auto"/>
                          <w:rPr>
                            <w:rFonts w:ascii="Calibri" w:eastAsia="Calibri" w:hAnsi="Calibri"/>
                            <w:sz w:val="28"/>
                            <w:szCs w:val="28"/>
                          </w:rPr>
                        </w:pPr>
                        <w:r>
                          <w:rPr>
                            <w:rFonts w:ascii="Calibri" w:eastAsia="Calibri" w:hAnsi="Calibri"/>
                            <w:sz w:val="28"/>
                            <w:szCs w:val="28"/>
                          </w:rPr>
                          <w:t>Our network</w:t>
                        </w:r>
                      </w:p>
                      <w:p w14:paraId="34EDE93B" w14:textId="28FE86FD" w:rsidR="001206E5" w:rsidRDefault="001206E5" w:rsidP="00A12E8A">
                        <w:pPr>
                          <w:pStyle w:val="NormalWeb"/>
                          <w:spacing w:before="0" w:beforeAutospacing="0" w:after="160" w:afterAutospacing="0" w:line="254" w:lineRule="auto"/>
                          <w:rPr>
                            <w:rFonts w:ascii="Calibri" w:eastAsia="Calibri" w:hAnsi="Calibri"/>
                            <w:sz w:val="22"/>
                            <w:szCs w:val="22"/>
                          </w:rPr>
                        </w:pPr>
                        <w:r w:rsidRPr="00A12E8A">
                          <w:rPr>
                            <w:rFonts w:ascii="Calibri" w:eastAsia="Calibri" w:hAnsi="Calibri"/>
                            <w:sz w:val="22"/>
                            <w:szCs w:val="22"/>
                          </w:rPr>
                          <w:t>Th</w:t>
                        </w:r>
                        <w:r>
                          <w:rPr>
                            <w:rFonts w:ascii="Calibri" w:eastAsia="Calibri" w:hAnsi="Calibri"/>
                            <w:sz w:val="22"/>
                            <w:szCs w:val="22"/>
                          </w:rPr>
                          <w:t xml:space="preserve">e VGPB covers 32 government organisations. This includes the </w:t>
                        </w:r>
                        <w:r w:rsidRPr="00A12E8A">
                          <w:rPr>
                            <w:rFonts w:ascii="Calibri" w:eastAsia="Calibri" w:hAnsi="Calibri"/>
                            <w:sz w:val="22"/>
                            <w:szCs w:val="22"/>
                          </w:rPr>
                          <w:t xml:space="preserve">seven Victorian Government departments, </w:t>
                        </w:r>
                        <w:r>
                          <w:rPr>
                            <w:rFonts w:ascii="Calibri" w:eastAsia="Calibri" w:hAnsi="Calibri"/>
                            <w:sz w:val="22"/>
                            <w:szCs w:val="22"/>
                          </w:rPr>
                          <w:t>CenITex,  Public Transport Victoria,</w:t>
                        </w:r>
                        <w:r w:rsidRPr="00A12E8A">
                          <w:rPr>
                            <w:rFonts w:ascii="Calibri" w:eastAsia="Calibri" w:hAnsi="Calibri"/>
                            <w:sz w:val="22"/>
                            <w:szCs w:val="22"/>
                          </w:rPr>
                          <w:t xml:space="preserve"> </w:t>
                        </w:r>
                        <w:r>
                          <w:rPr>
                            <w:rFonts w:ascii="Calibri" w:eastAsia="Calibri" w:hAnsi="Calibri"/>
                            <w:sz w:val="22"/>
                            <w:szCs w:val="22"/>
                          </w:rPr>
                          <w:t>VicRoads and</w:t>
                        </w:r>
                        <w:r w:rsidRPr="00A12E8A">
                          <w:rPr>
                            <w:rFonts w:ascii="Calibri" w:eastAsia="Calibri" w:hAnsi="Calibri"/>
                            <w:sz w:val="22"/>
                            <w:szCs w:val="22"/>
                          </w:rPr>
                          <w:t xml:space="preserve"> Victoria Police</w:t>
                        </w:r>
                        <w:r>
                          <w:rPr>
                            <w:rFonts w:ascii="Calibri" w:eastAsia="Calibri" w:hAnsi="Calibri"/>
                            <w:sz w:val="22"/>
                            <w:szCs w:val="22"/>
                          </w:rPr>
                          <w:t xml:space="preserve"> (see </w:t>
                        </w:r>
                        <w:r w:rsidRPr="001173EC">
                          <w:rPr>
                            <w:rFonts w:ascii="Calibri" w:eastAsia="Calibri" w:hAnsi="Calibri"/>
                            <w:i/>
                            <w:sz w:val="22"/>
                            <w:szCs w:val="22"/>
                          </w:rPr>
                          <w:t xml:space="preserve">Scope of our </w:t>
                        </w:r>
                        <w:r>
                          <w:rPr>
                            <w:rFonts w:ascii="Calibri" w:eastAsia="Calibri" w:hAnsi="Calibri"/>
                            <w:i/>
                            <w:sz w:val="22"/>
                            <w:szCs w:val="22"/>
                          </w:rPr>
                          <w:t>p</w:t>
                        </w:r>
                        <w:r w:rsidRPr="001173EC">
                          <w:rPr>
                            <w:rFonts w:ascii="Calibri" w:eastAsia="Calibri" w:hAnsi="Calibri"/>
                            <w:i/>
                            <w:sz w:val="22"/>
                            <w:szCs w:val="22"/>
                          </w:rPr>
                          <w:t>olicies</w:t>
                        </w:r>
                        <w:r>
                          <w:rPr>
                            <w:rFonts w:ascii="Calibri" w:eastAsia="Calibri" w:hAnsi="Calibri"/>
                            <w:sz w:val="22"/>
                            <w:szCs w:val="22"/>
                          </w:rPr>
                          <w:t xml:space="preserve"> in </w:t>
                        </w:r>
                        <w:r w:rsidRPr="001173EC">
                          <w:rPr>
                            <w:rFonts w:ascii="Calibri" w:eastAsia="Calibri" w:hAnsi="Calibri"/>
                            <w:i/>
                            <w:sz w:val="22"/>
                            <w:szCs w:val="22"/>
                          </w:rPr>
                          <w:t xml:space="preserve">About the VGPB </w:t>
                        </w:r>
                        <w:r>
                          <w:rPr>
                            <w:rFonts w:ascii="Calibri" w:eastAsia="Calibri" w:hAnsi="Calibri"/>
                            <w:sz w:val="22"/>
                            <w:szCs w:val="22"/>
                          </w:rPr>
                          <w:t xml:space="preserve">for more detail). </w:t>
                        </w:r>
                      </w:p>
                      <w:p w14:paraId="48ACE73B" w14:textId="0B9A2E46" w:rsidR="001206E5" w:rsidRPr="006E10B5" w:rsidRDefault="001206E5" w:rsidP="00A12E8A">
                        <w:pPr>
                          <w:pStyle w:val="NormalWeb"/>
                          <w:spacing w:before="0" w:beforeAutospacing="0" w:after="160" w:afterAutospacing="0" w:line="254" w:lineRule="auto"/>
                        </w:pPr>
                        <w:r w:rsidRPr="006E10B5">
                          <w:rPr>
                            <w:rFonts w:ascii="Calibri" w:eastAsia="Calibri" w:hAnsi="Calibri"/>
                            <w:sz w:val="22"/>
                            <w:szCs w:val="22"/>
                          </w:rPr>
                          <w:t xml:space="preserve">We work </w:t>
                        </w:r>
                        <w:r>
                          <w:rPr>
                            <w:rFonts w:ascii="Calibri" w:eastAsia="Calibri" w:hAnsi="Calibri"/>
                            <w:sz w:val="22"/>
                            <w:szCs w:val="22"/>
                          </w:rPr>
                          <w:t xml:space="preserve">closely with  our stakeholders to ensure our policies are modern, relevant and easy to apply. </w:t>
                        </w:r>
                      </w:p>
                      <w:p w14:paraId="2C2F9767" w14:textId="77777777" w:rsidR="001206E5" w:rsidRDefault="001206E5" w:rsidP="0093121A">
                        <w:pPr>
                          <w:pStyle w:val="NormalWeb"/>
                          <w:spacing w:before="0" w:beforeAutospacing="0" w:after="160" w:afterAutospacing="0" w:line="254" w:lineRule="auto"/>
                        </w:pPr>
                        <w:r>
                          <w:t> </w:t>
                        </w:r>
                      </w:p>
                    </w:txbxContent>
                  </v:textbox>
                </v:shape>
                <w10:anchorlock/>
              </v:group>
            </w:pict>
          </mc:Fallback>
        </mc:AlternateContent>
      </w:r>
    </w:p>
    <w:p w14:paraId="5EAE70A2" w14:textId="77777777" w:rsidR="0093121A" w:rsidRDefault="0093121A" w:rsidP="0093121A">
      <w:pPr>
        <w:pStyle w:val="Normal1"/>
        <w:rPr>
          <w:lang w:eastAsia="en-US"/>
        </w:rPr>
      </w:pPr>
    </w:p>
    <w:p w14:paraId="71C559C3" w14:textId="77777777" w:rsidR="0093121A" w:rsidRPr="0093121A" w:rsidRDefault="0093121A" w:rsidP="0093121A">
      <w:pPr>
        <w:rPr>
          <w:lang w:eastAsia="en-US"/>
        </w:rPr>
      </w:pPr>
    </w:p>
    <w:bookmarkEnd w:id="9"/>
    <w:p w14:paraId="152D8FA4" w14:textId="77777777" w:rsidR="00A83D6E" w:rsidRDefault="00A83D6E">
      <w:pPr>
        <w:rPr>
          <w:rFonts w:ascii="Calibri" w:hAnsi="Calibri" w:cs="Calibri"/>
          <w:color w:val="4D4D4D"/>
          <w:kern w:val="28"/>
          <w:sz w:val="30"/>
          <w:szCs w:val="26"/>
        </w:rPr>
      </w:pPr>
      <w:r>
        <w:rPr>
          <w:rFonts w:ascii="Calibri" w:hAnsi="Calibri" w:cs="Calibri"/>
          <w:color w:val="4D4D4D"/>
          <w:kern w:val="28"/>
          <w:sz w:val="30"/>
          <w:szCs w:val="26"/>
        </w:rPr>
        <w:br w:type="page"/>
      </w:r>
    </w:p>
    <w:p w14:paraId="0043DC18" w14:textId="08D2AC6D" w:rsidR="00491EC4" w:rsidRPr="00491EC4" w:rsidRDefault="00491EC4" w:rsidP="00491EC4">
      <w:pPr>
        <w:keepNext/>
        <w:keepLines/>
        <w:widowControl w:val="0"/>
        <w:spacing w:before="280" w:after="120" w:line="216" w:lineRule="auto"/>
        <w:ind w:left="794"/>
        <w:outlineLvl w:val="1"/>
        <w:rPr>
          <w:rFonts w:ascii="Calibri" w:hAnsi="Calibri" w:cs="Calibri"/>
          <w:color w:val="4D4D4D"/>
          <w:kern w:val="28"/>
          <w:sz w:val="30"/>
          <w:szCs w:val="26"/>
        </w:rPr>
      </w:pPr>
      <w:bookmarkStart w:id="17" w:name="_Toc524354053"/>
      <w:r w:rsidRPr="00491EC4">
        <w:rPr>
          <w:rFonts w:ascii="Calibri" w:hAnsi="Calibri" w:cs="Calibri"/>
          <w:color w:val="4D4D4D"/>
          <w:kern w:val="28"/>
          <w:sz w:val="30"/>
          <w:szCs w:val="26"/>
        </w:rPr>
        <w:lastRenderedPageBreak/>
        <w:t>Our activities in 2017–18</w:t>
      </w:r>
      <w:bookmarkEnd w:id="17"/>
    </w:p>
    <w:p w14:paraId="465F28C2" w14:textId="1888FF02" w:rsidR="00491EC4" w:rsidRPr="00491EC4" w:rsidRDefault="00491EC4" w:rsidP="004C18E5">
      <w:pPr>
        <w:pStyle w:val="Normal1"/>
      </w:pPr>
      <w:r w:rsidRPr="00491EC4">
        <w:rPr>
          <w:lang w:eastAsia="en-US"/>
        </w:rPr>
        <w:fldChar w:fldCharType="begin"/>
      </w:r>
      <w:r w:rsidRPr="00491EC4">
        <w:rPr>
          <w:lang w:eastAsia="en-US"/>
        </w:rPr>
        <w:instrText xml:space="preserve"> REF _Ref516599042 \h </w:instrText>
      </w:r>
      <w:r w:rsidRPr="00491EC4">
        <w:rPr>
          <w:lang w:eastAsia="en-US"/>
        </w:rPr>
      </w:r>
      <w:r w:rsidRPr="00491EC4">
        <w:rPr>
          <w:lang w:eastAsia="en-US"/>
        </w:rPr>
        <w:fldChar w:fldCharType="separate"/>
      </w:r>
      <w:r w:rsidR="00A07703" w:rsidRPr="00491EC4">
        <w:t xml:space="preserve">Table </w:t>
      </w:r>
      <w:r w:rsidR="00A07703">
        <w:rPr>
          <w:noProof/>
        </w:rPr>
        <w:t>1</w:t>
      </w:r>
      <w:r w:rsidRPr="00491EC4">
        <w:rPr>
          <w:lang w:eastAsia="en-US"/>
        </w:rPr>
        <w:fldChar w:fldCharType="end"/>
      </w:r>
      <w:r w:rsidRPr="00491EC4">
        <w:rPr>
          <w:lang w:eastAsia="en-US"/>
        </w:rPr>
        <w:t xml:space="preserve"> summarises our activities in 2017–18, followed by more detail on what we did under each workstream.</w:t>
      </w:r>
    </w:p>
    <w:p w14:paraId="4BAB827A" w14:textId="2C00DB8C" w:rsidR="00491EC4" w:rsidRPr="00491EC4" w:rsidRDefault="00491EC4" w:rsidP="000C3B64">
      <w:pPr>
        <w:pStyle w:val="Caption"/>
      </w:pPr>
      <w:bookmarkStart w:id="18" w:name="_Ref516599042"/>
      <w:bookmarkStart w:id="19" w:name="_Toc524353994"/>
      <w:r w:rsidRPr="00491EC4">
        <w:t xml:space="preserve">Table </w:t>
      </w:r>
      <w:r w:rsidR="00EB5FC6">
        <w:rPr>
          <w:noProof/>
        </w:rPr>
        <w:fldChar w:fldCharType="begin"/>
      </w:r>
      <w:r w:rsidR="00EB5FC6">
        <w:rPr>
          <w:noProof/>
        </w:rPr>
        <w:instrText xml:space="preserve"> SEQ Table \* ARABIC </w:instrText>
      </w:r>
      <w:r w:rsidR="00EB5FC6">
        <w:rPr>
          <w:noProof/>
        </w:rPr>
        <w:fldChar w:fldCharType="separate"/>
      </w:r>
      <w:r w:rsidR="00A07703">
        <w:rPr>
          <w:noProof/>
        </w:rPr>
        <w:t>1</w:t>
      </w:r>
      <w:r w:rsidR="00EB5FC6">
        <w:rPr>
          <w:noProof/>
        </w:rPr>
        <w:fldChar w:fldCharType="end"/>
      </w:r>
      <w:bookmarkEnd w:id="18"/>
      <w:r w:rsidRPr="00491EC4">
        <w:t>: Summary of VGPB workstream projects and initiatives in 2017–18</w:t>
      </w:r>
      <w:bookmarkEnd w:id="19"/>
    </w:p>
    <w:tbl>
      <w:tblPr>
        <w:tblStyle w:val="ListTable31"/>
        <w:tblW w:w="8940" w:type="dxa"/>
        <w:tblInd w:w="704" w:type="dxa"/>
        <w:tblLook w:val="04A0" w:firstRow="1" w:lastRow="0" w:firstColumn="1" w:lastColumn="0" w:noHBand="0" w:noVBand="1"/>
      </w:tblPr>
      <w:tblGrid>
        <w:gridCol w:w="7235"/>
        <w:gridCol w:w="1705"/>
      </w:tblGrid>
      <w:tr w:rsidR="00491EC4" w:rsidRPr="00491EC4" w14:paraId="124F6A84" w14:textId="77777777" w:rsidTr="008153D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7235" w:type="dxa"/>
            <w:shd w:val="clear" w:color="auto" w:fill="808080"/>
          </w:tcPr>
          <w:p w14:paraId="0DB96F0B" w14:textId="77777777" w:rsidR="00491EC4" w:rsidRPr="00491EC4" w:rsidRDefault="00491EC4" w:rsidP="00491EC4">
            <w:pPr>
              <w:keepNext/>
              <w:keepLines/>
              <w:widowControl w:val="0"/>
              <w:spacing w:before="200" w:after="120" w:line="216" w:lineRule="auto"/>
              <w:jc w:val="both"/>
              <w:rPr>
                <w:rFonts w:cs="Calibri"/>
              </w:rPr>
            </w:pPr>
            <w:r w:rsidRPr="00491EC4">
              <w:rPr>
                <w:rFonts w:cs="Calibri"/>
              </w:rPr>
              <w:t>Project</w:t>
            </w:r>
          </w:p>
        </w:tc>
        <w:tc>
          <w:tcPr>
            <w:tcW w:w="1705" w:type="dxa"/>
            <w:shd w:val="clear" w:color="auto" w:fill="808080"/>
          </w:tcPr>
          <w:p w14:paraId="1DE5C1FB" w14:textId="77777777" w:rsidR="00491EC4" w:rsidRPr="00491EC4" w:rsidRDefault="00491EC4" w:rsidP="00491EC4">
            <w:pPr>
              <w:keepNext/>
              <w:keepLines/>
              <w:widowControl w:val="0"/>
              <w:spacing w:before="200" w:after="120" w:line="216" w:lineRule="auto"/>
              <w:jc w:val="both"/>
              <w:cnfStyle w:val="100000000000" w:firstRow="1" w:lastRow="0" w:firstColumn="0" w:lastColumn="0" w:oddVBand="0" w:evenVBand="0" w:oddHBand="0" w:evenHBand="0" w:firstRowFirstColumn="0" w:firstRowLastColumn="0" w:lastRowFirstColumn="0" w:lastRowLastColumn="0"/>
              <w:rPr>
                <w:rFonts w:cs="Calibri"/>
              </w:rPr>
            </w:pPr>
            <w:r w:rsidRPr="00491EC4">
              <w:rPr>
                <w:rFonts w:cs="Calibri"/>
              </w:rPr>
              <w:t>Status</w:t>
            </w:r>
          </w:p>
        </w:tc>
      </w:tr>
      <w:tr w:rsidR="00491EC4" w:rsidRPr="00491EC4" w14:paraId="032C3F64" w14:textId="77777777" w:rsidTr="008153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35" w:type="dxa"/>
          </w:tcPr>
          <w:p w14:paraId="0BB60380" w14:textId="4A07E5BE" w:rsidR="00491EC4" w:rsidRPr="00491EC4" w:rsidRDefault="00491EC4" w:rsidP="00491EC4">
            <w:pPr>
              <w:keepNext/>
              <w:keepLines/>
              <w:widowControl w:val="0"/>
              <w:spacing w:before="20" w:after="20" w:line="216" w:lineRule="auto"/>
              <w:rPr>
                <w:rFonts w:cs="Calibri"/>
                <w:b w:val="0"/>
                <w:sz w:val="20"/>
                <w:szCs w:val="20"/>
              </w:rPr>
            </w:pPr>
            <w:r w:rsidRPr="00491EC4">
              <w:rPr>
                <w:rFonts w:cs="Calibri"/>
                <w:b w:val="0"/>
                <w:sz w:val="20"/>
                <w:szCs w:val="20"/>
              </w:rPr>
              <w:t xml:space="preserve">Revise the VGPB’s five-year </w:t>
            </w:r>
            <w:r w:rsidR="00545703" w:rsidRPr="00491EC4">
              <w:rPr>
                <w:rFonts w:cs="Calibri"/>
                <w:b w:val="0"/>
                <w:sz w:val="20"/>
                <w:szCs w:val="20"/>
              </w:rPr>
              <w:t>strategic p</w:t>
            </w:r>
            <w:r w:rsidRPr="00491EC4">
              <w:rPr>
                <w:rFonts w:cs="Calibri"/>
                <w:b w:val="0"/>
                <w:sz w:val="20"/>
                <w:szCs w:val="20"/>
              </w:rPr>
              <w:t>lan to align with the five streams of work</w:t>
            </w:r>
          </w:p>
        </w:tc>
        <w:tc>
          <w:tcPr>
            <w:tcW w:w="1705" w:type="dxa"/>
          </w:tcPr>
          <w:p w14:paraId="60B10C28" w14:textId="77777777" w:rsidR="00491EC4" w:rsidRPr="00491EC4" w:rsidRDefault="00491EC4" w:rsidP="00491EC4">
            <w:pPr>
              <w:keepNext/>
              <w:keepLines/>
              <w:widowControl w:val="0"/>
              <w:spacing w:before="20" w:after="20" w:line="216" w:lineRule="auto"/>
              <w:cnfStyle w:val="000000100000" w:firstRow="0" w:lastRow="0" w:firstColumn="0" w:lastColumn="0" w:oddVBand="0" w:evenVBand="0" w:oddHBand="1" w:evenHBand="0" w:firstRowFirstColumn="0" w:firstRowLastColumn="0" w:lastRowFirstColumn="0" w:lastRowLastColumn="0"/>
              <w:rPr>
                <w:rFonts w:cs="Calibri"/>
                <w:bCs/>
                <w:sz w:val="20"/>
                <w:szCs w:val="20"/>
              </w:rPr>
            </w:pPr>
            <w:r w:rsidRPr="00491EC4">
              <w:rPr>
                <w:rFonts w:cs="Calibri"/>
                <w:bCs/>
                <w:sz w:val="20"/>
                <w:szCs w:val="20"/>
              </w:rPr>
              <w:t>In progress</w:t>
            </w:r>
          </w:p>
        </w:tc>
      </w:tr>
      <w:tr w:rsidR="00491EC4" w:rsidRPr="00491EC4" w14:paraId="36839C65" w14:textId="77777777" w:rsidTr="00491EC4">
        <w:tc>
          <w:tcPr>
            <w:cnfStyle w:val="001000000000" w:firstRow="0" w:lastRow="0" w:firstColumn="1" w:lastColumn="0" w:oddVBand="0" w:evenVBand="0" w:oddHBand="0" w:evenHBand="0" w:firstRowFirstColumn="0" w:firstRowLastColumn="0" w:lastRowFirstColumn="0" w:lastRowLastColumn="0"/>
            <w:tcW w:w="8940" w:type="dxa"/>
            <w:gridSpan w:val="2"/>
            <w:shd w:val="clear" w:color="auto" w:fill="D9D9D9"/>
          </w:tcPr>
          <w:p w14:paraId="53887F2C" w14:textId="77777777" w:rsidR="00491EC4" w:rsidRPr="00491EC4" w:rsidRDefault="00491EC4" w:rsidP="00491EC4">
            <w:pPr>
              <w:keepNext/>
              <w:keepLines/>
              <w:widowControl w:val="0"/>
              <w:spacing w:before="20" w:after="20" w:line="216" w:lineRule="auto"/>
              <w:rPr>
                <w:rFonts w:cs="Calibri"/>
                <w:sz w:val="20"/>
                <w:szCs w:val="20"/>
              </w:rPr>
            </w:pPr>
            <w:r w:rsidRPr="00491EC4">
              <w:rPr>
                <w:rFonts w:cs="Calibri"/>
                <w:sz w:val="20"/>
                <w:szCs w:val="20"/>
              </w:rPr>
              <w:t>Workstream 1: Victoria’s Social Procurement Framework and reporting</w:t>
            </w:r>
          </w:p>
        </w:tc>
      </w:tr>
      <w:tr w:rsidR="00491EC4" w:rsidRPr="00491EC4" w14:paraId="309BC6D3" w14:textId="77777777" w:rsidTr="008153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35" w:type="dxa"/>
          </w:tcPr>
          <w:p w14:paraId="707DBA6C" w14:textId="2E56B425" w:rsidR="00491EC4" w:rsidRPr="00491EC4" w:rsidRDefault="00491EC4" w:rsidP="00491EC4">
            <w:pPr>
              <w:keepNext/>
              <w:keepLines/>
              <w:widowControl w:val="0"/>
              <w:spacing w:before="20" w:after="20" w:line="216" w:lineRule="auto"/>
              <w:rPr>
                <w:rFonts w:cs="Calibri"/>
                <w:b w:val="0"/>
                <w:sz w:val="20"/>
                <w:szCs w:val="20"/>
              </w:rPr>
            </w:pPr>
            <w:r w:rsidRPr="00491EC4">
              <w:rPr>
                <w:rFonts w:cs="Calibri"/>
                <w:b w:val="0"/>
                <w:sz w:val="20"/>
                <w:szCs w:val="20"/>
              </w:rPr>
              <w:t>Create an implementation plan</w:t>
            </w:r>
            <w:r w:rsidR="001173EC">
              <w:rPr>
                <w:rFonts w:cs="Calibri"/>
                <w:b w:val="0"/>
                <w:sz w:val="20"/>
                <w:szCs w:val="20"/>
              </w:rPr>
              <w:t xml:space="preserve"> for V</w:t>
            </w:r>
            <w:r w:rsidR="001173EC" w:rsidRPr="001173EC">
              <w:rPr>
                <w:rFonts w:cs="Calibri"/>
                <w:b w:val="0"/>
                <w:sz w:val="20"/>
                <w:szCs w:val="20"/>
              </w:rPr>
              <w:t>ictoria’s Social Procurement Framework</w:t>
            </w:r>
            <w:r w:rsidRPr="00491EC4">
              <w:rPr>
                <w:rFonts w:cs="Calibri"/>
                <w:b w:val="0"/>
                <w:sz w:val="20"/>
                <w:szCs w:val="20"/>
              </w:rPr>
              <w:t xml:space="preserve"> with buyer and supplier stakeholder analysis, change management and communication strategies</w:t>
            </w:r>
          </w:p>
        </w:tc>
        <w:tc>
          <w:tcPr>
            <w:tcW w:w="1705" w:type="dxa"/>
          </w:tcPr>
          <w:p w14:paraId="2265A5F1" w14:textId="77777777" w:rsidR="00491EC4" w:rsidRPr="00491EC4" w:rsidRDefault="00491EC4" w:rsidP="00491EC4">
            <w:pPr>
              <w:keepNext/>
              <w:keepLines/>
              <w:widowControl w:val="0"/>
              <w:spacing w:before="20" w:after="20" w:line="216" w:lineRule="auto"/>
              <w:cnfStyle w:val="000000100000" w:firstRow="0" w:lastRow="0" w:firstColumn="0" w:lastColumn="0" w:oddVBand="0" w:evenVBand="0" w:oddHBand="1" w:evenHBand="0" w:firstRowFirstColumn="0" w:firstRowLastColumn="0" w:lastRowFirstColumn="0" w:lastRowLastColumn="0"/>
              <w:rPr>
                <w:rFonts w:cs="Calibri"/>
                <w:bCs/>
                <w:sz w:val="20"/>
                <w:szCs w:val="20"/>
              </w:rPr>
            </w:pPr>
            <w:r w:rsidRPr="00491EC4">
              <w:rPr>
                <w:rFonts w:cs="Calibri"/>
                <w:bCs/>
                <w:sz w:val="20"/>
                <w:szCs w:val="20"/>
              </w:rPr>
              <w:t>Complete</w:t>
            </w:r>
          </w:p>
        </w:tc>
      </w:tr>
      <w:tr w:rsidR="00491EC4" w:rsidRPr="00491EC4" w14:paraId="0BA68AB8" w14:textId="77777777" w:rsidTr="008153D5">
        <w:tc>
          <w:tcPr>
            <w:cnfStyle w:val="001000000000" w:firstRow="0" w:lastRow="0" w:firstColumn="1" w:lastColumn="0" w:oddVBand="0" w:evenVBand="0" w:oddHBand="0" w:evenHBand="0" w:firstRowFirstColumn="0" w:firstRowLastColumn="0" w:lastRowFirstColumn="0" w:lastRowLastColumn="0"/>
            <w:tcW w:w="7235" w:type="dxa"/>
          </w:tcPr>
          <w:p w14:paraId="63274FF0" w14:textId="4C3E3E37" w:rsidR="00491EC4" w:rsidRPr="00491EC4" w:rsidRDefault="00491EC4" w:rsidP="00491EC4">
            <w:pPr>
              <w:keepNext/>
              <w:keepLines/>
              <w:widowControl w:val="0"/>
              <w:spacing w:before="20" w:after="20" w:line="216" w:lineRule="auto"/>
              <w:rPr>
                <w:rFonts w:cs="Calibri"/>
                <w:b w:val="0"/>
                <w:sz w:val="20"/>
                <w:szCs w:val="20"/>
              </w:rPr>
            </w:pPr>
            <w:r w:rsidRPr="00491EC4">
              <w:rPr>
                <w:rFonts w:cs="Calibri"/>
                <w:b w:val="0"/>
                <w:sz w:val="20"/>
                <w:szCs w:val="20"/>
              </w:rPr>
              <w:t xml:space="preserve">Develop tools and templates to help buyers apply </w:t>
            </w:r>
            <w:r w:rsidR="00913F59">
              <w:rPr>
                <w:rFonts w:cs="Calibri"/>
                <w:b w:val="0"/>
                <w:sz w:val="20"/>
                <w:szCs w:val="20"/>
              </w:rPr>
              <w:t>V</w:t>
            </w:r>
            <w:r w:rsidR="00913F59" w:rsidRPr="001173EC">
              <w:rPr>
                <w:rFonts w:cs="Calibri"/>
                <w:b w:val="0"/>
                <w:sz w:val="20"/>
                <w:szCs w:val="20"/>
              </w:rPr>
              <w:t>ictoria’s Social Procurement Framework</w:t>
            </w:r>
          </w:p>
        </w:tc>
        <w:tc>
          <w:tcPr>
            <w:tcW w:w="1705" w:type="dxa"/>
          </w:tcPr>
          <w:p w14:paraId="7632885F" w14:textId="77777777" w:rsidR="00491EC4" w:rsidRPr="00491EC4" w:rsidRDefault="00491EC4" w:rsidP="00491EC4">
            <w:pPr>
              <w:keepNext/>
              <w:keepLines/>
              <w:widowControl w:val="0"/>
              <w:spacing w:before="20" w:after="20" w:line="216" w:lineRule="auto"/>
              <w:cnfStyle w:val="000000000000" w:firstRow="0" w:lastRow="0" w:firstColumn="0" w:lastColumn="0" w:oddVBand="0" w:evenVBand="0" w:oddHBand="0" w:evenHBand="0" w:firstRowFirstColumn="0" w:firstRowLastColumn="0" w:lastRowFirstColumn="0" w:lastRowLastColumn="0"/>
              <w:rPr>
                <w:rFonts w:cs="Calibri"/>
                <w:bCs/>
                <w:sz w:val="20"/>
                <w:szCs w:val="20"/>
              </w:rPr>
            </w:pPr>
            <w:r w:rsidRPr="00491EC4">
              <w:rPr>
                <w:rFonts w:cs="Calibri"/>
                <w:bCs/>
                <w:sz w:val="20"/>
                <w:szCs w:val="20"/>
              </w:rPr>
              <w:t>In progress</w:t>
            </w:r>
          </w:p>
        </w:tc>
      </w:tr>
      <w:tr w:rsidR="00491EC4" w:rsidRPr="00491EC4" w14:paraId="1F81B4D1" w14:textId="77777777" w:rsidTr="008153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35" w:type="dxa"/>
          </w:tcPr>
          <w:p w14:paraId="0F245F08" w14:textId="77777777" w:rsidR="00491EC4" w:rsidRPr="00491EC4" w:rsidRDefault="00491EC4" w:rsidP="00491EC4">
            <w:pPr>
              <w:keepNext/>
              <w:keepLines/>
              <w:widowControl w:val="0"/>
              <w:spacing w:before="20" w:after="20" w:line="216" w:lineRule="auto"/>
              <w:rPr>
                <w:rFonts w:cs="Calibri"/>
                <w:b w:val="0"/>
                <w:sz w:val="20"/>
                <w:szCs w:val="20"/>
              </w:rPr>
            </w:pPr>
            <w:r w:rsidRPr="00491EC4">
              <w:rPr>
                <w:rFonts w:cs="Calibri"/>
                <w:b w:val="0"/>
                <w:sz w:val="20"/>
                <w:szCs w:val="20"/>
              </w:rPr>
              <w:t>Set up a government directory to give buyers access to social benefit suppliers</w:t>
            </w:r>
          </w:p>
        </w:tc>
        <w:tc>
          <w:tcPr>
            <w:tcW w:w="1705" w:type="dxa"/>
          </w:tcPr>
          <w:p w14:paraId="015E7380" w14:textId="77777777" w:rsidR="00491EC4" w:rsidRPr="00491EC4" w:rsidRDefault="00491EC4" w:rsidP="00491EC4">
            <w:pPr>
              <w:keepNext/>
              <w:keepLines/>
              <w:widowControl w:val="0"/>
              <w:spacing w:before="20" w:after="20" w:line="216" w:lineRule="auto"/>
              <w:cnfStyle w:val="000000100000" w:firstRow="0" w:lastRow="0" w:firstColumn="0" w:lastColumn="0" w:oddVBand="0" w:evenVBand="0" w:oddHBand="1" w:evenHBand="0" w:firstRowFirstColumn="0" w:firstRowLastColumn="0" w:lastRowFirstColumn="0" w:lastRowLastColumn="0"/>
              <w:rPr>
                <w:rFonts w:cs="Calibri"/>
                <w:bCs/>
                <w:sz w:val="20"/>
                <w:szCs w:val="20"/>
              </w:rPr>
            </w:pPr>
            <w:r w:rsidRPr="00491EC4">
              <w:rPr>
                <w:rFonts w:cs="Calibri"/>
                <w:bCs/>
                <w:sz w:val="20"/>
                <w:szCs w:val="20"/>
              </w:rPr>
              <w:t>In progress</w:t>
            </w:r>
          </w:p>
        </w:tc>
      </w:tr>
      <w:tr w:rsidR="00491EC4" w:rsidRPr="00491EC4" w14:paraId="46EAB341" w14:textId="77777777" w:rsidTr="008153D5">
        <w:tc>
          <w:tcPr>
            <w:cnfStyle w:val="001000000000" w:firstRow="0" w:lastRow="0" w:firstColumn="1" w:lastColumn="0" w:oddVBand="0" w:evenVBand="0" w:oddHBand="0" w:evenHBand="0" w:firstRowFirstColumn="0" w:firstRowLastColumn="0" w:lastRowFirstColumn="0" w:lastRowLastColumn="0"/>
            <w:tcW w:w="7235" w:type="dxa"/>
          </w:tcPr>
          <w:p w14:paraId="4E027C0F" w14:textId="4F49C66F" w:rsidR="00491EC4" w:rsidRPr="00491EC4" w:rsidRDefault="00491EC4" w:rsidP="00491EC4">
            <w:pPr>
              <w:keepNext/>
              <w:keepLines/>
              <w:widowControl w:val="0"/>
              <w:spacing w:before="20" w:after="20" w:line="216" w:lineRule="auto"/>
              <w:rPr>
                <w:rFonts w:cs="Calibri"/>
                <w:b w:val="0"/>
                <w:sz w:val="20"/>
                <w:szCs w:val="20"/>
              </w:rPr>
            </w:pPr>
            <w:r w:rsidRPr="00491EC4">
              <w:rPr>
                <w:rFonts w:cs="Calibri"/>
                <w:b w:val="0"/>
                <w:sz w:val="20"/>
                <w:szCs w:val="20"/>
              </w:rPr>
              <w:t>Develop a reporting framework to measure</w:t>
            </w:r>
            <w:r w:rsidR="00D2111A">
              <w:rPr>
                <w:rFonts w:cs="Calibri"/>
                <w:b w:val="0"/>
                <w:sz w:val="20"/>
                <w:szCs w:val="20"/>
              </w:rPr>
              <w:t xml:space="preserve"> the</w:t>
            </w:r>
            <w:r w:rsidRPr="00491EC4">
              <w:rPr>
                <w:rFonts w:cs="Calibri"/>
                <w:b w:val="0"/>
                <w:sz w:val="20"/>
                <w:szCs w:val="20"/>
              </w:rPr>
              <w:t xml:space="preserve"> benefits </w:t>
            </w:r>
            <w:r w:rsidR="00D2111A">
              <w:rPr>
                <w:rFonts w:cs="Calibri"/>
                <w:b w:val="0"/>
                <w:sz w:val="20"/>
                <w:szCs w:val="20"/>
              </w:rPr>
              <w:t>of V</w:t>
            </w:r>
            <w:r w:rsidR="00D2111A" w:rsidRPr="001173EC">
              <w:rPr>
                <w:rFonts w:cs="Calibri"/>
                <w:b w:val="0"/>
                <w:sz w:val="20"/>
                <w:szCs w:val="20"/>
              </w:rPr>
              <w:t>ictoria’s Social Procurement Framework</w:t>
            </w:r>
            <w:r w:rsidR="00D2111A" w:rsidRPr="00491EC4">
              <w:rPr>
                <w:rFonts w:cs="Calibri"/>
                <w:b w:val="0"/>
                <w:sz w:val="20"/>
                <w:szCs w:val="20"/>
              </w:rPr>
              <w:t xml:space="preserve"> </w:t>
            </w:r>
            <w:r w:rsidRPr="00491EC4">
              <w:rPr>
                <w:rFonts w:cs="Calibri"/>
                <w:b w:val="0"/>
                <w:sz w:val="20"/>
                <w:szCs w:val="20"/>
              </w:rPr>
              <w:t>without adding an administrative burden</w:t>
            </w:r>
          </w:p>
        </w:tc>
        <w:tc>
          <w:tcPr>
            <w:tcW w:w="1705" w:type="dxa"/>
          </w:tcPr>
          <w:p w14:paraId="505E3163" w14:textId="77777777" w:rsidR="00491EC4" w:rsidRPr="00491EC4" w:rsidRDefault="00491EC4" w:rsidP="00491EC4">
            <w:pPr>
              <w:keepNext/>
              <w:keepLines/>
              <w:widowControl w:val="0"/>
              <w:spacing w:before="20" w:after="20" w:line="216" w:lineRule="auto"/>
              <w:cnfStyle w:val="000000000000" w:firstRow="0" w:lastRow="0" w:firstColumn="0" w:lastColumn="0" w:oddVBand="0" w:evenVBand="0" w:oddHBand="0" w:evenHBand="0" w:firstRowFirstColumn="0" w:firstRowLastColumn="0" w:lastRowFirstColumn="0" w:lastRowLastColumn="0"/>
              <w:rPr>
                <w:rFonts w:cs="Calibri"/>
                <w:bCs/>
                <w:sz w:val="20"/>
                <w:szCs w:val="20"/>
              </w:rPr>
            </w:pPr>
            <w:r w:rsidRPr="00491EC4">
              <w:rPr>
                <w:rFonts w:cs="Calibri"/>
                <w:bCs/>
                <w:sz w:val="20"/>
                <w:szCs w:val="20"/>
              </w:rPr>
              <w:t>In progress</w:t>
            </w:r>
          </w:p>
          <w:p w14:paraId="489994B5" w14:textId="77777777" w:rsidR="00491EC4" w:rsidRPr="00491EC4" w:rsidRDefault="00491EC4" w:rsidP="00491EC4">
            <w:pPr>
              <w:keepNext/>
              <w:keepLines/>
              <w:widowControl w:val="0"/>
              <w:spacing w:before="20" w:after="20" w:line="216" w:lineRule="auto"/>
              <w:cnfStyle w:val="000000000000" w:firstRow="0" w:lastRow="0" w:firstColumn="0" w:lastColumn="0" w:oddVBand="0" w:evenVBand="0" w:oddHBand="0" w:evenHBand="0" w:firstRowFirstColumn="0" w:firstRowLastColumn="0" w:lastRowFirstColumn="0" w:lastRowLastColumn="0"/>
              <w:rPr>
                <w:rFonts w:cs="Calibri"/>
                <w:bCs/>
                <w:sz w:val="20"/>
                <w:szCs w:val="20"/>
              </w:rPr>
            </w:pPr>
          </w:p>
        </w:tc>
      </w:tr>
      <w:tr w:rsidR="00491EC4" w:rsidRPr="00491EC4" w14:paraId="561909A2" w14:textId="77777777" w:rsidTr="00491E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40" w:type="dxa"/>
            <w:gridSpan w:val="2"/>
            <w:tcBorders>
              <w:top w:val="single" w:sz="4" w:space="0" w:color="auto"/>
              <w:left w:val="single" w:sz="4" w:space="0" w:color="auto"/>
              <w:bottom w:val="single" w:sz="4" w:space="0" w:color="auto"/>
              <w:right w:val="single" w:sz="4" w:space="0" w:color="auto"/>
            </w:tcBorders>
            <w:shd w:val="clear" w:color="auto" w:fill="D9D9D9"/>
          </w:tcPr>
          <w:p w14:paraId="248D26DF" w14:textId="77777777" w:rsidR="00491EC4" w:rsidRPr="00491EC4" w:rsidRDefault="00491EC4" w:rsidP="00491EC4">
            <w:pPr>
              <w:keepNext/>
              <w:keepLines/>
              <w:widowControl w:val="0"/>
              <w:spacing w:before="20" w:after="20" w:line="216" w:lineRule="auto"/>
              <w:rPr>
                <w:rFonts w:cs="Calibri"/>
                <w:b w:val="0"/>
                <w:sz w:val="20"/>
                <w:szCs w:val="20"/>
              </w:rPr>
            </w:pPr>
            <w:r w:rsidRPr="00491EC4">
              <w:rPr>
                <w:rFonts w:cs="Calibri"/>
                <w:sz w:val="20"/>
                <w:szCs w:val="20"/>
              </w:rPr>
              <w:t>Workstream 2: Governance, extending the reach</w:t>
            </w:r>
            <w:r w:rsidRPr="00491EC4">
              <w:rPr>
                <w:rFonts w:cs="Calibri"/>
                <w:b w:val="0"/>
                <w:sz w:val="20"/>
                <w:szCs w:val="20"/>
              </w:rPr>
              <w:br/>
              <w:t>Previously Strategic Priority 4: Broaden the VGPB’s impact on Victorian public sector procurement</w:t>
            </w:r>
          </w:p>
        </w:tc>
      </w:tr>
      <w:tr w:rsidR="006211B5" w:rsidRPr="00491EC4" w14:paraId="0F7845D4" w14:textId="77777777" w:rsidTr="0088192C">
        <w:tc>
          <w:tcPr>
            <w:cnfStyle w:val="001000000000" w:firstRow="0" w:lastRow="0" w:firstColumn="1" w:lastColumn="0" w:oddVBand="0" w:evenVBand="0" w:oddHBand="0" w:evenHBand="0" w:firstRowFirstColumn="0" w:firstRowLastColumn="0" w:lastRowFirstColumn="0" w:lastRowLastColumn="0"/>
            <w:tcW w:w="7235" w:type="dxa"/>
          </w:tcPr>
          <w:p w14:paraId="6B81AED3" w14:textId="2E7B5D00" w:rsidR="006211B5" w:rsidRPr="00491EC4" w:rsidRDefault="006211B5" w:rsidP="0088192C">
            <w:pPr>
              <w:keepNext/>
              <w:keepLines/>
              <w:widowControl w:val="0"/>
              <w:spacing w:before="20" w:after="20" w:line="216" w:lineRule="auto"/>
              <w:rPr>
                <w:rFonts w:cs="Calibri"/>
                <w:b w:val="0"/>
                <w:sz w:val="20"/>
                <w:szCs w:val="20"/>
              </w:rPr>
            </w:pPr>
            <w:r w:rsidRPr="00491EC4">
              <w:rPr>
                <w:rFonts w:cs="Calibri"/>
                <w:b w:val="0"/>
                <w:sz w:val="20"/>
                <w:szCs w:val="20"/>
              </w:rPr>
              <w:t xml:space="preserve">Accredit </w:t>
            </w:r>
            <w:r w:rsidR="00820DB7">
              <w:rPr>
                <w:rFonts w:cs="Calibri"/>
                <w:b w:val="0"/>
                <w:sz w:val="20"/>
                <w:szCs w:val="20"/>
              </w:rPr>
              <w:t>CenITex</w:t>
            </w:r>
            <w:r w:rsidRPr="00491EC4">
              <w:rPr>
                <w:rFonts w:cs="Calibri"/>
                <w:b w:val="0"/>
                <w:sz w:val="20"/>
                <w:szCs w:val="20"/>
              </w:rPr>
              <w:t xml:space="preserve"> to operate under the VGPB policy framework on 1 July 2017</w:t>
            </w:r>
          </w:p>
        </w:tc>
        <w:tc>
          <w:tcPr>
            <w:tcW w:w="1705" w:type="dxa"/>
          </w:tcPr>
          <w:p w14:paraId="691CC32B" w14:textId="77777777" w:rsidR="006211B5" w:rsidRPr="00491EC4" w:rsidRDefault="006211B5" w:rsidP="0088192C">
            <w:pPr>
              <w:keepNext/>
              <w:keepLines/>
              <w:widowControl w:val="0"/>
              <w:spacing w:before="20" w:after="20" w:line="216" w:lineRule="auto"/>
              <w:cnfStyle w:val="000000000000" w:firstRow="0" w:lastRow="0" w:firstColumn="0" w:lastColumn="0" w:oddVBand="0" w:evenVBand="0" w:oddHBand="0" w:evenHBand="0" w:firstRowFirstColumn="0" w:firstRowLastColumn="0" w:lastRowFirstColumn="0" w:lastRowLastColumn="0"/>
              <w:rPr>
                <w:rFonts w:cs="Calibri"/>
                <w:bCs/>
                <w:sz w:val="20"/>
                <w:szCs w:val="20"/>
              </w:rPr>
            </w:pPr>
            <w:r w:rsidRPr="00491EC4">
              <w:rPr>
                <w:rFonts w:cs="Calibri"/>
                <w:bCs/>
                <w:sz w:val="20"/>
                <w:szCs w:val="20"/>
              </w:rPr>
              <w:t>Complete</w:t>
            </w:r>
          </w:p>
        </w:tc>
      </w:tr>
      <w:tr w:rsidR="00491EC4" w:rsidRPr="00491EC4" w14:paraId="476860EB" w14:textId="77777777" w:rsidTr="008153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35" w:type="dxa"/>
            <w:tcBorders>
              <w:top w:val="single" w:sz="4" w:space="0" w:color="auto"/>
            </w:tcBorders>
          </w:tcPr>
          <w:p w14:paraId="199376C7" w14:textId="77777777" w:rsidR="00491EC4" w:rsidRPr="00491EC4" w:rsidRDefault="00491EC4" w:rsidP="00491EC4">
            <w:pPr>
              <w:keepNext/>
              <w:keepLines/>
              <w:widowControl w:val="0"/>
              <w:spacing w:before="20" w:after="20" w:line="216" w:lineRule="auto"/>
              <w:rPr>
                <w:rFonts w:cs="Calibri"/>
                <w:b w:val="0"/>
                <w:sz w:val="20"/>
                <w:szCs w:val="20"/>
              </w:rPr>
            </w:pPr>
            <w:r w:rsidRPr="00491EC4">
              <w:rPr>
                <w:rFonts w:cs="Calibri"/>
                <w:b w:val="0"/>
                <w:sz w:val="20"/>
                <w:szCs w:val="20"/>
              </w:rPr>
              <w:t>Draft a strategy with a scalable approach to governance and monitoring across various entities to extend the VGPB’s reach from 32 to about 300 entities</w:t>
            </w:r>
          </w:p>
        </w:tc>
        <w:tc>
          <w:tcPr>
            <w:tcW w:w="1705" w:type="dxa"/>
            <w:tcBorders>
              <w:top w:val="single" w:sz="4" w:space="0" w:color="auto"/>
            </w:tcBorders>
          </w:tcPr>
          <w:p w14:paraId="49406B7C" w14:textId="77777777" w:rsidR="00491EC4" w:rsidRPr="00491EC4" w:rsidRDefault="00491EC4" w:rsidP="00491EC4">
            <w:pPr>
              <w:keepNext/>
              <w:keepLines/>
              <w:widowControl w:val="0"/>
              <w:spacing w:before="20" w:after="20" w:line="216" w:lineRule="auto"/>
              <w:cnfStyle w:val="000000100000" w:firstRow="0" w:lastRow="0" w:firstColumn="0" w:lastColumn="0" w:oddVBand="0" w:evenVBand="0" w:oddHBand="1" w:evenHBand="0" w:firstRowFirstColumn="0" w:firstRowLastColumn="0" w:lastRowFirstColumn="0" w:lastRowLastColumn="0"/>
              <w:rPr>
                <w:rFonts w:cs="Calibri"/>
                <w:bCs/>
                <w:sz w:val="20"/>
                <w:szCs w:val="20"/>
              </w:rPr>
            </w:pPr>
            <w:r w:rsidRPr="00491EC4">
              <w:rPr>
                <w:rFonts w:cs="Calibri"/>
                <w:bCs/>
                <w:sz w:val="20"/>
                <w:szCs w:val="20"/>
              </w:rPr>
              <w:t>In progress</w:t>
            </w:r>
          </w:p>
        </w:tc>
      </w:tr>
      <w:tr w:rsidR="00491EC4" w:rsidRPr="00491EC4" w14:paraId="7ADF2664" w14:textId="77777777" w:rsidTr="00491EC4">
        <w:tc>
          <w:tcPr>
            <w:cnfStyle w:val="001000000000" w:firstRow="0" w:lastRow="0" w:firstColumn="1" w:lastColumn="0" w:oddVBand="0" w:evenVBand="0" w:oddHBand="0" w:evenHBand="0" w:firstRowFirstColumn="0" w:firstRowLastColumn="0" w:lastRowFirstColumn="0" w:lastRowLastColumn="0"/>
            <w:tcW w:w="8940" w:type="dxa"/>
            <w:gridSpan w:val="2"/>
            <w:shd w:val="clear" w:color="auto" w:fill="D9D9D9"/>
          </w:tcPr>
          <w:p w14:paraId="6D47E9BF" w14:textId="77777777" w:rsidR="00491EC4" w:rsidRPr="00491EC4" w:rsidRDefault="00491EC4" w:rsidP="00491EC4">
            <w:pPr>
              <w:keepNext/>
              <w:keepLines/>
              <w:widowControl w:val="0"/>
              <w:spacing w:before="20" w:after="20" w:line="216" w:lineRule="auto"/>
              <w:rPr>
                <w:rFonts w:cs="Calibri"/>
                <w:sz w:val="20"/>
                <w:szCs w:val="20"/>
              </w:rPr>
            </w:pPr>
            <w:r w:rsidRPr="00491EC4">
              <w:rPr>
                <w:rFonts w:cs="Calibri"/>
                <w:sz w:val="20"/>
                <w:szCs w:val="20"/>
              </w:rPr>
              <w:t>Workstream 3: Policy and practice</w:t>
            </w:r>
            <w:r w:rsidRPr="00491EC4">
              <w:rPr>
                <w:rFonts w:cs="Calibri"/>
                <w:sz w:val="20"/>
                <w:szCs w:val="20"/>
              </w:rPr>
              <w:br/>
            </w:r>
            <w:r w:rsidRPr="00491EC4">
              <w:rPr>
                <w:rFonts w:cs="Calibri"/>
                <w:b w:val="0"/>
                <w:sz w:val="20"/>
                <w:szCs w:val="20"/>
              </w:rPr>
              <w:t>Previously Strategic Priority 1: Embed and enhance VGPB supply policies</w:t>
            </w:r>
          </w:p>
        </w:tc>
      </w:tr>
      <w:tr w:rsidR="001173EC" w:rsidRPr="00491EC4" w14:paraId="6D6D8043" w14:textId="77777777" w:rsidTr="008819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35" w:type="dxa"/>
          </w:tcPr>
          <w:p w14:paraId="2886395C" w14:textId="190C2D43" w:rsidR="001173EC" w:rsidRPr="00491EC4" w:rsidRDefault="001173EC" w:rsidP="0088192C">
            <w:pPr>
              <w:keepNext/>
              <w:keepLines/>
              <w:widowControl w:val="0"/>
              <w:spacing w:before="20" w:after="20" w:line="216" w:lineRule="auto"/>
              <w:rPr>
                <w:rFonts w:cs="Calibri"/>
                <w:b w:val="0"/>
                <w:sz w:val="20"/>
                <w:szCs w:val="20"/>
              </w:rPr>
            </w:pPr>
            <w:r w:rsidRPr="00491EC4">
              <w:rPr>
                <w:rFonts w:cs="Calibri"/>
                <w:b w:val="0"/>
                <w:sz w:val="20"/>
                <w:szCs w:val="20"/>
              </w:rPr>
              <w:t>Update VGPB standard contract templates with the Supplier Code of Conduct</w:t>
            </w:r>
            <w:r w:rsidR="00E40C72">
              <w:rPr>
                <w:rFonts w:cs="Calibri"/>
                <w:b w:val="0"/>
                <w:sz w:val="20"/>
                <w:szCs w:val="20"/>
              </w:rPr>
              <w:t xml:space="preserve"> </w:t>
            </w:r>
            <w:r w:rsidRPr="00491EC4">
              <w:rPr>
                <w:rFonts w:cs="Calibri"/>
                <w:b w:val="0"/>
                <w:sz w:val="20"/>
                <w:szCs w:val="20"/>
              </w:rPr>
              <w:t>and current legislative requirements</w:t>
            </w:r>
          </w:p>
        </w:tc>
        <w:tc>
          <w:tcPr>
            <w:tcW w:w="1705" w:type="dxa"/>
          </w:tcPr>
          <w:p w14:paraId="4053411C" w14:textId="77777777" w:rsidR="001173EC" w:rsidRPr="00491EC4" w:rsidRDefault="001173EC" w:rsidP="0088192C">
            <w:pPr>
              <w:keepNext/>
              <w:keepLines/>
              <w:widowControl w:val="0"/>
              <w:spacing w:before="20" w:after="20" w:line="216" w:lineRule="auto"/>
              <w:cnfStyle w:val="000000100000" w:firstRow="0" w:lastRow="0" w:firstColumn="0" w:lastColumn="0" w:oddVBand="0" w:evenVBand="0" w:oddHBand="1" w:evenHBand="0" w:firstRowFirstColumn="0" w:firstRowLastColumn="0" w:lastRowFirstColumn="0" w:lastRowLastColumn="0"/>
              <w:rPr>
                <w:rFonts w:cs="Calibri"/>
                <w:bCs/>
                <w:sz w:val="20"/>
                <w:szCs w:val="20"/>
              </w:rPr>
            </w:pPr>
            <w:r w:rsidRPr="00491EC4">
              <w:rPr>
                <w:rFonts w:cs="Calibri"/>
                <w:bCs/>
                <w:sz w:val="20"/>
                <w:szCs w:val="20"/>
              </w:rPr>
              <w:t>Complete</w:t>
            </w:r>
          </w:p>
          <w:p w14:paraId="54F59BF9" w14:textId="77777777" w:rsidR="001173EC" w:rsidRPr="00491EC4" w:rsidRDefault="001173EC" w:rsidP="0088192C">
            <w:pPr>
              <w:keepNext/>
              <w:keepLines/>
              <w:widowControl w:val="0"/>
              <w:spacing w:before="20" w:after="20" w:line="216" w:lineRule="auto"/>
              <w:cnfStyle w:val="000000100000" w:firstRow="0" w:lastRow="0" w:firstColumn="0" w:lastColumn="0" w:oddVBand="0" w:evenVBand="0" w:oddHBand="1" w:evenHBand="0" w:firstRowFirstColumn="0" w:firstRowLastColumn="0" w:lastRowFirstColumn="0" w:lastRowLastColumn="0"/>
              <w:rPr>
                <w:rFonts w:cs="Calibri"/>
                <w:bCs/>
                <w:sz w:val="20"/>
                <w:szCs w:val="20"/>
              </w:rPr>
            </w:pPr>
          </w:p>
        </w:tc>
      </w:tr>
      <w:tr w:rsidR="001173EC" w:rsidRPr="00491EC4" w14:paraId="1FB84667" w14:textId="77777777" w:rsidTr="0088192C">
        <w:tc>
          <w:tcPr>
            <w:cnfStyle w:val="001000000000" w:firstRow="0" w:lastRow="0" w:firstColumn="1" w:lastColumn="0" w:oddVBand="0" w:evenVBand="0" w:oddHBand="0" w:evenHBand="0" w:firstRowFirstColumn="0" w:firstRowLastColumn="0" w:lastRowFirstColumn="0" w:lastRowLastColumn="0"/>
            <w:tcW w:w="7235" w:type="dxa"/>
            <w:tcBorders>
              <w:bottom w:val="single" w:sz="4" w:space="0" w:color="auto"/>
            </w:tcBorders>
          </w:tcPr>
          <w:p w14:paraId="48B690F4" w14:textId="5A57BD72" w:rsidR="001173EC" w:rsidRPr="00491EC4" w:rsidRDefault="001173EC" w:rsidP="0088192C">
            <w:pPr>
              <w:keepNext/>
              <w:keepLines/>
              <w:widowControl w:val="0"/>
              <w:spacing w:before="20" w:after="20" w:line="216" w:lineRule="auto"/>
              <w:rPr>
                <w:rFonts w:cs="Calibri"/>
                <w:b w:val="0"/>
                <w:sz w:val="20"/>
                <w:szCs w:val="20"/>
              </w:rPr>
            </w:pPr>
            <w:r w:rsidRPr="00491EC4">
              <w:rPr>
                <w:rFonts w:cs="Calibri"/>
                <w:b w:val="0"/>
                <w:sz w:val="20"/>
                <w:szCs w:val="20"/>
              </w:rPr>
              <w:t xml:space="preserve">Develop a guide to </w:t>
            </w:r>
            <w:r>
              <w:rPr>
                <w:rFonts w:cs="Calibri"/>
                <w:b w:val="0"/>
                <w:sz w:val="20"/>
                <w:szCs w:val="20"/>
              </w:rPr>
              <w:t xml:space="preserve">procuring </w:t>
            </w:r>
            <w:r w:rsidRPr="00491EC4">
              <w:rPr>
                <w:rFonts w:cs="Calibri"/>
                <w:b w:val="0"/>
                <w:sz w:val="20"/>
                <w:szCs w:val="20"/>
              </w:rPr>
              <w:t xml:space="preserve">uniforms and personal protective equipment to </w:t>
            </w:r>
            <w:r>
              <w:rPr>
                <w:rFonts w:cs="Calibri"/>
                <w:b w:val="0"/>
                <w:sz w:val="20"/>
                <w:szCs w:val="20"/>
              </w:rPr>
              <w:t>support the Victorian Government’s commitment to creating and retaining local jobs and supporting local small to medium enterprises</w:t>
            </w:r>
          </w:p>
        </w:tc>
        <w:tc>
          <w:tcPr>
            <w:tcW w:w="1705" w:type="dxa"/>
            <w:tcBorders>
              <w:bottom w:val="single" w:sz="4" w:space="0" w:color="auto"/>
            </w:tcBorders>
          </w:tcPr>
          <w:p w14:paraId="1EE3AEDE" w14:textId="77777777" w:rsidR="001173EC" w:rsidRPr="00491EC4" w:rsidRDefault="001173EC" w:rsidP="0088192C">
            <w:pPr>
              <w:keepNext/>
              <w:keepLines/>
              <w:widowControl w:val="0"/>
              <w:spacing w:before="20" w:after="20" w:line="216" w:lineRule="auto"/>
              <w:cnfStyle w:val="000000000000" w:firstRow="0" w:lastRow="0" w:firstColumn="0" w:lastColumn="0" w:oddVBand="0" w:evenVBand="0" w:oddHBand="0" w:evenHBand="0" w:firstRowFirstColumn="0" w:firstRowLastColumn="0" w:lastRowFirstColumn="0" w:lastRowLastColumn="0"/>
              <w:rPr>
                <w:rFonts w:cs="Calibri"/>
                <w:bCs/>
                <w:sz w:val="20"/>
                <w:szCs w:val="20"/>
              </w:rPr>
            </w:pPr>
            <w:r>
              <w:rPr>
                <w:rFonts w:cs="Calibri"/>
                <w:bCs/>
                <w:sz w:val="20"/>
                <w:szCs w:val="20"/>
              </w:rPr>
              <w:t>Complete</w:t>
            </w:r>
          </w:p>
        </w:tc>
      </w:tr>
      <w:tr w:rsidR="00491EC4" w:rsidRPr="00491EC4" w14:paraId="157528B5" w14:textId="77777777" w:rsidTr="008153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35" w:type="dxa"/>
          </w:tcPr>
          <w:p w14:paraId="5DD0BAA5" w14:textId="0C4BF8C3" w:rsidR="00491EC4" w:rsidRPr="00491EC4" w:rsidRDefault="008C05CD" w:rsidP="00491EC4">
            <w:pPr>
              <w:keepNext/>
              <w:keepLines/>
              <w:widowControl w:val="0"/>
              <w:spacing w:before="20" w:after="20" w:line="216" w:lineRule="auto"/>
              <w:rPr>
                <w:rFonts w:cs="Calibri"/>
                <w:b w:val="0"/>
                <w:sz w:val="20"/>
                <w:szCs w:val="20"/>
              </w:rPr>
            </w:pPr>
            <w:r>
              <w:rPr>
                <w:rFonts w:cs="Calibri"/>
                <w:b w:val="0"/>
                <w:sz w:val="20"/>
                <w:szCs w:val="20"/>
              </w:rPr>
              <w:t>Develop an approach to</w:t>
            </w:r>
            <w:r w:rsidR="00491EC4" w:rsidRPr="00491EC4">
              <w:rPr>
                <w:rFonts w:cs="Calibri"/>
                <w:b w:val="0"/>
                <w:sz w:val="20"/>
                <w:szCs w:val="20"/>
              </w:rPr>
              <w:t xml:space="preserve"> harmonise goods, services and construction policy and practice</w:t>
            </w:r>
          </w:p>
        </w:tc>
        <w:tc>
          <w:tcPr>
            <w:tcW w:w="1705" w:type="dxa"/>
          </w:tcPr>
          <w:p w14:paraId="2B953092" w14:textId="77777777" w:rsidR="00491EC4" w:rsidRPr="00491EC4" w:rsidRDefault="00491EC4" w:rsidP="00491EC4">
            <w:pPr>
              <w:keepNext/>
              <w:keepLines/>
              <w:widowControl w:val="0"/>
              <w:spacing w:before="20" w:after="20" w:line="216" w:lineRule="auto"/>
              <w:cnfStyle w:val="000000100000" w:firstRow="0" w:lastRow="0" w:firstColumn="0" w:lastColumn="0" w:oddVBand="0" w:evenVBand="0" w:oddHBand="1" w:evenHBand="0" w:firstRowFirstColumn="0" w:firstRowLastColumn="0" w:lastRowFirstColumn="0" w:lastRowLastColumn="0"/>
              <w:rPr>
                <w:rFonts w:cs="Calibri"/>
                <w:bCs/>
                <w:sz w:val="20"/>
                <w:szCs w:val="20"/>
              </w:rPr>
            </w:pPr>
            <w:r w:rsidRPr="00491EC4">
              <w:rPr>
                <w:rFonts w:cs="Calibri"/>
                <w:bCs/>
                <w:sz w:val="20"/>
                <w:szCs w:val="20"/>
              </w:rPr>
              <w:t>In progress</w:t>
            </w:r>
          </w:p>
        </w:tc>
      </w:tr>
      <w:tr w:rsidR="00491EC4" w:rsidRPr="00491EC4" w14:paraId="3D8469F7" w14:textId="77777777" w:rsidTr="008153D5">
        <w:tc>
          <w:tcPr>
            <w:cnfStyle w:val="001000000000" w:firstRow="0" w:lastRow="0" w:firstColumn="1" w:lastColumn="0" w:oddVBand="0" w:evenVBand="0" w:oddHBand="0" w:evenHBand="0" w:firstRowFirstColumn="0" w:firstRowLastColumn="0" w:lastRowFirstColumn="0" w:lastRowLastColumn="0"/>
            <w:tcW w:w="7235" w:type="dxa"/>
          </w:tcPr>
          <w:p w14:paraId="58AA4F04" w14:textId="7972B00A" w:rsidR="00491EC4" w:rsidRPr="00491EC4" w:rsidRDefault="00491EC4" w:rsidP="00491EC4">
            <w:pPr>
              <w:keepNext/>
              <w:keepLines/>
              <w:widowControl w:val="0"/>
              <w:spacing w:before="20" w:after="20" w:line="216" w:lineRule="auto"/>
              <w:rPr>
                <w:rFonts w:cs="Calibri"/>
                <w:b w:val="0"/>
                <w:sz w:val="20"/>
                <w:szCs w:val="20"/>
              </w:rPr>
            </w:pPr>
            <w:r w:rsidRPr="00491EC4">
              <w:rPr>
                <w:rFonts w:cs="Calibri"/>
                <w:b w:val="0"/>
                <w:sz w:val="20"/>
                <w:szCs w:val="20"/>
              </w:rPr>
              <w:t xml:space="preserve">Evaluate the success and lessons learned from implementing the </w:t>
            </w:r>
            <w:r w:rsidR="00E40C72">
              <w:rPr>
                <w:rFonts w:cs="Calibri"/>
                <w:b w:val="0"/>
                <w:sz w:val="20"/>
                <w:szCs w:val="20"/>
              </w:rPr>
              <w:t xml:space="preserve">Supplier </w:t>
            </w:r>
            <w:r w:rsidRPr="00491EC4">
              <w:rPr>
                <w:rFonts w:cs="Calibri"/>
                <w:b w:val="0"/>
                <w:sz w:val="20"/>
                <w:szCs w:val="20"/>
              </w:rPr>
              <w:t xml:space="preserve">Code </w:t>
            </w:r>
            <w:r w:rsidR="00E40C72">
              <w:rPr>
                <w:rFonts w:cs="Calibri"/>
                <w:b w:val="0"/>
                <w:sz w:val="20"/>
                <w:szCs w:val="20"/>
              </w:rPr>
              <w:t xml:space="preserve">of Conduct </w:t>
            </w:r>
            <w:r w:rsidRPr="00491EC4">
              <w:rPr>
                <w:rFonts w:cs="Calibri"/>
                <w:b w:val="0"/>
                <w:sz w:val="20"/>
                <w:szCs w:val="20"/>
              </w:rPr>
              <w:t>to drive future strategy development</w:t>
            </w:r>
          </w:p>
        </w:tc>
        <w:tc>
          <w:tcPr>
            <w:tcW w:w="1705" w:type="dxa"/>
          </w:tcPr>
          <w:p w14:paraId="18A643D1" w14:textId="77777777" w:rsidR="00491EC4" w:rsidRPr="00491EC4" w:rsidRDefault="00491EC4" w:rsidP="00491EC4">
            <w:pPr>
              <w:keepNext/>
              <w:keepLines/>
              <w:widowControl w:val="0"/>
              <w:spacing w:before="20" w:after="20" w:line="216" w:lineRule="auto"/>
              <w:cnfStyle w:val="000000000000" w:firstRow="0" w:lastRow="0" w:firstColumn="0" w:lastColumn="0" w:oddVBand="0" w:evenVBand="0" w:oddHBand="0" w:evenHBand="0" w:firstRowFirstColumn="0" w:firstRowLastColumn="0" w:lastRowFirstColumn="0" w:lastRowLastColumn="0"/>
              <w:rPr>
                <w:rFonts w:cs="Calibri"/>
                <w:bCs/>
                <w:sz w:val="20"/>
                <w:szCs w:val="20"/>
              </w:rPr>
            </w:pPr>
            <w:r w:rsidRPr="00491EC4">
              <w:rPr>
                <w:rFonts w:cs="Calibri"/>
                <w:bCs/>
                <w:sz w:val="20"/>
                <w:szCs w:val="20"/>
              </w:rPr>
              <w:t>In progress</w:t>
            </w:r>
          </w:p>
        </w:tc>
      </w:tr>
      <w:tr w:rsidR="00491EC4" w:rsidRPr="00491EC4" w14:paraId="43CD3650" w14:textId="77777777" w:rsidTr="008153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35" w:type="dxa"/>
          </w:tcPr>
          <w:p w14:paraId="1BE1F5AF" w14:textId="77777777" w:rsidR="00491EC4" w:rsidRPr="00491EC4" w:rsidRDefault="00491EC4" w:rsidP="00491EC4">
            <w:pPr>
              <w:keepNext/>
              <w:keepLines/>
              <w:widowControl w:val="0"/>
              <w:spacing w:before="20" w:after="20" w:line="216" w:lineRule="auto"/>
              <w:rPr>
                <w:rFonts w:cs="Calibri"/>
                <w:b w:val="0"/>
                <w:sz w:val="20"/>
                <w:szCs w:val="20"/>
              </w:rPr>
            </w:pPr>
            <w:r w:rsidRPr="00491EC4">
              <w:rPr>
                <w:rFonts w:cs="Calibri"/>
                <w:b w:val="0"/>
                <w:sz w:val="20"/>
                <w:szCs w:val="20"/>
              </w:rPr>
              <w:t>Create a strategy to develop alternative paths to market that promote innovation and best industry practice</w:t>
            </w:r>
          </w:p>
        </w:tc>
        <w:tc>
          <w:tcPr>
            <w:tcW w:w="1705" w:type="dxa"/>
          </w:tcPr>
          <w:p w14:paraId="469B02F4" w14:textId="7F569486" w:rsidR="00491EC4" w:rsidRPr="00491EC4" w:rsidRDefault="00491EC4" w:rsidP="00491EC4">
            <w:pPr>
              <w:keepNext/>
              <w:keepLines/>
              <w:widowControl w:val="0"/>
              <w:spacing w:before="20" w:after="20" w:line="216" w:lineRule="auto"/>
              <w:cnfStyle w:val="000000100000" w:firstRow="0" w:lastRow="0" w:firstColumn="0" w:lastColumn="0" w:oddVBand="0" w:evenVBand="0" w:oddHBand="1" w:evenHBand="0" w:firstRowFirstColumn="0" w:firstRowLastColumn="0" w:lastRowFirstColumn="0" w:lastRowLastColumn="0"/>
              <w:rPr>
                <w:rFonts w:cs="Calibri"/>
                <w:bCs/>
                <w:sz w:val="20"/>
                <w:szCs w:val="20"/>
              </w:rPr>
            </w:pPr>
            <w:r w:rsidRPr="00491EC4">
              <w:rPr>
                <w:rFonts w:cs="Calibri"/>
                <w:bCs/>
                <w:sz w:val="20"/>
                <w:szCs w:val="20"/>
              </w:rPr>
              <w:t>Starts 2018–19</w:t>
            </w:r>
          </w:p>
        </w:tc>
      </w:tr>
      <w:tr w:rsidR="00491EC4" w:rsidRPr="00491EC4" w14:paraId="1EBD429C" w14:textId="77777777" w:rsidTr="00491EC4">
        <w:tc>
          <w:tcPr>
            <w:cnfStyle w:val="001000000000" w:firstRow="0" w:lastRow="0" w:firstColumn="1" w:lastColumn="0" w:oddVBand="0" w:evenVBand="0" w:oddHBand="0" w:evenHBand="0" w:firstRowFirstColumn="0" w:firstRowLastColumn="0" w:lastRowFirstColumn="0" w:lastRowLastColumn="0"/>
            <w:tcW w:w="8940" w:type="dxa"/>
            <w:gridSpan w:val="2"/>
            <w:tcBorders>
              <w:top w:val="single" w:sz="4" w:space="0" w:color="auto"/>
              <w:left w:val="single" w:sz="4" w:space="0" w:color="auto"/>
              <w:bottom w:val="single" w:sz="4" w:space="0" w:color="auto"/>
              <w:right w:val="single" w:sz="4" w:space="0" w:color="auto"/>
            </w:tcBorders>
            <w:shd w:val="clear" w:color="auto" w:fill="D9D9D9"/>
          </w:tcPr>
          <w:p w14:paraId="02E4CDF1" w14:textId="77777777" w:rsidR="00491EC4" w:rsidRPr="00491EC4" w:rsidRDefault="00491EC4" w:rsidP="00491EC4">
            <w:pPr>
              <w:keepNext/>
              <w:keepLines/>
              <w:widowControl w:val="0"/>
              <w:spacing w:before="20" w:after="20" w:line="216" w:lineRule="auto"/>
              <w:rPr>
                <w:rFonts w:cs="Calibri"/>
                <w:sz w:val="20"/>
                <w:szCs w:val="20"/>
              </w:rPr>
            </w:pPr>
            <w:r w:rsidRPr="00491EC4">
              <w:rPr>
                <w:rFonts w:cs="Calibri"/>
                <w:sz w:val="20"/>
                <w:szCs w:val="20"/>
              </w:rPr>
              <w:t xml:space="preserve">Workstream 4: Procurement technology </w:t>
            </w:r>
            <w:r w:rsidRPr="00491EC4">
              <w:rPr>
                <w:rFonts w:cs="Calibri"/>
                <w:sz w:val="20"/>
                <w:szCs w:val="20"/>
              </w:rPr>
              <w:br/>
            </w:r>
            <w:r w:rsidRPr="00491EC4">
              <w:rPr>
                <w:rFonts w:cs="Calibri"/>
                <w:b w:val="0"/>
                <w:sz w:val="20"/>
                <w:szCs w:val="20"/>
              </w:rPr>
              <w:t>Previously Strategic Priority 3: Engage with suppliers and the market to improve doing business with the Victorian public sector</w:t>
            </w:r>
          </w:p>
        </w:tc>
      </w:tr>
      <w:tr w:rsidR="00491EC4" w:rsidRPr="00491EC4" w14:paraId="666999F5" w14:textId="77777777" w:rsidTr="008153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35" w:type="dxa"/>
            <w:tcBorders>
              <w:top w:val="single" w:sz="4" w:space="0" w:color="auto"/>
            </w:tcBorders>
          </w:tcPr>
          <w:p w14:paraId="5DB12D05" w14:textId="2CD68549" w:rsidR="00491EC4" w:rsidRPr="00491EC4" w:rsidRDefault="00491EC4" w:rsidP="00491EC4">
            <w:pPr>
              <w:keepNext/>
              <w:keepLines/>
              <w:widowControl w:val="0"/>
              <w:spacing w:before="20" w:after="20" w:line="216" w:lineRule="auto"/>
              <w:rPr>
                <w:rFonts w:cs="Calibri"/>
                <w:b w:val="0"/>
                <w:sz w:val="20"/>
                <w:szCs w:val="20"/>
              </w:rPr>
            </w:pPr>
            <w:r w:rsidRPr="00491EC4">
              <w:rPr>
                <w:rFonts w:cs="Calibri"/>
                <w:b w:val="0"/>
                <w:sz w:val="20"/>
                <w:szCs w:val="20"/>
              </w:rPr>
              <w:t>Develop a Victorian Government e</w:t>
            </w:r>
            <w:r w:rsidR="00B33C59">
              <w:rPr>
                <w:rFonts w:cs="Calibri"/>
                <w:b w:val="0"/>
                <w:sz w:val="20"/>
                <w:szCs w:val="20"/>
              </w:rPr>
              <w:t>-p</w:t>
            </w:r>
            <w:r w:rsidRPr="00491EC4">
              <w:rPr>
                <w:rFonts w:cs="Calibri"/>
                <w:b w:val="0"/>
                <w:sz w:val="20"/>
                <w:szCs w:val="20"/>
              </w:rPr>
              <w:t>rocurement strategy to increase efficiency, streamline process and boost procurement capacity across the public service</w:t>
            </w:r>
          </w:p>
        </w:tc>
        <w:tc>
          <w:tcPr>
            <w:tcW w:w="1705" w:type="dxa"/>
            <w:tcBorders>
              <w:top w:val="single" w:sz="4" w:space="0" w:color="auto"/>
            </w:tcBorders>
          </w:tcPr>
          <w:p w14:paraId="7118FB32" w14:textId="77777777" w:rsidR="00491EC4" w:rsidRPr="00491EC4" w:rsidRDefault="00491EC4" w:rsidP="00491EC4">
            <w:pPr>
              <w:keepNext/>
              <w:keepLines/>
              <w:widowControl w:val="0"/>
              <w:spacing w:before="20" w:after="20" w:line="216" w:lineRule="auto"/>
              <w:cnfStyle w:val="000000100000" w:firstRow="0" w:lastRow="0" w:firstColumn="0" w:lastColumn="0" w:oddVBand="0" w:evenVBand="0" w:oddHBand="1" w:evenHBand="0" w:firstRowFirstColumn="0" w:firstRowLastColumn="0" w:lastRowFirstColumn="0" w:lastRowLastColumn="0"/>
              <w:rPr>
                <w:rFonts w:cs="Calibri"/>
                <w:bCs/>
                <w:sz w:val="20"/>
                <w:szCs w:val="20"/>
              </w:rPr>
            </w:pPr>
            <w:r w:rsidRPr="00491EC4">
              <w:rPr>
                <w:rFonts w:cs="Calibri"/>
                <w:bCs/>
                <w:sz w:val="20"/>
                <w:szCs w:val="20"/>
              </w:rPr>
              <w:t>In progress</w:t>
            </w:r>
          </w:p>
        </w:tc>
      </w:tr>
      <w:tr w:rsidR="00491EC4" w:rsidRPr="00491EC4" w14:paraId="5BF3EA11" w14:textId="77777777" w:rsidTr="008153D5">
        <w:tc>
          <w:tcPr>
            <w:cnfStyle w:val="001000000000" w:firstRow="0" w:lastRow="0" w:firstColumn="1" w:lastColumn="0" w:oddVBand="0" w:evenVBand="0" w:oddHBand="0" w:evenHBand="0" w:firstRowFirstColumn="0" w:firstRowLastColumn="0" w:lastRowFirstColumn="0" w:lastRowLastColumn="0"/>
            <w:tcW w:w="7235" w:type="dxa"/>
          </w:tcPr>
          <w:p w14:paraId="7C444250" w14:textId="77777777" w:rsidR="00491EC4" w:rsidRPr="00491EC4" w:rsidRDefault="00491EC4" w:rsidP="00491EC4">
            <w:pPr>
              <w:keepNext/>
              <w:keepLines/>
              <w:widowControl w:val="0"/>
              <w:spacing w:before="20" w:after="20" w:line="216" w:lineRule="auto"/>
              <w:rPr>
                <w:rFonts w:cs="Calibri"/>
                <w:b w:val="0"/>
                <w:sz w:val="20"/>
                <w:szCs w:val="20"/>
              </w:rPr>
            </w:pPr>
            <w:r w:rsidRPr="00491EC4">
              <w:rPr>
                <w:rFonts w:cs="Calibri"/>
                <w:b w:val="0"/>
                <w:sz w:val="20"/>
                <w:szCs w:val="20"/>
              </w:rPr>
              <w:t>Work with the Department of Premier and Cabinet to deliver an interface for supplier registration to be streamlined through one portal and create an integrated supplier and buyer website</w:t>
            </w:r>
          </w:p>
        </w:tc>
        <w:tc>
          <w:tcPr>
            <w:tcW w:w="1705" w:type="dxa"/>
          </w:tcPr>
          <w:p w14:paraId="61B0EFFF" w14:textId="77777777" w:rsidR="00491EC4" w:rsidRPr="00491EC4" w:rsidRDefault="00491EC4" w:rsidP="00491EC4">
            <w:pPr>
              <w:keepNext/>
              <w:keepLines/>
              <w:widowControl w:val="0"/>
              <w:spacing w:before="20" w:after="20" w:line="216" w:lineRule="auto"/>
              <w:cnfStyle w:val="000000000000" w:firstRow="0" w:lastRow="0" w:firstColumn="0" w:lastColumn="0" w:oddVBand="0" w:evenVBand="0" w:oddHBand="0" w:evenHBand="0" w:firstRowFirstColumn="0" w:firstRowLastColumn="0" w:lastRowFirstColumn="0" w:lastRowLastColumn="0"/>
              <w:rPr>
                <w:rFonts w:cs="Calibri"/>
                <w:bCs/>
                <w:sz w:val="20"/>
                <w:szCs w:val="20"/>
              </w:rPr>
            </w:pPr>
            <w:r w:rsidRPr="00491EC4">
              <w:rPr>
                <w:rFonts w:cs="Calibri"/>
                <w:bCs/>
                <w:sz w:val="20"/>
                <w:szCs w:val="20"/>
              </w:rPr>
              <w:t>In progress</w:t>
            </w:r>
          </w:p>
        </w:tc>
      </w:tr>
      <w:tr w:rsidR="00491EC4" w:rsidRPr="00491EC4" w14:paraId="134624B8" w14:textId="77777777" w:rsidTr="00491E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40" w:type="dxa"/>
            <w:gridSpan w:val="2"/>
            <w:tcBorders>
              <w:top w:val="single" w:sz="4" w:space="0" w:color="auto"/>
              <w:left w:val="single" w:sz="4" w:space="0" w:color="auto"/>
              <w:bottom w:val="single" w:sz="4" w:space="0" w:color="auto"/>
              <w:right w:val="single" w:sz="4" w:space="0" w:color="auto"/>
            </w:tcBorders>
            <w:shd w:val="clear" w:color="auto" w:fill="D9D9D9"/>
          </w:tcPr>
          <w:p w14:paraId="368123C6" w14:textId="77777777" w:rsidR="00491EC4" w:rsidRPr="00491EC4" w:rsidRDefault="00491EC4" w:rsidP="00491EC4">
            <w:pPr>
              <w:keepNext/>
              <w:keepLines/>
              <w:widowControl w:val="0"/>
              <w:spacing w:before="20" w:after="20" w:line="216" w:lineRule="auto"/>
              <w:rPr>
                <w:rFonts w:cs="Calibri"/>
                <w:sz w:val="20"/>
                <w:szCs w:val="20"/>
              </w:rPr>
            </w:pPr>
            <w:r w:rsidRPr="00491EC4">
              <w:rPr>
                <w:rFonts w:cs="Calibri"/>
                <w:sz w:val="20"/>
                <w:szCs w:val="20"/>
              </w:rPr>
              <w:t>Workstream 5: Capability and streamlining processes, practices and leading change management</w:t>
            </w:r>
            <w:r w:rsidRPr="00491EC4">
              <w:rPr>
                <w:rFonts w:cs="Calibri"/>
                <w:sz w:val="20"/>
                <w:szCs w:val="20"/>
              </w:rPr>
              <w:br/>
            </w:r>
            <w:r w:rsidRPr="00491EC4">
              <w:rPr>
                <w:rFonts w:cs="Calibri"/>
                <w:b w:val="0"/>
                <w:sz w:val="20"/>
                <w:szCs w:val="20"/>
              </w:rPr>
              <w:t>Previously Strategic Priority 2: Develop and implement a procurement capability strategy across people, processes and systems</w:t>
            </w:r>
          </w:p>
        </w:tc>
      </w:tr>
      <w:tr w:rsidR="00491EC4" w:rsidRPr="00491EC4" w14:paraId="586315E7" w14:textId="77777777" w:rsidTr="008153D5">
        <w:tc>
          <w:tcPr>
            <w:cnfStyle w:val="001000000000" w:firstRow="0" w:lastRow="0" w:firstColumn="1" w:lastColumn="0" w:oddVBand="0" w:evenVBand="0" w:oddHBand="0" w:evenHBand="0" w:firstRowFirstColumn="0" w:firstRowLastColumn="0" w:lastRowFirstColumn="0" w:lastRowLastColumn="0"/>
            <w:tcW w:w="7235" w:type="dxa"/>
          </w:tcPr>
          <w:p w14:paraId="42912115" w14:textId="6C97C57E" w:rsidR="00491EC4" w:rsidRPr="00491EC4" w:rsidRDefault="00491EC4" w:rsidP="00491EC4">
            <w:pPr>
              <w:keepNext/>
              <w:keepLines/>
              <w:widowControl w:val="0"/>
              <w:spacing w:before="20" w:after="20" w:line="216" w:lineRule="auto"/>
              <w:rPr>
                <w:rFonts w:cs="Calibri"/>
                <w:b w:val="0"/>
                <w:sz w:val="20"/>
                <w:szCs w:val="20"/>
              </w:rPr>
            </w:pPr>
            <w:r w:rsidRPr="00491EC4">
              <w:rPr>
                <w:rFonts w:cs="Calibri"/>
                <w:b w:val="0"/>
                <w:sz w:val="20"/>
                <w:szCs w:val="20"/>
              </w:rPr>
              <w:t xml:space="preserve">Hold three procurement </w:t>
            </w:r>
            <w:r w:rsidR="008C05CD">
              <w:rPr>
                <w:rFonts w:cs="Calibri"/>
                <w:b w:val="0"/>
                <w:sz w:val="20"/>
                <w:szCs w:val="20"/>
              </w:rPr>
              <w:t>community of practice</w:t>
            </w:r>
            <w:r w:rsidR="008C05CD" w:rsidRPr="00491EC4">
              <w:rPr>
                <w:rFonts w:cs="Calibri"/>
                <w:b w:val="0"/>
                <w:sz w:val="20"/>
                <w:szCs w:val="20"/>
              </w:rPr>
              <w:t xml:space="preserve"> </w:t>
            </w:r>
            <w:r w:rsidRPr="00491EC4">
              <w:rPr>
                <w:rFonts w:cs="Calibri"/>
                <w:b w:val="0"/>
                <w:sz w:val="20"/>
                <w:szCs w:val="20"/>
              </w:rPr>
              <w:t>forums each year for public sector buyers to share procurement knowledge and skills</w:t>
            </w:r>
          </w:p>
        </w:tc>
        <w:tc>
          <w:tcPr>
            <w:tcW w:w="1705" w:type="dxa"/>
          </w:tcPr>
          <w:p w14:paraId="54AEFE6A" w14:textId="77777777" w:rsidR="00491EC4" w:rsidRPr="00491EC4" w:rsidRDefault="00491EC4" w:rsidP="00491EC4">
            <w:pPr>
              <w:keepNext/>
              <w:keepLines/>
              <w:widowControl w:val="0"/>
              <w:spacing w:before="20" w:after="20" w:line="216" w:lineRule="auto"/>
              <w:cnfStyle w:val="000000000000" w:firstRow="0" w:lastRow="0" w:firstColumn="0" w:lastColumn="0" w:oddVBand="0" w:evenVBand="0" w:oddHBand="0" w:evenHBand="0" w:firstRowFirstColumn="0" w:firstRowLastColumn="0" w:lastRowFirstColumn="0" w:lastRowLastColumn="0"/>
              <w:rPr>
                <w:rFonts w:cs="Calibri"/>
                <w:bCs/>
                <w:sz w:val="20"/>
                <w:szCs w:val="20"/>
              </w:rPr>
            </w:pPr>
            <w:r w:rsidRPr="00491EC4">
              <w:rPr>
                <w:rFonts w:cs="Calibri"/>
                <w:bCs/>
                <w:sz w:val="20"/>
                <w:szCs w:val="20"/>
              </w:rPr>
              <w:t>Complete</w:t>
            </w:r>
          </w:p>
        </w:tc>
      </w:tr>
      <w:tr w:rsidR="001173EC" w:rsidRPr="00491EC4" w14:paraId="53C727F1" w14:textId="77777777" w:rsidTr="008819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35" w:type="dxa"/>
          </w:tcPr>
          <w:p w14:paraId="5E02F456" w14:textId="77777777" w:rsidR="001173EC" w:rsidRPr="00491EC4" w:rsidRDefault="001173EC" w:rsidP="0088192C">
            <w:pPr>
              <w:keepNext/>
              <w:keepLines/>
              <w:widowControl w:val="0"/>
              <w:spacing w:before="20" w:after="20" w:line="216" w:lineRule="auto"/>
              <w:rPr>
                <w:rFonts w:cs="Calibri"/>
                <w:b w:val="0"/>
                <w:sz w:val="20"/>
                <w:szCs w:val="20"/>
              </w:rPr>
            </w:pPr>
            <w:r w:rsidRPr="00491EC4">
              <w:rPr>
                <w:rFonts w:cs="Calibri"/>
                <w:b w:val="0"/>
                <w:sz w:val="20"/>
                <w:szCs w:val="20"/>
              </w:rPr>
              <w:t>Identify common and significant capability gaps across the Victorian Government and prioritise opportunities to strengthen buyer capability</w:t>
            </w:r>
          </w:p>
        </w:tc>
        <w:tc>
          <w:tcPr>
            <w:tcW w:w="1705" w:type="dxa"/>
          </w:tcPr>
          <w:p w14:paraId="32647AC8" w14:textId="77777777" w:rsidR="001173EC" w:rsidRPr="00491EC4" w:rsidRDefault="001173EC" w:rsidP="0088192C">
            <w:pPr>
              <w:keepNext/>
              <w:keepLines/>
              <w:widowControl w:val="0"/>
              <w:spacing w:before="20" w:after="20" w:line="216" w:lineRule="auto"/>
              <w:cnfStyle w:val="000000100000" w:firstRow="0" w:lastRow="0" w:firstColumn="0" w:lastColumn="0" w:oddVBand="0" w:evenVBand="0" w:oddHBand="1" w:evenHBand="0" w:firstRowFirstColumn="0" w:firstRowLastColumn="0" w:lastRowFirstColumn="0" w:lastRowLastColumn="0"/>
              <w:rPr>
                <w:rFonts w:cs="Calibri"/>
                <w:bCs/>
                <w:sz w:val="20"/>
                <w:szCs w:val="20"/>
              </w:rPr>
            </w:pPr>
            <w:r w:rsidRPr="00491EC4">
              <w:rPr>
                <w:rFonts w:cs="Calibri"/>
                <w:bCs/>
                <w:sz w:val="20"/>
                <w:szCs w:val="20"/>
              </w:rPr>
              <w:t>Complete</w:t>
            </w:r>
          </w:p>
        </w:tc>
      </w:tr>
      <w:tr w:rsidR="001173EC" w:rsidRPr="00491EC4" w14:paraId="2A790B9E" w14:textId="77777777" w:rsidTr="0088192C">
        <w:tc>
          <w:tcPr>
            <w:cnfStyle w:val="001000000000" w:firstRow="0" w:lastRow="0" w:firstColumn="1" w:lastColumn="0" w:oddVBand="0" w:evenVBand="0" w:oddHBand="0" w:evenHBand="0" w:firstRowFirstColumn="0" w:firstRowLastColumn="0" w:lastRowFirstColumn="0" w:lastRowLastColumn="0"/>
            <w:tcW w:w="7235" w:type="dxa"/>
            <w:tcBorders>
              <w:top w:val="single" w:sz="4" w:space="0" w:color="auto"/>
            </w:tcBorders>
          </w:tcPr>
          <w:p w14:paraId="57D44A3F" w14:textId="77777777" w:rsidR="001173EC" w:rsidRPr="00491EC4" w:rsidRDefault="001173EC" w:rsidP="0088192C">
            <w:pPr>
              <w:keepNext/>
              <w:keepLines/>
              <w:widowControl w:val="0"/>
              <w:spacing w:before="20" w:after="20" w:line="216" w:lineRule="auto"/>
              <w:rPr>
                <w:rFonts w:cs="Calibri"/>
                <w:b w:val="0"/>
                <w:sz w:val="20"/>
                <w:szCs w:val="20"/>
              </w:rPr>
            </w:pPr>
            <w:r w:rsidRPr="00491EC4">
              <w:rPr>
                <w:rFonts w:cs="Calibri"/>
                <w:b w:val="0"/>
                <w:sz w:val="20"/>
                <w:szCs w:val="20"/>
              </w:rPr>
              <w:t>Revise the Victorian Government capability strategy to incorporate the VGPB’s new strategic direction</w:t>
            </w:r>
          </w:p>
        </w:tc>
        <w:tc>
          <w:tcPr>
            <w:tcW w:w="1705" w:type="dxa"/>
            <w:tcBorders>
              <w:top w:val="single" w:sz="4" w:space="0" w:color="auto"/>
            </w:tcBorders>
          </w:tcPr>
          <w:p w14:paraId="06314036" w14:textId="77777777" w:rsidR="001173EC" w:rsidRPr="00491EC4" w:rsidRDefault="001173EC" w:rsidP="0088192C">
            <w:pPr>
              <w:keepNext/>
              <w:keepLines/>
              <w:widowControl w:val="0"/>
              <w:spacing w:before="20" w:after="20" w:line="216" w:lineRule="auto"/>
              <w:cnfStyle w:val="000000000000" w:firstRow="0" w:lastRow="0" w:firstColumn="0" w:lastColumn="0" w:oddVBand="0" w:evenVBand="0" w:oddHBand="0" w:evenHBand="0" w:firstRowFirstColumn="0" w:firstRowLastColumn="0" w:lastRowFirstColumn="0" w:lastRowLastColumn="0"/>
              <w:rPr>
                <w:rFonts w:cs="Calibri"/>
                <w:bCs/>
                <w:sz w:val="20"/>
                <w:szCs w:val="20"/>
              </w:rPr>
            </w:pPr>
            <w:r w:rsidRPr="00491EC4">
              <w:rPr>
                <w:rFonts w:cs="Calibri"/>
                <w:bCs/>
                <w:sz w:val="20"/>
                <w:szCs w:val="20"/>
              </w:rPr>
              <w:t>In progress</w:t>
            </w:r>
          </w:p>
        </w:tc>
      </w:tr>
    </w:tbl>
    <w:p w14:paraId="6C4C203F" w14:textId="77777777" w:rsidR="00491EC4" w:rsidRPr="00491EC4" w:rsidRDefault="00491EC4" w:rsidP="005B2E7F">
      <w:pPr>
        <w:pStyle w:val="Tablenotes"/>
        <w:ind w:left="709" w:firstLine="0"/>
      </w:pPr>
      <w:r w:rsidRPr="00491EC4">
        <w:t>Note:</w:t>
      </w:r>
      <w:r w:rsidRPr="00491EC4">
        <w:rPr>
          <w:i/>
        </w:rPr>
        <w:t xml:space="preserve"> </w:t>
      </w:r>
      <w:r w:rsidRPr="00491EC4">
        <w:t>Strategic Priority 5 (measure the benefits of the VGPB’s procurement framework) refers to results from the VGPB’s rolling audit program and performance measures, which are reported later in this report. It is not covered under the five new workstreams.</w:t>
      </w:r>
    </w:p>
    <w:p w14:paraId="64618969" w14:textId="3F7E0F37" w:rsidR="003A4EBE" w:rsidRDefault="003A4EBE" w:rsidP="003A4EBE">
      <w:pPr>
        <w:rPr>
          <w:lang w:eastAsia="en-US"/>
        </w:rPr>
      </w:pPr>
    </w:p>
    <w:p w14:paraId="621A9469" w14:textId="77777777" w:rsidR="00491EC4" w:rsidRPr="003A4EBE" w:rsidRDefault="00491EC4" w:rsidP="003A4EBE">
      <w:pPr>
        <w:rPr>
          <w:lang w:eastAsia="en-US"/>
        </w:rPr>
      </w:pPr>
    </w:p>
    <w:bookmarkEnd w:id="10"/>
    <w:p w14:paraId="35D7E032" w14:textId="77777777" w:rsidR="00491EC4" w:rsidRPr="00D5100C" w:rsidRDefault="00491EC4" w:rsidP="00491EC4">
      <w:pPr>
        <w:pStyle w:val="Heading3NoNum"/>
      </w:pPr>
      <w:r w:rsidRPr="00D5100C">
        <w:lastRenderedPageBreak/>
        <w:t xml:space="preserve">Workstream 1: </w:t>
      </w:r>
      <w:r w:rsidRPr="0089278C">
        <w:t>Victoria’s Social Procurement Framework</w:t>
      </w:r>
      <w:r w:rsidRPr="00D5100C">
        <w:t xml:space="preserve"> and reporting</w:t>
      </w:r>
    </w:p>
    <w:p w14:paraId="35C0B442" w14:textId="1812CDA3" w:rsidR="00491EC4" w:rsidRDefault="00491EC4" w:rsidP="004C18E5">
      <w:pPr>
        <w:pStyle w:val="Normal1"/>
      </w:pPr>
      <w:r>
        <w:t xml:space="preserve">The Minister for Finance and </w:t>
      </w:r>
      <w:r w:rsidR="0084604C">
        <w:t xml:space="preserve">the </w:t>
      </w:r>
      <w:r>
        <w:t xml:space="preserve">Minister for Industry and Employment launched Victoria’s Social Procurement Framework </w:t>
      </w:r>
      <w:r w:rsidR="00FE5E5D">
        <w:t>(the framework)</w:t>
      </w:r>
      <w:r>
        <w:t xml:space="preserve"> on 26 April 2018.</w:t>
      </w:r>
    </w:p>
    <w:p w14:paraId="3CD01680" w14:textId="460D9E43" w:rsidR="00491EC4" w:rsidRDefault="00491EC4" w:rsidP="004C18E5">
      <w:pPr>
        <w:pStyle w:val="Normal1"/>
        <w:rPr>
          <w:b/>
        </w:rPr>
      </w:pPr>
      <w:r w:rsidRPr="00C538A2">
        <w:t xml:space="preserve">The </w:t>
      </w:r>
      <w:r w:rsidR="00FE5E5D">
        <w:t>framework</w:t>
      </w:r>
      <w:r w:rsidRPr="00C538A2">
        <w:t xml:space="preserve"> applies to procurement of goods, services and construction from 1</w:t>
      </w:r>
      <w:r w:rsidR="00C538A2">
        <w:t> </w:t>
      </w:r>
      <w:r w:rsidRPr="00C538A2">
        <w:t>September 2018 across entities subject to the</w:t>
      </w:r>
      <w:r>
        <w:rPr>
          <w:b/>
        </w:rPr>
        <w:t xml:space="preserve"> </w:t>
      </w:r>
      <w:hyperlink r:id="rId18" w:history="1">
        <w:r w:rsidRPr="00491EC4">
          <w:rPr>
            <w:rStyle w:val="NormalChar"/>
          </w:rPr>
          <w:t>Standing Directions of the Minister for Finance 2016</w:t>
        </w:r>
      </w:hyperlink>
      <w:r w:rsidRPr="00491EC4">
        <w:rPr>
          <w:rStyle w:val="NormalChar"/>
        </w:rPr>
        <w:t>.</w:t>
      </w:r>
    </w:p>
    <w:p w14:paraId="15FC1421" w14:textId="119E9C4A" w:rsidR="00491EC4" w:rsidRDefault="00FE5E5D" w:rsidP="00491EC4">
      <w:pPr>
        <w:pStyle w:val="Normal1"/>
        <w:rPr>
          <w:lang w:eastAsia="en-US"/>
        </w:rPr>
      </w:pPr>
      <w:r>
        <w:t>It</w:t>
      </w:r>
      <w:r w:rsidR="00491EC4" w:rsidRPr="00835796">
        <w:t xml:space="preserve"> </w:t>
      </w:r>
      <w:r w:rsidR="006211B5">
        <w:t>encourages and supports</w:t>
      </w:r>
      <w:r w:rsidR="006211B5" w:rsidRPr="00C54EDD">
        <w:t xml:space="preserve"> </w:t>
      </w:r>
      <w:r w:rsidR="00491EC4" w:rsidRPr="00C54EDD">
        <w:t xml:space="preserve">organisations </w:t>
      </w:r>
      <w:r w:rsidR="00491EC4">
        <w:t xml:space="preserve">to </w:t>
      </w:r>
      <w:r w:rsidR="00491EC4" w:rsidRPr="00C54EDD">
        <w:t xml:space="preserve">use their buying power to generate social </w:t>
      </w:r>
      <w:r w:rsidR="00491EC4">
        <w:t>benefits</w:t>
      </w:r>
      <w:r w:rsidR="00491EC4" w:rsidRPr="00C54EDD">
        <w:t xml:space="preserve"> above and beyond the value of the goods, services or construction being procured</w:t>
      </w:r>
      <w:r w:rsidR="00491EC4">
        <w:rPr>
          <w:lang w:eastAsia="en-US"/>
        </w:rPr>
        <w:t>.</w:t>
      </w:r>
    </w:p>
    <w:p w14:paraId="029CF17C" w14:textId="64112057" w:rsidR="00491EC4" w:rsidRDefault="00491EC4" w:rsidP="00491EC4">
      <w:pPr>
        <w:pStyle w:val="Normal1"/>
        <w:rPr>
          <w:rFonts w:eastAsiaTheme="minorHAnsi"/>
        </w:rPr>
      </w:pPr>
      <w:r>
        <w:rPr>
          <w:rFonts w:eastAsiaTheme="minorHAnsi"/>
          <w:lang w:eastAsia="en-US"/>
        </w:rPr>
        <w:t>Our procurement framework prioritises achieving value for money, but this does</w:t>
      </w:r>
      <w:r w:rsidR="003D5654">
        <w:rPr>
          <w:rFonts w:eastAsiaTheme="minorHAnsi"/>
          <w:lang w:eastAsia="en-US"/>
        </w:rPr>
        <w:t xml:space="preserve"> not</w:t>
      </w:r>
      <w:r>
        <w:rPr>
          <w:rFonts w:eastAsiaTheme="minorHAnsi"/>
          <w:lang w:eastAsia="en-US"/>
        </w:rPr>
        <w:t xml:space="preserve"> necessarily mean buying the cheap</w:t>
      </w:r>
      <w:r w:rsidRPr="0059469C">
        <w:rPr>
          <w:rFonts w:eastAsiaTheme="minorHAnsi"/>
        </w:rPr>
        <w:t>est option available.</w:t>
      </w:r>
    </w:p>
    <w:p w14:paraId="59E8DE10" w14:textId="00129AFA" w:rsidR="00491EC4" w:rsidRDefault="00115057" w:rsidP="00491EC4">
      <w:pPr>
        <w:pStyle w:val="Normal1"/>
        <w:rPr>
          <w:rFonts w:eastAsiaTheme="minorHAnsi"/>
          <w:lang w:eastAsia="en-US"/>
        </w:rPr>
      </w:pPr>
      <w:r>
        <w:rPr>
          <w:noProof/>
          <w:lang w:val="en-US" w:eastAsia="en-US"/>
        </w:rPr>
        <mc:AlternateContent>
          <mc:Choice Requires="wps">
            <w:drawing>
              <wp:anchor distT="0" distB="0" distL="114300" distR="114300" simplePos="0" relativeHeight="251657216" behindDoc="0" locked="0" layoutInCell="1" allowOverlap="1" wp14:anchorId="1B4503F7" wp14:editId="5204E006">
                <wp:simplePos x="0" y="0"/>
                <wp:positionH relativeFrom="column">
                  <wp:posOffset>3899535</wp:posOffset>
                </wp:positionH>
                <wp:positionV relativeFrom="paragraph">
                  <wp:posOffset>13970</wp:posOffset>
                </wp:positionV>
                <wp:extent cx="2009775" cy="1847850"/>
                <wp:effectExtent l="0" t="0" r="28575" b="19050"/>
                <wp:wrapSquare wrapText="bothSides"/>
                <wp:docPr id="17" name="Text Box 17"/>
                <wp:cNvGraphicFramePr/>
                <a:graphic xmlns:a="http://schemas.openxmlformats.org/drawingml/2006/main">
                  <a:graphicData uri="http://schemas.microsoft.com/office/word/2010/wordprocessingShape">
                    <wps:wsp>
                      <wps:cNvSpPr txBox="1"/>
                      <wps:spPr>
                        <a:xfrm>
                          <a:off x="0" y="0"/>
                          <a:ext cx="2009775" cy="1847850"/>
                        </a:xfrm>
                        <a:prstGeom prst="rect">
                          <a:avLst/>
                        </a:prstGeom>
                        <a:noFill/>
                        <a:ln w="6350">
                          <a:solidFill>
                            <a:prstClr val="black"/>
                          </a:solidFill>
                        </a:ln>
                      </wps:spPr>
                      <wps:txbx>
                        <w:txbxContent>
                          <w:p w14:paraId="44667A94" w14:textId="77777777" w:rsidR="001206E5" w:rsidRPr="00E13115" w:rsidRDefault="001206E5" w:rsidP="00115057">
                            <w:pPr>
                              <w:pStyle w:val="textbox"/>
                              <w:rPr>
                                <w:rFonts w:eastAsiaTheme="minorHAnsi"/>
                              </w:rPr>
                            </w:pPr>
                            <w:r w:rsidRPr="00E13115">
                              <w:rPr>
                                <w:rFonts w:eastAsiaTheme="minorHAnsi"/>
                              </w:rPr>
                              <w:t>Value for money takes into account:</w:t>
                            </w:r>
                          </w:p>
                          <w:p w14:paraId="2A796838" w14:textId="77777777" w:rsidR="001206E5" w:rsidRPr="00E13115" w:rsidRDefault="001206E5" w:rsidP="00115057">
                            <w:pPr>
                              <w:pStyle w:val="textbox"/>
                              <w:numPr>
                                <w:ilvl w:val="0"/>
                                <w:numId w:val="44"/>
                              </w:numPr>
                              <w:ind w:left="284" w:hanging="284"/>
                              <w:rPr>
                                <w:rFonts w:eastAsiaTheme="minorHAnsi"/>
                              </w:rPr>
                            </w:pPr>
                            <w:r w:rsidRPr="00E13115">
                              <w:rPr>
                                <w:rFonts w:eastAsiaTheme="minorHAnsi"/>
                              </w:rPr>
                              <w:t xml:space="preserve">the total benefits and costs over the life of the goods, services or works procured; </w:t>
                            </w:r>
                          </w:p>
                          <w:p w14:paraId="0E9FE7C4" w14:textId="77777777" w:rsidR="001206E5" w:rsidRPr="00E13115" w:rsidRDefault="001206E5" w:rsidP="00115057">
                            <w:pPr>
                              <w:pStyle w:val="textbox"/>
                              <w:numPr>
                                <w:ilvl w:val="0"/>
                                <w:numId w:val="44"/>
                              </w:numPr>
                              <w:ind w:left="284" w:hanging="284"/>
                              <w:rPr>
                                <w:rFonts w:eastAsiaTheme="minorHAnsi"/>
                              </w:rPr>
                            </w:pPr>
                            <w:r w:rsidRPr="00E13115">
                              <w:rPr>
                                <w:rFonts w:eastAsiaTheme="minorHAnsi"/>
                              </w:rPr>
                              <w:t>environmental, social and economic factors; and</w:t>
                            </w:r>
                          </w:p>
                          <w:p w14:paraId="278AFF41" w14:textId="77777777" w:rsidR="001206E5" w:rsidRPr="00E13115" w:rsidRDefault="001206E5" w:rsidP="00115057">
                            <w:pPr>
                              <w:pStyle w:val="textbox"/>
                              <w:numPr>
                                <w:ilvl w:val="0"/>
                                <w:numId w:val="44"/>
                              </w:numPr>
                              <w:ind w:left="284" w:hanging="284"/>
                              <w:rPr>
                                <w:rFonts w:eastAsiaTheme="minorHAnsi"/>
                              </w:rPr>
                            </w:pPr>
                            <w:r w:rsidRPr="00E13115">
                              <w:rPr>
                                <w:rFonts w:eastAsiaTheme="minorHAnsi"/>
                              </w:rPr>
                              <w:t>any risk related to the procurement.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4503F7" id="Text Box 17" o:spid="_x0000_s1035" type="#_x0000_t202" style="position:absolute;left:0;text-align:left;margin-left:307.05pt;margin-top:1.1pt;width:158.25pt;height:14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" filled="f" strokeweight=".5pt">
                <v:textbox>
                  <w:txbxContent>
                    <w:p w14:paraId="44667A94" w14:textId="77777777" w:rsidR="001206E5" w:rsidRPr="00E13115" w:rsidRDefault="001206E5" w:rsidP="00115057">
                      <w:pPr>
                        <w:pStyle w:val="textbox"/>
                        <w:rPr>
                          <w:rFonts w:eastAsiaTheme="minorHAnsi"/>
                        </w:rPr>
                      </w:pPr>
                      <w:r w:rsidRPr="00E13115">
                        <w:rPr>
                          <w:rFonts w:eastAsiaTheme="minorHAnsi"/>
                        </w:rPr>
                        <w:t>Value for money takes into account:</w:t>
                      </w:r>
                    </w:p>
                    <w:p w14:paraId="2A796838" w14:textId="77777777" w:rsidR="001206E5" w:rsidRPr="00E13115" w:rsidRDefault="001206E5" w:rsidP="00115057">
                      <w:pPr>
                        <w:pStyle w:val="textbox"/>
                        <w:numPr>
                          <w:ilvl w:val="0"/>
                          <w:numId w:val="44"/>
                        </w:numPr>
                        <w:ind w:left="284" w:hanging="284"/>
                        <w:rPr>
                          <w:rFonts w:eastAsiaTheme="minorHAnsi"/>
                        </w:rPr>
                      </w:pPr>
                      <w:r w:rsidRPr="00E13115">
                        <w:rPr>
                          <w:rFonts w:eastAsiaTheme="minorHAnsi"/>
                        </w:rPr>
                        <w:t xml:space="preserve">the total benefits and costs over the life of the goods, services or works procured; </w:t>
                      </w:r>
                    </w:p>
                    <w:p w14:paraId="0E9FE7C4" w14:textId="77777777" w:rsidR="001206E5" w:rsidRPr="00E13115" w:rsidRDefault="001206E5" w:rsidP="00115057">
                      <w:pPr>
                        <w:pStyle w:val="textbox"/>
                        <w:numPr>
                          <w:ilvl w:val="0"/>
                          <w:numId w:val="44"/>
                        </w:numPr>
                        <w:ind w:left="284" w:hanging="284"/>
                        <w:rPr>
                          <w:rFonts w:eastAsiaTheme="minorHAnsi"/>
                        </w:rPr>
                      </w:pPr>
                      <w:r w:rsidRPr="00E13115">
                        <w:rPr>
                          <w:rFonts w:eastAsiaTheme="minorHAnsi"/>
                        </w:rPr>
                        <w:t>environmental, social and economic factors; and</w:t>
                      </w:r>
                    </w:p>
                    <w:p w14:paraId="278AFF41" w14:textId="77777777" w:rsidR="001206E5" w:rsidRPr="00E13115" w:rsidRDefault="001206E5" w:rsidP="00115057">
                      <w:pPr>
                        <w:pStyle w:val="textbox"/>
                        <w:numPr>
                          <w:ilvl w:val="0"/>
                          <w:numId w:val="44"/>
                        </w:numPr>
                        <w:ind w:left="284" w:hanging="284"/>
                        <w:rPr>
                          <w:rFonts w:eastAsiaTheme="minorHAnsi"/>
                        </w:rPr>
                      </w:pPr>
                      <w:r w:rsidRPr="00E13115">
                        <w:rPr>
                          <w:rFonts w:eastAsiaTheme="minorHAnsi"/>
                        </w:rPr>
                        <w:t>any risk related to the procurement.</w:t>
                      </w:r>
                    </w:p>
                  </w:txbxContent>
                </v:textbox>
                <w10:wrap type="square"/>
              </v:shape>
            </w:pict>
          </mc:Fallback>
        </mc:AlternateContent>
      </w:r>
      <w:r w:rsidR="00491EC4">
        <w:rPr>
          <w:rFonts w:eastAsiaTheme="minorHAnsi"/>
          <w:lang w:eastAsia="en-US"/>
        </w:rPr>
        <w:t xml:space="preserve">The </w:t>
      </w:r>
      <w:r w:rsidR="001173EC">
        <w:rPr>
          <w:rFonts w:eastAsiaTheme="minorHAnsi"/>
          <w:lang w:eastAsia="en-US"/>
        </w:rPr>
        <w:t xml:space="preserve">framework </w:t>
      </w:r>
      <w:r w:rsidR="00491EC4">
        <w:rPr>
          <w:rFonts w:eastAsiaTheme="minorHAnsi"/>
          <w:lang w:eastAsia="en-US"/>
        </w:rPr>
        <w:t xml:space="preserve">recognises that </w:t>
      </w:r>
      <w:r w:rsidR="00491EC4" w:rsidRPr="00E20500">
        <w:rPr>
          <w:lang w:eastAsia="en-US"/>
        </w:rPr>
        <w:t>value-for-money</w:t>
      </w:r>
      <w:r w:rsidR="00491EC4">
        <w:rPr>
          <w:lang w:eastAsia="en-US"/>
        </w:rPr>
        <w:t xml:space="preserve"> </w:t>
      </w:r>
      <w:r w:rsidR="00491EC4" w:rsidRPr="00E20500">
        <w:rPr>
          <w:lang w:eastAsia="en-US"/>
        </w:rPr>
        <w:t>considerations are not solely</w:t>
      </w:r>
      <w:r w:rsidR="00491EC4">
        <w:rPr>
          <w:lang w:eastAsia="en-US"/>
        </w:rPr>
        <w:t xml:space="preserve"> </w:t>
      </w:r>
      <w:r w:rsidR="00491EC4" w:rsidRPr="00E20500">
        <w:rPr>
          <w:lang w:eastAsia="en-US"/>
        </w:rPr>
        <w:t>focused on price</w:t>
      </w:r>
      <w:r w:rsidR="00491EC4">
        <w:rPr>
          <w:lang w:eastAsia="en-US"/>
        </w:rPr>
        <w:t xml:space="preserve">. </w:t>
      </w:r>
      <w:r w:rsidR="001173EC">
        <w:rPr>
          <w:lang w:eastAsia="en-US"/>
        </w:rPr>
        <w:t>It</w:t>
      </w:r>
      <w:r w:rsidR="00491EC4">
        <w:rPr>
          <w:lang w:eastAsia="en-US"/>
        </w:rPr>
        <w:t xml:space="preserve"> clearly defines social and sustainable outcomes as a key value-for-money component and </w:t>
      </w:r>
      <w:r w:rsidR="006211B5">
        <w:rPr>
          <w:lang w:eastAsia="en-US"/>
        </w:rPr>
        <w:t xml:space="preserve">recognises </w:t>
      </w:r>
      <w:r w:rsidR="00491EC4">
        <w:rPr>
          <w:lang w:eastAsia="en-US"/>
        </w:rPr>
        <w:t xml:space="preserve">how these </w:t>
      </w:r>
      <w:r w:rsidR="006211B5">
        <w:rPr>
          <w:lang w:eastAsia="en-US"/>
        </w:rPr>
        <w:t xml:space="preserve">outcomes </w:t>
      </w:r>
      <w:r w:rsidR="00491EC4">
        <w:rPr>
          <w:lang w:eastAsia="en-US"/>
        </w:rPr>
        <w:t>can make a difference to our communities.</w:t>
      </w:r>
    </w:p>
    <w:p w14:paraId="1516FB23" w14:textId="16116206" w:rsidR="00913F59" w:rsidRDefault="00913F59" w:rsidP="006211B5">
      <w:pPr>
        <w:pStyle w:val="Normal1"/>
      </w:pPr>
      <w:r>
        <w:t>T</w:t>
      </w:r>
      <w:r w:rsidRPr="003516FC">
        <w:t xml:space="preserve">he </w:t>
      </w:r>
      <w:r>
        <w:t>framework</w:t>
      </w:r>
      <w:r w:rsidRPr="003516FC">
        <w:t xml:space="preserve"> affect</w:t>
      </w:r>
      <w:r>
        <w:t>s</w:t>
      </w:r>
      <w:r w:rsidRPr="003516FC">
        <w:t xml:space="preserve"> </w:t>
      </w:r>
      <w:r>
        <w:t xml:space="preserve">both </w:t>
      </w:r>
      <w:r w:rsidRPr="003516FC">
        <w:t>buyers and suppliers</w:t>
      </w:r>
      <w:r>
        <w:t xml:space="preserve"> and our current focus is to support both groups to prepare for these changes.</w:t>
      </w:r>
    </w:p>
    <w:p w14:paraId="0C847131" w14:textId="509A3356" w:rsidR="006211B5" w:rsidRPr="003516FC" w:rsidRDefault="006211B5" w:rsidP="006211B5">
      <w:pPr>
        <w:pStyle w:val="Normal1"/>
        <w:rPr>
          <w:b/>
        </w:rPr>
      </w:pPr>
      <w:r>
        <w:t xml:space="preserve">The VGPB is </w:t>
      </w:r>
      <w:r w:rsidRPr="003516FC">
        <w:t>overs</w:t>
      </w:r>
      <w:r>
        <w:t>eeing</w:t>
      </w:r>
      <w:r w:rsidRPr="003516FC">
        <w:t xml:space="preserve"> develop</w:t>
      </w:r>
      <w:r>
        <w:t xml:space="preserve">ment </w:t>
      </w:r>
      <w:r w:rsidR="00913F59">
        <w:t xml:space="preserve">and implementation </w:t>
      </w:r>
      <w:r>
        <w:t>of</w:t>
      </w:r>
      <w:r w:rsidRPr="003516FC">
        <w:t xml:space="preserve"> </w:t>
      </w:r>
      <w:r>
        <w:t xml:space="preserve">the </w:t>
      </w:r>
      <w:r w:rsidR="001173EC">
        <w:t>social procurement framework</w:t>
      </w:r>
      <w:r>
        <w:t xml:space="preserve">. The </w:t>
      </w:r>
      <w:r w:rsidR="00913F59">
        <w:t xml:space="preserve">implementation </w:t>
      </w:r>
      <w:r>
        <w:t>plan is being jointly developed by the</w:t>
      </w:r>
      <w:r w:rsidRPr="003516FC">
        <w:t xml:space="preserve"> Department of Treasury and Finance and the Department of Economic Development, Jobs, Transport and Resources.</w:t>
      </w:r>
    </w:p>
    <w:p w14:paraId="3F6A46A1" w14:textId="70CD6542" w:rsidR="00491EC4" w:rsidRDefault="00491EC4" w:rsidP="004C18E5">
      <w:pPr>
        <w:pStyle w:val="Normal1"/>
      </w:pPr>
      <w:r>
        <w:t xml:space="preserve">Playing to the strengths of each department, </w:t>
      </w:r>
      <w:r w:rsidR="00B60784" w:rsidRPr="003516FC">
        <w:t>Treasury and Finance</w:t>
      </w:r>
      <w:r>
        <w:t xml:space="preserve"> is responsible for</w:t>
      </w:r>
      <w:r w:rsidRPr="00E63C72">
        <w:t xml:space="preserve"> </w:t>
      </w:r>
      <w:r>
        <w:t xml:space="preserve">implementation on the buyer side and </w:t>
      </w:r>
      <w:r w:rsidR="00B60784" w:rsidRPr="003516FC">
        <w:t>the Department of Economic Development, Jobs, Transport and Resources</w:t>
      </w:r>
      <w:r>
        <w:t xml:space="preserve"> is leading industry engagement and supplier integration.</w:t>
      </w:r>
    </w:p>
    <w:p w14:paraId="6B246F98" w14:textId="6AC94390" w:rsidR="00491EC4" w:rsidRPr="00E6624D" w:rsidRDefault="00491EC4" w:rsidP="004C18E5">
      <w:pPr>
        <w:pStyle w:val="Normal1"/>
      </w:pPr>
      <w:r>
        <w:t xml:space="preserve">We have started </w:t>
      </w:r>
      <w:r w:rsidR="00B56883">
        <w:t xml:space="preserve">updating our buyer </w:t>
      </w:r>
      <w:r w:rsidR="00B56883" w:rsidRPr="00E6624D">
        <w:t xml:space="preserve">guidance </w:t>
      </w:r>
      <w:r w:rsidR="00B56883">
        <w:t>material to reflect</w:t>
      </w:r>
      <w:r w:rsidRPr="00E6624D">
        <w:t xml:space="preserve"> </w:t>
      </w:r>
      <w:r>
        <w:t xml:space="preserve">the </w:t>
      </w:r>
      <w:r w:rsidR="001173EC">
        <w:t>framework</w:t>
      </w:r>
      <w:r w:rsidR="00E65F21">
        <w:t>,</w:t>
      </w:r>
      <w:r>
        <w:t xml:space="preserve"> to ensure a seamless transition.</w:t>
      </w:r>
    </w:p>
    <w:p w14:paraId="6FDA03A4" w14:textId="18CD0960" w:rsidR="00491EC4" w:rsidRPr="00876036" w:rsidRDefault="00491EC4" w:rsidP="00E40C72">
      <w:pPr>
        <w:pStyle w:val="Normal1"/>
        <w:rPr>
          <w:b/>
          <w:color w:val="0000FF" w:themeColor="hyperlink"/>
          <w:u w:val="single"/>
        </w:rPr>
      </w:pPr>
      <w:r>
        <w:t xml:space="preserve">Visit </w:t>
      </w:r>
      <w:hyperlink r:id="rId19" w:history="1">
        <w:r w:rsidR="00876036">
          <w:rPr>
            <w:rStyle w:val="Hyperlink"/>
            <w:b/>
          </w:rPr>
          <w:t>buyingfor.vic.gov.au/social-procurement-framework</w:t>
        </w:r>
      </w:hyperlink>
      <w:r w:rsidR="00876036">
        <w:rPr>
          <w:rStyle w:val="Hyperlink"/>
          <w:b/>
        </w:rPr>
        <w:t xml:space="preserve"> </w:t>
      </w:r>
      <w:r w:rsidRPr="00393ADE">
        <w:t>for more information</w:t>
      </w:r>
      <w:r>
        <w:t>.</w:t>
      </w:r>
    </w:p>
    <w:p w14:paraId="024932F6" w14:textId="4FD85DE6" w:rsidR="00115057" w:rsidRPr="00641D93" w:rsidRDefault="00115057" w:rsidP="00115057">
      <w:pPr>
        <w:pStyle w:val="Heading4NoNum"/>
        <w:pBdr>
          <w:top w:val="single" w:sz="4" w:space="1" w:color="auto"/>
        </w:pBdr>
      </w:pPr>
      <w:r w:rsidRPr="00641D93">
        <w:t>Working with The Big Issue for a social return on investment</w:t>
      </w:r>
    </w:p>
    <w:p w14:paraId="7C05506D" w14:textId="30ED8D56" w:rsidR="00115057" w:rsidRPr="00D00C99" w:rsidRDefault="00115057" w:rsidP="00115057">
      <w:pPr>
        <w:pStyle w:val="Normal1"/>
      </w:pPr>
      <w:r w:rsidRPr="00D00C99">
        <w:t>The Department of Justice and Regulation recently needed to distribute a mailout, including packing and posting materials, with about 23</w:t>
      </w:r>
      <w:r>
        <w:t> </w:t>
      </w:r>
      <w:r w:rsidRPr="00D00C99">
        <w:t xml:space="preserve">600 pages to be posted. </w:t>
      </w:r>
      <w:r w:rsidR="006A1895">
        <w:t>The Department</w:t>
      </w:r>
      <w:r w:rsidRPr="00D00C99">
        <w:t xml:space="preserve"> chose to procure this mailout through The Big Issue Women’s Subscription Enterprise, creating job opportunities for 29 women who worked shifts totalling more than 144 hours.</w:t>
      </w:r>
    </w:p>
    <w:p w14:paraId="72EB5BD5" w14:textId="33EA3FA5" w:rsidR="00115057" w:rsidRPr="00D00C99" w:rsidRDefault="00115057" w:rsidP="00115057">
      <w:pPr>
        <w:pStyle w:val="Normal1"/>
      </w:pPr>
      <w:r w:rsidRPr="00D00C99">
        <w:t>More than 46</w:t>
      </w:r>
      <w:r>
        <w:t> </w:t>
      </w:r>
      <w:r w:rsidRPr="00D00C99">
        <w:t>000 Australian women are homeless every night without safe or secure housing. The largest single cause of homelessness in Australia is domestic violence</w:t>
      </w:r>
      <w:r>
        <w:t>,</w:t>
      </w:r>
      <w:r w:rsidRPr="00D00C99">
        <w:t xml:space="preserve"> which overwhelmingly affects women and children. The Women’s Subscription Enterprise gives these women financial empowerment and hope for a brighter future.</w:t>
      </w:r>
    </w:p>
    <w:p w14:paraId="4A2EEC7F" w14:textId="3C987103" w:rsidR="00115057" w:rsidRPr="00D00C99" w:rsidRDefault="00115057" w:rsidP="00115057">
      <w:pPr>
        <w:pStyle w:val="Normal1"/>
      </w:pPr>
      <w:r w:rsidRPr="00D00C99">
        <w:t>Through the sale of subscriptions to The Big Issue magazine, the Women’s Subscription Enterprise provides work, training and pathway opportunities for homeless women. Disadvantaged women are employed as dispatch assistants in a safe, secure, female-only environment to collate, sort and insert the magazines for distribution each fortnight.</w:t>
      </w:r>
    </w:p>
    <w:p w14:paraId="05339031" w14:textId="3F345249" w:rsidR="00115057" w:rsidRPr="00D00C99" w:rsidRDefault="00115057" w:rsidP="00115057">
      <w:pPr>
        <w:pStyle w:val="Normal1"/>
      </w:pPr>
      <w:r w:rsidRPr="00D00C99">
        <w:t>Revenue is then directed into the pockets of marginalised women through the provision of wages, training, mentoring and support. Increasingly, companies are outsourcing work to The Big Issue Women’s Subscription Enterprise (such as mail fulfilment, data entry, event set-ups, pick and pack work).</w:t>
      </w:r>
    </w:p>
    <w:p w14:paraId="262F694A" w14:textId="55459E53" w:rsidR="00115057" w:rsidRPr="00DF68A1" w:rsidRDefault="00115057" w:rsidP="00115057">
      <w:pPr>
        <w:pStyle w:val="Normal1"/>
        <w:pBdr>
          <w:bottom w:val="single" w:sz="6" w:space="1" w:color="auto"/>
        </w:pBdr>
      </w:pPr>
      <w:r w:rsidRPr="00D00C99">
        <w:t>This work gives the women an opportunity to learn new skills and gain additional income. When women are financially empowered, they have access to more choices.</w:t>
      </w:r>
    </w:p>
    <w:p w14:paraId="19CA9A4D" w14:textId="0EE748C0" w:rsidR="00491EC4" w:rsidRPr="0038456D" w:rsidRDefault="00491EC4" w:rsidP="0038456D">
      <w:pPr>
        <w:pStyle w:val="Heading3NoNum"/>
      </w:pPr>
      <w:r w:rsidRPr="0038456D">
        <w:lastRenderedPageBreak/>
        <w:t>Workstream 2: Governance, extending the reach</w:t>
      </w:r>
    </w:p>
    <w:p w14:paraId="0C8E28DC" w14:textId="77777777" w:rsidR="00491EC4" w:rsidRPr="004C18E5" w:rsidRDefault="00491EC4" w:rsidP="004C18E5">
      <w:pPr>
        <w:pStyle w:val="Tablenote"/>
        <w:rPr>
          <w:rStyle w:val="SubtleEmphasis"/>
        </w:rPr>
      </w:pPr>
      <w:r w:rsidRPr="004C18E5">
        <w:rPr>
          <w:rStyle w:val="SubtleEmphasis"/>
        </w:rPr>
        <w:t>Previously Strategic Priority 4: Broaden the VGPB’s impact on Victorian public sector procurement</w:t>
      </w:r>
    </w:p>
    <w:p w14:paraId="44C22BD4" w14:textId="68D38D4E" w:rsidR="00491EC4" w:rsidRDefault="00491EC4" w:rsidP="00491EC4">
      <w:pPr>
        <w:pStyle w:val="Normal1"/>
        <w:rPr>
          <w:lang w:eastAsia="en-US"/>
        </w:rPr>
      </w:pPr>
      <w:r>
        <w:rPr>
          <w:lang w:eastAsia="en-US"/>
        </w:rPr>
        <w:t>Under th</w:t>
      </w:r>
      <w:r w:rsidR="006160BA">
        <w:rPr>
          <w:lang w:eastAsia="en-US"/>
        </w:rPr>
        <w:t>is workstream</w:t>
      </w:r>
      <w:r>
        <w:rPr>
          <w:lang w:eastAsia="en-US"/>
        </w:rPr>
        <w:t xml:space="preserve">, we will bring many more organisations under our umbrella – moving from 32 to about 300 entities. This will make </w:t>
      </w:r>
      <w:r w:rsidR="001C1181">
        <w:rPr>
          <w:lang w:eastAsia="en-US"/>
        </w:rPr>
        <w:t xml:space="preserve">government </w:t>
      </w:r>
      <w:r>
        <w:rPr>
          <w:lang w:eastAsia="en-US"/>
        </w:rPr>
        <w:t>procurement more consistent and less complex for buyers and suppliers.</w:t>
      </w:r>
    </w:p>
    <w:p w14:paraId="68184EC9" w14:textId="0DC91CF3" w:rsidR="00491EC4" w:rsidRDefault="00491EC4" w:rsidP="00491EC4">
      <w:pPr>
        <w:pStyle w:val="Normal1"/>
        <w:rPr>
          <w:lang w:eastAsia="en-US"/>
        </w:rPr>
      </w:pPr>
      <w:r>
        <w:rPr>
          <w:lang w:eastAsia="en-US"/>
        </w:rPr>
        <w:t>Currently, larger organisations can go through a formal process to become accredited to operate under the VGPB. Smaller organisations can still apply VGPB policies – and we encourage them to align – without being formally accredited or needing to report directly to the VGPB.</w:t>
      </w:r>
    </w:p>
    <w:p w14:paraId="07936F02" w14:textId="777EC973" w:rsidR="00491EC4" w:rsidRDefault="00491EC4" w:rsidP="00491EC4">
      <w:pPr>
        <w:pStyle w:val="Normal1"/>
        <w:rPr>
          <w:lang w:eastAsia="en-US"/>
        </w:rPr>
      </w:pPr>
      <w:r>
        <w:rPr>
          <w:lang w:eastAsia="en-US"/>
        </w:rPr>
        <w:t xml:space="preserve">This was a good way for us to oversee larger organisations and those with a more complex procurement profile, without adding an unnecessary administrative burden to smaller organisations with </w:t>
      </w:r>
      <w:r w:rsidR="00EE326B">
        <w:rPr>
          <w:lang w:eastAsia="en-US"/>
        </w:rPr>
        <w:t>a low-risk, low-spend, transactional (low complexity) procurement profile.</w:t>
      </w:r>
    </w:p>
    <w:p w14:paraId="3E16481D" w14:textId="73F88AFE" w:rsidR="00491EC4" w:rsidRDefault="00491EC4" w:rsidP="00491EC4">
      <w:pPr>
        <w:pStyle w:val="Normal1"/>
        <w:rPr>
          <w:lang w:eastAsia="en-US"/>
        </w:rPr>
      </w:pPr>
      <w:r>
        <w:rPr>
          <w:lang w:eastAsia="en-US"/>
        </w:rPr>
        <w:t xml:space="preserve">We </w:t>
      </w:r>
      <w:r w:rsidR="00913F59">
        <w:rPr>
          <w:lang w:eastAsia="en-US"/>
        </w:rPr>
        <w:t xml:space="preserve">have now </w:t>
      </w:r>
      <w:r>
        <w:rPr>
          <w:lang w:eastAsia="en-US"/>
        </w:rPr>
        <w:t>started develop</w:t>
      </w:r>
      <w:r w:rsidR="00D45403">
        <w:rPr>
          <w:lang w:eastAsia="en-US"/>
        </w:rPr>
        <w:t>ing</w:t>
      </w:r>
      <w:r>
        <w:rPr>
          <w:lang w:eastAsia="en-US"/>
        </w:rPr>
        <w:t xml:space="preserve"> a scalable approach to governance and monitoring across numerous entities, taking into consideration entity size, spend and risk profile.</w:t>
      </w:r>
    </w:p>
    <w:p w14:paraId="77D956B3" w14:textId="7505B53E" w:rsidR="00491EC4" w:rsidRDefault="00820DB7" w:rsidP="00491EC4">
      <w:pPr>
        <w:pStyle w:val="Normal1"/>
      </w:pPr>
      <w:r>
        <w:t>CenITex</w:t>
      </w:r>
      <w:r w:rsidR="00491EC4">
        <w:t xml:space="preserve"> was accredited on 1 July 2017 to operate under VGPB supply policies and is now included in this annual report. </w:t>
      </w:r>
      <w:r>
        <w:t>CenITex</w:t>
      </w:r>
      <w:r w:rsidR="00491EC4">
        <w:t xml:space="preserve"> is the last organisation to be accredited under the current model.</w:t>
      </w:r>
    </w:p>
    <w:p w14:paraId="67E00CE2" w14:textId="20F9194D" w:rsidR="00491EC4" w:rsidRDefault="00491EC4" w:rsidP="00491EC4">
      <w:pPr>
        <w:pStyle w:val="Normal1"/>
      </w:pPr>
      <w:r>
        <w:t xml:space="preserve">We are still working </w:t>
      </w:r>
      <w:r w:rsidR="00D45403">
        <w:t>with</w:t>
      </w:r>
      <w:r>
        <w:t xml:space="preserve"> WorkSafe and the Transport Accident Commission, but they will transition under our new strategy.</w:t>
      </w:r>
    </w:p>
    <w:p w14:paraId="0833AD30" w14:textId="77777777" w:rsidR="00913F59" w:rsidRDefault="00913F59" w:rsidP="00913F59">
      <w:pPr>
        <w:pStyle w:val="Normal1"/>
      </w:pPr>
      <w:r>
        <w:t>At the end of each financial year, accredited organisations submit an annual supply report to the VGPB, detailing their procurement activity and compliance with VGPB policies for that year.</w:t>
      </w:r>
    </w:p>
    <w:p w14:paraId="4187B23A" w14:textId="3A18E36B" w:rsidR="00913F59" w:rsidRDefault="00913F59" w:rsidP="00115057">
      <w:pPr>
        <w:pStyle w:val="Normal1"/>
      </w:pPr>
      <w:r>
        <w:t>With the potential influx of new organisations, we will look at how we report procurement data in our annual report and review the annual supply report to ensure we minimise the administrative burden on organisations.</w:t>
      </w:r>
    </w:p>
    <w:p w14:paraId="6AAF2DF0" w14:textId="6A79705C" w:rsidR="00115057" w:rsidRDefault="00115057" w:rsidP="00115057">
      <w:pPr>
        <w:pStyle w:val="Heading4NoNum"/>
        <w:pBdr>
          <w:top w:val="single" w:sz="4" w:space="1" w:color="auto"/>
        </w:pBdr>
      </w:pPr>
      <w:r w:rsidRPr="000C3B64">
        <w:t>Getting value for money with the VGPB approach</w:t>
      </w:r>
    </w:p>
    <w:p w14:paraId="1C83E882" w14:textId="6AD7ADE4" w:rsidR="00115057" w:rsidRPr="000C3B64" w:rsidRDefault="00115057" w:rsidP="00115057">
      <w:pPr>
        <w:pStyle w:val="Normal1"/>
      </w:pPr>
      <w:r w:rsidRPr="000C3B64">
        <w:t xml:space="preserve">In 2017–18, the procurement team at the Department of Education and Training was approached by one of </w:t>
      </w:r>
      <w:r w:rsidR="006A1895">
        <w:t>its</w:t>
      </w:r>
      <w:r w:rsidR="006A1895" w:rsidRPr="000C3B64">
        <w:t xml:space="preserve"> </w:t>
      </w:r>
      <w:r w:rsidRPr="000C3B64">
        <w:t>agencies – a non-</w:t>
      </w:r>
      <w:r w:rsidR="00876036">
        <w:t xml:space="preserve">VGPB </w:t>
      </w:r>
      <w:r w:rsidRPr="000C3B64">
        <w:t>mandated entity – to lead a significant end-to-end procurement activity for compliance services.</w:t>
      </w:r>
    </w:p>
    <w:p w14:paraId="0B7B75F5" w14:textId="77777777" w:rsidR="00115057" w:rsidRPr="000C3B64" w:rsidRDefault="00115057" w:rsidP="00115057">
      <w:pPr>
        <w:pStyle w:val="Normal1"/>
      </w:pPr>
      <w:r>
        <w:t>The Department</w:t>
      </w:r>
      <w:r w:rsidRPr="000C3B64">
        <w:t xml:space="preserve"> ran a two-stage process, first issuing a public Expression of Interest (EOI) to encourage responses from a range of different supply markets and to gather information from EOI responses to refine the future operating model.</w:t>
      </w:r>
    </w:p>
    <w:p w14:paraId="1A68EA5C" w14:textId="6F36F890" w:rsidR="00115057" w:rsidRPr="000C3B64" w:rsidRDefault="00115057" w:rsidP="00115057">
      <w:pPr>
        <w:pStyle w:val="Normal1"/>
      </w:pPr>
      <w:r w:rsidRPr="000C3B64">
        <w:t>To evaluate value</w:t>
      </w:r>
      <w:r>
        <w:t xml:space="preserve"> </w:t>
      </w:r>
      <w:r w:rsidRPr="000C3B64">
        <w:t>for</w:t>
      </w:r>
      <w:r>
        <w:t xml:space="preserve"> </w:t>
      </w:r>
      <w:r w:rsidRPr="000C3B64">
        <w:t xml:space="preserve">money, </w:t>
      </w:r>
      <w:r>
        <w:t>the Department</w:t>
      </w:r>
      <w:r w:rsidRPr="000C3B64">
        <w:t xml:space="preserve"> asked for full visibility of cost models, with hourly rates and effort</w:t>
      </w:r>
      <w:r>
        <w:t>,</w:t>
      </w:r>
      <w:r w:rsidRPr="000C3B64">
        <w:t xml:space="preserve"> </w:t>
      </w:r>
      <w:r>
        <w:t>and</w:t>
      </w:r>
      <w:r w:rsidRPr="000C3B64">
        <w:t xml:space="preserve"> also </w:t>
      </w:r>
      <w:r>
        <w:t xml:space="preserve">the </w:t>
      </w:r>
      <w:r w:rsidRPr="000C3B64">
        <w:t xml:space="preserve">costs used to make up the hourly rate as well as profit margin. </w:t>
      </w:r>
      <w:r>
        <w:t>The Department</w:t>
      </w:r>
      <w:r w:rsidRPr="000C3B64">
        <w:t xml:space="preserve"> used this data to assess effort and rates to undertake specific tasks, removing</w:t>
      </w:r>
      <w:r>
        <w:t xml:space="preserve"> unrelated</w:t>
      </w:r>
      <w:r w:rsidRPr="000C3B64">
        <w:t xml:space="preserve"> costs such as marketing, legal and office relocation expenses that had been incorporated into </w:t>
      </w:r>
      <w:r>
        <w:t xml:space="preserve">the </w:t>
      </w:r>
      <w:r w:rsidRPr="000C3B64">
        <w:t>rates.</w:t>
      </w:r>
    </w:p>
    <w:p w14:paraId="45F3814C" w14:textId="2AEAAC84" w:rsidR="00115057" w:rsidRDefault="00115057" w:rsidP="00115057">
      <w:pPr>
        <w:pStyle w:val="Normal1"/>
        <w:pBdr>
          <w:bottom w:val="single" w:sz="6" w:space="1" w:color="auto"/>
        </w:pBdr>
      </w:pPr>
      <w:r>
        <w:t>The Department</w:t>
      </w:r>
      <w:r w:rsidRPr="000C3B64">
        <w:t xml:space="preserve"> identified a preferred supplier and continued to negotiate, requesting a Best and Final Offer</w:t>
      </w:r>
      <w:r>
        <w:t>,</w:t>
      </w:r>
      <w:r w:rsidRPr="000C3B64">
        <w:t xml:space="preserve"> which achieved a 13 per cent saving.</w:t>
      </w:r>
    </w:p>
    <w:p w14:paraId="377FB83A" w14:textId="77777777" w:rsidR="00115057" w:rsidRDefault="00115057" w:rsidP="00115057">
      <w:pPr>
        <w:pStyle w:val="Normal1"/>
      </w:pPr>
    </w:p>
    <w:p w14:paraId="1CE7CF19" w14:textId="77777777" w:rsidR="00115057" w:rsidRPr="000C3B64" w:rsidRDefault="00115057" w:rsidP="00115057">
      <w:pPr>
        <w:pStyle w:val="Normal1"/>
      </w:pPr>
    </w:p>
    <w:p w14:paraId="493BF71D" w14:textId="77777777" w:rsidR="00115057" w:rsidRPr="000C3B64" w:rsidRDefault="00115057" w:rsidP="009237CC">
      <w:pPr>
        <w:pStyle w:val="Normal1"/>
      </w:pPr>
    </w:p>
    <w:p w14:paraId="71543A08" w14:textId="77777777" w:rsidR="00115057" w:rsidRDefault="00115057" w:rsidP="00913F59">
      <w:pPr>
        <w:pStyle w:val="Normal1"/>
      </w:pPr>
    </w:p>
    <w:p w14:paraId="68F0B170" w14:textId="66082DCF" w:rsidR="0038456D" w:rsidRDefault="0038456D" w:rsidP="00491EC4">
      <w:pPr>
        <w:pStyle w:val="Normal1"/>
      </w:pPr>
    </w:p>
    <w:p w14:paraId="36275ED8" w14:textId="77777777" w:rsidR="0038456D" w:rsidRDefault="0038456D">
      <w:pPr>
        <w:rPr>
          <w:rFonts w:ascii="Calibri" w:hAnsi="Calibri" w:cs="Calibri"/>
          <w:b/>
          <w:color w:val="4D4D4D"/>
          <w:kern w:val="28"/>
          <w:sz w:val="26"/>
          <w:szCs w:val="22"/>
          <w:lang w:eastAsia="en-US"/>
        </w:rPr>
      </w:pPr>
      <w:r>
        <w:br w:type="page"/>
      </w:r>
    </w:p>
    <w:p w14:paraId="11A0E7E3" w14:textId="2352AF9A" w:rsidR="00491EC4" w:rsidRPr="00461937" w:rsidRDefault="00491EC4" w:rsidP="001F5F02">
      <w:pPr>
        <w:pStyle w:val="Heading3NoNum"/>
      </w:pPr>
      <w:r w:rsidRPr="00461937">
        <w:lastRenderedPageBreak/>
        <w:t>Workstream 3: Policy and practice</w:t>
      </w:r>
    </w:p>
    <w:p w14:paraId="64ECA1AA" w14:textId="77777777" w:rsidR="00491EC4" w:rsidRPr="00340006" w:rsidRDefault="00491EC4" w:rsidP="004C18E5">
      <w:pPr>
        <w:pStyle w:val="Tablenote"/>
        <w:rPr>
          <w:b/>
          <w:color w:val="4F81BD" w:themeColor="accent1"/>
        </w:rPr>
      </w:pPr>
      <w:r w:rsidRPr="004C18E5">
        <w:rPr>
          <w:rStyle w:val="SubtleEmphasis"/>
        </w:rPr>
        <w:t>Previously Strategic Priority 1: Embed and enhance VGPB supply policies</w:t>
      </w:r>
    </w:p>
    <w:p w14:paraId="6502EB6B" w14:textId="77777777" w:rsidR="00491EC4" w:rsidRPr="0089278C" w:rsidRDefault="00491EC4" w:rsidP="00491EC4">
      <w:pPr>
        <w:pStyle w:val="Heading4NoNum"/>
        <w:rPr>
          <w:b w:val="0"/>
        </w:rPr>
      </w:pPr>
      <w:r w:rsidRPr="00A75F5E">
        <w:t>Aligning and harmonising goods and services and construction procurement</w:t>
      </w:r>
    </w:p>
    <w:p w14:paraId="3C0E60F5" w14:textId="77777777" w:rsidR="00491EC4" w:rsidRDefault="00491EC4" w:rsidP="00491EC4">
      <w:pPr>
        <w:pStyle w:val="Normal1"/>
      </w:pPr>
      <w:r>
        <w:t>The Victorian Government currently has two separate policy frameworks for procuring goods and services and for buying construction works and services. T</w:t>
      </w:r>
      <w:r w:rsidRPr="00401A60">
        <w:t>h</w:t>
      </w:r>
      <w:r>
        <w:t xml:space="preserve">is creates a fragmented </w:t>
      </w:r>
      <w:r w:rsidRPr="00401A60">
        <w:t>procurement landscape</w:t>
      </w:r>
      <w:r>
        <w:t xml:space="preserve"> with </w:t>
      </w:r>
      <w:r w:rsidRPr="00655B12">
        <w:t>unnecessary confusion and complexity for buyers and suppliers.</w:t>
      </w:r>
    </w:p>
    <w:p w14:paraId="3905FF2E" w14:textId="710FDB33" w:rsidR="00491EC4" w:rsidRDefault="00491EC4" w:rsidP="00491EC4">
      <w:pPr>
        <w:pStyle w:val="Normal1"/>
      </w:pPr>
      <w:r>
        <w:t xml:space="preserve">We are currently working </w:t>
      </w:r>
      <w:r w:rsidR="00B53976">
        <w:t>with</w:t>
      </w:r>
      <w:r>
        <w:t xml:space="preserve"> </w:t>
      </w:r>
      <w:r w:rsidR="006919A6">
        <w:t xml:space="preserve">the Department of Treasury and Finance’s </w:t>
      </w:r>
      <w:r w:rsidRPr="0028229E">
        <w:t>construction policy</w:t>
      </w:r>
      <w:r>
        <w:t xml:space="preserve"> </w:t>
      </w:r>
      <w:r w:rsidR="00B53976">
        <w:t xml:space="preserve">team </w:t>
      </w:r>
      <w:r w:rsidRPr="00401A60">
        <w:t>to harmonis</w:t>
      </w:r>
      <w:r>
        <w:t>e</w:t>
      </w:r>
      <w:r w:rsidRPr="00401A60">
        <w:t xml:space="preserve"> and</w:t>
      </w:r>
      <w:r>
        <w:t xml:space="preserve"> –</w:t>
      </w:r>
      <w:r w:rsidRPr="00401A60">
        <w:t xml:space="preserve"> where appropriate</w:t>
      </w:r>
      <w:r>
        <w:t xml:space="preserve"> –</w:t>
      </w:r>
      <w:r w:rsidRPr="00401A60">
        <w:t xml:space="preserve"> standardis</w:t>
      </w:r>
      <w:r>
        <w:t>e</w:t>
      </w:r>
      <w:r w:rsidRPr="00401A60">
        <w:t xml:space="preserve"> procurement process and administration. </w:t>
      </w:r>
      <w:r>
        <w:t xml:space="preserve">Our current </w:t>
      </w:r>
      <w:r w:rsidRPr="00401A60">
        <w:t xml:space="preserve">focus </w:t>
      </w:r>
      <w:r>
        <w:t xml:space="preserve">is to </w:t>
      </w:r>
      <w:r w:rsidRPr="00401A60">
        <w:t>streamlin</w:t>
      </w:r>
      <w:r>
        <w:t>e</w:t>
      </w:r>
      <w:r w:rsidRPr="00401A60">
        <w:t xml:space="preserve"> and integrat</w:t>
      </w:r>
      <w:r>
        <w:t xml:space="preserve">e </w:t>
      </w:r>
      <w:r w:rsidRPr="00401A60">
        <w:t xml:space="preserve">procurement processes from </w:t>
      </w:r>
      <w:r>
        <w:t xml:space="preserve">the supplier </w:t>
      </w:r>
      <w:r w:rsidRPr="00401A60">
        <w:t>perspective to</w:t>
      </w:r>
      <w:r>
        <w:t xml:space="preserve"> simplify working with government.</w:t>
      </w:r>
    </w:p>
    <w:p w14:paraId="2A0FE708" w14:textId="2D46AFB8" w:rsidR="00686733" w:rsidRDefault="00686733" w:rsidP="00686733">
      <w:pPr>
        <w:pStyle w:val="Heading4NoNum"/>
      </w:pPr>
      <w:r>
        <w:t>Implementing the Supplier Code of Conduct</w:t>
      </w:r>
    </w:p>
    <w:p w14:paraId="7F4459EC" w14:textId="609E0AC4" w:rsidR="001C1181" w:rsidRPr="0089278C" w:rsidRDefault="001C1181" w:rsidP="001C1181">
      <w:pPr>
        <w:pStyle w:val="Normal1"/>
      </w:pPr>
      <w:r w:rsidRPr="0089278C">
        <w:t xml:space="preserve">In September 2017, </w:t>
      </w:r>
      <w:r>
        <w:t>we</w:t>
      </w:r>
      <w:r w:rsidRPr="0089278C">
        <w:t xml:space="preserve"> </w:t>
      </w:r>
      <w:r>
        <w:t>publishe</w:t>
      </w:r>
      <w:r w:rsidRPr="0089278C">
        <w:t xml:space="preserve">d new contract templates </w:t>
      </w:r>
      <w:r>
        <w:t>incorporating</w:t>
      </w:r>
      <w:r w:rsidRPr="0089278C">
        <w:t xml:space="preserve"> the Supplier Code of Conduct and legislative changes. These standard template</w:t>
      </w:r>
      <w:r>
        <w:t xml:space="preserve"> clauses can be used for goods and services</w:t>
      </w:r>
      <w:r w:rsidR="009D063B">
        <w:t>,</w:t>
      </w:r>
      <w:r>
        <w:t xml:space="preserve"> giving</w:t>
      </w:r>
      <w:r w:rsidRPr="0089278C">
        <w:t xml:space="preserve"> </w:t>
      </w:r>
      <w:r w:rsidRPr="00B406BA">
        <w:t>buyers and suppliers</w:t>
      </w:r>
      <w:r w:rsidRPr="00401A60">
        <w:t xml:space="preserve"> </w:t>
      </w:r>
      <w:r w:rsidRPr="0089278C">
        <w:t xml:space="preserve">a </w:t>
      </w:r>
      <w:r>
        <w:t xml:space="preserve">more </w:t>
      </w:r>
      <w:r w:rsidRPr="0089278C">
        <w:t>consistent approach.</w:t>
      </w:r>
    </w:p>
    <w:p w14:paraId="5226FF27" w14:textId="77777777" w:rsidR="00491EC4" w:rsidRDefault="00491EC4" w:rsidP="00491EC4">
      <w:pPr>
        <w:pStyle w:val="Normal1"/>
      </w:pPr>
      <w:r>
        <w:t xml:space="preserve">The </w:t>
      </w:r>
      <w:r w:rsidRPr="00266072">
        <w:t>Supplier Code of Conduct</w:t>
      </w:r>
      <w:r>
        <w:t xml:space="preserve"> was published at the end of 2016–17. It applies to </w:t>
      </w:r>
      <w:r w:rsidRPr="0089278C">
        <w:t>goods</w:t>
      </w:r>
      <w:r>
        <w:t xml:space="preserve">, </w:t>
      </w:r>
      <w:r w:rsidRPr="0089278C">
        <w:t xml:space="preserve">services and construction </w:t>
      </w:r>
      <w:r>
        <w:t>works and services</w:t>
      </w:r>
      <w:r w:rsidRPr="0089278C">
        <w:t xml:space="preserve"> across the general government. The Code sets out minimum standards for suppliers in ethical, sustainable and socially responsible procurement when working with government.</w:t>
      </w:r>
    </w:p>
    <w:p w14:paraId="3D176E7C" w14:textId="0DCD1FDC" w:rsidR="00491EC4" w:rsidRPr="0089278C" w:rsidRDefault="00491EC4" w:rsidP="00491EC4">
      <w:pPr>
        <w:pStyle w:val="Normal1"/>
      </w:pPr>
      <w:r>
        <w:t xml:space="preserve">We are now </w:t>
      </w:r>
      <w:r w:rsidRPr="0089278C">
        <w:t>evaluat</w:t>
      </w:r>
      <w:r>
        <w:t>ing</w:t>
      </w:r>
      <w:r w:rsidRPr="0089278C">
        <w:t xml:space="preserve"> the success of implement</w:t>
      </w:r>
      <w:r>
        <w:t>ing the Code to help us a</w:t>
      </w:r>
      <w:r w:rsidR="00D2111A">
        <w:t>ss</w:t>
      </w:r>
      <w:r>
        <w:t>ess what future enhancements can be made to ensure suppliers continue to maintain high ethical standards when working with, or on behalf of, the Government.</w:t>
      </w:r>
    </w:p>
    <w:p w14:paraId="46F6536D" w14:textId="461854F7" w:rsidR="00491EC4" w:rsidRPr="0089278C" w:rsidRDefault="00491EC4" w:rsidP="00491EC4">
      <w:pPr>
        <w:pStyle w:val="Normal1"/>
      </w:pPr>
      <w:r>
        <w:t>Visit</w:t>
      </w:r>
      <w:r w:rsidRPr="0089278C">
        <w:t xml:space="preserve"> </w:t>
      </w:r>
      <w:hyperlink r:id="rId20" w:history="1">
        <w:r w:rsidRPr="000E4965">
          <w:rPr>
            <w:rStyle w:val="Hyperlink"/>
          </w:rPr>
          <w:t>procurement.vic.gov.au/Suppliers/Supplier-Code-of-Conduct</w:t>
        </w:r>
      </w:hyperlink>
      <w:r w:rsidRPr="000E4965" w:rsidDel="000E4965">
        <w:t xml:space="preserve"> </w:t>
      </w:r>
      <w:r w:rsidRPr="0089278C">
        <w:t>for more information.</w:t>
      </w:r>
    </w:p>
    <w:p w14:paraId="72EB6844" w14:textId="77777777" w:rsidR="00491EC4" w:rsidRPr="000F03DF" w:rsidRDefault="00491EC4" w:rsidP="00491EC4">
      <w:pPr>
        <w:pStyle w:val="Heading4NoNum"/>
      </w:pPr>
      <w:r>
        <w:t>Alternative procurement paths</w:t>
      </w:r>
    </w:p>
    <w:p w14:paraId="4C0BF994" w14:textId="77777777" w:rsidR="00491EC4" w:rsidRDefault="00491EC4" w:rsidP="00491EC4">
      <w:pPr>
        <w:pStyle w:val="Normal1"/>
      </w:pPr>
      <w:r>
        <w:t>Procurement, like most business activities, is continually evolving. We want government buyers to be able to access best procurement practice.</w:t>
      </w:r>
    </w:p>
    <w:p w14:paraId="02728CCB" w14:textId="1310B4C9" w:rsidR="00491EC4" w:rsidRDefault="00491EC4" w:rsidP="00491EC4">
      <w:pPr>
        <w:pStyle w:val="Normal1"/>
      </w:pPr>
      <w:r>
        <w:t xml:space="preserve">To </w:t>
      </w:r>
      <w:r w:rsidRPr="003218C5">
        <w:t xml:space="preserve">achieve this, </w:t>
      </w:r>
      <w:r>
        <w:t xml:space="preserve">next year </w:t>
      </w:r>
      <w:r w:rsidRPr="003218C5">
        <w:t>we will develop new guides setting out improved procurement methods, such as pre</w:t>
      </w:r>
      <w:r w:rsidR="00DA09FB">
        <w:t>-</w:t>
      </w:r>
      <w:r w:rsidRPr="003218C5">
        <w:t>commercial procurement, simple auctions, economic design and more effective pre-tender market engagement.</w:t>
      </w:r>
    </w:p>
    <w:p w14:paraId="7F8FFC0B" w14:textId="4546914B" w:rsidR="00491EC4" w:rsidRDefault="00491EC4" w:rsidP="00491EC4">
      <w:pPr>
        <w:pStyle w:val="Normal1"/>
      </w:pPr>
      <w:r>
        <w:t xml:space="preserve">We will also </w:t>
      </w:r>
      <w:r w:rsidR="001C1181">
        <w:t xml:space="preserve">continue to improve </w:t>
      </w:r>
      <w:r>
        <w:t>our existing guides by simplifying processes and developing buyer capability to drive better procurement practice.</w:t>
      </w:r>
    </w:p>
    <w:p w14:paraId="51C529F5" w14:textId="77777777" w:rsidR="00491EC4" w:rsidRDefault="00491EC4" w:rsidP="00491EC4">
      <w:pPr>
        <w:pStyle w:val="Normal1"/>
      </w:pPr>
      <w:r>
        <w:t>Embedding good procurement practice is at the core of everything we do.</w:t>
      </w:r>
    </w:p>
    <w:p w14:paraId="13E7856E" w14:textId="77777777" w:rsidR="00491EC4" w:rsidRPr="004B3DDD" w:rsidRDefault="00491EC4" w:rsidP="00491EC4">
      <w:pPr>
        <w:pStyle w:val="Heading4NoNum"/>
      </w:pPr>
      <w:r w:rsidRPr="004B3DDD">
        <w:t>Purchas</w:t>
      </w:r>
      <w:r>
        <w:t xml:space="preserve">ing </w:t>
      </w:r>
      <w:r w:rsidRPr="004B3DDD">
        <w:t>ethically and locally-produced uniforms and personal protective equipment</w:t>
      </w:r>
    </w:p>
    <w:p w14:paraId="33F6963E" w14:textId="45D02057" w:rsidR="00491EC4" w:rsidRDefault="00491EC4" w:rsidP="00491EC4">
      <w:pPr>
        <w:pStyle w:val="Normal1"/>
      </w:pPr>
      <w:r>
        <w:t>Government is one of the biggest spending sectors in the Victorian economy</w:t>
      </w:r>
      <w:r w:rsidR="00472232">
        <w:t xml:space="preserve">. </w:t>
      </w:r>
      <w:r>
        <w:t xml:space="preserve">When we buy locally, we create jobs and support local industries, which delivers significant benefit for the long-term success of our </w:t>
      </w:r>
      <w:r w:rsidR="00C538A2">
        <w:t>s</w:t>
      </w:r>
      <w:r>
        <w:t>tate.</w:t>
      </w:r>
    </w:p>
    <w:p w14:paraId="6EB06F05" w14:textId="51C44007" w:rsidR="008C05CD" w:rsidRDefault="00491EC4" w:rsidP="00491EC4">
      <w:pPr>
        <w:pStyle w:val="Normal1"/>
      </w:pPr>
      <w:r w:rsidRPr="00A140F2">
        <w:t>In 2017–18, we developed a guide to procuring uniforms and personal protective equipment (PPE)</w:t>
      </w:r>
      <w:r w:rsidR="008C05CD">
        <w:t xml:space="preserve">. All Victorian Government departments and agencies are </w:t>
      </w:r>
      <w:r w:rsidR="001C1181">
        <w:t xml:space="preserve">now </w:t>
      </w:r>
      <w:r w:rsidR="008C05CD">
        <w:t>required to buy locally manufactured uniforms and PPE</w:t>
      </w:r>
      <w:r w:rsidR="008C05CD" w:rsidRPr="00A140F2">
        <w:t>, where</w:t>
      </w:r>
      <w:r w:rsidR="008C05CD">
        <w:t>ver</w:t>
      </w:r>
      <w:r w:rsidR="008C05CD" w:rsidRPr="00A140F2">
        <w:t xml:space="preserve"> possible</w:t>
      </w:r>
      <w:r w:rsidR="008C05CD">
        <w:t>. The guide:</w:t>
      </w:r>
    </w:p>
    <w:p w14:paraId="3B6DF3D8" w14:textId="062D4B10" w:rsidR="008C05CD" w:rsidRDefault="008C05CD" w:rsidP="00822FA3">
      <w:pPr>
        <w:pStyle w:val="Bullet1"/>
      </w:pPr>
      <w:r>
        <w:t>supports the Victorian Government’s commitment to creating and retaining local jobs in the local manufacture of uniforms and PPE;</w:t>
      </w:r>
    </w:p>
    <w:p w14:paraId="04307678" w14:textId="6AA392CA" w:rsidR="008C05CD" w:rsidRDefault="008C05CD" w:rsidP="00822FA3">
      <w:pPr>
        <w:pStyle w:val="Bullet1"/>
      </w:pPr>
      <w:r>
        <w:t>supports local small to medium enterprises;</w:t>
      </w:r>
    </w:p>
    <w:p w14:paraId="523D9AA1" w14:textId="07CA857A" w:rsidR="008C05CD" w:rsidRDefault="008C05CD" w:rsidP="00822FA3">
      <w:pPr>
        <w:pStyle w:val="Bullet1"/>
      </w:pPr>
      <w:r>
        <w:t>provides advice on procuring from the local textiles, clothing and footwear sector; and</w:t>
      </w:r>
    </w:p>
    <w:p w14:paraId="206205CE" w14:textId="247E85F2" w:rsidR="008C05CD" w:rsidRDefault="008C05CD" w:rsidP="00115057">
      <w:pPr>
        <w:pStyle w:val="Bullet1"/>
      </w:pPr>
      <w:r>
        <w:t>advises on ethical labour and environmental considerations.</w:t>
      </w:r>
    </w:p>
    <w:p w14:paraId="24E55009" w14:textId="0C3C28D0" w:rsidR="00115057" w:rsidRDefault="00115057">
      <w:pPr>
        <w:rPr>
          <w:rFonts w:ascii="Calibri" w:hAnsi="Calibri" w:cs="Calibri"/>
          <w:sz w:val="22"/>
          <w:szCs w:val="22"/>
        </w:rPr>
      </w:pPr>
      <w:r>
        <w:br w:type="page"/>
      </w:r>
    </w:p>
    <w:p w14:paraId="509C4057" w14:textId="07E915B4" w:rsidR="00115057" w:rsidRPr="000C3B64" w:rsidRDefault="00115057" w:rsidP="00115057">
      <w:pPr>
        <w:pStyle w:val="Heading4NoNum"/>
        <w:pBdr>
          <w:top w:val="single" w:sz="4" w:space="1" w:color="auto"/>
          <w:bottom w:val="single" w:sz="4" w:space="1" w:color="auto"/>
        </w:pBdr>
      </w:pPr>
      <w:r w:rsidRPr="000C3B64">
        <w:lastRenderedPageBreak/>
        <w:t>Procurement goes green at Public Transport Victoria</w:t>
      </w:r>
    </w:p>
    <w:p w14:paraId="155D1C54" w14:textId="13F25463" w:rsidR="00115057" w:rsidRPr="00D00C99" w:rsidRDefault="00115057" w:rsidP="00115057">
      <w:pPr>
        <w:pStyle w:val="Normal1"/>
        <w:pBdr>
          <w:top w:val="single" w:sz="4" w:space="1" w:color="auto"/>
          <w:bottom w:val="single" w:sz="4" w:space="1" w:color="auto"/>
        </w:pBdr>
      </w:pPr>
      <w:r w:rsidRPr="00D00C99">
        <w:t>P</w:t>
      </w:r>
      <w:r>
        <w:t xml:space="preserve">ublic </w:t>
      </w:r>
      <w:r w:rsidRPr="00D00C99">
        <w:t>T</w:t>
      </w:r>
      <w:r>
        <w:t xml:space="preserve">ransport </w:t>
      </w:r>
      <w:r w:rsidRPr="00D00C99">
        <w:t>V</w:t>
      </w:r>
      <w:r>
        <w:t>ictoria</w:t>
      </w:r>
      <w:r w:rsidRPr="00D00C99">
        <w:t xml:space="preserve"> is reducing its environmental footprint and has pledged to follow a three-year roadmap to align its procurement function with ISO 20400 Sustainable Procurement Standard.</w:t>
      </w:r>
    </w:p>
    <w:p w14:paraId="30148A60" w14:textId="529C2411" w:rsidR="00115057" w:rsidRPr="00D00C99" w:rsidRDefault="00686733" w:rsidP="00115057">
      <w:pPr>
        <w:pStyle w:val="Normal1"/>
        <w:pBdr>
          <w:top w:val="single" w:sz="4" w:space="1" w:color="auto"/>
          <w:bottom w:val="single" w:sz="4" w:space="1" w:color="auto"/>
        </w:pBdr>
      </w:pPr>
      <w:r>
        <w:t>S</w:t>
      </w:r>
      <w:r w:rsidR="00115057" w:rsidRPr="00D00C99">
        <w:t>taff will soon be able to dispose of food waste in units designed to dehydrate food waste into a small amount of dry powder, which can be used to fertilise plants. Keeping food waste out of red and yellow bins reduces greenhouse gas emissions from waste disposal.</w:t>
      </w:r>
    </w:p>
    <w:p w14:paraId="1F0D3FC5" w14:textId="358F96EE" w:rsidR="00115057" w:rsidRPr="00D4186C" w:rsidRDefault="00115057" w:rsidP="00115057">
      <w:pPr>
        <w:pStyle w:val="Normal1"/>
        <w:pBdr>
          <w:top w:val="single" w:sz="4" w:space="1" w:color="auto"/>
          <w:bottom w:val="single" w:sz="4" w:space="1" w:color="auto"/>
        </w:pBdr>
      </w:pPr>
      <w:r w:rsidRPr="00D00C99">
        <w:t>This is one of many actions</w:t>
      </w:r>
      <w:r w:rsidR="00686733" w:rsidRPr="00686733">
        <w:t xml:space="preserve"> </w:t>
      </w:r>
      <w:r w:rsidR="00686733" w:rsidRPr="00D00C99">
        <w:t>P</w:t>
      </w:r>
      <w:r w:rsidR="00686733">
        <w:t xml:space="preserve">ublic </w:t>
      </w:r>
      <w:r w:rsidR="00686733" w:rsidRPr="00D00C99">
        <w:t>T</w:t>
      </w:r>
      <w:r w:rsidR="00686733">
        <w:t xml:space="preserve">ransport </w:t>
      </w:r>
      <w:r w:rsidR="00686733" w:rsidRPr="00D00C99">
        <w:t>V</w:t>
      </w:r>
      <w:r w:rsidR="00686733">
        <w:t>ictoria</w:t>
      </w:r>
      <w:r w:rsidRPr="00D00C99">
        <w:t xml:space="preserve"> will take on its sustainable procurement journey. </w:t>
      </w:r>
      <w:r w:rsidR="00686733">
        <w:t>It</w:t>
      </w:r>
      <w:r w:rsidRPr="00D00C99">
        <w:t xml:space="preserve"> has partnered with </w:t>
      </w:r>
      <w:r>
        <w:t>Good Environmental Choice Australia (</w:t>
      </w:r>
      <w:r w:rsidRPr="00D00C99">
        <w:t>GECA</w:t>
      </w:r>
      <w:r>
        <w:t>)</w:t>
      </w:r>
      <w:r w:rsidRPr="00D00C99">
        <w:t>, a market leader in environmental certification, to help it align with the sustainable procurement standard.</w:t>
      </w:r>
    </w:p>
    <w:p w14:paraId="4A6468CB" w14:textId="7A99E83A" w:rsidR="00491EC4" w:rsidRPr="00461937" w:rsidRDefault="00491EC4" w:rsidP="00822FA3">
      <w:pPr>
        <w:pStyle w:val="Heading3NoNum"/>
      </w:pPr>
      <w:r w:rsidRPr="00461937">
        <w:t>Workstream 4: Procurement technology</w:t>
      </w:r>
    </w:p>
    <w:p w14:paraId="09150A97" w14:textId="0CA3B5FB" w:rsidR="00491EC4" w:rsidRPr="004C18E5" w:rsidRDefault="00491EC4" w:rsidP="004C18E5">
      <w:pPr>
        <w:pStyle w:val="Tablenote"/>
        <w:rPr>
          <w:rStyle w:val="SubtleEmphasis"/>
        </w:rPr>
      </w:pPr>
      <w:r w:rsidRPr="004C18E5">
        <w:rPr>
          <w:rStyle w:val="SubtleEmphasis"/>
        </w:rPr>
        <w:t>Previously Strategic Priority 3: Engage with suppliers and the market to improve doing business with the Victorian public sector</w:t>
      </w:r>
    </w:p>
    <w:p w14:paraId="07440A57" w14:textId="77777777" w:rsidR="00491EC4" w:rsidRDefault="00491EC4" w:rsidP="00491EC4">
      <w:pPr>
        <w:pStyle w:val="Normal1"/>
        <w:rPr>
          <w:lang w:eastAsia="en-US"/>
        </w:rPr>
      </w:pPr>
      <w:r>
        <w:rPr>
          <w:lang w:eastAsia="en-US"/>
        </w:rPr>
        <w:t>Construction and non-construction goods and services have their own websites. Creating one integrated website for buyers and suppliers is an important step towards harmonising these two streams.</w:t>
      </w:r>
    </w:p>
    <w:p w14:paraId="584D6A05" w14:textId="097EC974" w:rsidR="00491EC4" w:rsidRDefault="001F5F02" w:rsidP="00491EC4">
      <w:pPr>
        <w:pStyle w:val="Normal1"/>
      </w:pPr>
      <w:r w:rsidRPr="00EF7FF2">
        <w:rPr>
          <w:noProof/>
        </w:rPr>
        <w:t>The Department of Treasury and Finance is leading the reform of government procurement technology and practice</w:t>
      </w:r>
      <w:r w:rsidR="00BB7493">
        <w:rPr>
          <w:noProof/>
        </w:rPr>
        <w:t>,</w:t>
      </w:r>
      <w:r w:rsidRPr="00EF7FF2">
        <w:rPr>
          <w:noProof/>
        </w:rPr>
        <w:t xml:space="preserve"> which is overseen by the VGPB. The strategy for the long</w:t>
      </w:r>
      <w:r w:rsidR="00235F70">
        <w:rPr>
          <w:noProof/>
        </w:rPr>
        <w:t>-</w:t>
      </w:r>
      <w:r w:rsidRPr="00EF7FF2">
        <w:rPr>
          <w:noProof/>
        </w:rPr>
        <w:t xml:space="preserve">term solution is in the early planning stages and will eventually provide a roadmap to deliver </w:t>
      </w:r>
      <w:r w:rsidR="00B56883">
        <w:rPr>
          <w:noProof/>
        </w:rPr>
        <w:t>the following</w:t>
      </w:r>
      <w:r w:rsidRPr="00EF7FF2">
        <w:rPr>
          <w:noProof/>
        </w:rPr>
        <w:t xml:space="preserve"> components:</w:t>
      </w:r>
    </w:p>
    <w:p w14:paraId="65015AD2" w14:textId="136C5763" w:rsidR="001F5F02" w:rsidRDefault="001F5F02" w:rsidP="001F5F02">
      <w:pPr>
        <w:pStyle w:val="Bullet1"/>
      </w:pPr>
      <w:r w:rsidRPr="00EF7FF2">
        <w:rPr>
          <w:noProof/>
        </w:rPr>
        <w:t xml:space="preserve">a Buying for Victoria website (being </w:t>
      </w:r>
      <w:r w:rsidR="0056055C">
        <w:rPr>
          <w:noProof/>
        </w:rPr>
        <w:t>develop</w:t>
      </w:r>
      <w:r w:rsidRPr="00EF7FF2">
        <w:rPr>
          <w:noProof/>
        </w:rPr>
        <w:t>ed by the Department of Premier and Cabinet)</w:t>
      </w:r>
      <w:r>
        <w:rPr>
          <w:noProof/>
        </w:rPr>
        <w:t>; and</w:t>
      </w:r>
    </w:p>
    <w:p w14:paraId="703FAA4E" w14:textId="5BABF800" w:rsidR="001F5F02" w:rsidRDefault="001F5F02" w:rsidP="001F5F02">
      <w:pPr>
        <w:pStyle w:val="Bullet1"/>
      </w:pPr>
      <w:r w:rsidRPr="00EF7FF2">
        <w:rPr>
          <w:noProof/>
        </w:rPr>
        <w:t>an integrated procurement solution that includes a supplier registration portal.</w:t>
      </w:r>
    </w:p>
    <w:p w14:paraId="0D6B7A0C" w14:textId="281505B4" w:rsidR="001C1181" w:rsidRDefault="001F5F02" w:rsidP="001C1181">
      <w:pPr>
        <w:pStyle w:val="Normal1"/>
      </w:pPr>
      <w:r w:rsidRPr="00EF7FF2">
        <w:rPr>
          <w:noProof/>
        </w:rPr>
        <w:t>The</w:t>
      </w:r>
      <w:r w:rsidR="006160BA">
        <w:rPr>
          <w:noProof/>
        </w:rPr>
        <w:t xml:space="preserve"> </w:t>
      </w:r>
      <w:r>
        <w:rPr>
          <w:noProof/>
        </w:rPr>
        <w:t xml:space="preserve">website </w:t>
      </w:r>
      <w:r w:rsidR="00B56883">
        <w:rPr>
          <w:noProof/>
        </w:rPr>
        <w:t xml:space="preserve">will </w:t>
      </w:r>
      <w:r>
        <w:rPr>
          <w:noProof/>
        </w:rPr>
        <w:t>be delivered first</w:t>
      </w:r>
      <w:r w:rsidR="001C1181">
        <w:t xml:space="preserve"> </w:t>
      </w:r>
      <w:r w:rsidR="001C1181">
        <w:rPr>
          <w:noProof/>
        </w:rPr>
        <w:t>and is expected to be released in 2018</w:t>
      </w:r>
      <w:r w:rsidR="001C1181">
        <w:t>.</w:t>
      </w:r>
    </w:p>
    <w:p w14:paraId="7DC2AC8E" w14:textId="77777777" w:rsidR="00115057" w:rsidRDefault="00115057" w:rsidP="001C1181">
      <w:pPr>
        <w:pStyle w:val="Normal1"/>
      </w:pPr>
    </w:p>
    <w:p w14:paraId="06D57F65" w14:textId="4B2092AA" w:rsidR="00115057" w:rsidRPr="000C3B64" w:rsidRDefault="00115057" w:rsidP="00115057">
      <w:pPr>
        <w:pStyle w:val="Heading4NoNum"/>
        <w:pBdr>
          <w:top w:val="single" w:sz="4" w:space="1" w:color="auto"/>
          <w:bottom w:val="single" w:sz="4" w:space="1" w:color="auto"/>
        </w:pBdr>
      </w:pPr>
      <w:r w:rsidRPr="000C3B64">
        <w:t>Looking for the savings with e</w:t>
      </w:r>
      <w:r w:rsidR="0055634A">
        <w:t>-p</w:t>
      </w:r>
      <w:r w:rsidRPr="000C3B64">
        <w:t>rocurement and category management</w:t>
      </w:r>
    </w:p>
    <w:p w14:paraId="4784F499" w14:textId="1DE82D88" w:rsidR="00115057" w:rsidRPr="00D00C99" w:rsidRDefault="00115057" w:rsidP="00115057">
      <w:pPr>
        <w:pStyle w:val="Normal1"/>
        <w:pBdr>
          <w:top w:val="single" w:sz="4" w:space="1" w:color="auto"/>
          <w:bottom w:val="single" w:sz="4" w:space="1" w:color="auto"/>
        </w:pBdr>
      </w:pPr>
      <w:r>
        <w:t xml:space="preserve">The </w:t>
      </w:r>
      <w:r w:rsidRPr="00EE326B">
        <w:rPr>
          <w:rStyle w:val="Emphasis"/>
          <w:i w:val="0"/>
        </w:rPr>
        <w:t>Department of Environment, Land, Water and Planning</w:t>
      </w:r>
      <w:r>
        <w:rPr>
          <w:rStyle w:val="Emphasis"/>
          <w:i w:val="0"/>
        </w:rPr>
        <w:t>’s</w:t>
      </w:r>
      <w:r w:rsidRPr="00D00C99">
        <w:t xml:space="preserve"> spend on contingent labour has historically been more than $25 million </w:t>
      </w:r>
      <w:r>
        <w:t>a</w:t>
      </w:r>
      <w:r w:rsidRPr="00D00C99">
        <w:t xml:space="preserve"> year. </w:t>
      </w:r>
      <w:r w:rsidR="009D063B">
        <w:t>The Department</w:t>
      </w:r>
      <w:r w:rsidR="009D063B" w:rsidRPr="00D00C99">
        <w:t xml:space="preserve"> </w:t>
      </w:r>
      <w:r w:rsidRPr="00D00C99">
        <w:t>is currently finalising the build and implementation of a vendor management system</w:t>
      </w:r>
      <w:r w:rsidR="009D063B">
        <w:t>,</w:t>
      </w:r>
      <w:r w:rsidRPr="00D00C99">
        <w:t xml:space="preserve"> which</w:t>
      </w:r>
      <w:r>
        <w:t xml:space="preserve"> – c</w:t>
      </w:r>
      <w:r w:rsidRPr="00D00C99">
        <w:t xml:space="preserve">ombined with a new category management approach </w:t>
      </w:r>
      <w:r>
        <w:t xml:space="preserve">– </w:t>
      </w:r>
      <w:r w:rsidRPr="00D00C99">
        <w:t xml:space="preserve">could potentially save up to 15 per cent </w:t>
      </w:r>
      <w:r>
        <w:t>a</w:t>
      </w:r>
      <w:r w:rsidRPr="00D00C99">
        <w:t xml:space="preserve"> year.</w:t>
      </w:r>
      <w:r>
        <w:t xml:space="preserve"> </w:t>
      </w:r>
      <w:r w:rsidR="009D063B">
        <w:t>The Department</w:t>
      </w:r>
      <w:r w:rsidR="009D063B" w:rsidRPr="00D00C99" w:rsidDel="009D063B">
        <w:t xml:space="preserve"> </w:t>
      </w:r>
      <w:r w:rsidRPr="00D00C99">
        <w:t xml:space="preserve">is </w:t>
      </w:r>
      <w:r>
        <w:t xml:space="preserve">currently </w:t>
      </w:r>
      <w:r w:rsidRPr="00D00C99">
        <w:t xml:space="preserve">budgeting for a more conservative saving of around $2 million </w:t>
      </w:r>
      <w:r>
        <w:t>a</w:t>
      </w:r>
      <w:r w:rsidRPr="00D00C99">
        <w:t xml:space="preserve"> year.</w:t>
      </w:r>
    </w:p>
    <w:p w14:paraId="52A8602E" w14:textId="5CF81719" w:rsidR="00115057" w:rsidRPr="001723EC" w:rsidRDefault="00115057" w:rsidP="00115057">
      <w:pPr>
        <w:pStyle w:val="Normal1"/>
        <w:pBdr>
          <w:top w:val="single" w:sz="4" w:space="1" w:color="auto"/>
          <w:bottom w:val="single" w:sz="4" w:space="1" w:color="auto"/>
        </w:pBdr>
      </w:pPr>
      <w:r w:rsidRPr="00D00C99">
        <w:t xml:space="preserve">Having the right systems and processes in place will </w:t>
      </w:r>
      <w:r>
        <w:t xml:space="preserve">improve visibility and </w:t>
      </w:r>
      <w:r w:rsidRPr="00D00C99">
        <w:t>ensure contingent labour is managed more efficiently through stronger levels of governance</w:t>
      </w:r>
      <w:r w:rsidR="00ED15D8">
        <w:t xml:space="preserve"> and</w:t>
      </w:r>
      <w:r w:rsidRPr="00D00C99">
        <w:t xml:space="preserve"> improved reporting and supplier relationship management.</w:t>
      </w:r>
    </w:p>
    <w:p w14:paraId="13EF0B79" w14:textId="77777777" w:rsidR="00115057" w:rsidRDefault="00115057" w:rsidP="001C1181">
      <w:pPr>
        <w:pStyle w:val="Normal1"/>
      </w:pPr>
    </w:p>
    <w:p w14:paraId="3130BA6B" w14:textId="207EB34F" w:rsidR="0038456D" w:rsidRDefault="0038456D">
      <w:pPr>
        <w:rPr>
          <w:rFonts w:ascii="Calibri" w:hAnsi="Calibri" w:cs="Calibri"/>
          <w:b/>
          <w:color w:val="4D4D4D"/>
          <w:kern w:val="28"/>
          <w:sz w:val="26"/>
          <w:szCs w:val="22"/>
          <w:lang w:eastAsia="en-US"/>
        </w:rPr>
      </w:pPr>
      <w:r>
        <w:br w:type="page"/>
      </w:r>
    </w:p>
    <w:p w14:paraId="2CE9276C" w14:textId="15A9E130" w:rsidR="00491EC4" w:rsidRPr="0032016C" w:rsidRDefault="00491EC4" w:rsidP="00491EC4">
      <w:pPr>
        <w:pStyle w:val="Heading3NoNum"/>
      </w:pPr>
      <w:r w:rsidRPr="0032016C">
        <w:lastRenderedPageBreak/>
        <w:t>Workstream 5: Capability and streamlining processes, practices and leading change management</w:t>
      </w:r>
    </w:p>
    <w:p w14:paraId="079A1967" w14:textId="77777777" w:rsidR="00491EC4" w:rsidRPr="004C18E5" w:rsidRDefault="00491EC4" w:rsidP="004C18E5">
      <w:pPr>
        <w:pStyle w:val="Tablenote"/>
        <w:rPr>
          <w:rStyle w:val="SubtleEmphasis"/>
          <w:i w:val="0"/>
        </w:rPr>
      </w:pPr>
      <w:r w:rsidRPr="004C18E5">
        <w:rPr>
          <w:rStyle w:val="SubtleEmphasis"/>
        </w:rPr>
        <w:t>Previously Strategic Priority 2: Develop and implement a procurement capability strategy across people, processes and systems</w:t>
      </w:r>
    </w:p>
    <w:p w14:paraId="3DCD3C9D" w14:textId="1A8B0718" w:rsidR="00491EC4" w:rsidRPr="00A75F5E" w:rsidRDefault="00491EC4" w:rsidP="00491EC4">
      <w:pPr>
        <w:pStyle w:val="Normal1"/>
      </w:pPr>
      <w:r>
        <w:t xml:space="preserve">In the </w:t>
      </w:r>
      <w:r w:rsidR="00C538A2">
        <w:t>p</w:t>
      </w:r>
      <w:r>
        <w:t>ast year, w</w:t>
      </w:r>
      <w:r w:rsidRPr="0089278C">
        <w:t xml:space="preserve">e </w:t>
      </w:r>
      <w:r>
        <w:t xml:space="preserve">started work on a </w:t>
      </w:r>
      <w:r w:rsidRPr="00A75F5E">
        <w:t xml:space="preserve">government buyer capability </w:t>
      </w:r>
      <w:r>
        <w:t>strategy</w:t>
      </w:r>
      <w:r w:rsidR="00C538A2">
        <w:t>, which</w:t>
      </w:r>
      <w:r w:rsidRPr="00A75F5E">
        <w:t xml:space="preserve"> </w:t>
      </w:r>
      <w:r>
        <w:t xml:space="preserve">sits across all five workstreams to ensure we can </w:t>
      </w:r>
      <w:r w:rsidRPr="00963AAA">
        <w:t xml:space="preserve">successfully implement the changes </w:t>
      </w:r>
      <w:r>
        <w:t xml:space="preserve">under </w:t>
      </w:r>
      <w:r w:rsidRPr="00A75F5E">
        <w:t>each stream.</w:t>
      </w:r>
    </w:p>
    <w:p w14:paraId="059B35B8" w14:textId="621E8E39" w:rsidR="00491EC4" w:rsidRPr="0096588C" w:rsidRDefault="00491EC4" w:rsidP="00491EC4">
      <w:pPr>
        <w:pStyle w:val="Normal1"/>
      </w:pPr>
      <w:r>
        <w:t>Together with CPOs, we had previously started work on a</w:t>
      </w:r>
      <w:r w:rsidRPr="00A75F5E">
        <w:t xml:space="preserve"> capability program designed to increase </w:t>
      </w:r>
      <w:r>
        <w:t xml:space="preserve">the </w:t>
      </w:r>
      <w:r w:rsidRPr="00A75F5E">
        <w:t xml:space="preserve">skills and expertise of government procurement professionals and </w:t>
      </w:r>
      <w:r>
        <w:t>forge</w:t>
      </w:r>
      <w:r w:rsidRPr="00A75F5E">
        <w:t xml:space="preserve"> a career path </w:t>
      </w:r>
      <w:r w:rsidRPr="001A7F44">
        <w:t>for these professionals, to give us a flexible, capable government procurement workforce.</w:t>
      </w:r>
      <w:r>
        <w:t xml:space="preserve"> This strategy</w:t>
      </w:r>
      <w:r w:rsidRPr="001A7F44">
        <w:t xml:space="preserve"> </w:t>
      </w:r>
      <w:r w:rsidR="001C1181">
        <w:t>was</w:t>
      </w:r>
      <w:r w:rsidRPr="001A7F44">
        <w:t xml:space="preserve"> informed </w:t>
      </w:r>
      <w:r>
        <w:t xml:space="preserve">by the capability </w:t>
      </w:r>
      <w:r w:rsidRPr="007D4482">
        <w:t xml:space="preserve">gap </w:t>
      </w:r>
      <w:r>
        <w:t>analysis completed last year.</w:t>
      </w:r>
    </w:p>
    <w:p w14:paraId="2E688FCA" w14:textId="77777777" w:rsidR="00491EC4" w:rsidRDefault="00491EC4" w:rsidP="00491EC4">
      <w:pPr>
        <w:pStyle w:val="Normal1"/>
      </w:pPr>
      <w:r w:rsidRPr="0096588C">
        <w:t xml:space="preserve">This draft capability program will now be revised </w:t>
      </w:r>
      <w:r>
        <w:t xml:space="preserve">with new activities and projects to </w:t>
      </w:r>
      <w:r w:rsidRPr="0096588C">
        <w:t>uplift individual and organisational procurement capability across people, process</w:t>
      </w:r>
      <w:r>
        <w:t>es</w:t>
      </w:r>
      <w:r w:rsidRPr="0096588C">
        <w:t xml:space="preserve"> and systems, </w:t>
      </w:r>
      <w:r>
        <w:t xml:space="preserve">to </w:t>
      </w:r>
      <w:r w:rsidRPr="0096588C">
        <w:t>support the five workstreams.</w:t>
      </w:r>
      <w:r>
        <w:t xml:space="preserve"> Capability uplift and change is a key enabler for the success of each workstream.</w:t>
      </w:r>
    </w:p>
    <w:p w14:paraId="7C60F7D8" w14:textId="77777777" w:rsidR="00491EC4" w:rsidRPr="00E20500" w:rsidRDefault="00491EC4" w:rsidP="00491EC4">
      <w:pPr>
        <w:pStyle w:val="Normal1"/>
      </w:pPr>
      <w:r w:rsidRPr="0096588C">
        <w:t xml:space="preserve">The </w:t>
      </w:r>
      <w:r>
        <w:t xml:space="preserve">intent of this </w:t>
      </w:r>
      <w:r w:rsidRPr="0096588C">
        <w:t xml:space="preserve">program </w:t>
      </w:r>
      <w:r>
        <w:t xml:space="preserve">is to develop </w:t>
      </w:r>
      <w:r w:rsidRPr="0096588C">
        <w:t xml:space="preserve">an agile, resourceful, adept and versatile approach </w:t>
      </w:r>
      <w:r w:rsidRPr="00A75F5E">
        <w:t>to government procurement delivering the best value-</w:t>
      </w:r>
      <w:r w:rsidRPr="00ED2352">
        <w:t>for-money outcome</w:t>
      </w:r>
      <w:r w:rsidRPr="00E20500">
        <w:t>s.</w:t>
      </w:r>
    </w:p>
    <w:p w14:paraId="2F1113E7" w14:textId="29024B03" w:rsidR="00491EC4" w:rsidRDefault="001C1181" w:rsidP="00491EC4">
      <w:pPr>
        <w:pStyle w:val="Normal1"/>
      </w:pPr>
      <w:r>
        <w:t>To support this, w</w:t>
      </w:r>
      <w:r w:rsidR="00491EC4" w:rsidRPr="0089278C">
        <w:t xml:space="preserve">e hosted </w:t>
      </w:r>
      <w:r w:rsidR="00491EC4" w:rsidRPr="00343D30">
        <w:t xml:space="preserve">three community of practice </w:t>
      </w:r>
      <w:r w:rsidR="00491EC4" w:rsidRPr="00A42749">
        <w:t>procurement</w:t>
      </w:r>
      <w:r w:rsidR="00491EC4" w:rsidRPr="00343D30">
        <w:t xml:space="preserve"> forums for general government </w:t>
      </w:r>
      <w:r w:rsidR="00491EC4">
        <w:t xml:space="preserve">sector </w:t>
      </w:r>
      <w:r w:rsidR="00491EC4" w:rsidRPr="00343D30">
        <w:t>buyers. The</w:t>
      </w:r>
      <w:r w:rsidR="00491EC4">
        <w:t xml:space="preserve">se </w:t>
      </w:r>
      <w:r w:rsidR="00491EC4" w:rsidRPr="00343D30">
        <w:t xml:space="preserve">forums </w:t>
      </w:r>
      <w:r w:rsidR="00491EC4">
        <w:t xml:space="preserve">give </w:t>
      </w:r>
      <w:r w:rsidR="00491EC4" w:rsidRPr="00343D30">
        <w:t xml:space="preserve">buyers </w:t>
      </w:r>
      <w:r w:rsidR="00491EC4">
        <w:t xml:space="preserve">the chance </w:t>
      </w:r>
      <w:r w:rsidR="00491EC4" w:rsidRPr="00343D30">
        <w:t xml:space="preserve">to </w:t>
      </w:r>
      <w:r w:rsidR="00491EC4">
        <w:t>grow their procurement network and share</w:t>
      </w:r>
      <w:r w:rsidR="00491EC4" w:rsidRPr="00343D30">
        <w:t xml:space="preserve"> ideas on</w:t>
      </w:r>
      <w:r w:rsidR="00491EC4" w:rsidRPr="00301B6B">
        <w:t xml:space="preserve"> procurement policy and practice.</w:t>
      </w:r>
    </w:p>
    <w:p w14:paraId="3D355744" w14:textId="114BE4A9" w:rsidR="00491EC4" w:rsidRDefault="00491EC4" w:rsidP="00491EC4">
      <w:pPr>
        <w:pStyle w:val="Normal1"/>
      </w:pPr>
      <w:r>
        <w:t>Topics covered during the year included introducing the Supplier Code of Conduct, social procurement and how buyers can make small changes to procurement processes to generate a positive impact. We also had a lengthy panel discussion on the importance of probity, where we worked through some case studies.</w:t>
      </w:r>
    </w:p>
    <w:p w14:paraId="42619715" w14:textId="38273BCE" w:rsidR="00491EC4" w:rsidRPr="00343D30" w:rsidRDefault="00491EC4" w:rsidP="00491EC4">
      <w:pPr>
        <w:pStyle w:val="Heading2NoNum"/>
      </w:pPr>
      <w:bookmarkStart w:id="20" w:name="_Toc524354054"/>
      <w:r w:rsidRPr="0089278C">
        <w:t>What</w:t>
      </w:r>
      <w:r>
        <w:t xml:space="preserve">’s new in this </w:t>
      </w:r>
      <w:bookmarkStart w:id="21" w:name="_Toc478646703"/>
      <w:r w:rsidRPr="00343D30">
        <w:t xml:space="preserve">annual </w:t>
      </w:r>
      <w:bookmarkEnd w:id="21"/>
      <w:r w:rsidRPr="00343D30">
        <w:t>report?</w:t>
      </w:r>
      <w:bookmarkEnd w:id="20"/>
    </w:p>
    <w:p w14:paraId="34EDD021" w14:textId="77777777" w:rsidR="00491EC4" w:rsidRDefault="00491EC4" w:rsidP="00491EC4">
      <w:pPr>
        <w:pStyle w:val="Normal1"/>
        <w:rPr>
          <w:lang w:eastAsia="en-US"/>
        </w:rPr>
      </w:pPr>
      <w:r>
        <w:rPr>
          <w:lang w:eastAsia="en-US"/>
        </w:rPr>
        <w:t>We made the following changes to this annual report:</w:t>
      </w:r>
    </w:p>
    <w:p w14:paraId="4E6A828E" w14:textId="4AFBB7C3" w:rsidR="00344D86" w:rsidRDefault="00344D86" w:rsidP="00344D86">
      <w:pPr>
        <w:pStyle w:val="Bullet1"/>
      </w:pPr>
      <w:r>
        <w:t xml:space="preserve">Our year in review now aligns to the five </w:t>
      </w:r>
      <w:r w:rsidR="000C3B64">
        <w:t xml:space="preserve">new </w:t>
      </w:r>
      <w:r>
        <w:t xml:space="preserve">workstreams instead of the five strategic priorities as we adjusted our direction to meet the </w:t>
      </w:r>
      <w:r w:rsidR="006160BA">
        <w:t>needs of our buyers and suppliers.</w:t>
      </w:r>
    </w:p>
    <w:p w14:paraId="7EC1F20F" w14:textId="64C40B75" w:rsidR="00BF3EDE" w:rsidRPr="00CD6245" w:rsidRDefault="00820DB7" w:rsidP="00E41631">
      <w:pPr>
        <w:pStyle w:val="Bullet1"/>
      </w:pPr>
      <w:r>
        <w:t>CenITex</w:t>
      </w:r>
      <w:r w:rsidR="00491EC4">
        <w:t xml:space="preserve"> </w:t>
      </w:r>
      <w:r w:rsidR="00BB7493">
        <w:t>is</w:t>
      </w:r>
      <w:r w:rsidR="00491EC4">
        <w:t xml:space="preserve"> now reporting directly to the VGPB. Their procurement profile and procurement data are included in this report.</w:t>
      </w:r>
    </w:p>
    <w:p w14:paraId="71701F3C" w14:textId="77777777" w:rsidR="00D7446B" w:rsidRPr="00CD6245" w:rsidRDefault="004F5AC8" w:rsidP="00EF757E">
      <w:pPr>
        <w:pStyle w:val="Heading1NoNum"/>
      </w:pPr>
      <w:bookmarkStart w:id="22" w:name="_Toc366693307"/>
      <w:bookmarkStart w:id="23" w:name="_Toc524354055"/>
      <w:bookmarkStart w:id="24" w:name="_Hlk520464781"/>
      <w:bookmarkEnd w:id="11"/>
      <w:r w:rsidRPr="00CD6245">
        <w:lastRenderedPageBreak/>
        <w:t>A</w:t>
      </w:r>
      <w:r w:rsidR="006E0F6C" w:rsidRPr="00CD6245">
        <w:t>bout the</w:t>
      </w:r>
      <w:r w:rsidR="009B5B7C" w:rsidRPr="00CD6245">
        <w:t xml:space="preserve"> VGPB</w:t>
      </w:r>
      <w:bookmarkEnd w:id="22"/>
      <w:bookmarkEnd w:id="23"/>
    </w:p>
    <w:p w14:paraId="23135230" w14:textId="64B10719" w:rsidR="00D02061" w:rsidRDefault="00D02061" w:rsidP="004412D4">
      <w:pPr>
        <w:pStyle w:val="Heading2NoNum"/>
      </w:pPr>
      <w:bookmarkStart w:id="25" w:name="_Toc524354056"/>
      <w:bookmarkStart w:id="26" w:name="_Toc366693308"/>
      <w:bookmarkStart w:id="27" w:name="_Toc388705843"/>
      <w:r>
        <w:t>Wh</w:t>
      </w:r>
      <w:r w:rsidR="006F3747">
        <w:t xml:space="preserve">o </w:t>
      </w:r>
      <w:r w:rsidR="0078371C">
        <w:t>we are</w:t>
      </w:r>
      <w:bookmarkEnd w:id="25"/>
    </w:p>
    <w:p w14:paraId="75B23D02" w14:textId="0B0421C3" w:rsidR="00D02061" w:rsidRDefault="00D02061" w:rsidP="00E41631">
      <w:pPr>
        <w:pStyle w:val="Normal1"/>
      </w:pPr>
      <w:r>
        <w:t>We are</w:t>
      </w:r>
      <w:r w:rsidR="00063341">
        <w:t xml:space="preserve"> a Victorian Government-</w:t>
      </w:r>
      <w:r w:rsidR="009F7560" w:rsidRPr="00DC3598">
        <w:t>owned bo</w:t>
      </w:r>
      <w:r w:rsidR="004C1F77">
        <w:t xml:space="preserve">dy corporate established under </w:t>
      </w:r>
      <w:r w:rsidR="009F7560" w:rsidRPr="00DC3598">
        <w:t xml:space="preserve">the </w:t>
      </w:r>
      <w:r w:rsidR="009F7560" w:rsidRPr="00DC3598">
        <w:rPr>
          <w:i/>
        </w:rPr>
        <w:t>Financial Management Act 1994</w:t>
      </w:r>
      <w:r>
        <w:t>. We set the policies that govern procurement of non-construction goods and services across all Victorian Government departments and some public bodies.</w:t>
      </w:r>
    </w:p>
    <w:p w14:paraId="4E8B758D" w14:textId="5B81A835" w:rsidR="009F7560" w:rsidRDefault="00D02061" w:rsidP="00D02061">
      <w:pPr>
        <w:pStyle w:val="Heading2NoNum"/>
      </w:pPr>
      <w:bookmarkStart w:id="28" w:name="_Toc524354057"/>
      <w:r>
        <w:t>Our role</w:t>
      </w:r>
      <w:bookmarkEnd w:id="28"/>
    </w:p>
    <w:p w14:paraId="181EE35B" w14:textId="04439481" w:rsidR="0007325F" w:rsidRPr="0007325F" w:rsidRDefault="0007325F" w:rsidP="0007325F">
      <w:pPr>
        <w:pStyle w:val="Normal1"/>
        <w:rPr>
          <w:lang w:eastAsia="en-US"/>
        </w:rPr>
      </w:pPr>
      <w:r>
        <w:rPr>
          <w:lang w:eastAsia="en-US"/>
        </w:rPr>
        <w:t>We:</w:t>
      </w:r>
    </w:p>
    <w:p w14:paraId="572989B3" w14:textId="4315AE7D" w:rsidR="009F7560" w:rsidRDefault="009F7560" w:rsidP="0007325F">
      <w:pPr>
        <w:pStyle w:val="Bullet1"/>
      </w:pPr>
      <w:r w:rsidRPr="00CD6245">
        <w:t>develop, implement and review</w:t>
      </w:r>
      <w:r>
        <w:t xml:space="preserve"> supply</w:t>
      </w:r>
      <w:r w:rsidRPr="00CD6245">
        <w:t xml:space="preserve"> policies and practices</w:t>
      </w:r>
      <w:r w:rsidR="0007325F">
        <w:t>;</w:t>
      </w:r>
    </w:p>
    <w:p w14:paraId="6F946BF2" w14:textId="31D3C029" w:rsidR="009F7560" w:rsidRDefault="009F7560" w:rsidP="0007325F">
      <w:pPr>
        <w:pStyle w:val="Bullet1"/>
      </w:pPr>
      <w:r>
        <w:t>monitor compliance with supply policies</w:t>
      </w:r>
      <w:r w:rsidR="0007325F">
        <w:t>;</w:t>
      </w:r>
    </w:p>
    <w:p w14:paraId="2BFE0D8A" w14:textId="237FBB10" w:rsidR="009F7560" w:rsidRDefault="00EE3CCE" w:rsidP="0007325F">
      <w:pPr>
        <w:pStyle w:val="Bullet1"/>
      </w:pPr>
      <w:r>
        <w:t xml:space="preserve">help organisations build </w:t>
      </w:r>
      <w:r w:rsidR="009F7560">
        <w:t>procurement capability</w:t>
      </w:r>
      <w:r w:rsidR="0007325F">
        <w:t>;</w:t>
      </w:r>
    </w:p>
    <w:p w14:paraId="4C5A2CE4" w14:textId="39D461CD" w:rsidR="009F7560" w:rsidRDefault="009F7560" w:rsidP="0007325F">
      <w:pPr>
        <w:pStyle w:val="Bullet1"/>
      </w:pPr>
      <w:r>
        <w:t xml:space="preserve">provide </w:t>
      </w:r>
      <w:r w:rsidRPr="00CD6245">
        <w:t>oversight of major</w:t>
      </w:r>
      <w:r w:rsidR="001F5F02">
        <w:t xml:space="preserve"> strategic</w:t>
      </w:r>
      <w:r w:rsidRPr="00CD6245">
        <w:t xml:space="preserve"> </w:t>
      </w:r>
      <w:r>
        <w:t>procurements</w:t>
      </w:r>
      <w:r w:rsidR="0007325F">
        <w:t>; and</w:t>
      </w:r>
    </w:p>
    <w:p w14:paraId="124368B4" w14:textId="014511F4" w:rsidR="00EE3CCE" w:rsidRDefault="00D02061" w:rsidP="0007325F">
      <w:pPr>
        <w:pStyle w:val="Bullet1"/>
      </w:pPr>
      <w:r>
        <w:t xml:space="preserve">work </w:t>
      </w:r>
      <w:r w:rsidR="00B057A2">
        <w:t xml:space="preserve">with </w:t>
      </w:r>
      <w:r w:rsidR="00B057A2" w:rsidRPr="00C726F8">
        <w:t>stakeholders</w:t>
      </w:r>
      <w:r w:rsidR="00B057A2">
        <w:t xml:space="preserve"> to </w:t>
      </w:r>
      <w:bookmarkEnd w:id="26"/>
      <w:bookmarkEnd w:id="27"/>
      <w:r w:rsidR="00EE3CCE">
        <w:t>make procurement more efficient</w:t>
      </w:r>
      <w:r w:rsidR="00EE3CCE" w:rsidRPr="00C726F8">
        <w:t>.</w:t>
      </w:r>
    </w:p>
    <w:p w14:paraId="45B30427" w14:textId="66CAEF18" w:rsidR="000E3C4D" w:rsidRPr="000E3C4D" w:rsidRDefault="00D02061" w:rsidP="00EE3CCE">
      <w:pPr>
        <w:pStyle w:val="Heading2NoNum"/>
      </w:pPr>
      <w:bookmarkStart w:id="29" w:name="_Toc524354058"/>
      <w:r>
        <w:t>Our v</w:t>
      </w:r>
      <w:r w:rsidR="000E3C4D">
        <w:t>ision</w:t>
      </w:r>
      <w:bookmarkEnd w:id="29"/>
    </w:p>
    <w:p w14:paraId="0C20D7A0" w14:textId="1F245143" w:rsidR="004A6A11" w:rsidRDefault="00D02061" w:rsidP="00E41631">
      <w:pPr>
        <w:pStyle w:val="Normal1"/>
      </w:pPr>
      <w:r>
        <w:t>T</w:t>
      </w:r>
      <w:r w:rsidR="004A6A11" w:rsidRPr="00CD6245">
        <w:t>o provide leadership in government procurement of goods and services to deliver value</w:t>
      </w:r>
      <w:r w:rsidR="00EA4A29" w:rsidRPr="00CD6245">
        <w:t>-</w:t>
      </w:r>
      <w:r w:rsidR="004A6A11" w:rsidRPr="00CD6245">
        <w:t>for</w:t>
      </w:r>
      <w:r w:rsidR="00EA4A29" w:rsidRPr="00CD6245">
        <w:t>-</w:t>
      </w:r>
      <w:r w:rsidR="004A6A11" w:rsidRPr="00CD6245">
        <w:t>money outcomes for Victoria.</w:t>
      </w:r>
    </w:p>
    <w:p w14:paraId="6975C8F3" w14:textId="4F4E2A24" w:rsidR="000E3C4D" w:rsidRPr="00CD6245" w:rsidRDefault="00D02061" w:rsidP="004412D4">
      <w:pPr>
        <w:pStyle w:val="Heading2NoNum"/>
      </w:pPr>
      <w:bookmarkStart w:id="30" w:name="_Toc524354059"/>
      <w:r>
        <w:t>Our m</w:t>
      </w:r>
      <w:r w:rsidR="000E3C4D">
        <w:t>ission</w:t>
      </w:r>
      <w:bookmarkEnd w:id="30"/>
    </w:p>
    <w:p w14:paraId="62FCDA82" w14:textId="7645BEF4" w:rsidR="004A6A11" w:rsidRPr="00CD6245" w:rsidRDefault="00D02061" w:rsidP="00E41631">
      <w:pPr>
        <w:pStyle w:val="Normal1"/>
      </w:pPr>
      <w:r>
        <w:t>T</w:t>
      </w:r>
      <w:r w:rsidR="004A6A11" w:rsidRPr="00CD6245">
        <w:t>o ensure government:</w:t>
      </w:r>
    </w:p>
    <w:p w14:paraId="19578EB6" w14:textId="77777777" w:rsidR="004A6A11" w:rsidRPr="00CD6245" w:rsidRDefault="004A6A11" w:rsidP="004A6A11">
      <w:pPr>
        <w:pStyle w:val="Bullet1"/>
      </w:pPr>
      <w:r w:rsidRPr="00CD6245">
        <w:t>develops procurement capability;</w:t>
      </w:r>
    </w:p>
    <w:p w14:paraId="4F0A9BA8" w14:textId="77777777" w:rsidR="004A6A11" w:rsidRPr="00CD6245" w:rsidRDefault="004A6A11" w:rsidP="004A6A11">
      <w:pPr>
        <w:pStyle w:val="Bullet1"/>
      </w:pPr>
      <w:r w:rsidRPr="00CD6245">
        <w:t>delivers value</w:t>
      </w:r>
      <w:r w:rsidR="00EA4A29" w:rsidRPr="00CD6245">
        <w:t>-</w:t>
      </w:r>
      <w:r w:rsidRPr="00CD6245">
        <w:t>for</w:t>
      </w:r>
      <w:r w:rsidR="00EA4A29" w:rsidRPr="00CD6245">
        <w:t>-</w:t>
      </w:r>
      <w:r w:rsidRPr="00CD6245">
        <w:t>money and fit-for-purpose outcomes;</w:t>
      </w:r>
    </w:p>
    <w:p w14:paraId="65025711" w14:textId="77777777" w:rsidR="004A6A11" w:rsidRPr="00CD6245" w:rsidRDefault="004A6A11" w:rsidP="004A6A11">
      <w:pPr>
        <w:pStyle w:val="Bullet1"/>
      </w:pPr>
      <w:r w:rsidRPr="00CD6245">
        <w:t>minimises risk; and</w:t>
      </w:r>
    </w:p>
    <w:p w14:paraId="25D31B9E" w14:textId="77777777" w:rsidR="004A6A11" w:rsidRPr="00CD6245" w:rsidRDefault="004A6A11" w:rsidP="004A6A11">
      <w:pPr>
        <w:pStyle w:val="Bullet1"/>
      </w:pPr>
      <w:r w:rsidRPr="00CD6245">
        <w:t>enables access to procurement opportunities for all businesses.</w:t>
      </w:r>
    </w:p>
    <w:p w14:paraId="6CAD6837" w14:textId="503287F2" w:rsidR="004A6A11" w:rsidRPr="00CD6245" w:rsidRDefault="004A6A11" w:rsidP="004A6A11">
      <w:pPr>
        <w:pStyle w:val="Heading2NoNum"/>
      </w:pPr>
      <w:bookmarkStart w:id="31" w:name="_Toc366693312"/>
      <w:bookmarkStart w:id="32" w:name="_Toc388705847"/>
      <w:bookmarkStart w:id="33" w:name="_Toc524354060"/>
      <w:r w:rsidRPr="00CD6245">
        <w:t xml:space="preserve">Scope of </w:t>
      </w:r>
      <w:r w:rsidR="0078371C">
        <w:t>our</w:t>
      </w:r>
      <w:r w:rsidRPr="00CD6245">
        <w:t xml:space="preserve"> policies</w:t>
      </w:r>
      <w:bookmarkEnd w:id="31"/>
      <w:bookmarkEnd w:id="32"/>
      <w:bookmarkEnd w:id="33"/>
    </w:p>
    <w:p w14:paraId="402B5786" w14:textId="67FE63F0" w:rsidR="0070744B" w:rsidRDefault="00121FF5" w:rsidP="0070744B">
      <w:pPr>
        <w:pStyle w:val="Normal1"/>
      </w:pPr>
      <w:r>
        <w:t>Our</w:t>
      </w:r>
      <w:r w:rsidR="0070744B">
        <w:t xml:space="preserve"> </w:t>
      </w:r>
      <w:r w:rsidR="004A6A11" w:rsidRPr="0070744B">
        <w:t xml:space="preserve">policies apply to </w:t>
      </w:r>
      <w:r w:rsidR="0070744B" w:rsidRPr="0070744B">
        <w:t>all Victorian Government departments</w:t>
      </w:r>
      <w:r w:rsidR="00AD09F4">
        <w:t xml:space="preserve"> </w:t>
      </w:r>
      <w:r w:rsidR="0070744B" w:rsidRPr="0070744B">
        <w:t xml:space="preserve">and </w:t>
      </w:r>
      <w:r w:rsidR="0070744B">
        <w:t>any</w:t>
      </w:r>
      <w:r w:rsidR="0070744B" w:rsidRPr="0070744B">
        <w:t xml:space="preserve"> entities specified by the </w:t>
      </w:r>
      <w:r w:rsidR="00C06304" w:rsidRPr="0070744B">
        <w:t>Governor in Council (</w:t>
      </w:r>
      <w:r w:rsidR="00820DB7">
        <w:t>CenITex</w:t>
      </w:r>
      <w:r w:rsidR="00977E9D">
        <w:t xml:space="preserve">, </w:t>
      </w:r>
      <w:r w:rsidR="00C06304" w:rsidRPr="0070744B">
        <w:t xml:space="preserve">VicRoads and </w:t>
      </w:r>
      <w:r w:rsidR="00E07086">
        <w:t>P</w:t>
      </w:r>
      <w:r w:rsidR="00602DB7">
        <w:t>ublic Transport Victoria</w:t>
      </w:r>
      <w:r w:rsidR="00C06304" w:rsidRPr="0070744B">
        <w:t>).</w:t>
      </w:r>
      <w:r w:rsidR="0070744B" w:rsidRPr="0070744B">
        <w:t xml:space="preserve"> </w:t>
      </w:r>
      <w:r w:rsidR="00820DB7">
        <w:t>CenITex</w:t>
      </w:r>
      <w:r w:rsidR="00602DB7" w:rsidDel="00602DB7">
        <w:t xml:space="preserve"> </w:t>
      </w:r>
      <w:r w:rsidR="0070744B" w:rsidRPr="00CD6245">
        <w:t xml:space="preserve">was granted VGPB accreditation effective </w:t>
      </w:r>
      <w:r w:rsidR="0070744B" w:rsidRPr="004A0C4C">
        <w:t>1 J</w:t>
      </w:r>
      <w:r w:rsidR="00977E9D" w:rsidRPr="004A0C4C">
        <w:t>uly</w:t>
      </w:r>
      <w:r w:rsidR="0070744B" w:rsidRPr="004A0C4C">
        <w:t xml:space="preserve"> 2017.</w:t>
      </w:r>
    </w:p>
    <w:p w14:paraId="276EA985" w14:textId="1F4583B1" w:rsidR="00C06304" w:rsidRDefault="00121FF5" w:rsidP="0070744B">
      <w:pPr>
        <w:pStyle w:val="Normal1"/>
      </w:pPr>
      <w:r>
        <w:t>Our</w:t>
      </w:r>
      <w:r w:rsidR="0070744B" w:rsidRPr="0070744B">
        <w:t xml:space="preserve"> policies also apply to the offices or bodies specified in </w:t>
      </w:r>
      <w:r w:rsidR="00063341">
        <w:t>s</w:t>
      </w:r>
      <w:r w:rsidR="0070744B" w:rsidRPr="0070744B">
        <w:t xml:space="preserve">ection 16(1) of the </w:t>
      </w:r>
      <w:r w:rsidR="0070744B" w:rsidRPr="0070744B">
        <w:rPr>
          <w:i/>
        </w:rPr>
        <w:t>Public Administration Act 2004</w:t>
      </w:r>
      <w:r w:rsidR="0070744B" w:rsidRPr="0070744B">
        <w:t xml:space="preserve">. </w:t>
      </w:r>
      <w:r w:rsidR="00A30EEE">
        <w:t>These o</w:t>
      </w:r>
      <w:r w:rsidR="0070744B" w:rsidRPr="0070744B">
        <w:t>ffices report</w:t>
      </w:r>
      <w:r w:rsidR="00C06304" w:rsidRPr="0070744B">
        <w:t xml:space="preserve"> to the VGPB via their portfolio department, except for the Office of the Chief Commissioner of Police (Victoria Police), wh</w:t>
      </w:r>
      <w:r w:rsidR="00977E9D">
        <w:t>ich</w:t>
      </w:r>
      <w:r w:rsidR="00C06304" w:rsidRPr="0070744B">
        <w:t xml:space="preserve"> report</w:t>
      </w:r>
      <w:r w:rsidR="00063341">
        <w:t>s</w:t>
      </w:r>
      <w:r w:rsidR="00C06304" w:rsidRPr="0070744B">
        <w:t xml:space="preserve"> directly to the VGPB.</w:t>
      </w:r>
    </w:p>
    <w:p w14:paraId="031FF107" w14:textId="06DA742E" w:rsidR="0070744B" w:rsidRPr="0070744B" w:rsidRDefault="0070744B" w:rsidP="0070744B">
      <w:pPr>
        <w:pStyle w:val="Normal1"/>
      </w:pPr>
      <w:r>
        <w:t xml:space="preserve">The </w:t>
      </w:r>
      <w:r w:rsidRPr="0070744B">
        <w:t>V</w:t>
      </w:r>
      <w:r>
        <w:t>i</w:t>
      </w:r>
      <w:r w:rsidRPr="0070744B">
        <w:t>ctorian Public Sector Commission</w:t>
      </w:r>
      <w:r>
        <w:t xml:space="preserve"> is also subject to VGPB policies but does not report directly to </w:t>
      </w:r>
      <w:r w:rsidR="00121FF5">
        <w:t>us</w:t>
      </w:r>
      <w:r>
        <w:t>.</w:t>
      </w:r>
    </w:p>
    <w:p w14:paraId="7F3E35B1" w14:textId="2E805728" w:rsidR="00BC7D91" w:rsidRDefault="00BC7D91" w:rsidP="00E41631">
      <w:pPr>
        <w:pStyle w:val="Normal1"/>
      </w:pPr>
      <w:r>
        <w:t xml:space="preserve">For a list of </w:t>
      </w:r>
      <w:r w:rsidR="006646F6">
        <w:t>organisations bou</w:t>
      </w:r>
      <w:r w:rsidR="00063341">
        <w:t xml:space="preserve">nd by VGPB policy, refer to </w:t>
      </w:r>
      <w:hyperlink r:id="rId21" w:history="1">
        <w:r w:rsidR="00063341">
          <w:rPr>
            <w:rStyle w:val="Hyperlink"/>
          </w:rPr>
          <w:t>procurement.vic.gov.au/About-the-VGPB/Scope-of-Policies</w:t>
        </w:r>
      </w:hyperlink>
      <w:r w:rsidR="006646F6">
        <w:t>.</w:t>
      </w:r>
    </w:p>
    <w:p w14:paraId="54B5EDFF" w14:textId="2FA4D69B" w:rsidR="008D6C04" w:rsidRPr="00CD6245" w:rsidRDefault="008D6C04" w:rsidP="008D6C04">
      <w:pPr>
        <w:pStyle w:val="Heading2NoNum"/>
      </w:pPr>
      <w:bookmarkStart w:id="34" w:name="_Toc366693314"/>
      <w:bookmarkStart w:id="35" w:name="_Toc388705849"/>
      <w:bookmarkStart w:id="36" w:name="_Toc524354061"/>
      <w:bookmarkStart w:id="37" w:name="_Hlk520789151"/>
      <w:r w:rsidRPr="00CD6245">
        <w:lastRenderedPageBreak/>
        <w:t>Reporting</w:t>
      </w:r>
      <w:bookmarkEnd w:id="34"/>
      <w:bookmarkEnd w:id="35"/>
      <w:bookmarkEnd w:id="36"/>
    </w:p>
    <w:p w14:paraId="62784007" w14:textId="22781CA4" w:rsidR="008D6C04" w:rsidRDefault="008D6C04" w:rsidP="008D6C04">
      <w:pPr>
        <w:pStyle w:val="Normal1"/>
      </w:pPr>
      <w:r>
        <w:t>We</w:t>
      </w:r>
      <w:r w:rsidRPr="00CD6245">
        <w:t xml:space="preserve"> report to the Minister for Finance. </w:t>
      </w:r>
      <w:r>
        <w:t xml:space="preserve">We are supported by our secretariat in the </w:t>
      </w:r>
      <w:r w:rsidRPr="00CD6245">
        <w:t>Departmen</w:t>
      </w:r>
      <w:r>
        <w:t>t of Treasury and Finance.</w:t>
      </w:r>
    </w:p>
    <w:p w14:paraId="45B321DB" w14:textId="7AFB76B4" w:rsidR="00190E27" w:rsidRDefault="007118B6" w:rsidP="00190E27">
      <w:pPr>
        <w:pStyle w:val="Normal1"/>
      </w:pPr>
      <w:bookmarkStart w:id="38" w:name="_Toc366693315"/>
      <w:bookmarkStart w:id="39" w:name="_Toc388705850"/>
      <w:bookmarkStart w:id="40" w:name="_Hlk487882055"/>
      <w:bookmarkEnd w:id="37"/>
      <w:r>
        <w:t>Departments and accredited specified entities report directly to us on their procurement activities</w:t>
      </w:r>
      <w:r w:rsidR="006C608D">
        <w:t xml:space="preserve">, as shown in </w:t>
      </w:r>
      <w:r w:rsidR="006C608D">
        <w:fldChar w:fldCharType="begin"/>
      </w:r>
      <w:r w:rsidR="006C608D">
        <w:instrText xml:space="preserve"> REF _Ref520972785 \h </w:instrText>
      </w:r>
      <w:r w:rsidR="006C608D">
        <w:fldChar w:fldCharType="separate"/>
      </w:r>
      <w:r w:rsidR="00A07703">
        <w:t xml:space="preserve">Figure </w:t>
      </w:r>
      <w:r w:rsidR="00A07703">
        <w:rPr>
          <w:noProof/>
        </w:rPr>
        <w:t>2</w:t>
      </w:r>
      <w:r w:rsidR="006C608D">
        <w:fldChar w:fldCharType="end"/>
      </w:r>
      <w:r w:rsidR="006C608D">
        <w:t>.</w:t>
      </w:r>
    </w:p>
    <w:p w14:paraId="2800502C" w14:textId="083E908F" w:rsidR="009B04F5" w:rsidRDefault="007118B6" w:rsidP="00DA0454">
      <w:pPr>
        <w:pStyle w:val="Caption"/>
      </w:pPr>
      <w:bookmarkStart w:id="41" w:name="_Ref520972785"/>
      <w:bookmarkStart w:id="42" w:name="_Toc524354041"/>
      <w:r>
        <w:t xml:space="preserve">Figure </w:t>
      </w:r>
      <w:r>
        <w:rPr>
          <w:b w:val="0"/>
          <w:noProof/>
        </w:rPr>
        <w:fldChar w:fldCharType="begin"/>
      </w:r>
      <w:r>
        <w:rPr>
          <w:noProof/>
        </w:rPr>
        <w:instrText xml:space="preserve"> SEQ Figure \* ARABIC </w:instrText>
      </w:r>
      <w:r>
        <w:rPr>
          <w:b w:val="0"/>
          <w:noProof/>
        </w:rPr>
        <w:fldChar w:fldCharType="separate"/>
      </w:r>
      <w:r w:rsidR="00A07703">
        <w:rPr>
          <w:noProof/>
        </w:rPr>
        <w:t>2</w:t>
      </w:r>
      <w:r>
        <w:rPr>
          <w:b w:val="0"/>
          <w:noProof/>
        </w:rPr>
        <w:fldChar w:fldCharType="end"/>
      </w:r>
      <w:bookmarkEnd w:id="41"/>
      <w:r>
        <w:t>: VGPB reporting relationship</w:t>
      </w:r>
      <w:bookmarkEnd w:id="42"/>
    </w:p>
    <w:p w14:paraId="7827071A" w14:textId="5EB384F3" w:rsidR="007118B6" w:rsidRDefault="007118B6" w:rsidP="00DA0454">
      <w:pPr>
        <w:pStyle w:val="Caption"/>
      </w:pPr>
      <w:r>
        <w:rPr>
          <w:noProof/>
          <w:lang w:val="en-US" w:eastAsia="en-US"/>
        </w:rPr>
        <mc:AlternateContent>
          <mc:Choice Requires="wpc">
            <w:drawing>
              <wp:inline distT="0" distB="0" distL="0" distR="0" wp14:anchorId="50645581" wp14:editId="39F162D3">
                <wp:extent cx="5591175" cy="2349500"/>
                <wp:effectExtent l="0" t="0" r="0" b="12700"/>
                <wp:docPr id="37" name="Canvas 3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32" name="Rectangle: Rounded Corners 15"/>
                        <wps:cNvSpPr/>
                        <wps:spPr>
                          <a:xfrm>
                            <a:off x="342900" y="35999"/>
                            <a:ext cx="2533649" cy="571500"/>
                          </a:xfrm>
                          <a:prstGeom prst="roundRect">
                            <a:avLst/>
                          </a:prstGeom>
                        </wps:spPr>
                        <wps:style>
                          <a:lnRef idx="1">
                            <a:schemeClr val="accent1"/>
                          </a:lnRef>
                          <a:fillRef idx="3">
                            <a:schemeClr val="accent1"/>
                          </a:fillRef>
                          <a:effectRef idx="2">
                            <a:schemeClr val="accent1"/>
                          </a:effectRef>
                          <a:fontRef idx="minor">
                            <a:schemeClr val="lt1"/>
                          </a:fontRef>
                        </wps:style>
                        <wps:txbx>
                          <w:txbxContent>
                            <w:p w14:paraId="24E6F180" w14:textId="77777777" w:rsidR="001206E5" w:rsidRDefault="001206E5" w:rsidP="007118B6">
                              <w:pPr>
                                <w:jc w:val="center"/>
                              </w:pPr>
                              <w:r>
                                <w:t>Minister for Finance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 name="Rectangle: Rounded Corners 19"/>
                        <wps:cNvSpPr/>
                        <wps:spPr>
                          <a:xfrm>
                            <a:off x="333375" y="892273"/>
                            <a:ext cx="2571750" cy="533400"/>
                          </a:xfrm>
                          <a:prstGeom prst="roundRect">
                            <a:avLst/>
                          </a:prstGeom>
                        </wps:spPr>
                        <wps:style>
                          <a:lnRef idx="1">
                            <a:schemeClr val="accent1"/>
                          </a:lnRef>
                          <a:fillRef idx="3">
                            <a:schemeClr val="accent1"/>
                          </a:fillRef>
                          <a:effectRef idx="2">
                            <a:schemeClr val="accent1"/>
                          </a:effectRef>
                          <a:fontRef idx="minor">
                            <a:schemeClr val="lt1"/>
                          </a:fontRef>
                        </wps:style>
                        <wps:txbx>
                          <w:txbxContent>
                            <w:p w14:paraId="4ACB7C8A" w14:textId="77777777" w:rsidR="001206E5" w:rsidRDefault="001206E5" w:rsidP="007118B6">
                              <w:pPr>
                                <w:jc w:val="center"/>
                              </w:pPr>
                              <w:r>
                                <w:t>VGPB and Secretariat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 name="Rectangle: Rounded Corners 23"/>
                        <wps:cNvSpPr/>
                        <wps:spPr>
                          <a:xfrm>
                            <a:off x="361950" y="1693348"/>
                            <a:ext cx="2562225" cy="570525"/>
                          </a:xfrm>
                          <a:prstGeom prst="roundRect">
                            <a:avLst/>
                          </a:prstGeom>
                        </wps:spPr>
                        <wps:style>
                          <a:lnRef idx="1">
                            <a:schemeClr val="accent1"/>
                          </a:lnRef>
                          <a:fillRef idx="3">
                            <a:schemeClr val="accent1"/>
                          </a:fillRef>
                          <a:effectRef idx="2">
                            <a:schemeClr val="accent1"/>
                          </a:effectRef>
                          <a:fontRef idx="minor">
                            <a:schemeClr val="lt1"/>
                          </a:fontRef>
                        </wps:style>
                        <wps:txbx>
                          <w:txbxContent>
                            <w:p w14:paraId="7B758715" w14:textId="28B62692" w:rsidR="001206E5" w:rsidRDefault="001206E5" w:rsidP="007118B6">
                              <w:pPr>
                                <w:pStyle w:val="NormalWeb"/>
                                <w:spacing w:before="0" w:beforeAutospacing="0" w:after="0" w:afterAutospacing="0"/>
                                <w:jc w:val="center"/>
                              </w:pPr>
                              <w:r>
                                <w:rPr>
                                  <w:rFonts w:ascii="Arial" w:hAnsi="Arial"/>
                                </w:rPr>
                                <w:t>VGPB organisations</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5" name="Arrow: Up-Down 21"/>
                        <wps:cNvSpPr/>
                        <wps:spPr>
                          <a:xfrm>
                            <a:off x="1476375" y="559874"/>
                            <a:ext cx="276225" cy="381000"/>
                          </a:xfrm>
                          <a:prstGeom prst="upDownArrow">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 name="Arrow: Up-Down 26"/>
                        <wps:cNvSpPr/>
                        <wps:spPr>
                          <a:xfrm>
                            <a:off x="1457325" y="1349473"/>
                            <a:ext cx="276225" cy="381000"/>
                          </a:xfrm>
                          <a:prstGeom prst="upDownArrow">
                            <a:avLst/>
                          </a:prstGeom>
                        </wps:spPr>
                        <wps:style>
                          <a:lnRef idx="1">
                            <a:schemeClr val="accent1"/>
                          </a:lnRef>
                          <a:fillRef idx="3">
                            <a:schemeClr val="accent1"/>
                          </a:fillRef>
                          <a:effectRef idx="2">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c:wpc>
                  </a:graphicData>
                </a:graphic>
              </wp:inline>
            </w:drawing>
          </mc:Choice>
          <mc:Fallback>
            <w:pict>
              <v:group w14:anchorId="50645581" id="Canvas 37" o:spid="_x0000_s1036" editas="canvas" style="width:440.25pt;height:185pt;mso-position-horizontal-relative:char;mso-position-vertical-relative:line" coordsize="55911,23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">
                <v:shape id="_x0000_s1037" type="#_x0000_t75" style="position:absolute;width:55911;height:23495;visibility:visible;mso-wrap-style:square">
                  <v:fill o:detectmouseclick="t"/>
                  <v:path o:connecttype="none"/>
                </v:shape>
                <v:roundrect id="Rectangle: Rounded Corners 15" o:spid="_x0000_s1038" style="position:absolute;left:3429;top:359;width:25336;height:571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" fillcolor="#4f81bd [3204]" strokecolor="#4579b8 [3044]">
                  <v:fill color2="#a7bfde [1620]" rotate="t" angle="180" focus="100%" type="gradient">
                    <o:fill v:ext="view" type="gradientUnscaled"/>
                  </v:fill>
                  <v:shadow on="t" color="black" opacity="22937f" origin=",.5" offset="0,.63889mm"/>
                  <v:textbox>
                    <w:txbxContent>
                      <w:p w14:paraId="24E6F180" w14:textId="77777777" w:rsidR="001206E5" w:rsidRDefault="001206E5" w:rsidP="007118B6">
                        <w:pPr>
                          <w:jc w:val="center"/>
                        </w:pPr>
                        <w:r>
                          <w:t>Minister for Finance</w:t>
                        </w:r>
                      </w:p>
                    </w:txbxContent>
                  </v:textbox>
                </v:roundrect>
                <v:roundrect id="Rectangle: Rounded Corners 19" o:spid="_x0000_s1039" style="position:absolute;left:3333;top:8922;width:25718;height:533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" fillcolor="#4f81bd [3204]" strokecolor="#4579b8 [3044]">
                  <v:fill color2="#a7bfde [1620]" rotate="t" angle="180" focus="100%" type="gradient">
                    <o:fill v:ext="view" type="gradientUnscaled"/>
                  </v:fill>
                  <v:shadow on="t" color="black" opacity="22937f" origin=",.5" offset="0,.63889mm"/>
                  <v:textbox>
                    <w:txbxContent>
                      <w:p w14:paraId="4ACB7C8A" w14:textId="77777777" w:rsidR="001206E5" w:rsidRDefault="001206E5" w:rsidP="007118B6">
                        <w:pPr>
                          <w:jc w:val="center"/>
                        </w:pPr>
                        <w:r>
                          <w:t>VGPB and Secretariat</w:t>
                        </w:r>
                      </w:p>
                    </w:txbxContent>
                  </v:textbox>
                </v:roundrect>
                <v:roundrect id="Rectangle: Rounded Corners 23" o:spid="_x0000_s1040" style="position:absolute;left:3619;top:16933;width:25622;height:570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" fillcolor="#4f81bd [3204]" strokecolor="#4579b8 [3044]">
                  <v:fill color2="#a7bfde [1620]" rotate="t" angle="180" focus="100%" type="gradient">
                    <o:fill v:ext="view" type="gradientUnscaled"/>
                  </v:fill>
                  <v:shadow on="t" color="black" opacity="22937f" origin=",.5" offset="0,.63889mm"/>
                  <v:textbox>
                    <w:txbxContent>
                      <w:p w14:paraId="7B758715" w14:textId="28B62692" w:rsidR="001206E5" w:rsidRDefault="001206E5" w:rsidP="007118B6">
                        <w:pPr>
                          <w:pStyle w:val="NormalWeb"/>
                          <w:spacing w:before="0" w:beforeAutospacing="0" w:after="0" w:afterAutospacing="0"/>
                          <w:jc w:val="center"/>
                        </w:pPr>
                        <w:r>
                          <w:rPr>
                            <w:rFonts w:ascii="Arial" w:hAnsi="Arial"/>
                          </w:rPr>
                          <w:t>VGPB organisations</w:t>
                        </w:r>
                      </w:p>
                    </w:txbxContent>
                  </v:textbox>
                </v:roundrect>
                <v:shapetype id="_x0000_t70" coordsize="21600,21600" o:spt="70" adj="5400,4320" path="m10800,l21600@0@3@0@3@2,21600@2,10800,21600,0@2@1@2@1@0,0@0xe">
                  <v:stroke joinstyle="miter"/>
                  <v:formulas>
                    <v:f eqn="val #1"/>
                    <v:f eqn="val #0"/>
                    <v:f eqn="sum 21600 0 #1"/>
                    <v:f eqn="sum 21600 0 #0"/>
                    <v:f eqn="prod #1 #0 10800"/>
                    <v:f eqn="sum #1 0 @4"/>
                    <v:f eqn="sum 21600 0 @5"/>
                  </v:formulas>
                  <v:path o:connecttype="custom" o:connectlocs="10800,0;0,@0;@1,10800;0,@2;10800,21600;21600,@2;@3,10800;21600,@0" o:connectangles="270,180,180,180,90,0,0,0" textboxrect="@1,@5,@3,@6"/>
                  <v:handles>
                    <v:h position="#0,#1" xrange="0,10800" yrange="0,10800"/>
                  </v:handles>
                </v:shapetype>
                <v:shape id="Arrow: Up-Down 21" o:spid="_x0000_s1041" type="#_x0000_t70" style="position:absolute;left:14763;top:5598;width:2763;height:3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" adj=",7830" fillcolor="#4f81bd [3204]" strokecolor="#4579b8 [3044]">
                  <v:fill color2="#a7bfde [1620]" rotate="t" angle="180" focus="100%" type="gradient">
                    <o:fill v:ext="view" type="gradientUnscaled"/>
                  </v:fill>
                  <v:shadow on="t" color="black" opacity="22937f" origin=",.5" offset="0,.63889mm"/>
                </v:shape>
                <v:shape id="Arrow: Up-Down 26" o:spid="_x0000_s1042" type="#_x0000_t70" style="position:absolute;left:14573;top:13494;width:2762;height:3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" adj=",7830" fillcolor="#4f81bd [3204]" strokecolor="#4579b8 [3044]">
                  <v:fill color2="#a7bfde [1620]" rotate="t" angle="180" focus="100%" type="gradient">
                    <o:fill v:ext="view" type="gradientUnscaled"/>
                  </v:fill>
                  <v:shadow on="t" color="black" opacity="22937f" origin=",.5" offset="0,.63889mm"/>
                </v:shape>
                <w10:anchorlock/>
              </v:group>
            </w:pict>
          </mc:Fallback>
        </mc:AlternateContent>
      </w:r>
    </w:p>
    <w:p w14:paraId="0C1C410F" w14:textId="676CE731" w:rsidR="004A6A11" w:rsidRPr="00CD6245" w:rsidRDefault="00191AC5" w:rsidP="004A6A11">
      <w:pPr>
        <w:pStyle w:val="Heading2NoNum"/>
        <w:rPr>
          <w:lang w:val="en-GB"/>
        </w:rPr>
      </w:pPr>
      <w:bookmarkStart w:id="43" w:name="_Toc524354062"/>
      <w:r>
        <w:rPr>
          <w:lang w:val="en-GB"/>
        </w:rPr>
        <w:t>B</w:t>
      </w:r>
      <w:r w:rsidR="0078371C">
        <w:rPr>
          <w:lang w:val="en-GB"/>
        </w:rPr>
        <w:t>oard</w:t>
      </w:r>
      <w:r w:rsidR="004A6A11" w:rsidRPr="00CD6245">
        <w:rPr>
          <w:lang w:val="en-GB"/>
        </w:rPr>
        <w:t xml:space="preserve"> members</w:t>
      </w:r>
      <w:bookmarkEnd w:id="38"/>
      <w:bookmarkEnd w:id="39"/>
      <w:bookmarkEnd w:id="43"/>
    </w:p>
    <w:p w14:paraId="32F8A1AF" w14:textId="2097878F" w:rsidR="00450A27" w:rsidRPr="00CD6245" w:rsidRDefault="00121FF5" w:rsidP="00E41631">
      <w:pPr>
        <w:pStyle w:val="Normal1"/>
      </w:pPr>
      <w:r>
        <w:t xml:space="preserve">Our </w:t>
      </w:r>
      <w:r w:rsidR="00BA0159">
        <w:t>B</w:t>
      </w:r>
      <w:r>
        <w:t>oard</w:t>
      </w:r>
      <w:r w:rsidR="00450A27" w:rsidRPr="00CD6245">
        <w:t xml:space="preserve"> </w:t>
      </w:r>
      <w:r w:rsidR="00985ED6">
        <w:t>has</w:t>
      </w:r>
      <w:r w:rsidR="00450A27" w:rsidRPr="00CD6245">
        <w:t xml:space="preserve"> a chairperson and </w:t>
      </w:r>
      <w:r w:rsidR="00985ED6">
        <w:t>a</w:t>
      </w:r>
      <w:r w:rsidR="001F5F02">
        <w:t xml:space="preserve"> minimum of </w:t>
      </w:r>
      <w:r w:rsidR="00450A27" w:rsidRPr="00CD6245">
        <w:t>six other members. Board members are selected based on experience and expertise in procurement-related matters. They can be internal or external to government.</w:t>
      </w:r>
    </w:p>
    <w:p w14:paraId="77BF94A5" w14:textId="73A534D2" w:rsidR="00BA6038" w:rsidRDefault="007A405E" w:rsidP="00E41631">
      <w:pPr>
        <w:pStyle w:val="Normal1"/>
      </w:pPr>
      <w:r w:rsidRPr="00491EC4">
        <w:t xml:space="preserve">At </w:t>
      </w:r>
      <w:r w:rsidR="003C742D" w:rsidRPr="00491EC4">
        <w:t>30 June 201</w:t>
      </w:r>
      <w:r w:rsidR="00755429" w:rsidRPr="00491EC4">
        <w:t>8</w:t>
      </w:r>
      <w:r w:rsidR="003C742D" w:rsidRPr="00491EC4">
        <w:t>,</w:t>
      </w:r>
      <w:r w:rsidR="00920D0E" w:rsidRPr="00491EC4">
        <w:t xml:space="preserve"> the VGPB had</w:t>
      </w:r>
      <w:r w:rsidR="00211FE8" w:rsidRPr="00491EC4">
        <w:t xml:space="preserve"> </w:t>
      </w:r>
      <w:r w:rsidR="00620EE5" w:rsidRPr="00491EC4">
        <w:t xml:space="preserve">seven </w:t>
      </w:r>
      <w:r w:rsidR="004A6A11" w:rsidRPr="00491EC4">
        <w:t>members</w:t>
      </w:r>
      <w:r w:rsidR="00450A27" w:rsidRPr="00491EC4">
        <w:t xml:space="preserve"> including the Chair</w:t>
      </w:r>
      <w:r w:rsidR="004A6A11" w:rsidRPr="00491EC4">
        <w:t xml:space="preserve">. </w:t>
      </w:r>
      <w:r w:rsidR="00620EE5" w:rsidRPr="00491EC4">
        <w:t>Five</w:t>
      </w:r>
      <w:r w:rsidR="004675D3" w:rsidRPr="00491EC4">
        <w:t xml:space="preserve"> members we</w:t>
      </w:r>
      <w:r w:rsidR="004A6A11" w:rsidRPr="00491EC4">
        <w:t>re external appointees and</w:t>
      </w:r>
      <w:r w:rsidR="00450A27" w:rsidRPr="00491EC4">
        <w:t xml:space="preserve"> two </w:t>
      </w:r>
      <w:r w:rsidR="004A6A11" w:rsidRPr="00491EC4">
        <w:t>appointee</w:t>
      </w:r>
      <w:r w:rsidR="00450A27" w:rsidRPr="00491EC4">
        <w:t xml:space="preserve">s </w:t>
      </w:r>
      <w:r w:rsidR="004675D3" w:rsidRPr="00491EC4">
        <w:t>we</w:t>
      </w:r>
      <w:r w:rsidR="00450A27" w:rsidRPr="00491EC4">
        <w:t>re</w:t>
      </w:r>
      <w:r w:rsidR="004A6A11" w:rsidRPr="00491EC4">
        <w:t xml:space="preserve"> from </w:t>
      </w:r>
      <w:r w:rsidR="00450A27" w:rsidRPr="00491EC4">
        <w:t>the Victorian Government</w:t>
      </w:r>
      <w:r w:rsidR="004675D3" w:rsidRPr="00491EC4">
        <w:t xml:space="preserve"> (see </w:t>
      </w:r>
      <w:r w:rsidR="00AC517C" w:rsidRPr="00491EC4">
        <w:fldChar w:fldCharType="begin"/>
      </w:r>
      <w:r w:rsidR="00AC517C" w:rsidRPr="00491EC4">
        <w:instrText xml:space="preserve"> REF _Ref423625088 \h  \* MERGEFORMAT </w:instrText>
      </w:r>
      <w:r w:rsidR="00AC517C" w:rsidRPr="00491EC4">
        <w:fldChar w:fldCharType="separate"/>
      </w:r>
      <w:r w:rsidR="00A07703" w:rsidRPr="0038456D">
        <w:t xml:space="preserve">Table </w:t>
      </w:r>
      <w:r w:rsidR="00A07703">
        <w:t>2</w:t>
      </w:r>
      <w:r w:rsidR="00AC517C" w:rsidRPr="00491EC4">
        <w:fldChar w:fldCharType="end"/>
      </w:r>
      <w:r w:rsidR="004675D3" w:rsidRPr="00491EC4">
        <w:t>).</w:t>
      </w:r>
    </w:p>
    <w:p w14:paraId="4B536E20" w14:textId="33FD2A3D" w:rsidR="00762373" w:rsidRDefault="00762373" w:rsidP="00E41631">
      <w:pPr>
        <w:pStyle w:val="Normal1"/>
      </w:pPr>
      <w:r>
        <w:t>The VGPB had two member</w:t>
      </w:r>
      <w:r w:rsidR="00265112">
        <w:t xml:space="preserve"> appointments conclude in 2017–18:</w:t>
      </w:r>
    </w:p>
    <w:p w14:paraId="124A2960" w14:textId="3BA77294" w:rsidR="00265112" w:rsidRDefault="00265112" w:rsidP="00265112">
      <w:pPr>
        <w:pStyle w:val="Bullet1"/>
      </w:pPr>
      <w:r>
        <w:t xml:space="preserve">(Dr) Lynne Williams </w:t>
      </w:r>
      <w:r w:rsidR="00ED15D8">
        <w:t xml:space="preserve">(Chair) </w:t>
      </w:r>
      <w:r w:rsidR="00BC68E3">
        <w:t>on 9</w:t>
      </w:r>
      <w:r>
        <w:t xml:space="preserve"> October 2017; and</w:t>
      </w:r>
    </w:p>
    <w:p w14:paraId="14747581" w14:textId="21E3640B" w:rsidR="00265112" w:rsidRDefault="00265112" w:rsidP="00265112">
      <w:pPr>
        <w:pStyle w:val="Bullet1"/>
      </w:pPr>
      <w:r>
        <w:t xml:space="preserve">Marissa </w:t>
      </w:r>
      <w:r w:rsidRPr="007945A4">
        <w:t>De</w:t>
      </w:r>
      <w:r>
        <w:t xml:space="preserve"> </w:t>
      </w:r>
      <w:r w:rsidRPr="007945A4">
        <w:t>Cicco</w:t>
      </w:r>
      <w:r>
        <w:t xml:space="preserve"> on 30 June 2018.</w:t>
      </w:r>
    </w:p>
    <w:p w14:paraId="075F8A20" w14:textId="2B81D064" w:rsidR="004675D3" w:rsidRPr="00CD6245" w:rsidRDefault="00265112" w:rsidP="00E41631">
      <w:pPr>
        <w:pStyle w:val="Normal1"/>
      </w:pPr>
      <w:r>
        <w:t xml:space="preserve">Existing VGPB member, Antoinette Brandi, took over as Chair and a </w:t>
      </w:r>
      <w:r w:rsidR="00BA6038">
        <w:t>new member, Claire Thomas, has been appointed to start on 1 July 2018.</w:t>
      </w:r>
    </w:p>
    <w:p w14:paraId="2020CDDC" w14:textId="2B0A91BD" w:rsidR="00793597" w:rsidRDefault="00571365" w:rsidP="0038456D">
      <w:pPr>
        <w:pStyle w:val="Normal1"/>
      </w:pPr>
      <w:r w:rsidRPr="00CD6245">
        <w:t xml:space="preserve">The VGPB meets </w:t>
      </w:r>
      <w:r w:rsidR="007A405E" w:rsidRPr="00CD6245">
        <w:t xml:space="preserve">every two </w:t>
      </w:r>
      <w:r w:rsidR="004675D3" w:rsidRPr="00CD6245">
        <w:t>month</w:t>
      </w:r>
      <w:r w:rsidR="007A405E" w:rsidRPr="00CD6245">
        <w:t>s</w:t>
      </w:r>
      <w:r w:rsidR="0070744B">
        <w:t xml:space="preserve"> and held </w:t>
      </w:r>
      <w:r w:rsidR="0070744B" w:rsidRPr="00EE3CCE">
        <w:t>six m</w:t>
      </w:r>
      <w:r w:rsidR="0070744B">
        <w:t>eetings over the reporting period.</w:t>
      </w:r>
    </w:p>
    <w:p w14:paraId="1DA6F4E4" w14:textId="6C245F7A" w:rsidR="004A6A11" w:rsidRPr="0038456D" w:rsidRDefault="004A6A11" w:rsidP="0038456D">
      <w:pPr>
        <w:pStyle w:val="Caption"/>
      </w:pPr>
      <w:bookmarkStart w:id="44" w:name="_Ref423625088"/>
      <w:bookmarkStart w:id="45" w:name="_Toc388705877"/>
      <w:bookmarkStart w:id="46" w:name="_Toc524353995"/>
      <w:r w:rsidRPr="0038456D">
        <w:t xml:space="preserve">Table </w:t>
      </w:r>
      <w:r w:rsidR="00A61178">
        <w:rPr>
          <w:noProof/>
        </w:rPr>
        <w:fldChar w:fldCharType="begin"/>
      </w:r>
      <w:r w:rsidR="00A61178">
        <w:rPr>
          <w:noProof/>
        </w:rPr>
        <w:instrText xml:space="preserve"> SEQ Table \* ARABIC </w:instrText>
      </w:r>
      <w:r w:rsidR="00A61178">
        <w:rPr>
          <w:noProof/>
        </w:rPr>
        <w:fldChar w:fldCharType="separate"/>
      </w:r>
      <w:r w:rsidR="00A07703">
        <w:rPr>
          <w:noProof/>
        </w:rPr>
        <w:t>2</w:t>
      </w:r>
      <w:r w:rsidR="00A61178">
        <w:rPr>
          <w:noProof/>
        </w:rPr>
        <w:fldChar w:fldCharType="end"/>
      </w:r>
      <w:bookmarkEnd w:id="44"/>
      <w:r w:rsidRPr="0038456D">
        <w:t>: VGPB members</w:t>
      </w:r>
      <w:bookmarkEnd w:id="45"/>
      <w:r w:rsidR="00450A27" w:rsidRPr="0038456D">
        <w:t xml:space="preserve"> at 30 June 201</w:t>
      </w:r>
      <w:r w:rsidR="00755429" w:rsidRPr="0038456D">
        <w:t>8</w:t>
      </w:r>
      <w:bookmarkEnd w:id="46"/>
    </w:p>
    <w:tbl>
      <w:tblPr>
        <w:tblStyle w:val="ListTable31"/>
        <w:tblW w:w="9346" w:type="dxa"/>
        <w:tblInd w:w="704" w:type="dxa"/>
        <w:tblLook w:val="04A0" w:firstRow="1" w:lastRow="0" w:firstColumn="1" w:lastColumn="0" w:noHBand="0" w:noVBand="1"/>
      </w:tblPr>
      <w:tblGrid>
        <w:gridCol w:w="1265"/>
        <w:gridCol w:w="1309"/>
        <w:gridCol w:w="4655"/>
        <w:gridCol w:w="993"/>
        <w:gridCol w:w="1124"/>
      </w:tblGrid>
      <w:tr w:rsidR="00AF0ECC" w:rsidRPr="00042E3B" w14:paraId="471531E0" w14:textId="77777777" w:rsidTr="007718E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265" w:type="dxa"/>
          </w:tcPr>
          <w:p w14:paraId="368C1799" w14:textId="77777777" w:rsidR="00AF0ECC" w:rsidRPr="00042E3B" w:rsidRDefault="00AF0ECC" w:rsidP="00AF0ECC">
            <w:pPr>
              <w:pStyle w:val="TableText"/>
              <w:rPr>
                <w:b w:val="0"/>
              </w:rPr>
            </w:pPr>
            <w:r w:rsidRPr="00042E3B">
              <w:rPr>
                <w:b w:val="0"/>
              </w:rPr>
              <w:t>Title</w:t>
            </w:r>
          </w:p>
        </w:tc>
        <w:tc>
          <w:tcPr>
            <w:tcW w:w="1309" w:type="dxa"/>
          </w:tcPr>
          <w:p w14:paraId="37721C21" w14:textId="77777777" w:rsidR="00AF0ECC" w:rsidRPr="00042E3B" w:rsidRDefault="00AF0ECC" w:rsidP="00AF0ECC">
            <w:pPr>
              <w:pStyle w:val="TableText"/>
              <w:cnfStyle w:val="100000000000" w:firstRow="1" w:lastRow="0" w:firstColumn="0" w:lastColumn="0" w:oddVBand="0" w:evenVBand="0" w:oddHBand="0" w:evenHBand="0" w:firstRowFirstColumn="0" w:firstRowLastColumn="0" w:lastRowFirstColumn="0" w:lastRowLastColumn="0"/>
              <w:rPr>
                <w:b w:val="0"/>
              </w:rPr>
            </w:pPr>
            <w:r w:rsidRPr="00042E3B">
              <w:rPr>
                <w:b w:val="0"/>
              </w:rPr>
              <w:t>Name</w:t>
            </w:r>
          </w:p>
        </w:tc>
        <w:tc>
          <w:tcPr>
            <w:tcW w:w="4655" w:type="dxa"/>
          </w:tcPr>
          <w:p w14:paraId="2FADE5C5" w14:textId="77777777" w:rsidR="00AF0ECC" w:rsidRPr="00042E3B" w:rsidRDefault="00AF0ECC" w:rsidP="00AF0ECC">
            <w:pPr>
              <w:pStyle w:val="TableText"/>
              <w:cnfStyle w:val="100000000000" w:firstRow="1" w:lastRow="0" w:firstColumn="0" w:lastColumn="0" w:oddVBand="0" w:evenVBand="0" w:oddHBand="0" w:evenHBand="0" w:firstRowFirstColumn="0" w:firstRowLastColumn="0" w:lastRowFirstColumn="0" w:lastRowLastColumn="0"/>
              <w:rPr>
                <w:b w:val="0"/>
              </w:rPr>
            </w:pPr>
            <w:r>
              <w:rPr>
                <w:b w:val="0"/>
              </w:rPr>
              <w:t>Experience</w:t>
            </w:r>
          </w:p>
        </w:tc>
        <w:tc>
          <w:tcPr>
            <w:tcW w:w="993" w:type="dxa"/>
          </w:tcPr>
          <w:p w14:paraId="3D5490DB" w14:textId="77777777" w:rsidR="00AF0ECC" w:rsidRPr="00042E3B" w:rsidRDefault="00AF0ECC" w:rsidP="00AF0ECC">
            <w:pPr>
              <w:pStyle w:val="TableText"/>
              <w:cnfStyle w:val="100000000000" w:firstRow="1" w:lastRow="0" w:firstColumn="0" w:lastColumn="0" w:oddVBand="0" w:evenVBand="0" w:oddHBand="0" w:evenHBand="0" w:firstRowFirstColumn="0" w:firstRowLastColumn="0" w:lastRowFirstColumn="0" w:lastRowLastColumn="0"/>
              <w:rPr>
                <w:b w:val="0"/>
              </w:rPr>
            </w:pPr>
            <w:r w:rsidRPr="00042E3B">
              <w:rPr>
                <w:b w:val="0"/>
              </w:rPr>
              <w:t>Meetings attended</w:t>
            </w:r>
          </w:p>
        </w:tc>
        <w:tc>
          <w:tcPr>
            <w:tcW w:w="1124" w:type="dxa"/>
          </w:tcPr>
          <w:p w14:paraId="7045F6AD" w14:textId="77777777" w:rsidR="00AF0ECC" w:rsidRPr="00042E3B" w:rsidRDefault="00AF0ECC" w:rsidP="00AF0ECC">
            <w:pPr>
              <w:pStyle w:val="TableText"/>
              <w:cnfStyle w:val="100000000000" w:firstRow="1" w:lastRow="0" w:firstColumn="0" w:lastColumn="0" w:oddVBand="0" w:evenVBand="0" w:oddHBand="0" w:evenHBand="0" w:firstRowFirstColumn="0" w:firstRowLastColumn="0" w:lastRowFirstColumn="0" w:lastRowLastColumn="0"/>
              <w:rPr>
                <w:b w:val="0"/>
              </w:rPr>
            </w:pPr>
            <w:r w:rsidRPr="00042E3B">
              <w:rPr>
                <w:b w:val="0"/>
              </w:rPr>
              <w:t>Appointed</w:t>
            </w:r>
          </w:p>
        </w:tc>
      </w:tr>
      <w:tr w:rsidR="00AF0ECC" w14:paraId="7843438B" w14:textId="77777777" w:rsidTr="007718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5" w:type="dxa"/>
          </w:tcPr>
          <w:p w14:paraId="13272EED" w14:textId="77777777" w:rsidR="00AF0ECC" w:rsidRDefault="00AF0ECC" w:rsidP="00AF0ECC">
            <w:pPr>
              <w:pStyle w:val="TableText"/>
            </w:pPr>
            <w:r>
              <w:t>Chair</w:t>
            </w:r>
          </w:p>
        </w:tc>
        <w:tc>
          <w:tcPr>
            <w:tcW w:w="1309" w:type="dxa"/>
          </w:tcPr>
          <w:p w14:paraId="613FF7B0" w14:textId="77777777" w:rsidR="00AF0ECC" w:rsidRDefault="00AF0ECC" w:rsidP="00AF0ECC">
            <w:pPr>
              <w:pStyle w:val="TableText"/>
              <w:cnfStyle w:val="000000100000" w:firstRow="0" w:lastRow="0" w:firstColumn="0" w:lastColumn="0" w:oddVBand="0" w:evenVBand="0" w:oddHBand="1" w:evenHBand="0" w:firstRowFirstColumn="0" w:firstRowLastColumn="0" w:lastRowFirstColumn="0" w:lastRowLastColumn="0"/>
            </w:pPr>
            <w:r w:rsidRPr="007945A4">
              <w:t>Antoinette Brandi</w:t>
            </w:r>
          </w:p>
        </w:tc>
        <w:tc>
          <w:tcPr>
            <w:tcW w:w="4655" w:type="dxa"/>
          </w:tcPr>
          <w:p w14:paraId="6E0E009D" w14:textId="47951D14" w:rsidR="00AF0ECC" w:rsidRPr="005C3239" w:rsidRDefault="00AF0ECC" w:rsidP="00AF0ECC">
            <w:pPr>
              <w:pStyle w:val="tasblebullet"/>
              <w:cnfStyle w:val="000000100000" w:firstRow="0" w:lastRow="0" w:firstColumn="0" w:lastColumn="0" w:oddVBand="0" w:evenVBand="0" w:oddHBand="1" w:evenHBand="0" w:firstRowFirstColumn="0" w:firstRowLastColumn="0" w:lastRowFirstColumn="0" w:lastRowLastColumn="0"/>
            </w:pPr>
            <w:r w:rsidRPr="005C3239">
              <w:t>More than 25 years’ procurement experience in the public and private sectors.</w:t>
            </w:r>
          </w:p>
          <w:p w14:paraId="2A3A7388" w14:textId="3E896447" w:rsidR="00AF0ECC" w:rsidRPr="005C3239" w:rsidRDefault="00AF0ECC" w:rsidP="00AF0ECC">
            <w:pPr>
              <w:pStyle w:val="tasblebullet"/>
              <w:cnfStyle w:val="000000100000" w:firstRow="0" w:lastRow="0" w:firstColumn="0" w:lastColumn="0" w:oddVBand="0" w:evenVBand="0" w:oddHBand="1" w:evenHBand="0" w:firstRowFirstColumn="0" w:firstRowLastColumn="0" w:lastRowFirstColumn="0" w:lastRowLastColumn="0"/>
            </w:pPr>
            <w:r w:rsidRPr="005C3239">
              <w:t>Many different operational management roles.</w:t>
            </w:r>
          </w:p>
          <w:p w14:paraId="1F6F02D9" w14:textId="6EF2808F" w:rsidR="00AF0ECC" w:rsidRPr="005C3239" w:rsidRDefault="00AF0ECC" w:rsidP="00AF0ECC">
            <w:pPr>
              <w:pStyle w:val="tasblebullet"/>
              <w:cnfStyle w:val="000000100000" w:firstRow="0" w:lastRow="0" w:firstColumn="0" w:lastColumn="0" w:oddVBand="0" w:evenVBand="0" w:oddHBand="1" w:evenHBand="0" w:firstRowFirstColumn="0" w:firstRowLastColumn="0" w:lastRowFirstColumn="0" w:lastRowLastColumn="0"/>
            </w:pPr>
            <w:r w:rsidRPr="005C3239">
              <w:t>Delivered procurement projects and initiatives across goods and services, mining and construction, including developing procurement supply chain strategies and risk management assurance processes.</w:t>
            </w:r>
          </w:p>
          <w:p w14:paraId="00CCFB87" w14:textId="37242868" w:rsidR="00AF0ECC" w:rsidRDefault="00AF0ECC" w:rsidP="00AF0ECC">
            <w:pPr>
              <w:pStyle w:val="tasblebullet"/>
              <w:cnfStyle w:val="000000100000" w:firstRow="0" w:lastRow="0" w:firstColumn="0" w:lastColumn="0" w:oddVBand="0" w:evenVBand="0" w:oddHBand="1" w:evenHBand="0" w:firstRowFirstColumn="0" w:firstRowLastColumn="0" w:lastRowFirstColumn="0" w:lastRowLastColumn="0"/>
            </w:pPr>
            <w:r w:rsidRPr="005C3239">
              <w:t xml:space="preserve">First female in Australia to gain fellow status in the Chartered Institute of </w:t>
            </w:r>
            <w:r w:rsidR="00A10F29" w:rsidRPr="005C3239">
              <w:t>P</w:t>
            </w:r>
            <w:r w:rsidR="00A10F29">
              <w:t>rocurement &amp;</w:t>
            </w:r>
            <w:r w:rsidRPr="005C3239">
              <w:t>Supply.</w:t>
            </w:r>
          </w:p>
        </w:tc>
        <w:tc>
          <w:tcPr>
            <w:tcW w:w="993" w:type="dxa"/>
          </w:tcPr>
          <w:p w14:paraId="52DA2277" w14:textId="77777777" w:rsidR="00AF0ECC" w:rsidRDefault="00AF0ECC" w:rsidP="00AF0ECC">
            <w:pPr>
              <w:pStyle w:val="TableText"/>
              <w:cnfStyle w:val="000000100000" w:firstRow="0" w:lastRow="0" w:firstColumn="0" w:lastColumn="0" w:oddVBand="0" w:evenVBand="0" w:oddHBand="1" w:evenHBand="0" w:firstRowFirstColumn="0" w:firstRowLastColumn="0" w:lastRowFirstColumn="0" w:lastRowLastColumn="0"/>
            </w:pPr>
            <w:r>
              <w:t>6 of 6</w:t>
            </w:r>
          </w:p>
        </w:tc>
        <w:tc>
          <w:tcPr>
            <w:tcW w:w="1124" w:type="dxa"/>
          </w:tcPr>
          <w:p w14:paraId="15690075" w14:textId="77777777" w:rsidR="00AF0ECC" w:rsidRDefault="00AF0ECC" w:rsidP="00AF0ECC">
            <w:pPr>
              <w:pStyle w:val="TableText"/>
              <w:cnfStyle w:val="000000100000" w:firstRow="0" w:lastRow="0" w:firstColumn="0" w:lastColumn="0" w:oddVBand="0" w:evenVBand="0" w:oddHBand="1" w:evenHBand="0" w:firstRowFirstColumn="0" w:firstRowLastColumn="0" w:lastRowFirstColumn="0" w:lastRowLastColumn="0"/>
            </w:pPr>
            <w:r>
              <w:t>10 October 2015</w:t>
            </w:r>
          </w:p>
        </w:tc>
      </w:tr>
      <w:tr w:rsidR="00AF0ECC" w14:paraId="1BCD2935" w14:textId="77777777" w:rsidTr="007718EF">
        <w:tc>
          <w:tcPr>
            <w:cnfStyle w:val="001000000000" w:firstRow="0" w:lastRow="0" w:firstColumn="1" w:lastColumn="0" w:oddVBand="0" w:evenVBand="0" w:oddHBand="0" w:evenHBand="0" w:firstRowFirstColumn="0" w:firstRowLastColumn="0" w:lastRowFirstColumn="0" w:lastRowLastColumn="0"/>
            <w:tcW w:w="1265" w:type="dxa"/>
            <w:vMerge w:val="restart"/>
          </w:tcPr>
          <w:p w14:paraId="478330CB" w14:textId="77777777" w:rsidR="00AF0ECC" w:rsidRDefault="00AF0ECC" w:rsidP="00AF0ECC">
            <w:pPr>
              <w:pStyle w:val="TableText"/>
            </w:pPr>
            <w:r>
              <w:t>External appointees</w:t>
            </w:r>
          </w:p>
        </w:tc>
        <w:tc>
          <w:tcPr>
            <w:tcW w:w="1309" w:type="dxa"/>
          </w:tcPr>
          <w:p w14:paraId="0EF3BAFC" w14:textId="77777777" w:rsidR="00AF0ECC" w:rsidRDefault="00AF0ECC" w:rsidP="00AF0ECC">
            <w:pPr>
              <w:pStyle w:val="TableText"/>
              <w:cnfStyle w:val="000000000000" w:firstRow="0" w:lastRow="0" w:firstColumn="0" w:lastColumn="0" w:oddVBand="0" w:evenVBand="0" w:oddHBand="0" w:evenHBand="0" w:firstRowFirstColumn="0" w:firstRowLastColumn="0" w:lastRowFirstColumn="0" w:lastRowLastColumn="0"/>
            </w:pPr>
            <w:r w:rsidRPr="007945A4">
              <w:t>Randall Straw</w:t>
            </w:r>
          </w:p>
        </w:tc>
        <w:tc>
          <w:tcPr>
            <w:tcW w:w="4655" w:type="dxa"/>
          </w:tcPr>
          <w:p w14:paraId="375903DA" w14:textId="37D8D3BB" w:rsidR="00AF0ECC" w:rsidRDefault="00AF0ECC" w:rsidP="00AF0ECC">
            <w:pPr>
              <w:pStyle w:val="tasblebullet"/>
              <w:cnfStyle w:val="000000000000" w:firstRow="0" w:lastRow="0" w:firstColumn="0" w:lastColumn="0" w:oddVBand="0" w:evenVBand="0" w:oddHBand="0" w:evenHBand="0" w:firstRowFirstColumn="0" w:firstRowLastColumn="0" w:lastRowFirstColumn="0" w:lastRowLastColumn="0"/>
            </w:pPr>
            <w:r>
              <w:t xml:space="preserve">More than </w:t>
            </w:r>
            <w:r w:rsidRPr="00C726F8">
              <w:t>31 years’ experience in government ICT</w:t>
            </w:r>
            <w:r>
              <w:t>.</w:t>
            </w:r>
          </w:p>
          <w:p w14:paraId="6CF5A5C6" w14:textId="143F81E8" w:rsidR="00AF0ECC" w:rsidRDefault="00AF0ECC" w:rsidP="00AF0ECC">
            <w:pPr>
              <w:pStyle w:val="tasblebullet"/>
              <w:cnfStyle w:val="000000000000" w:firstRow="0" w:lastRow="0" w:firstColumn="0" w:lastColumn="0" w:oddVBand="0" w:evenVBand="0" w:oddHBand="0" w:evenHBand="0" w:firstRowFirstColumn="0" w:firstRowLastColumn="0" w:lastRowFirstColumn="0" w:lastRowLastColumn="0"/>
            </w:pPr>
            <w:r>
              <w:lastRenderedPageBreak/>
              <w:t>E</w:t>
            </w:r>
            <w:r w:rsidRPr="00C726F8">
              <w:t>xtensive background in technology</w:t>
            </w:r>
            <w:r>
              <w:t xml:space="preserve"> </w:t>
            </w:r>
            <w:r w:rsidRPr="00C726F8">
              <w:t>innovation, policy, planning and implementation with Victorian public</w:t>
            </w:r>
            <w:r>
              <w:t xml:space="preserve"> </w:t>
            </w:r>
            <w:r w:rsidRPr="00C726F8">
              <w:t>sector agencies</w:t>
            </w:r>
            <w:r>
              <w:t>.</w:t>
            </w:r>
          </w:p>
          <w:p w14:paraId="26E58622" w14:textId="77777777" w:rsidR="00AF0ECC" w:rsidRDefault="00AF0ECC" w:rsidP="00AF0ECC">
            <w:pPr>
              <w:pStyle w:val="tasblebullet"/>
              <w:cnfStyle w:val="000000000000" w:firstRow="0" w:lastRow="0" w:firstColumn="0" w:lastColumn="0" w:oddVBand="0" w:evenVBand="0" w:oddHBand="0" w:evenHBand="0" w:firstRowFirstColumn="0" w:firstRowLastColumn="0" w:lastRowFirstColumn="0" w:lastRowLastColumn="0"/>
            </w:pPr>
            <w:r>
              <w:t xml:space="preserve">Former </w:t>
            </w:r>
            <w:r w:rsidRPr="00C726F8">
              <w:t>Deputy Secretary of Innovation and Technology at the former Department</w:t>
            </w:r>
            <w:r>
              <w:t xml:space="preserve"> </w:t>
            </w:r>
            <w:r w:rsidRPr="00C726F8">
              <w:t>of Business and Innovation</w:t>
            </w:r>
            <w:r>
              <w:t>.</w:t>
            </w:r>
          </w:p>
          <w:p w14:paraId="4E577ABA" w14:textId="12CCCABA" w:rsidR="00AF0ECC" w:rsidRDefault="00AF0ECC" w:rsidP="00AF0ECC">
            <w:pPr>
              <w:pStyle w:val="tasblebullet"/>
              <w:cnfStyle w:val="000000000000" w:firstRow="0" w:lastRow="0" w:firstColumn="0" w:lastColumn="0" w:oddVBand="0" w:evenVBand="0" w:oddHBand="0" w:evenHBand="0" w:firstRowFirstColumn="0" w:firstRowLastColumn="0" w:lastRowFirstColumn="0" w:lastRowLastColumn="0"/>
            </w:pPr>
            <w:r>
              <w:t>C</w:t>
            </w:r>
            <w:r w:rsidRPr="00C726F8">
              <w:t xml:space="preserve">urrent Chair of </w:t>
            </w:r>
            <w:r w:rsidR="00820DB7">
              <w:t>CenITex</w:t>
            </w:r>
            <w:r w:rsidRPr="00C726F8">
              <w:t xml:space="preserve">, Independent Member of </w:t>
            </w:r>
            <w:r w:rsidR="00B60784">
              <w:t xml:space="preserve">the </w:t>
            </w:r>
            <w:r w:rsidR="00B60784" w:rsidRPr="000E63EC">
              <w:t>Department of Economic Development, Jobs, Transport and Resources</w:t>
            </w:r>
            <w:r w:rsidR="00C538A2">
              <w:t>’</w:t>
            </w:r>
            <w:r>
              <w:t xml:space="preserve"> </w:t>
            </w:r>
            <w:r w:rsidRPr="00C726F8">
              <w:t>Investment Committee, Member of VicTrac</w:t>
            </w:r>
            <w:r>
              <w:t xml:space="preserve">k Telecommunications Committee and </w:t>
            </w:r>
            <w:r w:rsidRPr="00C726F8">
              <w:t>Member of the Emergency Services Telecommunications Authority ICT</w:t>
            </w:r>
            <w:r>
              <w:t xml:space="preserve"> </w:t>
            </w:r>
            <w:r w:rsidRPr="00C726F8">
              <w:t>Committee</w:t>
            </w:r>
            <w:r>
              <w:t>.</w:t>
            </w:r>
          </w:p>
          <w:p w14:paraId="0D0C0A24" w14:textId="77777777" w:rsidR="00AF0ECC" w:rsidRDefault="00AF0ECC" w:rsidP="00AF0ECC">
            <w:pPr>
              <w:pStyle w:val="tasblebullet"/>
              <w:cnfStyle w:val="000000000000" w:firstRow="0" w:lastRow="0" w:firstColumn="0" w:lastColumn="0" w:oddVBand="0" w:evenVBand="0" w:oddHBand="0" w:evenHBand="0" w:firstRowFirstColumn="0" w:firstRowLastColumn="0" w:lastRowFirstColumn="0" w:lastRowLastColumn="0"/>
            </w:pPr>
            <w:r>
              <w:t>A</w:t>
            </w:r>
            <w:r w:rsidRPr="00C726F8">
              <w:t xml:space="preserve">warded the Public Service Medal in </w:t>
            </w:r>
            <w:r>
              <w:t>2012.</w:t>
            </w:r>
          </w:p>
        </w:tc>
        <w:tc>
          <w:tcPr>
            <w:tcW w:w="993" w:type="dxa"/>
          </w:tcPr>
          <w:p w14:paraId="21EDAF04" w14:textId="77777777" w:rsidR="00AF0ECC" w:rsidRDefault="00AF0ECC" w:rsidP="00AF0ECC">
            <w:pPr>
              <w:pStyle w:val="TableText"/>
              <w:cnfStyle w:val="000000000000" w:firstRow="0" w:lastRow="0" w:firstColumn="0" w:lastColumn="0" w:oddVBand="0" w:evenVBand="0" w:oddHBand="0" w:evenHBand="0" w:firstRowFirstColumn="0" w:firstRowLastColumn="0" w:lastRowFirstColumn="0" w:lastRowLastColumn="0"/>
            </w:pPr>
            <w:r>
              <w:lastRenderedPageBreak/>
              <w:t>5 of 6</w:t>
            </w:r>
          </w:p>
        </w:tc>
        <w:tc>
          <w:tcPr>
            <w:tcW w:w="1124" w:type="dxa"/>
          </w:tcPr>
          <w:p w14:paraId="365FFF2D" w14:textId="77777777" w:rsidR="00AF0ECC" w:rsidRDefault="00AF0ECC" w:rsidP="00AF0ECC">
            <w:pPr>
              <w:pStyle w:val="TableText"/>
              <w:cnfStyle w:val="000000000000" w:firstRow="0" w:lastRow="0" w:firstColumn="0" w:lastColumn="0" w:oddVBand="0" w:evenVBand="0" w:oddHBand="0" w:evenHBand="0" w:firstRowFirstColumn="0" w:firstRowLastColumn="0" w:lastRowFirstColumn="0" w:lastRowLastColumn="0"/>
            </w:pPr>
            <w:r>
              <w:t>1 October 2009</w:t>
            </w:r>
          </w:p>
        </w:tc>
      </w:tr>
      <w:tr w:rsidR="00AF0ECC" w14:paraId="1D790904" w14:textId="77777777" w:rsidTr="007718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5" w:type="dxa"/>
            <w:vMerge/>
          </w:tcPr>
          <w:p w14:paraId="28B29126" w14:textId="77777777" w:rsidR="00AF0ECC" w:rsidRDefault="00AF0ECC" w:rsidP="00AF0ECC">
            <w:pPr>
              <w:pStyle w:val="TableText"/>
            </w:pPr>
          </w:p>
        </w:tc>
        <w:tc>
          <w:tcPr>
            <w:tcW w:w="1309" w:type="dxa"/>
          </w:tcPr>
          <w:p w14:paraId="65772FCD" w14:textId="7AFAA1F4" w:rsidR="00AF0ECC" w:rsidRDefault="00AF0ECC" w:rsidP="00AF0ECC">
            <w:pPr>
              <w:pStyle w:val="TableText"/>
              <w:cnfStyle w:val="000000100000" w:firstRow="0" w:lastRow="0" w:firstColumn="0" w:lastColumn="0" w:oddVBand="0" w:evenVBand="0" w:oddHBand="1" w:evenHBand="0" w:firstRowFirstColumn="0" w:firstRowLastColumn="0" w:lastRowFirstColumn="0" w:lastRowLastColumn="0"/>
            </w:pPr>
            <w:r w:rsidRPr="007945A4">
              <w:t xml:space="preserve">Craig </w:t>
            </w:r>
            <w:r w:rsidR="00CB2C1A">
              <w:br/>
            </w:r>
            <w:r w:rsidRPr="007945A4">
              <w:t>Rooney</w:t>
            </w:r>
          </w:p>
        </w:tc>
        <w:tc>
          <w:tcPr>
            <w:tcW w:w="4655" w:type="dxa"/>
          </w:tcPr>
          <w:p w14:paraId="2871B2E0" w14:textId="63675402" w:rsidR="00AF0ECC" w:rsidRDefault="00AF0ECC" w:rsidP="00AF0ECC">
            <w:pPr>
              <w:pStyle w:val="tasblebullet"/>
              <w:cnfStyle w:val="000000100000" w:firstRow="0" w:lastRow="0" w:firstColumn="0" w:lastColumn="0" w:oddVBand="0" w:evenVBand="0" w:oddHBand="1" w:evenHBand="0" w:firstRowFirstColumn="0" w:firstRowLastColumn="0" w:lastRowFirstColumn="0" w:lastRowLastColumn="0"/>
            </w:pPr>
            <w:r>
              <w:t>More than</w:t>
            </w:r>
            <w:r w:rsidRPr="00C256F8">
              <w:t xml:space="preserve"> 25 years</w:t>
            </w:r>
            <w:r>
              <w:t>’</w:t>
            </w:r>
            <w:r w:rsidRPr="00C256F8">
              <w:t xml:space="preserve"> procurement experience in public, private and consulting environments</w:t>
            </w:r>
            <w:r>
              <w:t>.</w:t>
            </w:r>
          </w:p>
          <w:p w14:paraId="2CE80854" w14:textId="0E0EA972" w:rsidR="00AF0ECC" w:rsidRDefault="00AF0ECC" w:rsidP="00AF0ECC">
            <w:pPr>
              <w:pStyle w:val="tasblebullet"/>
              <w:cnfStyle w:val="000000100000" w:firstRow="0" w:lastRow="0" w:firstColumn="0" w:lastColumn="0" w:oddVBand="0" w:evenVBand="0" w:oddHBand="1" w:evenHBand="0" w:firstRowFirstColumn="0" w:firstRowLastColumn="0" w:lastRowFirstColumn="0" w:lastRowLastColumn="0"/>
            </w:pPr>
            <w:r>
              <w:t>D</w:t>
            </w:r>
            <w:r w:rsidRPr="00C256F8">
              <w:t xml:space="preserve">emonstrated success </w:t>
            </w:r>
            <w:r>
              <w:t>in</w:t>
            </w:r>
            <w:r w:rsidRPr="00C256F8">
              <w:t xml:space="preserve"> strong business management, financial management, strategic thinking, customer focus and people leadership skills.</w:t>
            </w:r>
          </w:p>
          <w:p w14:paraId="5C9446E5" w14:textId="63873049" w:rsidR="00AF0ECC" w:rsidRDefault="00AF0ECC" w:rsidP="00AF0ECC">
            <w:pPr>
              <w:pStyle w:val="tasblebullet"/>
              <w:cnfStyle w:val="000000100000" w:firstRow="0" w:lastRow="0" w:firstColumn="0" w:lastColumn="0" w:oddVBand="0" w:evenVBand="0" w:oddHBand="1" w:evenHBand="0" w:firstRowFirstColumn="0" w:firstRowLastColumn="0" w:lastRowFirstColumn="0" w:lastRowLastColumn="0"/>
            </w:pPr>
            <w:r>
              <w:t>C</w:t>
            </w:r>
            <w:r w:rsidRPr="00C256F8">
              <w:t>urrently</w:t>
            </w:r>
            <w:r>
              <w:t xml:space="preserve"> the Victorian Operations Manager for Metricon Homes.</w:t>
            </w:r>
          </w:p>
          <w:p w14:paraId="3F70AADD" w14:textId="77777777" w:rsidR="00AF0ECC" w:rsidRDefault="00AF0ECC" w:rsidP="00AF0ECC">
            <w:pPr>
              <w:pStyle w:val="tasblebullet"/>
              <w:cnfStyle w:val="000000100000" w:firstRow="0" w:lastRow="0" w:firstColumn="0" w:lastColumn="0" w:oddVBand="0" w:evenVBand="0" w:oddHBand="1" w:evenHBand="0" w:firstRowFirstColumn="0" w:firstRowLastColumn="0" w:lastRowFirstColumn="0" w:lastRowLastColumn="0"/>
            </w:pPr>
            <w:r>
              <w:t xml:space="preserve">Previously held senior procurement management positions at Porter Davis Homes, </w:t>
            </w:r>
            <w:r w:rsidRPr="00C256F8">
              <w:t>CSR Sugar, Madison Cross Corporate Advisory and Coles Group.</w:t>
            </w:r>
          </w:p>
        </w:tc>
        <w:tc>
          <w:tcPr>
            <w:tcW w:w="993" w:type="dxa"/>
          </w:tcPr>
          <w:p w14:paraId="6057BACC" w14:textId="77777777" w:rsidR="00AF0ECC" w:rsidRDefault="00AF0ECC" w:rsidP="00AF0ECC">
            <w:pPr>
              <w:pStyle w:val="TableText"/>
              <w:cnfStyle w:val="000000100000" w:firstRow="0" w:lastRow="0" w:firstColumn="0" w:lastColumn="0" w:oddVBand="0" w:evenVBand="0" w:oddHBand="1" w:evenHBand="0" w:firstRowFirstColumn="0" w:firstRowLastColumn="0" w:lastRowFirstColumn="0" w:lastRowLastColumn="0"/>
            </w:pPr>
            <w:r>
              <w:t>5 of 6</w:t>
            </w:r>
          </w:p>
        </w:tc>
        <w:tc>
          <w:tcPr>
            <w:tcW w:w="1124" w:type="dxa"/>
          </w:tcPr>
          <w:p w14:paraId="20A60E23" w14:textId="77777777" w:rsidR="00AF0ECC" w:rsidRDefault="00AF0ECC" w:rsidP="00AF0ECC">
            <w:pPr>
              <w:pStyle w:val="TableText"/>
              <w:cnfStyle w:val="000000100000" w:firstRow="0" w:lastRow="0" w:firstColumn="0" w:lastColumn="0" w:oddVBand="0" w:evenVBand="0" w:oddHBand="1" w:evenHBand="0" w:firstRowFirstColumn="0" w:firstRowLastColumn="0" w:lastRowFirstColumn="0" w:lastRowLastColumn="0"/>
            </w:pPr>
            <w:r>
              <w:t>1 October 2012</w:t>
            </w:r>
          </w:p>
        </w:tc>
      </w:tr>
      <w:tr w:rsidR="00AF0ECC" w14:paraId="6A192317" w14:textId="77777777" w:rsidTr="007718EF">
        <w:tc>
          <w:tcPr>
            <w:cnfStyle w:val="001000000000" w:firstRow="0" w:lastRow="0" w:firstColumn="1" w:lastColumn="0" w:oddVBand="0" w:evenVBand="0" w:oddHBand="0" w:evenHBand="0" w:firstRowFirstColumn="0" w:firstRowLastColumn="0" w:lastRowFirstColumn="0" w:lastRowLastColumn="0"/>
            <w:tcW w:w="1265" w:type="dxa"/>
            <w:vMerge/>
          </w:tcPr>
          <w:p w14:paraId="475BB00D" w14:textId="77777777" w:rsidR="00AF0ECC" w:rsidRDefault="00AF0ECC" w:rsidP="00AF0ECC">
            <w:pPr>
              <w:pStyle w:val="TableText"/>
            </w:pPr>
          </w:p>
        </w:tc>
        <w:tc>
          <w:tcPr>
            <w:tcW w:w="1309" w:type="dxa"/>
          </w:tcPr>
          <w:p w14:paraId="237DB525" w14:textId="77777777" w:rsidR="00AF0ECC" w:rsidRDefault="00AF0ECC" w:rsidP="00AF0ECC">
            <w:pPr>
              <w:pStyle w:val="TableText"/>
              <w:cnfStyle w:val="000000000000" w:firstRow="0" w:lastRow="0" w:firstColumn="0" w:lastColumn="0" w:oddVBand="0" w:evenVBand="0" w:oddHBand="0" w:evenHBand="0" w:firstRowFirstColumn="0" w:firstRowLastColumn="0" w:lastRowFirstColumn="0" w:lastRowLastColumn="0"/>
            </w:pPr>
            <w:r w:rsidRPr="007945A4">
              <w:t>Russell Yardley</w:t>
            </w:r>
          </w:p>
        </w:tc>
        <w:tc>
          <w:tcPr>
            <w:tcW w:w="4655" w:type="dxa"/>
          </w:tcPr>
          <w:p w14:paraId="289B1ECA" w14:textId="5454515C" w:rsidR="00AF0ECC" w:rsidRDefault="00AF0ECC" w:rsidP="00AF0ECC">
            <w:pPr>
              <w:pStyle w:val="tasblebullet"/>
              <w:cnfStyle w:val="000000000000" w:firstRow="0" w:lastRow="0" w:firstColumn="0" w:lastColumn="0" w:oddVBand="0" w:evenVBand="0" w:oddHBand="0" w:evenHBand="0" w:firstRowFirstColumn="0" w:firstRowLastColumn="0" w:lastRowFirstColumn="0" w:lastRowLastColumn="0"/>
            </w:pPr>
            <w:r>
              <w:t>S</w:t>
            </w:r>
            <w:r w:rsidRPr="00C256F8">
              <w:t>uccessful entrepreneur and business owner.</w:t>
            </w:r>
          </w:p>
          <w:p w14:paraId="61F8F6C2" w14:textId="012EFEE4" w:rsidR="00AF0ECC" w:rsidRDefault="00AF0ECC" w:rsidP="00AF0ECC">
            <w:pPr>
              <w:pStyle w:val="tasblebullet"/>
              <w:cnfStyle w:val="000000000000" w:firstRow="0" w:lastRow="0" w:firstColumn="0" w:lastColumn="0" w:oddVBand="0" w:evenVBand="0" w:oddHBand="0" w:evenHBand="0" w:firstRowFirstColumn="0" w:firstRowLastColumn="0" w:lastRowFirstColumn="0" w:lastRowLastColumn="0"/>
            </w:pPr>
            <w:r>
              <w:t>S</w:t>
            </w:r>
            <w:r w:rsidRPr="00C256F8">
              <w:t xml:space="preserve">trong governance skills and experienced </w:t>
            </w:r>
            <w:r w:rsidR="00302A6A">
              <w:t>b</w:t>
            </w:r>
            <w:r w:rsidRPr="00C256F8">
              <w:t>oard member.</w:t>
            </w:r>
          </w:p>
          <w:p w14:paraId="271F6657" w14:textId="77777777" w:rsidR="00AF0ECC" w:rsidRDefault="00AF0ECC" w:rsidP="00AF0ECC">
            <w:pPr>
              <w:pStyle w:val="tasblebullet"/>
              <w:cnfStyle w:val="000000000000" w:firstRow="0" w:lastRow="0" w:firstColumn="0" w:lastColumn="0" w:oddVBand="0" w:evenVBand="0" w:oddHBand="0" w:evenHBand="0" w:firstRowFirstColumn="0" w:firstRowLastColumn="0" w:lastRowFirstColumn="0" w:lastRowLastColumn="0"/>
            </w:pPr>
            <w:r>
              <w:t>C</w:t>
            </w:r>
            <w:r w:rsidRPr="00C256F8">
              <w:t>areer</w:t>
            </w:r>
            <w:r>
              <w:t xml:space="preserve"> </w:t>
            </w:r>
            <w:r w:rsidRPr="00C256F8">
              <w:t>focus</w:t>
            </w:r>
            <w:r>
              <w:t>ed</w:t>
            </w:r>
            <w:r w:rsidRPr="00C256F8">
              <w:t xml:space="preserve"> on innovation, ideas strategy, business and planning</w:t>
            </w:r>
            <w:r>
              <w:t xml:space="preserve">, particularly </w:t>
            </w:r>
            <w:r w:rsidRPr="00C256F8">
              <w:t>in the ICT industry.</w:t>
            </w:r>
          </w:p>
        </w:tc>
        <w:tc>
          <w:tcPr>
            <w:tcW w:w="993" w:type="dxa"/>
          </w:tcPr>
          <w:p w14:paraId="7AA5E6BA" w14:textId="77777777" w:rsidR="00AF0ECC" w:rsidRDefault="00AF0ECC" w:rsidP="00AF0ECC">
            <w:pPr>
              <w:pStyle w:val="TableText"/>
              <w:cnfStyle w:val="000000000000" w:firstRow="0" w:lastRow="0" w:firstColumn="0" w:lastColumn="0" w:oddVBand="0" w:evenVBand="0" w:oddHBand="0" w:evenHBand="0" w:firstRowFirstColumn="0" w:firstRowLastColumn="0" w:lastRowFirstColumn="0" w:lastRowLastColumn="0"/>
            </w:pPr>
            <w:r>
              <w:t>4 of 6</w:t>
            </w:r>
          </w:p>
        </w:tc>
        <w:tc>
          <w:tcPr>
            <w:tcW w:w="1124" w:type="dxa"/>
          </w:tcPr>
          <w:p w14:paraId="49916694" w14:textId="77777777" w:rsidR="00AF0ECC" w:rsidRDefault="00AF0ECC" w:rsidP="00AF0ECC">
            <w:pPr>
              <w:pStyle w:val="TableText"/>
              <w:cnfStyle w:val="000000000000" w:firstRow="0" w:lastRow="0" w:firstColumn="0" w:lastColumn="0" w:oddVBand="0" w:evenVBand="0" w:oddHBand="0" w:evenHBand="0" w:firstRowFirstColumn="0" w:firstRowLastColumn="0" w:lastRowFirstColumn="0" w:lastRowLastColumn="0"/>
            </w:pPr>
            <w:r>
              <w:t>1 July 2014</w:t>
            </w:r>
          </w:p>
        </w:tc>
      </w:tr>
      <w:tr w:rsidR="00AF0ECC" w:rsidRPr="007945A4" w14:paraId="332F5E5B" w14:textId="77777777" w:rsidTr="007718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5" w:type="dxa"/>
            <w:vMerge/>
          </w:tcPr>
          <w:p w14:paraId="616415B3" w14:textId="77777777" w:rsidR="00AF0ECC" w:rsidRDefault="00AF0ECC" w:rsidP="00AF0ECC">
            <w:pPr>
              <w:pStyle w:val="TableText"/>
            </w:pPr>
          </w:p>
        </w:tc>
        <w:tc>
          <w:tcPr>
            <w:tcW w:w="1309" w:type="dxa"/>
          </w:tcPr>
          <w:p w14:paraId="57A166E4" w14:textId="77777777" w:rsidR="00AF0ECC" w:rsidRPr="00554B6E" w:rsidRDefault="00AF0ECC" w:rsidP="00AF0ECC">
            <w:pPr>
              <w:pStyle w:val="TableText"/>
              <w:cnfStyle w:val="000000100000" w:firstRow="0" w:lastRow="0" w:firstColumn="0" w:lastColumn="0" w:oddVBand="0" w:evenVBand="0" w:oddHBand="1" w:evenHBand="0" w:firstRowFirstColumn="0" w:firstRowLastColumn="0" w:lastRowFirstColumn="0" w:lastRowLastColumn="0"/>
            </w:pPr>
            <w:r w:rsidRPr="00554B6E">
              <w:t>Timothy Lyons</w:t>
            </w:r>
          </w:p>
        </w:tc>
        <w:tc>
          <w:tcPr>
            <w:tcW w:w="4655" w:type="dxa"/>
          </w:tcPr>
          <w:p w14:paraId="65F52420" w14:textId="5021478B" w:rsidR="00AF0ECC" w:rsidRPr="00554B6E" w:rsidRDefault="00AF0ECC" w:rsidP="00AF0ECC">
            <w:pPr>
              <w:pStyle w:val="tasblebullet"/>
              <w:cnfStyle w:val="000000100000" w:firstRow="0" w:lastRow="0" w:firstColumn="0" w:lastColumn="0" w:oddVBand="0" w:evenVBand="0" w:oddHBand="1" w:evenHBand="0" w:firstRowFirstColumn="0" w:firstRowLastColumn="0" w:lastRowFirstColumn="0" w:lastRowLastColumn="0"/>
            </w:pPr>
            <w:r w:rsidRPr="00554B6E">
              <w:t>Extensive experience in government procurement policy and previous member of numerous public and private boards.</w:t>
            </w:r>
          </w:p>
          <w:p w14:paraId="0877BDAA" w14:textId="77777777" w:rsidR="00AF0ECC" w:rsidRPr="00554B6E" w:rsidRDefault="00AF0ECC" w:rsidP="00AF0ECC">
            <w:pPr>
              <w:pStyle w:val="tasblebullet"/>
              <w:cnfStyle w:val="000000100000" w:firstRow="0" w:lastRow="0" w:firstColumn="0" w:lastColumn="0" w:oddVBand="0" w:evenVBand="0" w:oddHBand="1" w:evenHBand="0" w:firstRowFirstColumn="0" w:firstRowLastColumn="0" w:lastRowFirstColumn="0" w:lastRowLastColumn="0"/>
            </w:pPr>
            <w:r w:rsidRPr="00554B6E">
              <w:t>Held many directorships and has expertise in industrial relations, financial services, public policy, governance and risk management, not-for-profit management and communications advocacy.</w:t>
            </w:r>
          </w:p>
        </w:tc>
        <w:tc>
          <w:tcPr>
            <w:tcW w:w="993" w:type="dxa"/>
          </w:tcPr>
          <w:p w14:paraId="74B3D4A8" w14:textId="77777777" w:rsidR="00AF0ECC" w:rsidRPr="00554B6E" w:rsidRDefault="00AF0ECC" w:rsidP="00AF0ECC">
            <w:pPr>
              <w:pStyle w:val="TableText"/>
              <w:cnfStyle w:val="000000100000" w:firstRow="0" w:lastRow="0" w:firstColumn="0" w:lastColumn="0" w:oddVBand="0" w:evenVBand="0" w:oddHBand="1" w:evenHBand="0" w:firstRowFirstColumn="0" w:firstRowLastColumn="0" w:lastRowFirstColumn="0" w:lastRowLastColumn="0"/>
            </w:pPr>
            <w:r>
              <w:t>5</w:t>
            </w:r>
            <w:r w:rsidRPr="00554B6E">
              <w:t xml:space="preserve"> of 6</w:t>
            </w:r>
          </w:p>
        </w:tc>
        <w:tc>
          <w:tcPr>
            <w:tcW w:w="1124" w:type="dxa"/>
          </w:tcPr>
          <w:p w14:paraId="31F23030" w14:textId="77777777" w:rsidR="00AF0ECC" w:rsidRPr="00554B6E" w:rsidRDefault="00AF0ECC" w:rsidP="00AF0ECC">
            <w:pPr>
              <w:pStyle w:val="TableText"/>
              <w:cnfStyle w:val="000000100000" w:firstRow="0" w:lastRow="0" w:firstColumn="0" w:lastColumn="0" w:oddVBand="0" w:evenVBand="0" w:oddHBand="1" w:evenHBand="0" w:firstRowFirstColumn="0" w:firstRowLastColumn="0" w:lastRowFirstColumn="0" w:lastRowLastColumn="0"/>
            </w:pPr>
            <w:r w:rsidRPr="00554B6E">
              <w:t>10 October 2015</w:t>
            </w:r>
          </w:p>
        </w:tc>
      </w:tr>
      <w:tr w:rsidR="00AF0ECC" w:rsidRPr="007945A4" w14:paraId="08BD76EA" w14:textId="77777777" w:rsidTr="007718EF">
        <w:tc>
          <w:tcPr>
            <w:cnfStyle w:val="001000000000" w:firstRow="0" w:lastRow="0" w:firstColumn="1" w:lastColumn="0" w:oddVBand="0" w:evenVBand="0" w:oddHBand="0" w:evenHBand="0" w:firstRowFirstColumn="0" w:firstRowLastColumn="0" w:lastRowFirstColumn="0" w:lastRowLastColumn="0"/>
            <w:tcW w:w="1265" w:type="dxa"/>
            <w:vMerge w:val="restart"/>
          </w:tcPr>
          <w:p w14:paraId="3B439663" w14:textId="77777777" w:rsidR="00AF0ECC" w:rsidRDefault="00AF0ECC" w:rsidP="00AF0ECC">
            <w:pPr>
              <w:pStyle w:val="TableText"/>
            </w:pPr>
            <w:r>
              <w:t>Government appointees</w:t>
            </w:r>
          </w:p>
        </w:tc>
        <w:tc>
          <w:tcPr>
            <w:tcW w:w="1309" w:type="dxa"/>
          </w:tcPr>
          <w:p w14:paraId="2AED18D3" w14:textId="7C23FD95" w:rsidR="00AF0ECC" w:rsidRPr="007945A4" w:rsidRDefault="00AF0ECC" w:rsidP="00AF0ECC">
            <w:pPr>
              <w:pStyle w:val="TableText"/>
              <w:cnfStyle w:val="000000000000" w:firstRow="0" w:lastRow="0" w:firstColumn="0" w:lastColumn="0" w:oddVBand="0" w:evenVBand="0" w:oddHBand="0" w:evenHBand="0" w:firstRowFirstColumn="0" w:firstRowLastColumn="0" w:lastRowFirstColumn="0" w:lastRowLastColumn="0"/>
            </w:pPr>
            <w:r w:rsidRPr="007945A4">
              <w:t xml:space="preserve">Marisa </w:t>
            </w:r>
            <w:r w:rsidR="00CB2C1A">
              <w:br/>
            </w:r>
            <w:r w:rsidRPr="007945A4">
              <w:t>De</w:t>
            </w:r>
            <w:r>
              <w:t xml:space="preserve"> </w:t>
            </w:r>
            <w:r w:rsidRPr="007945A4">
              <w:t>Cicco</w:t>
            </w:r>
          </w:p>
        </w:tc>
        <w:tc>
          <w:tcPr>
            <w:tcW w:w="4655" w:type="dxa"/>
          </w:tcPr>
          <w:p w14:paraId="64DE2DB8" w14:textId="27C26DA6" w:rsidR="00AF0ECC" w:rsidRDefault="00AF0ECC" w:rsidP="00AF0ECC">
            <w:pPr>
              <w:pStyle w:val="tasblebullet"/>
              <w:cnfStyle w:val="000000000000" w:firstRow="0" w:lastRow="0" w:firstColumn="0" w:lastColumn="0" w:oddVBand="0" w:evenVBand="0" w:oddHBand="0" w:evenHBand="0" w:firstRowFirstColumn="0" w:firstRowLastColumn="0" w:lastRowFirstColumn="0" w:lastRowLastColumn="0"/>
            </w:pPr>
            <w:r>
              <w:t>Acting Deputy Secretary, Emergency Management at the</w:t>
            </w:r>
            <w:r w:rsidRPr="00C256F8">
              <w:t xml:space="preserve"> Department of Justice and Regulation</w:t>
            </w:r>
            <w:r>
              <w:t xml:space="preserve"> and Acting Chief Executive, Emergency Management Victoria</w:t>
            </w:r>
            <w:r w:rsidRPr="00C256F8">
              <w:t>.</w:t>
            </w:r>
          </w:p>
          <w:p w14:paraId="3A8CC83B" w14:textId="77777777" w:rsidR="00AF0ECC" w:rsidRDefault="00AF0ECC" w:rsidP="00AF0ECC">
            <w:pPr>
              <w:pStyle w:val="tasblebullet"/>
              <w:cnfStyle w:val="000000000000" w:firstRow="0" w:lastRow="0" w:firstColumn="0" w:lastColumn="0" w:oddVBand="0" w:evenVBand="0" w:oddHBand="0" w:evenHBand="0" w:firstRowFirstColumn="0" w:firstRowLastColumn="0" w:lastRowFirstColumn="0" w:lastRowLastColumn="0"/>
            </w:pPr>
            <w:r>
              <w:t>E</w:t>
            </w:r>
            <w:r w:rsidRPr="00C256F8">
              <w:t>xperience in policy advice and development, formulat</w:t>
            </w:r>
            <w:r>
              <w:t>ing</w:t>
            </w:r>
            <w:r w:rsidRPr="00C256F8">
              <w:t xml:space="preserve"> strategy and legislation, procurement and contracting.</w:t>
            </w:r>
          </w:p>
        </w:tc>
        <w:tc>
          <w:tcPr>
            <w:tcW w:w="993" w:type="dxa"/>
          </w:tcPr>
          <w:p w14:paraId="45EA57D9" w14:textId="77777777" w:rsidR="00AF0ECC" w:rsidRDefault="00AF0ECC" w:rsidP="00AF0ECC">
            <w:pPr>
              <w:pStyle w:val="TableText"/>
              <w:cnfStyle w:val="000000000000" w:firstRow="0" w:lastRow="0" w:firstColumn="0" w:lastColumn="0" w:oddVBand="0" w:evenVBand="0" w:oddHBand="0" w:evenHBand="0" w:firstRowFirstColumn="0" w:firstRowLastColumn="0" w:lastRowFirstColumn="0" w:lastRowLastColumn="0"/>
            </w:pPr>
            <w:r>
              <w:t>6 of 6</w:t>
            </w:r>
          </w:p>
        </w:tc>
        <w:tc>
          <w:tcPr>
            <w:tcW w:w="1124" w:type="dxa"/>
          </w:tcPr>
          <w:p w14:paraId="4A39068F" w14:textId="77777777" w:rsidR="00AF0ECC" w:rsidRDefault="00AF0ECC" w:rsidP="00AF0ECC">
            <w:pPr>
              <w:pStyle w:val="TableText"/>
              <w:cnfStyle w:val="000000000000" w:firstRow="0" w:lastRow="0" w:firstColumn="0" w:lastColumn="0" w:oddVBand="0" w:evenVBand="0" w:oddHBand="0" w:evenHBand="0" w:firstRowFirstColumn="0" w:firstRowLastColumn="0" w:lastRowFirstColumn="0" w:lastRowLastColumn="0"/>
            </w:pPr>
            <w:r>
              <w:t>1 October 2003</w:t>
            </w:r>
          </w:p>
        </w:tc>
      </w:tr>
      <w:tr w:rsidR="00AF0ECC" w:rsidRPr="007945A4" w14:paraId="0D862953" w14:textId="77777777" w:rsidTr="007718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5" w:type="dxa"/>
            <w:vMerge/>
          </w:tcPr>
          <w:p w14:paraId="6787B61D" w14:textId="77777777" w:rsidR="00AF0ECC" w:rsidRDefault="00AF0ECC" w:rsidP="00AF0ECC">
            <w:pPr>
              <w:pStyle w:val="TableText"/>
            </w:pPr>
          </w:p>
        </w:tc>
        <w:tc>
          <w:tcPr>
            <w:tcW w:w="1309" w:type="dxa"/>
          </w:tcPr>
          <w:p w14:paraId="5C625ED5" w14:textId="0BC4255C" w:rsidR="00AF0ECC" w:rsidRPr="007945A4" w:rsidRDefault="00AF0ECC" w:rsidP="00AF0ECC">
            <w:pPr>
              <w:pStyle w:val="TableText"/>
              <w:cnfStyle w:val="000000100000" w:firstRow="0" w:lastRow="0" w:firstColumn="0" w:lastColumn="0" w:oddVBand="0" w:evenVBand="0" w:oddHBand="1" w:evenHBand="0" w:firstRowFirstColumn="0" w:firstRowLastColumn="0" w:lastRowFirstColumn="0" w:lastRowLastColumn="0"/>
            </w:pPr>
            <w:r w:rsidRPr="007945A4">
              <w:t xml:space="preserve">Leanne </w:t>
            </w:r>
            <w:r w:rsidR="00CB2C1A">
              <w:br/>
            </w:r>
            <w:r w:rsidRPr="007945A4">
              <w:t>Price</w:t>
            </w:r>
          </w:p>
        </w:tc>
        <w:tc>
          <w:tcPr>
            <w:tcW w:w="4655" w:type="dxa"/>
          </w:tcPr>
          <w:p w14:paraId="44DD0B96" w14:textId="0E8D0949" w:rsidR="00AF0ECC" w:rsidRPr="004412D4" w:rsidRDefault="00AF0ECC" w:rsidP="00AF0ECC">
            <w:pPr>
              <w:pStyle w:val="tasblebullet"/>
              <w:cnfStyle w:val="000000100000" w:firstRow="0" w:lastRow="0" w:firstColumn="0" w:lastColumn="0" w:oddVBand="0" w:evenVBand="0" w:oddHBand="1" w:evenHBand="0" w:firstRowFirstColumn="0" w:firstRowLastColumn="0" w:lastRowFirstColumn="0" w:lastRowLastColumn="0"/>
            </w:pPr>
            <w:r>
              <w:rPr>
                <w:lang w:val="en"/>
              </w:rPr>
              <w:t>More than 20 years</w:t>
            </w:r>
            <w:r w:rsidR="00C538A2">
              <w:rPr>
                <w:lang w:val="en"/>
              </w:rPr>
              <w:t>’</w:t>
            </w:r>
            <w:r>
              <w:rPr>
                <w:lang w:val="en"/>
              </w:rPr>
              <w:t xml:space="preserve"> government procurement experience in the construction sector.</w:t>
            </w:r>
          </w:p>
          <w:p w14:paraId="6F125D25" w14:textId="235BC875" w:rsidR="00AF0ECC" w:rsidRDefault="00AF0ECC" w:rsidP="00AF0ECC">
            <w:pPr>
              <w:pStyle w:val="tasblebullet"/>
              <w:cnfStyle w:val="000000100000" w:firstRow="0" w:lastRow="0" w:firstColumn="0" w:lastColumn="0" w:oddVBand="0" w:evenVBand="0" w:oddHBand="1" w:evenHBand="0" w:firstRowFirstColumn="0" w:firstRowLastColumn="0" w:lastRowFirstColumn="0" w:lastRowLastColumn="0"/>
            </w:pPr>
            <w:r>
              <w:rPr>
                <w:lang w:val="en"/>
              </w:rPr>
              <w:t xml:space="preserve">Twelve-year career with the Department of Health and Human Services, responsible for planning, developing and implementing the health capital program, including oversight of </w:t>
            </w:r>
            <w:r>
              <w:t>the largest public hospital developments in Victoria's history.</w:t>
            </w:r>
          </w:p>
          <w:p w14:paraId="2E8C449C" w14:textId="77777777" w:rsidR="00AF0ECC" w:rsidRDefault="00AF0ECC" w:rsidP="00AF0ECC">
            <w:pPr>
              <w:pStyle w:val="tasblebullet"/>
              <w:cnfStyle w:val="000000100000" w:firstRow="0" w:lastRow="0" w:firstColumn="0" w:lastColumn="0" w:oddVBand="0" w:evenVBand="0" w:oddHBand="1" w:evenHBand="0" w:firstRowFirstColumn="0" w:firstRowLastColumn="0" w:lastRowFirstColumn="0" w:lastRowLastColumn="0"/>
            </w:pPr>
            <w:r>
              <w:t>Significant public transport experience, including developing Southern Cross Station.</w:t>
            </w:r>
          </w:p>
        </w:tc>
        <w:tc>
          <w:tcPr>
            <w:tcW w:w="993" w:type="dxa"/>
          </w:tcPr>
          <w:p w14:paraId="5630EB5D" w14:textId="77777777" w:rsidR="00AF0ECC" w:rsidRDefault="00AF0ECC" w:rsidP="00AF0ECC">
            <w:pPr>
              <w:pStyle w:val="TableText"/>
              <w:cnfStyle w:val="000000100000" w:firstRow="0" w:lastRow="0" w:firstColumn="0" w:lastColumn="0" w:oddVBand="0" w:evenVBand="0" w:oddHBand="1" w:evenHBand="0" w:firstRowFirstColumn="0" w:firstRowLastColumn="0" w:lastRowFirstColumn="0" w:lastRowLastColumn="0"/>
            </w:pPr>
            <w:r>
              <w:t>4 of 6</w:t>
            </w:r>
          </w:p>
        </w:tc>
        <w:tc>
          <w:tcPr>
            <w:tcW w:w="1124" w:type="dxa"/>
          </w:tcPr>
          <w:p w14:paraId="2DC22EB2" w14:textId="77777777" w:rsidR="00AF0ECC" w:rsidRDefault="00AF0ECC" w:rsidP="00AF0ECC">
            <w:pPr>
              <w:pStyle w:val="TableText"/>
              <w:cnfStyle w:val="000000100000" w:firstRow="0" w:lastRow="0" w:firstColumn="0" w:lastColumn="0" w:oddVBand="0" w:evenVBand="0" w:oddHBand="1" w:evenHBand="0" w:firstRowFirstColumn="0" w:firstRowLastColumn="0" w:lastRowFirstColumn="0" w:lastRowLastColumn="0"/>
            </w:pPr>
            <w:r>
              <w:t>1 July 2016</w:t>
            </w:r>
          </w:p>
        </w:tc>
      </w:tr>
    </w:tbl>
    <w:p w14:paraId="3965EAE7" w14:textId="77777777" w:rsidR="00C538A2" w:rsidRDefault="00C538A2" w:rsidP="00B3724C">
      <w:pPr>
        <w:pStyle w:val="Normal1"/>
      </w:pPr>
      <w:bookmarkStart w:id="47" w:name="_Toc366693316"/>
    </w:p>
    <w:p w14:paraId="07C2E2FB" w14:textId="15F176EA" w:rsidR="004A6A11" w:rsidRPr="00CD6245" w:rsidRDefault="00016AAD" w:rsidP="004412D4">
      <w:pPr>
        <w:pStyle w:val="Heading2NoNum"/>
      </w:pPr>
      <w:bookmarkStart w:id="48" w:name="_Toc524354063"/>
      <w:r>
        <w:t>A</w:t>
      </w:r>
      <w:r w:rsidR="004A6A11" w:rsidRPr="00CD6245">
        <w:t>nnual assessment</w:t>
      </w:r>
      <w:bookmarkEnd w:id="47"/>
      <w:bookmarkEnd w:id="48"/>
    </w:p>
    <w:p w14:paraId="047E54C9" w14:textId="3A2E53A8" w:rsidR="001F5F02" w:rsidRDefault="001F5F02" w:rsidP="001F5F02">
      <w:pPr>
        <w:pStyle w:val="Normal1"/>
      </w:pPr>
      <w:bookmarkStart w:id="49" w:name="_Toc366693318"/>
      <w:bookmarkEnd w:id="40"/>
      <w:r>
        <w:t>To continually improve, we assess our performance annually. The 2017–18 assessment continues to show that the VGPB is focused on fulfilling its legislative functions.</w:t>
      </w:r>
    </w:p>
    <w:p w14:paraId="35CCF68C" w14:textId="48D32D94" w:rsidR="00D70E0F" w:rsidRPr="00EB78CF" w:rsidRDefault="00F52B27" w:rsidP="00E41631">
      <w:pPr>
        <w:pStyle w:val="Normal1"/>
      </w:pPr>
      <w:r w:rsidRPr="00EB78CF">
        <w:t>W</w:t>
      </w:r>
      <w:r w:rsidR="00D70E0F" w:rsidRPr="00EB78CF">
        <w:t xml:space="preserve">e </w:t>
      </w:r>
      <w:r w:rsidR="00441A0F">
        <w:t>have</w:t>
      </w:r>
      <w:r w:rsidR="001F5F02">
        <w:t xml:space="preserve"> revis</w:t>
      </w:r>
      <w:r w:rsidR="00441A0F">
        <w:t>ed</w:t>
      </w:r>
      <w:r w:rsidR="00D70E0F" w:rsidRPr="00EB78CF">
        <w:t xml:space="preserve"> our </w:t>
      </w:r>
      <w:r w:rsidRPr="00EB78CF">
        <w:t>five</w:t>
      </w:r>
      <w:r w:rsidR="00EB78CF">
        <w:t>-</w:t>
      </w:r>
      <w:r w:rsidRPr="00EB78CF">
        <w:t>year strategic plan to</w:t>
      </w:r>
      <w:r w:rsidR="00D70E0F" w:rsidRPr="00EB78CF">
        <w:t xml:space="preserve"> reflect </w:t>
      </w:r>
      <w:r w:rsidRPr="00EB78CF">
        <w:t xml:space="preserve">our </w:t>
      </w:r>
      <w:r w:rsidR="006160BA">
        <w:t xml:space="preserve">new </w:t>
      </w:r>
      <w:r w:rsidRPr="00EB78CF">
        <w:t xml:space="preserve">focus and have adjusted our strategic priorities to align with </w:t>
      </w:r>
      <w:r w:rsidR="006160BA">
        <w:t>our five new workstreams</w:t>
      </w:r>
      <w:r w:rsidRPr="00EB78CF">
        <w:t xml:space="preserve">. </w:t>
      </w:r>
      <w:r w:rsidR="00441A0F">
        <w:t>The VGPB supports this new direction, which</w:t>
      </w:r>
      <w:r w:rsidR="00FB6FF3">
        <w:t xml:space="preserve"> has enabled</w:t>
      </w:r>
      <w:r w:rsidR="001F5F02">
        <w:t xml:space="preserve"> greater engagement </w:t>
      </w:r>
      <w:r w:rsidR="0083666F">
        <w:t>with</w:t>
      </w:r>
      <w:r w:rsidR="001F5F02">
        <w:t xml:space="preserve"> Board members and </w:t>
      </w:r>
      <w:r w:rsidR="0072562D">
        <w:t>chief procurement officers</w:t>
      </w:r>
      <w:r w:rsidR="001F5F02">
        <w:t xml:space="preserve"> working together </w:t>
      </w:r>
      <w:r w:rsidR="006160BA">
        <w:t>to</w:t>
      </w:r>
      <w:r w:rsidR="001F5F02">
        <w:t xml:space="preserve"> driv</w:t>
      </w:r>
      <w:r w:rsidR="006160BA">
        <w:t>e</w:t>
      </w:r>
      <w:r w:rsidR="001F5F02">
        <w:t xml:space="preserve"> strategic change.</w:t>
      </w:r>
    </w:p>
    <w:p w14:paraId="6982082C" w14:textId="72962442" w:rsidR="00B057A2" w:rsidRPr="00CD6245" w:rsidRDefault="00F52B27" w:rsidP="00E41631">
      <w:pPr>
        <w:pStyle w:val="Normal1"/>
      </w:pPr>
      <w:r w:rsidRPr="00EB78CF">
        <w:t xml:space="preserve">We </w:t>
      </w:r>
      <w:r w:rsidR="00F7227D" w:rsidRPr="00EB78CF">
        <w:t>acknowledge that 20</w:t>
      </w:r>
      <w:r w:rsidR="00755429" w:rsidRPr="00EB78CF">
        <w:t>17–18</w:t>
      </w:r>
      <w:r w:rsidR="00B057A2" w:rsidRPr="00EB78CF">
        <w:t xml:space="preserve"> was a productive year</w:t>
      </w:r>
      <w:r w:rsidR="00727914" w:rsidRPr="00EB78CF">
        <w:t xml:space="preserve">, which </w:t>
      </w:r>
      <w:r w:rsidRPr="00EB78CF">
        <w:t xml:space="preserve">has been supported by </w:t>
      </w:r>
      <w:r w:rsidR="00727914" w:rsidRPr="00EB78CF">
        <w:t>our</w:t>
      </w:r>
      <w:r w:rsidR="00B057A2" w:rsidRPr="00EB78CF">
        <w:t xml:space="preserve"> </w:t>
      </w:r>
      <w:r w:rsidRPr="00EB78CF">
        <w:t xml:space="preserve">extensive commercial and government procurement </w:t>
      </w:r>
      <w:r w:rsidR="00727914" w:rsidRPr="00EB78CF">
        <w:t xml:space="preserve">experience. This has enabled us to provide leadership, advice and advocacy for best practice in procurement. This has been evident in the work undertaken </w:t>
      </w:r>
      <w:r w:rsidR="001F5F02">
        <w:t xml:space="preserve">by the </w:t>
      </w:r>
      <w:r w:rsidR="0083666F">
        <w:t>VGPB</w:t>
      </w:r>
      <w:r w:rsidR="001F5F02">
        <w:t xml:space="preserve"> </w:t>
      </w:r>
      <w:r w:rsidR="00727914" w:rsidRPr="00EB78CF">
        <w:t xml:space="preserve">throughout the year as the Board has been at the core of many </w:t>
      </w:r>
      <w:r w:rsidR="00441A0F">
        <w:t xml:space="preserve">procurement </w:t>
      </w:r>
      <w:r w:rsidR="00727914" w:rsidRPr="00EB78CF">
        <w:t>discussions.</w:t>
      </w:r>
    </w:p>
    <w:p w14:paraId="0649CF1C" w14:textId="5DFC3C4F" w:rsidR="00DA1CE3" w:rsidRPr="00CD6245" w:rsidRDefault="00254AD7" w:rsidP="003C742D">
      <w:pPr>
        <w:pStyle w:val="Heading1NoNum"/>
      </w:pPr>
      <w:bookmarkStart w:id="50" w:name="_Toc524354064"/>
      <w:bookmarkStart w:id="51" w:name="_Hlk521510233"/>
      <w:bookmarkEnd w:id="12"/>
      <w:bookmarkEnd w:id="24"/>
      <w:r>
        <w:lastRenderedPageBreak/>
        <w:t>P</w:t>
      </w:r>
      <w:r w:rsidR="00FC452B" w:rsidRPr="00CD6245">
        <w:t>ro</w:t>
      </w:r>
      <w:r w:rsidR="00DA1CE3" w:rsidRPr="00CD6245">
        <w:t>cur</w:t>
      </w:r>
      <w:r w:rsidR="003C742D">
        <w:t>ing goods and services</w:t>
      </w:r>
      <w:bookmarkEnd w:id="50"/>
    </w:p>
    <w:p w14:paraId="41052163" w14:textId="064AF4AF" w:rsidR="00077E2C" w:rsidRPr="00416592" w:rsidRDefault="002A2CCA" w:rsidP="00077E2C">
      <w:pPr>
        <w:pStyle w:val="Normal1"/>
      </w:pPr>
      <w:r>
        <w:t>We see</w:t>
      </w:r>
      <w:r w:rsidR="00F5071C">
        <w:t xml:space="preserve"> procurement </w:t>
      </w:r>
      <w:r w:rsidR="00AD3834">
        <w:t>as a core business function.</w:t>
      </w:r>
      <w:r w:rsidR="00254AD7">
        <w:t xml:space="preserve"> </w:t>
      </w:r>
      <w:r w:rsidR="00077E2C">
        <w:rPr>
          <w:rFonts w:eastAsia="MS Gothic"/>
        </w:rPr>
        <w:t>Good procurement ensures government uses public money responsibly; procuring the required goods and services at the right price to deliver value-for-money outcomes.</w:t>
      </w:r>
    </w:p>
    <w:p w14:paraId="6A9D0F9B" w14:textId="004F2D0E" w:rsidR="00077E2C" w:rsidRDefault="00246C8F" w:rsidP="00077E2C">
      <w:pPr>
        <w:pStyle w:val="Normal1"/>
        <w:rPr>
          <w:rFonts w:eastAsia="MS Gothic"/>
        </w:rPr>
      </w:pPr>
      <w:bookmarkStart w:id="52" w:name="_Hlk520735373"/>
      <w:r>
        <w:rPr>
          <w:rFonts w:eastAsia="MS Gothic"/>
        </w:rPr>
        <w:t xml:space="preserve">The VGPB’s </w:t>
      </w:r>
      <w:r w:rsidR="00077E2C">
        <w:rPr>
          <w:rFonts w:eastAsia="MS Gothic"/>
        </w:rPr>
        <w:t>procurement model is based on assessing complexity and risk. Each organisation adopts a procurement governance framework scaled to their procurement profile</w:t>
      </w:r>
      <w:bookmarkEnd w:id="52"/>
      <w:r w:rsidR="00077E2C">
        <w:rPr>
          <w:rFonts w:eastAsia="MS Gothic"/>
        </w:rPr>
        <w:t xml:space="preserve"> and must have enough capability to carry out their procurements.</w:t>
      </w:r>
    </w:p>
    <w:p w14:paraId="1ADB84D8" w14:textId="3C8F6E7A" w:rsidR="00416592" w:rsidRDefault="002A2CCA" w:rsidP="00FE1F84">
      <w:pPr>
        <w:pStyle w:val="Normal1"/>
        <w:rPr>
          <w:rFonts w:ascii="MS Gothic" w:eastAsia="MS Gothic" w:hAnsi="MS Gothic" w:cs="MS Gothic"/>
        </w:rPr>
      </w:pPr>
      <w:r>
        <w:t>Our</w:t>
      </w:r>
      <w:r w:rsidR="00F5071C">
        <w:t xml:space="preserve"> </w:t>
      </w:r>
      <w:r w:rsidR="00077E2C">
        <w:t xml:space="preserve">five </w:t>
      </w:r>
      <w:r w:rsidR="00F5071C">
        <w:t>policies cover the whole procurement lifecycle</w:t>
      </w:r>
      <w:r>
        <w:t xml:space="preserve">. They are </w:t>
      </w:r>
      <w:r w:rsidR="00F5071C">
        <w:t xml:space="preserve">underpinned by probity, accountability and </w:t>
      </w:r>
      <w:r w:rsidR="0083666F">
        <w:t>scala</w:t>
      </w:r>
      <w:r w:rsidR="00F5071C">
        <w:t xml:space="preserve">bility, with a strong focus on value for money, more interactive engagement with the market and </w:t>
      </w:r>
      <w:r w:rsidR="00B443B8">
        <w:t xml:space="preserve">improving </w:t>
      </w:r>
      <w:r w:rsidR="00F5071C">
        <w:t>productivity.</w:t>
      </w:r>
      <w:r w:rsidR="00F5071C">
        <w:rPr>
          <w:rFonts w:ascii="MS Gothic" w:eastAsia="MS Gothic" w:hAnsi="MS Gothic" w:cs="MS Gothic" w:hint="eastAsia"/>
        </w:rPr>
        <w:t xml:space="preserve">　</w:t>
      </w:r>
    </w:p>
    <w:p w14:paraId="51C50C8B" w14:textId="29532EE5" w:rsidR="00C11767" w:rsidRDefault="00077E2C" w:rsidP="00077E2C">
      <w:pPr>
        <w:pStyle w:val="Normal1"/>
        <w:rPr>
          <w:lang w:eastAsia="en-US"/>
        </w:rPr>
      </w:pPr>
      <w:r>
        <w:rPr>
          <w:lang w:eastAsia="en-US"/>
        </w:rPr>
        <w:t>Each policy is supported by good practice guides, tools and templates to ensure consistency across government.</w:t>
      </w:r>
      <w:r w:rsidR="008510ED">
        <w:rPr>
          <w:lang w:eastAsia="en-US"/>
        </w:rPr>
        <w:t xml:space="preserve"> </w:t>
      </w:r>
      <w:r w:rsidR="00AB6BF1">
        <w:rPr>
          <w:lang w:eastAsia="en-US"/>
        </w:rPr>
        <w:fldChar w:fldCharType="begin"/>
      </w:r>
      <w:r w:rsidR="00AB6BF1">
        <w:rPr>
          <w:lang w:eastAsia="en-US"/>
        </w:rPr>
        <w:instrText xml:space="preserve"> REF _Ref489273725 \h </w:instrText>
      </w:r>
      <w:r w:rsidR="00AB6BF1">
        <w:rPr>
          <w:lang w:eastAsia="en-US"/>
        </w:rPr>
      </w:r>
      <w:r w:rsidR="00AB6BF1">
        <w:rPr>
          <w:lang w:eastAsia="en-US"/>
        </w:rPr>
        <w:fldChar w:fldCharType="separate"/>
      </w:r>
      <w:r w:rsidR="00A07703" w:rsidRPr="0084604C">
        <w:t xml:space="preserve">Figure </w:t>
      </w:r>
      <w:r w:rsidR="00A07703">
        <w:rPr>
          <w:noProof/>
        </w:rPr>
        <w:t>3</w:t>
      </w:r>
      <w:r w:rsidR="00AB6BF1">
        <w:rPr>
          <w:lang w:eastAsia="en-US"/>
        </w:rPr>
        <w:fldChar w:fldCharType="end"/>
      </w:r>
      <w:r w:rsidR="00AB6BF1">
        <w:rPr>
          <w:lang w:eastAsia="en-US"/>
        </w:rPr>
        <w:t xml:space="preserve"> </w:t>
      </w:r>
      <w:r>
        <w:rPr>
          <w:lang w:eastAsia="en-US"/>
        </w:rPr>
        <w:t xml:space="preserve">shows </w:t>
      </w:r>
      <w:r w:rsidR="004412D4">
        <w:rPr>
          <w:lang w:eastAsia="en-US"/>
        </w:rPr>
        <w:t>how the</w:t>
      </w:r>
      <w:r>
        <w:rPr>
          <w:lang w:eastAsia="en-US"/>
        </w:rPr>
        <w:t xml:space="preserve"> five policies, the four </w:t>
      </w:r>
      <w:r w:rsidR="00FE3FFE">
        <w:rPr>
          <w:lang w:eastAsia="en-US"/>
        </w:rPr>
        <w:t>principles</w:t>
      </w:r>
      <w:r>
        <w:rPr>
          <w:lang w:eastAsia="en-US"/>
        </w:rPr>
        <w:t xml:space="preserve"> and </w:t>
      </w:r>
      <w:r w:rsidR="00AB6BF1">
        <w:rPr>
          <w:lang w:eastAsia="en-US"/>
        </w:rPr>
        <w:t>the end-to-end procurement process</w:t>
      </w:r>
      <w:r w:rsidR="004412D4">
        <w:rPr>
          <w:lang w:eastAsia="en-US"/>
        </w:rPr>
        <w:t xml:space="preserve"> fits together</w:t>
      </w:r>
      <w:r w:rsidR="00AB6BF1">
        <w:rPr>
          <w:lang w:eastAsia="en-US"/>
        </w:rPr>
        <w:t>.</w:t>
      </w:r>
    </w:p>
    <w:p w14:paraId="36221243" w14:textId="3BFFF0AA" w:rsidR="00AD3834" w:rsidRDefault="00AD3834" w:rsidP="00AD3834">
      <w:pPr>
        <w:pStyle w:val="Caption"/>
      </w:pPr>
      <w:bookmarkStart w:id="53" w:name="_Ref489273725"/>
      <w:bookmarkStart w:id="54" w:name="_Toc524354042"/>
      <w:r w:rsidRPr="0084604C">
        <w:t xml:space="preserve">Figure </w:t>
      </w:r>
      <w:r w:rsidR="002407F7" w:rsidRPr="0084604C">
        <w:rPr>
          <w:noProof/>
        </w:rPr>
        <w:fldChar w:fldCharType="begin"/>
      </w:r>
      <w:r w:rsidR="002407F7" w:rsidRPr="0084604C">
        <w:rPr>
          <w:noProof/>
        </w:rPr>
        <w:instrText xml:space="preserve"> SEQ Figure \* ARABIC </w:instrText>
      </w:r>
      <w:r w:rsidR="002407F7" w:rsidRPr="0084604C">
        <w:rPr>
          <w:noProof/>
        </w:rPr>
        <w:fldChar w:fldCharType="separate"/>
      </w:r>
      <w:r w:rsidR="00A07703">
        <w:rPr>
          <w:noProof/>
        </w:rPr>
        <w:t>3</w:t>
      </w:r>
      <w:r w:rsidR="002407F7" w:rsidRPr="0084604C">
        <w:rPr>
          <w:noProof/>
        </w:rPr>
        <w:fldChar w:fldCharType="end"/>
      </w:r>
      <w:bookmarkEnd w:id="53"/>
      <w:r w:rsidR="00AB6BF1" w:rsidRPr="0084604C">
        <w:t xml:space="preserve">: </w:t>
      </w:r>
      <w:r w:rsidR="00FE3FFE" w:rsidRPr="0084604C">
        <w:t>VGPB</w:t>
      </w:r>
      <w:r w:rsidR="004A0C4C" w:rsidRPr="0084604C">
        <w:t xml:space="preserve"> </w:t>
      </w:r>
      <w:r w:rsidR="0084604C">
        <w:t xml:space="preserve">supply </w:t>
      </w:r>
      <w:r w:rsidR="004A0C4C" w:rsidRPr="0084604C">
        <w:t>policies</w:t>
      </w:r>
      <w:r w:rsidR="00FE3FFE" w:rsidRPr="0084604C">
        <w:t xml:space="preserve">, </w:t>
      </w:r>
      <w:r w:rsidR="00883A7E" w:rsidRPr="0084604C">
        <w:t xml:space="preserve">procurement lifecycle and </w:t>
      </w:r>
      <w:r w:rsidR="00FE3FFE" w:rsidRPr="0084604C">
        <w:t>principles</w:t>
      </w:r>
      <w:bookmarkEnd w:id="54"/>
    </w:p>
    <w:p w14:paraId="18C8816D" w14:textId="6D833403" w:rsidR="00595198" w:rsidRPr="00595198" w:rsidRDefault="00B53F1A" w:rsidP="0091365E">
      <w:pPr>
        <w:ind w:left="709"/>
      </w:pPr>
      <w:r>
        <w:rPr>
          <w:noProof/>
          <w:lang w:val="en-US" w:eastAsia="en-US"/>
        </w:rPr>
        <mc:AlternateContent>
          <mc:Choice Requires="wpc">
            <w:drawing>
              <wp:inline distT="0" distB="0" distL="0" distR="0" wp14:anchorId="5D6F4C80" wp14:editId="778C6433">
                <wp:extent cx="5693410" cy="5191125"/>
                <wp:effectExtent l="0" t="0" r="2540" b="0"/>
                <wp:docPr id="71" name="Canvas 71"/>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25" name="Text Box 25"/>
                        <wps:cNvSpPr txBox="1"/>
                        <wps:spPr>
                          <a:xfrm>
                            <a:off x="274126" y="1181007"/>
                            <a:ext cx="971550" cy="666844"/>
                          </a:xfrm>
                          <a:prstGeom prst="rect">
                            <a:avLst/>
                          </a:prstGeom>
                          <a:solidFill>
                            <a:schemeClr val="lt1"/>
                          </a:solidFill>
                          <a:ln w="6350">
                            <a:solidFill>
                              <a:prstClr val="black"/>
                            </a:solidFill>
                          </a:ln>
                        </wps:spPr>
                        <wps:txbx>
                          <w:txbxContent>
                            <w:p w14:paraId="2929DF47" w14:textId="77777777" w:rsidR="001206E5" w:rsidRPr="00B53F1A" w:rsidRDefault="001206E5" w:rsidP="00B53F1A">
                              <w:pPr>
                                <w:jc w:val="center"/>
                                <w:rPr>
                                  <w:rFonts w:asciiTheme="majorHAnsi" w:hAnsiTheme="majorHAnsi"/>
                                  <w:sz w:val="18"/>
                                  <w:szCs w:val="18"/>
                                </w:rPr>
                              </w:pPr>
                              <w:r w:rsidRPr="00B53F1A">
                                <w:rPr>
                                  <w:rFonts w:asciiTheme="majorHAnsi" w:hAnsiTheme="majorHAnsi"/>
                                  <w:sz w:val="18"/>
                                  <w:szCs w:val="18"/>
                                </w:rPr>
                                <w:t>Review procurement need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Text Box 2"/>
                        <wps:cNvSpPr txBox="1"/>
                        <wps:spPr>
                          <a:xfrm>
                            <a:off x="1635225" y="1181018"/>
                            <a:ext cx="971550" cy="666689"/>
                          </a:xfrm>
                          <a:prstGeom prst="rect">
                            <a:avLst/>
                          </a:prstGeom>
                          <a:solidFill>
                            <a:schemeClr val="lt1"/>
                          </a:solidFill>
                          <a:ln w="6350">
                            <a:solidFill>
                              <a:prstClr val="black"/>
                            </a:solidFill>
                          </a:ln>
                        </wps:spPr>
                        <wps:txbx>
                          <w:txbxContent>
                            <w:p w14:paraId="0A9C4597" w14:textId="77777777" w:rsidR="001206E5" w:rsidRPr="00B53F1A" w:rsidRDefault="001206E5" w:rsidP="00B53F1A">
                              <w:pPr>
                                <w:pStyle w:val="NormalWeb"/>
                                <w:spacing w:before="0" w:beforeAutospacing="0" w:after="0" w:afterAutospacing="0" w:line="256" w:lineRule="auto"/>
                                <w:jc w:val="center"/>
                                <w:rPr>
                                  <w:sz w:val="18"/>
                                  <w:szCs w:val="18"/>
                                </w:rPr>
                              </w:pPr>
                              <w:r w:rsidRPr="00B53F1A">
                                <w:rPr>
                                  <w:rFonts w:ascii="Calibri" w:eastAsia="Calibri" w:hAnsi="Calibri"/>
                                  <w:sz w:val="18"/>
                                  <w:szCs w:val="18"/>
                                </w:rPr>
                                <w:t>Conduct market analysis</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7" name="Text Box 2"/>
                        <wps:cNvSpPr txBox="1"/>
                        <wps:spPr>
                          <a:xfrm>
                            <a:off x="2959200" y="1181030"/>
                            <a:ext cx="971550" cy="666677"/>
                          </a:xfrm>
                          <a:prstGeom prst="rect">
                            <a:avLst/>
                          </a:prstGeom>
                          <a:solidFill>
                            <a:schemeClr val="lt1"/>
                          </a:solidFill>
                          <a:ln w="6350">
                            <a:solidFill>
                              <a:prstClr val="black"/>
                            </a:solidFill>
                          </a:ln>
                        </wps:spPr>
                        <wps:txbx>
                          <w:txbxContent>
                            <w:p w14:paraId="631BAA48" w14:textId="77777777" w:rsidR="001206E5" w:rsidRPr="00B53F1A" w:rsidRDefault="001206E5" w:rsidP="00B53F1A">
                              <w:pPr>
                                <w:pStyle w:val="NormalWeb"/>
                                <w:spacing w:before="0" w:beforeAutospacing="0" w:after="0" w:afterAutospacing="0" w:line="254" w:lineRule="auto"/>
                                <w:jc w:val="center"/>
                                <w:rPr>
                                  <w:sz w:val="18"/>
                                  <w:szCs w:val="18"/>
                                </w:rPr>
                              </w:pPr>
                              <w:r w:rsidRPr="00B53F1A">
                                <w:rPr>
                                  <w:rFonts w:ascii="Calibri" w:eastAsia="Calibri" w:hAnsi="Calibri"/>
                                  <w:sz w:val="18"/>
                                  <w:szCs w:val="18"/>
                                </w:rPr>
                                <w:t>Develop market approach plan</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0" name="Text Box 2"/>
                        <wps:cNvSpPr txBox="1"/>
                        <wps:spPr>
                          <a:xfrm>
                            <a:off x="4264125" y="1190565"/>
                            <a:ext cx="971550" cy="685860"/>
                          </a:xfrm>
                          <a:prstGeom prst="rect">
                            <a:avLst/>
                          </a:prstGeom>
                          <a:solidFill>
                            <a:schemeClr val="lt1"/>
                          </a:solidFill>
                          <a:ln w="6350">
                            <a:solidFill>
                              <a:prstClr val="black"/>
                            </a:solidFill>
                          </a:ln>
                        </wps:spPr>
                        <wps:txbx>
                          <w:txbxContent>
                            <w:p w14:paraId="0D689D6F" w14:textId="77777777" w:rsidR="001206E5" w:rsidRPr="00B53F1A" w:rsidRDefault="001206E5" w:rsidP="00B53F1A">
                              <w:pPr>
                                <w:pStyle w:val="NormalWeb"/>
                                <w:spacing w:before="0" w:beforeAutospacing="0" w:after="0" w:afterAutospacing="0" w:line="252" w:lineRule="auto"/>
                                <w:jc w:val="center"/>
                                <w:rPr>
                                  <w:sz w:val="18"/>
                                  <w:szCs w:val="18"/>
                                </w:rPr>
                              </w:pPr>
                              <w:r w:rsidRPr="00B53F1A">
                                <w:rPr>
                                  <w:rFonts w:ascii="Calibri" w:eastAsia="Calibri" w:hAnsi="Calibri"/>
                                  <w:sz w:val="18"/>
                                  <w:szCs w:val="18"/>
                                </w:rPr>
                                <w:t>Evaluate, negotiate and select supplier</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2" name="Text Box 2"/>
                        <wps:cNvSpPr txBox="1"/>
                        <wps:spPr>
                          <a:xfrm>
                            <a:off x="255076" y="2113408"/>
                            <a:ext cx="971550" cy="648842"/>
                          </a:xfrm>
                          <a:prstGeom prst="rect">
                            <a:avLst/>
                          </a:prstGeom>
                          <a:solidFill>
                            <a:schemeClr val="lt1"/>
                          </a:solidFill>
                          <a:ln w="6350">
                            <a:solidFill>
                              <a:prstClr val="black"/>
                            </a:solidFill>
                          </a:ln>
                        </wps:spPr>
                        <wps:txbx>
                          <w:txbxContent>
                            <w:p w14:paraId="36F07F76" w14:textId="77777777" w:rsidR="001206E5" w:rsidRPr="00B53F1A" w:rsidRDefault="001206E5" w:rsidP="00B53F1A">
                              <w:pPr>
                                <w:pStyle w:val="NormalWeb"/>
                                <w:spacing w:before="0" w:beforeAutospacing="0" w:after="0" w:afterAutospacing="0" w:line="252" w:lineRule="auto"/>
                                <w:jc w:val="center"/>
                                <w:rPr>
                                  <w:sz w:val="18"/>
                                  <w:szCs w:val="18"/>
                                </w:rPr>
                              </w:pPr>
                              <w:r w:rsidRPr="00B53F1A">
                                <w:rPr>
                                  <w:rFonts w:ascii="Calibri" w:eastAsia="Calibri" w:hAnsi="Calibri"/>
                                  <w:sz w:val="18"/>
                                  <w:szCs w:val="18"/>
                                </w:rPr>
                                <w:t>Create and commit to contract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3" name="Text Box 2"/>
                        <wps:cNvSpPr txBox="1"/>
                        <wps:spPr>
                          <a:xfrm>
                            <a:off x="1616175" y="2141005"/>
                            <a:ext cx="971550" cy="621245"/>
                          </a:xfrm>
                          <a:prstGeom prst="rect">
                            <a:avLst/>
                          </a:prstGeom>
                          <a:solidFill>
                            <a:schemeClr val="lt1"/>
                          </a:solidFill>
                          <a:ln w="6350">
                            <a:solidFill>
                              <a:prstClr val="black"/>
                            </a:solidFill>
                          </a:ln>
                        </wps:spPr>
                        <wps:txbx>
                          <w:txbxContent>
                            <w:p w14:paraId="6FC6B339" w14:textId="77777777" w:rsidR="001206E5" w:rsidRPr="00B53F1A" w:rsidRDefault="001206E5" w:rsidP="00B53F1A">
                              <w:pPr>
                                <w:pStyle w:val="NormalWeb"/>
                                <w:spacing w:before="0" w:beforeAutospacing="0" w:after="0" w:afterAutospacing="0" w:line="252" w:lineRule="auto"/>
                                <w:jc w:val="center"/>
                                <w:rPr>
                                  <w:sz w:val="18"/>
                                  <w:szCs w:val="18"/>
                                </w:rPr>
                              </w:pPr>
                              <w:r w:rsidRPr="00B53F1A">
                                <w:rPr>
                                  <w:rFonts w:ascii="Calibri" w:eastAsia="Calibri" w:hAnsi="Calibri"/>
                                  <w:sz w:val="18"/>
                                  <w:szCs w:val="18"/>
                                </w:rPr>
                                <w:t>Manage contract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4" name="Text Box 2"/>
                        <wps:cNvSpPr txBox="1"/>
                        <wps:spPr>
                          <a:xfrm>
                            <a:off x="2968725" y="2159092"/>
                            <a:ext cx="971550" cy="612683"/>
                          </a:xfrm>
                          <a:prstGeom prst="rect">
                            <a:avLst/>
                          </a:prstGeom>
                          <a:solidFill>
                            <a:schemeClr val="lt1"/>
                          </a:solidFill>
                          <a:ln w="6350">
                            <a:solidFill>
                              <a:prstClr val="black"/>
                            </a:solidFill>
                          </a:ln>
                        </wps:spPr>
                        <wps:txbx>
                          <w:txbxContent>
                            <w:p w14:paraId="24414512" w14:textId="3A523D4D" w:rsidR="001206E5" w:rsidRPr="00B53F1A" w:rsidRDefault="001206E5" w:rsidP="00B53F1A">
                              <w:pPr>
                                <w:pStyle w:val="NormalWeb"/>
                                <w:spacing w:before="0" w:beforeAutospacing="0" w:after="0" w:afterAutospacing="0" w:line="252" w:lineRule="auto"/>
                                <w:jc w:val="center"/>
                                <w:rPr>
                                  <w:sz w:val="18"/>
                                  <w:szCs w:val="18"/>
                                </w:rPr>
                              </w:pPr>
                              <w:r>
                                <w:rPr>
                                  <w:rFonts w:ascii="Calibri" w:eastAsia="Calibri" w:hAnsi="Calibri"/>
                                  <w:sz w:val="18"/>
                                  <w:szCs w:val="18"/>
                                </w:rPr>
                                <w:t>Review or close c</w:t>
                              </w:r>
                              <w:r w:rsidRPr="00B53F1A">
                                <w:rPr>
                                  <w:rFonts w:ascii="Calibri" w:eastAsia="Calibri" w:hAnsi="Calibri"/>
                                  <w:sz w:val="18"/>
                                  <w:szCs w:val="18"/>
                                </w:rPr>
                                <w:t>ontract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5" name="Text Box 2"/>
                        <wps:cNvSpPr txBox="1"/>
                        <wps:spPr>
                          <a:xfrm>
                            <a:off x="4269305" y="2150543"/>
                            <a:ext cx="971550" cy="621016"/>
                          </a:xfrm>
                          <a:prstGeom prst="rect">
                            <a:avLst/>
                          </a:prstGeom>
                          <a:solidFill>
                            <a:schemeClr val="lt1"/>
                          </a:solidFill>
                          <a:ln w="6350">
                            <a:solidFill>
                              <a:prstClr val="black"/>
                            </a:solidFill>
                          </a:ln>
                        </wps:spPr>
                        <wps:txbx>
                          <w:txbxContent>
                            <w:p w14:paraId="5BE27BA6" w14:textId="1504885E" w:rsidR="001206E5" w:rsidRPr="00B53F1A" w:rsidRDefault="001206E5" w:rsidP="00B53F1A">
                              <w:pPr>
                                <w:pStyle w:val="NormalWeb"/>
                                <w:spacing w:before="0" w:beforeAutospacing="0" w:after="0" w:afterAutospacing="0" w:line="252" w:lineRule="auto"/>
                                <w:jc w:val="center"/>
                                <w:rPr>
                                  <w:sz w:val="18"/>
                                  <w:szCs w:val="18"/>
                                </w:rPr>
                              </w:pPr>
                              <w:r>
                                <w:rPr>
                                  <w:rFonts w:ascii="Calibri" w:eastAsia="Calibri" w:hAnsi="Calibri"/>
                                  <w:sz w:val="18"/>
                                  <w:szCs w:val="18"/>
                                </w:rPr>
                                <w:t>D</w:t>
                              </w:r>
                              <w:r w:rsidRPr="00B53F1A">
                                <w:rPr>
                                  <w:rFonts w:ascii="Calibri" w:eastAsia="Calibri" w:hAnsi="Calibri"/>
                                  <w:sz w:val="18"/>
                                  <w:szCs w:val="18"/>
                                </w:rPr>
                                <w:t>ispos</w:t>
                              </w:r>
                              <w:r>
                                <w:rPr>
                                  <w:rFonts w:ascii="Calibri" w:eastAsia="Calibri" w:hAnsi="Calibri"/>
                                  <w:sz w:val="18"/>
                                  <w:szCs w:val="18"/>
                                </w:rPr>
                                <w:t>e of</w:t>
                              </w:r>
                              <w:r w:rsidRPr="00B53F1A">
                                <w:rPr>
                                  <w:rFonts w:ascii="Calibri" w:eastAsia="Calibri" w:hAnsi="Calibri"/>
                                  <w:sz w:val="18"/>
                                  <w:szCs w:val="18"/>
                                </w:rPr>
                                <w:t xml:space="preserve"> </w:t>
                              </w:r>
                              <w:r>
                                <w:rPr>
                                  <w:rFonts w:ascii="Calibri" w:eastAsia="Calibri" w:hAnsi="Calibri"/>
                                  <w:sz w:val="18"/>
                                  <w:szCs w:val="18"/>
                                </w:rPr>
                                <w:t>a</w:t>
                              </w:r>
                              <w:r w:rsidRPr="00B53F1A">
                                <w:rPr>
                                  <w:rFonts w:ascii="Calibri" w:eastAsia="Calibri" w:hAnsi="Calibri"/>
                                  <w:sz w:val="18"/>
                                  <w:szCs w:val="18"/>
                                </w:rPr>
                                <w:t>sset</w:t>
                              </w:r>
                              <w:r>
                                <w:rPr>
                                  <w:rFonts w:ascii="Calibri" w:eastAsia="Calibri" w:hAnsi="Calibri"/>
                                  <w:sz w:val="18"/>
                                  <w:szCs w:val="18"/>
                                </w:rPr>
                                <w:t>s</w:t>
                              </w:r>
                              <w:r w:rsidRPr="00B53F1A">
                                <w:rPr>
                                  <w:rFonts w:ascii="Calibri" w:eastAsia="Calibri" w:hAnsi="Calibri"/>
                                  <w:sz w:val="18"/>
                                  <w:szCs w:val="18"/>
                                </w:rPr>
                                <w:t xml:space="preserve">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7" name="Straight Arrow Connector 47"/>
                        <wps:cNvCnPr>
                          <a:stCxn id="25" idx="3"/>
                          <a:endCxn id="26" idx="1"/>
                        </wps:cNvCnPr>
                        <wps:spPr>
                          <a:xfrm flipV="1">
                            <a:off x="1245676" y="1514363"/>
                            <a:ext cx="389549" cy="66"/>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48" name="Straight Arrow Connector 48"/>
                        <wps:cNvCnPr>
                          <a:stCxn id="26" idx="3"/>
                          <a:endCxn id="27" idx="1"/>
                        </wps:cNvCnPr>
                        <wps:spPr>
                          <a:xfrm>
                            <a:off x="2606775" y="1514363"/>
                            <a:ext cx="352425" cy="6"/>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49" name="Straight Arrow Connector 49"/>
                        <wps:cNvCnPr>
                          <a:stCxn id="27" idx="3"/>
                          <a:endCxn id="40" idx="1"/>
                        </wps:cNvCnPr>
                        <wps:spPr>
                          <a:xfrm>
                            <a:off x="3930750" y="1514369"/>
                            <a:ext cx="333375" cy="19126"/>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50" name="Straight Arrow Connector 50"/>
                        <wps:cNvCnPr>
                          <a:stCxn id="42" idx="3"/>
                          <a:endCxn id="43" idx="1"/>
                        </wps:cNvCnPr>
                        <wps:spPr>
                          <a:xfrm>
                            <a:off x="1226626" y="2437829"/>
                            <a:ext cx="389549" cy="1379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51" name="Straight Arrow Connector 51"/>
                        <wps:cNvCnPr>
                          <a:stCxn id="43" idx="3"/>
                          <a:endCxn id="44" idx="1"/>
                        </wps:cNvCnPr>
                        <wps:spPr>
                          <a:xfrm>
                            <a:off x="2587725" y="2451628"/>
                            <a:ext cx="381000" cy="13806"/>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52" name="Straight Arrow Connector 52"/>
                        <wps:cNvCnPr>
                          <a:stCxn id="44" idx="3"/>
                          <a:endCxn id="45" idx="1"/>
                        </wps:cNvCnPr>
                        <wps:spPr>
                          <a:xfrm flipV="1">
                            <a:off x="3940275" y="2461051"/>
                            <a:ext cx="329030" cy="4383"/>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55" name="Connector: Elbow 55"/>
                        <wps:cNvCnPr>
                          <a:stCxn id="40" idx="3"/>
                          <a:endCxn id="42" idx="1"/>
                        </wps:cNvCnPr>
                        <wps:spPr>
                          <a:xfrm flipH="1">
                            <a:off x="255076" y="1533495"/>
                            <a:ext cx="4980599" cy="904334"/>
                          </a:xfrm>
                          <a:prstGeom prst="bentConnector5">
                            <a:avLst>
                              <a:gd name="adj1" fmla="val -4590"/>
                              <a:gd name="adj2" fmla="val 51023"/>
                              <a:gd name="adj3" fmla="val 104590"/>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56" name="Rectangle 56"/>
                        <wps:cNvSpPr/>
                        <wps:spPr>
                          <a:xfrm>
                            <a:off x="64135" y="2882213"/>
                            <a:ext cx="5619750" cy="2099362"/>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 name="Text Box 57"/>
                        <wps:cNvSpPr txBox="1"/>
                        <wps:spPr>
                          <a:xfrm>
                            <a:off x="140774" y="2933698"/>
                            <a:ext cx="5485425" cy="257176"/>
                          </a:xfrm>
                          <a:prstGeom prst="rect">
                            <a:avLst/>
                          </a:prstGeom>
                          <a:solidFill>
                            <a:schemeClr val="lt1"/>
                          </a:solidFill>
                          <a:ln w="6350">
                            <a:solidFill>
                              <a:prstClr val="black"/>
                            </a:solidFill>
                          </a:ln>
                        </wps:spPr>
                        <wps:txbx>
                          <w:txbxContent>
                            <w:p w14:paraId="31ADEEF9" w14:textId="2E3FAE6D" w:rsidR="001206E5" w:rsidRPr="00B53F1A" w:rsidRDefault="001206E5" w:rsidP="00C4088E">
                              <w:pPr>
                                <w:jc w:val="center"/>
                                <w:rPr>
                                  <w:sz w:val="18"/>
                                  <w:szCs w:val="18"/>
                                </w:rPr>
                              </w:pPr>
                              <w:r>
                                <w:rPr>
                                  <w:sz w:val="18"/>
                                  <w:szCs w:val="18"/>
                                </w:rPr>
                                <w:t xml:space="preserve">VGPB PROCUREMENT </w:t>
                              </w:r>
                              <w:r w:rsidRPr="00B53F1A">
                                <w:rPr>
                                  <w:sz w:val="18"/>
                                  <w:szCs w:val="18"/>
                                </w:rPr>
                                <w:t>PRINCIPLES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9" name="Text Box 59"/>
                        <wps:cNvSpPr txBox="1"/>
                        <wps:spPr>
                          <a:xfrm>
                            <a:off x="150298" y="3264956"/>
                            <a:ext cx="1611827" cy="1630893"/>
                          </a:xfrm>
                          <a:prstGeom prst="rect">
                            <a:avLst/>
                          </a:prstGeom>
                          <a:solidFill>
                            <a:schemeClr val="lt1"/>
                          </a:solidFill>
                          <a:ln w="6350">
                            <a:solidFill>
                              <a:prstClr val="black"/>
                            </a:solidFill>
                          </a:ln>
                        </wps:spPr>
                        <wps:txbx>
                          <w:txbxContent>
                            <w:p w14:paraId="41956FA9" w14:textId="04F9F530" w:rsidR="001206E5" w:rsidRPr="00E13115" w:rsidRDefault="001206E5" w:rsidP="00E13115">
                              <w:pPr>
                                <w:rPr>
                                  <w:rFonts w:asciiTheme="majorHAnsi" w:hAnsiTheme="majorHAnsi" w:cstheme="majorHAnsi"/>
                                  <w:b/>
                                  <w:sz w:val="18"/>
                                  <w:szCs w:val="18"/>
                                </w:rPr>
                              </w:pPr>
                              <w:r w:rsidRPr="00E13115">
                                <w:rPr>
                                  <w:rFonts w:asciiTheme="majorHAnsi" w:hAnsiTheme="majorHAnsi" w:cstheme="majorHAnsi"/>
                                  <w:sz w:val="18"/>
                                  <w:szCs w:val="18"/>
                                </w:rPr>
                                <w:t xml:space="preserve">The </w:t>
                              </w:r>
                              <w:r>
                                <w:rPr>
                                  <w:rFonts w:asciiTheme="majorHAnsi" w:hAnsiTheme="majorHAnsi" w:cstheme="majorHAnsi"/>
                                  <w:b/>
                                  <w:sz w:val="18"/>
                                  <w:szCs w:val="18"/>
                                </w:rPr>
                                <w:t>v</w:t>
                              </w:r>
                              <w:r w:rsidRPr="00E13115">
                                <w:rPr>
                                  <w:rFonts w:asciiTheme="majorHAnsi" w:hAnsiTheme="majorHAnsi" w:cstheme="majorHAnsi"/>
                                  <w:b/>
                                  <w:sz w:val="18"/>
                                  <w:szCs w:val="18"/>
                                </w:rPr>
                                <w:t>alue for money</w:t>
                              </w:r>
                              <w:r w:rsidRPr="00E13115">
                                <w:rPr>
                                  <w:rFonts w:asciiTheme="majorHAnsi" w:hAnsiTheme="majorHAnsi" w:cstheme="majorHAnsi"/>
                                  <w:sz w:val="18"/>
                                  <w:szCs w:val="18"/>
                                </w:rPr>
                                <w:t xml:space="preserve"> of the procurement</w:t>
                              </w:r>
                              <w:r>
                                <w:rPr>
                                  <w:rFonts w:asciiTheme="majorHAnsi" w:hAnsiTheme="majorHAnsi" w:cstheme="majorHAnsi"/>
                                  <w:b/>
                                  <w:sz w:val="18"/>
                                  <w:szCs w:val="18"/>
                                </w:rPr>
                                <w:t xml:space="preserve"> t</w:t>
                              </w:r>
                              <w:r w:rsidRPr="00E13115">
                                <w:rPr>
                                  <w:rFonts w:asciiTheme="majorHAnsi" w:eastAsia="Calibri" w:hAnsiTheme="majorHAnsi" w:cstheme="majorHAnsi"/>
                                  <w:sz w:val="18"/>
                                  <w:szCs w:val="18"/>
                                </w:rPr>
                                <w:t>aking into account:</w:t>
                              </w:r>
                            </w:p>
                            <w:p w14:paraId="5D4F267C" w14:textId="766A1A6E" w:rsidR="001206E5" w:rsidRPr="00E13115" w:rsidRDefault="001206E5" w:rsidP="00B53F1A">
                              <w:pPr>
                                <w:rPr>
                                  <w:rFonts w:asciiTheme="majorHAnsi" w:hAnsiTheme="majorHAnsi" w:cstheme="majorHAnsi"/>
                                  <w:sz w:val="18"/>
                                  <w:szCs w:val="18"/>
                                </w:rPr>
                              </w:pPr>
                              <w:r w:rsidRPr="00E13115">
                                <w:rPr>
                                  <w:rFonts w:asciiTheme="majorHAnsi" w:eastAsia="Calibri" w:hAnsiTheme="majorHAnsi" w:cstheme="majorHAnsi"/>
                                  <w:sz w:val="18"/>
                                  <w:szCs w:val="18"/>
                                </w:rPr>
                                <w:t>(i) the total benefits and costs over the life of the goods, services or works procured</w:t>
                              </w:r>
                              <w:r>
                                <w:rPr>
                                  <w:rFonts w:asciiTheme="majorHAnsi" w:eastAsia="Calibri" w:hAnsiTheme="majorHAnsi" w:cstheme="majorHAnsi"/>
                                  <w:sz w:val="18"/>
                                  <w:szCs w:val="18"/>
                                </w:rPr>
                                <w:t>;</w:t>
                              </w:r>
                              <w:r w:rsidRPr="00E13115">
                                <w:rPr>
                                  <w:rFonts w:asciiTheme="majorHAnsi" w:eastAsia="Calibri" w:hAnsiTheme="majorHAnsi" w:cstheme="majorHAnsi"/>
                                  <w:sz w:val="18"/>
                                  <w:szCs w:val="18"/>
                                </w:rPr>
                                <w:br/>
                                <w:t xml:space="preserve">(ii) environmental, </w:t>
                              </w:r>
                              <w:r w:rsidRPr="00E13115">
                                <w:rPr>
                                  <w:rFonts w:asciiTheme="majorHAnsi" w:hAnsiTheme="majorHAnsi" w:cstheme="majorHAnsi"/>
                                  <w:sz w:val="18"/>
                                  <w:szCs w:val="18"/>
                                </w:rPr>
                                <w:t>social and economic factors; and</w:t>
                              </w:r>
                              <w:r w:rsidRPr="00E13115">
                                <w:rPr>
                                  <w:rFonts w:asciiTheme="majorHAnsi" w:hAnsiTheme="majorHAnsi" w:cstheme="majorHAnsi"/>
                                  <w:sz w:val="18"/>
                                  <w:szCs w:val="18"/>
                                </w:rPr>
                                <w:br/>
                                <w:t>(iii) any risk related to the procurement</w:t>
                              </w:r>
                              <w:r>
                                <w:rPr>
                                  <w:rFonts w:asciiTheme="majorHAnsi" w:hAnsiTheme="majorHAnsi" w:cstheme="majorHAnsi"/>
                                  <w:sz w:val="18"/>
                                  <w:szCs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0" name="Text Box 21"/>
                        <wps:cNvSpPr txBox="1"/>
                        <wps:spPr>
                          <a:xfrm>
                            <a:off x="1806558" y="3265723"/>
                            <a:ext cx="1136667" cy="1630126"/>
                          </a:xfrm>
                          <a:prstGeom prst="rect">
                            <a:avLst/>
                          </a:prstGeom>
                          <a:solidFill>
                            <a:schemeClr val="lt1"/>
                          </a:solidFill>
                          <a:ln w="6350">
                            <a:solidFill>
                              <a:prstClr val="black"/>
                            </a:solidFill>
                          </a:ln>
                        </wps:spPr>
                        <wps:txbx>
                          <w:txbxContent>
                            <w:p w14:paraId="22BFB179" w14:textId="0B592842" w:rsidR="001206E5" w:rsidRPr="00B53F1A" w:rsidRDefault="001206E5" w:rsidP="00B53F1A">
                              <w:pPr>
                                <w:pStyle w:val="NormalWeb"/>
                                <w:spacing w:before="0" w:beforeAutospacing="0" w:after="0" w:afterAutospacing="0" w:line="256" w:lineRule="auto"/>
                                <w:rPr>
                                  <w:sz w:val="18"/>
                                  <w:szCs w:val="18"/>
                                </w:rPr>
                              </w:pPr>
                              <w:r w:rsidRPr="00B53F1A">
                                <w:rPr>
                                  <w:rFonts w:ascii="Calibri" w:eastAsia="Calibri" w:hAnsi="Calibri"/>
                                  <w:b/>
                                  <w:bCs/>
                                  <w:sz w:val="18"/>
                                  <w:szCs w:val="18"/>
                                </w:rPr>
                                <w:t>Accountability</w:t>
                              </w:r>
                              <w:r>
                                <w:rPr>
                                  <w:rFonts w:ascii="Calibri" w:eastAsia="Calibri" w:hAnsi="Calibri"/>
                                  <w:b/>
                                  <w:bCs/>
                                  <w:sz w:val="18"/>
                                  <w:szCs w:val="18"/>
                                </w:rPr>
                                <w:t xml:space="preserve"> </w:t>
                              </w:r>
                              <w:r w:rsidRPr="00D2111A">
                                <w:rPr>
                                  <w:rFonts w:ascii="Calibri" w:eastAsia="Calibri" w:hAnsi="Calibri"/>
                                  <w:sz w:val="18"/>
                                  <w:szCs w:val="18"/>
                                </w:rPr>
                                <w:t>for procurement commensurate with appropriate levels of authority and responsibility</w:t>
                              </w:r>
                              <w:r>
                                <w:rPr>
                                  <w:rFonts w:ascii="Calibri" w:eastAsia="Calibri" w:hAnsi="Calibri"/>
                                  <w:sz w:val="18"/>
                                  <w:szCs w:val="18"/>
                                </w:rPr>
                                <w:t xml:space="preserve">. </w:t>
                              </w:r>
                              <w:r w:rsidRPr="00B53F1A">
                                <w:rPr>
                                  <w:rFonts w:ascii="Calibri" w:eastAsia="Calibri" w:hAnsi="Calibri"/>
                                  <w:sz w:val="18"/>
                                  <w:szCs w:val="18"/>
                                </w:rPr>
                                <w:t> </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61" name="Text Box 21"/>
                        <wps:cNvSpPr txBox="1"/>
                        <wps:spPr>
                          <a:xfrm>
                            <a:off x="4181475" y="3263450"/>
                            <a:ext cx="1419225" cy="1632399"/>
                          </a:xfrm>
                          <a:prstGeom prst="rect">
                            <a:avLst/>
                          </a:prstGeom>
                          <a:solidFill>
                            <a:schemeClr val="lt1"/>
                          </a:solidFill>
                          <a:ln w="6350">
                            <a:solidFill>
                              <a:prstClr val="black"/>
                            </a:solidFill>
                          </a:ln>
                        </wps:spPr>
                        <wps:txbx>
                          <w:txbxContent>
                            <w:p w14:paraId="4C704FBC" w14:textId="1C5F6D82" w:rsidR="001206E5" w:rsidRPr="00B53F1A" w:rsidRDefault="001206E5" w:rsidP="00B53F1A">
                              <w:pPr>
                                <w:pStyle w:val="NormalWeb"/>
                                <w:spacing w:before="0" w:beforeAutospacing="0" w:after="0" w:afterAutospacing="0" w:line="254" w:lineRule="auto"/>
                                <w:rPr>
                                  <w:sz w:val="18"/>
                                  <w:szCs w:val="18"/>
                                </w:rPr>
                              </w:pPr>
                              <w:r w:rsidRPr="00B53F1A">
                                <w:rPr>
                                  <w:rFonts w:ascii="Calibri" w:eastAsia="Calibri" w:hAnsi="Calibri"/>
                                  <w:b/>
                                  <w:bCs/>
                                  <w:sz w:val="18"/>
                                  <w:szCs w:val="18"/>
                                </w:rPr>
                                <w:t>Scalability</w:t>
                              </w:r>
                              <w:r>
                                <w:rPr>
                                  <w:rFonts w:ascii="Calibri" w:eastAsia="Calibri" w:hAnsi="Calibri"/>
                                  <w:b/>
                                  <w:bCs/>
                                  <w:sz w:val="18"/>
                                  <w:szCs w:val="18"/>
                                </w:rPr>
                                <w:t xml:space="preserve"> </w:t>
                              </w:r>
                              <w:r w:rsidRPr="003D6D8C">
                                <w:rPr>
                                  <w:rFonts w:ascii="Calibri" w:eastAsia="Calibri" w:hAnsi="Calibri"/>
                                  <w:sz w:val="18"/>
                                  <w:szCs w:val="18"/>
                                </w:rPr>
                                <w:t>so that the procurement governance policies and processes are appropriate and efficient, taking into account the capability of available resources and the complexity of the procurement undertaken.</w:t>
                              </w:r>
                              <w:r w:rsidRPr="00B53F1A">
                                <w:rPr>
                                  <w:rFonts w:ascii="Calibri" w:eastAsia="Calibri" w:hAnsi="Calibri"/>
                                  <w:sz w:val="18"/>
                                  <w:szCs w:val="18"/>
                                </w:rPr>
                                <w:t> </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62" name="Text Box 21"/>
                        <wps:cNvSpPr txBox="1"/>
                        <wps:spPr>
                          <a:xfrm>
                            <a:off x="2968725" y="3265469"/>
                            <a:ext cx="1156050" cy="1630380"/>
                          </a:xfrm>
                          <a:prstGeom prst="rect">
                            <a:avLst/>
                          </a:prstGeom>
                          <a:solidFill>
                            <a:schemeClr val="lt1"/>
                          </a:solidFill>
                          <a:ln w="6350">
                            <a:solidFill>
                              <a:prstClr val="black"/>
                            </a:solidFill>
                          </a:ln>
                        </wps:spPr>
                        <wps:txbx>
                          <w:txbxContent>
                            <w:p w14:paraId="76EC43D6" w14:textId="7E4139AA" w:rsidR="001206E5" w:rsidRPr="00B53F1A" w:rsidRDefault="001206E5" w:rsidP="00B53F1A">
                              <w:pPr>
                                <w:pStyle w:val="NormalWeb"/>
                                <w:spacing w:before="0" w:beforeAutospacing="0" w:after="0" w:afterAutospacing="0" w:line="254" w:lineRule="auto"/>
                                <w:rPr>
                                  <w:sz w:val="18"/>
                                  <w:szCs w:val="18"/>
                                </w:rPr>
                              </w:pPr>
                              <w:r w:rsidRPr="00B53F1A">
                                <w:rPr>
                                  <w:rFonts w:ascii="Calibri" w:eastAsia="Calibri" w:hAnsi="Calibri"/>
                                  <w:b/>
                                  <w:bCs/>
                                  <w:sz w:val="18"/>
                                  <w:szCs w:val="18"/>
                                </w:rPr>
                                <w:t>Probity</w:t>
                              </w:r>
                              <w:r>
                                <w:rPr>
                                  <w:rFonts w:ascii="Calibri" w:eastAsia="Calibri" w:hAnsi="Calibri"/>
                                  <w:b/>
                                  <w:bCs/>
                                  <w:sz w:val="18"/>
                                  <w:szCs w:val="18"/>
                                </w:rPr>
                                <w:t xml:space="preserve"> </w:t>
                              </w:r>
                              <w:r w:rsidRPr="00D2111A">
                                <w:rPr>
                                  <w:rFonts w:ascii="Calibri" w:eastAsia="Calibri" w:hAnsi="Calibri"/>
                                  <w:sz w:val="18"/>
                                  <w:szCs w:val="18"/>
                                </w:rPr>
                                <w:t>through the application of integrity, ethical behaviour, fairness and transparency in the conduct of procurement processes</w:t>
                              </w:r>
                              <w:r>
                                <w:rPr>
                                  <w:rFonts w:ascii="Calibri" w:eastAsia="Calibri" w:hAnsi="Calibri"/>
                                  <w:sz w:val="18"/>
                                  <w:szCs w:val="18"/>
                                </w:rPr>
                                <w:t>,</w:t>
                              </w:r>
                              <w:r w:rsidRPr="00B53F1A">
                                <w:rPr>
                                  <w:rFonts w:ascii="Calibri" w:eastAsia="Calibri" w:hAnsi="Calibri"/>
                                  <w:sz w:val="18"/>
                                  <w:szCs w:val="18"/>
                                </w:rPr>
                                <w:t xml:space="preserve"> </w:t>
                              </w:r>
                            </w:p>
                            <w:p w14:paraId="60F365F2" w14:textId="77777777" w:rsidR="001206E5" w:rsidRPr="00B53F1A" w:rsidRDefault="001206E5" w:rsidP="00B53F1A">
                              <w:pPr>
                                <w:pStyle w:val="NormalWeb"/>
                                <w:spacing w:before="0" w:beforeAutospacing="0" w:after="0" w:afterAutospacing="0" w:line="254" w:lineRule="auto"/>
                                <w:rPr>
                                  <w:sz w:val="18"/>
                                  <w:szCs w:val="18"/>
                                </w:rPr>
                              </w:pPr>
                              <w:r w:rsidRPr="00B53F1A">
                                <w:rPr>
                                  <w:rFonts w:ascii="Calibri" w:eastAsia="Calibri" w:hAnsi="Calibri"/>
                                  <w:sz w:val="18"/>
                                  <w:szCs w:val="18"/>
                                </w:rPr>
                                <w:t> </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64" name="Rectangle 64"/>
                        <wps:cNvSpPr/>
                        <wps:spPr>
                          <a:xfrm>
                            <a:off x="36000" y="0"/>
                            <a:ext cx="5629275" cy="1095374"/>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5" name="Text Box 20"/>
                        <wps:cNvSpPr txBox="1"/>
                        <wps:spPr>
                          <a:xfrm>
                            <a:off x="92175" y="27599"/>
                            <a:ext cx="5485130" cy="266065"/>
                          </a:xfrm>
                          <a:prstGeom prst="rect">
                            <a:avLst/>
                          </a:prstGeom>
                          <a:solidFill>
                            <a:schemeClr val="lt1"/>
                          </a:solidFill>
                          <a:ln w="6350">
                            <a:solidFill>
                              <a:prstClr val="black"/>
                            </a:solidFill>
                          </a:ln>
                        </wps:spPr>
                        <wps:txbx>
                          <w:txbxContent>
                            <w:p w14:paraId="74FCF11F" w14:textId="69F046FA" w:rsidR="001206E5" w:rsidRPr="00B53F1A" w:rsidRDefault="001206E5" w:rsidP="00C4088E">
                              <w:pPr>
                                <w:pStyle w:val="NormalWeb"/>
                                <w:spacing w:before="0" w:beforeAutospacing="0" w:after="0" w:afterAutospacing="0" w:line="256" w:lineRule="auto"/>
                                <w:jc w:val="center"/>
                                <w:rPr>
                                  <w:sz w:val="18"/>
                                  <w:szCs w:val="18"/>
                                </w:rPr>
                              </w:pPr>
                              <w:r w:rsidRPr="00B53F1A">
                                <w:rPr>
                                  <w:rFonts w:ascii="Calibri" w:eastAsia="Calibri" w:hAnsi="Calibri"/>
                                  <w:sz w:val="18"/>
                                  <w:szCs w:val="18"/>
                                </w:rPr>
                                <w:t>VGPB SUPPLY POLIC</w:t>
                              </w:r>
                              <w:r>
                                <w:rPr>
                                  <w:rFonts w:ascii="Calibri" w:eastAsia="Calibri" w:hAnsi="Calibri"/>
                                  <w:sz w:val="18"/>
                                  <w:szCs w:val="18"/>
                                </w:rPr>
                                <w:t>IES</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66" name="Text Box 21"/>
                        <wps:cNvSpPr txBox="1"/>
                        <wps:spPr>
                          <a:xfrm>
                            <a:off x="101701" y="341878"/>
                            <a:ext cx="936524" cy="677296"/>
                          </a:xfrm>
                          <a:prstGeom prst="rect">
                            <a:avLst/>
                          </a:prstGeom>
                          <a:solidFill>
                            <a:schemeClr val="lt1"/>
                          </a:solidFill>
                          <a:ln w="6350">
                            <a:solidFill>
                              <a:prstClr val="black"/>
                            </a:solidFill>
                          </a:ln>
                        </wps:spPr>
                        <wps:txbx>
                          <w:txbxContent>
                            <w:p w14:paraId="77B6C386" w14:textId="77777777" w:rsidR="001206E5" w:rsidRPr="00B53F1A" w:rsidRDefault="001206E5" w:rsidP="00B53F1A">
                              <w:pPr>
                                <w:pStyle w:val="NormalWeb"/>
                                <w:spacing w:before="0" w:beforeAutospacing="0" w:after="0" w:afterAutospacing="0" w:line="256" w:lineRule="auto"/>
                                <w:rPr>
                                  <w:sz w:val="18"/>
                                  <w:szCs w:val="18"/>
                                </w:rPr>
                              </w:pPr>
                              <w:r w:rsidRPr="00B53F1A">
                                <w:rPr>
                                  <w:rFonts w:ascii="Calibri" w:eastAsia="Calibri" w:hAnsi="Calibri"/>
                                  <w:b/>
                                  <w:bCs/>
                                  <w:sz w:val="18"/>
                                  <w:szCs w:val="18"/>
                                </w:rPr>
                                <w:t>GOVERNANCE</w:t>
                              </w:r>
                              <w:r w:rsidRPr="00B53F1A">
                                <w:rPr>
                                  <w:rFonts w:ascii="Calibri" w:eastAsia="Calibri" w:hAnsi="Calibri"/>
                                  <w:sz w:val="18"/>
                                  <w:szCs w:val="18"/>
                                </w:rPr>
                                <w:t xml:space="preserve"> </w:t>
                              </w:r>
                            </w:p>
                            <w:p w14:paraId="3977EBCF" w14:textId="77777777" w:rsidR="001206E5" w:rsidRPr="00B53F1A" w:rsidRDefault="001206E5" w:rsidP="00B53F1A">
                              <w:pPr>
                                <w:pStyle w:val="NormalWeb"/>
                                <w:spacing w:before="0" w:beforeAutospacing="0" w:after="0" w:afterAutospacing="0" w:line="256" w:lineRule="auto"/>
                                <w:rPr>
                                  <w:sz w:val="18"/>
                                  <w:szCs w:val="18"/>
                                </w:rPr>
                              </w:pPr>
                              <w:r w:rsidRPr="00B53F1A">
                                <w:rPr>
                                  <w:rFonts w:ascii="Calibri" w:eastAsia="Calibri" w:hAnsi="Calibri"/>
                                  <w:sz w:val="18"/>
                                  <w:szCs w:val="18"/>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67" name="Text Box 21"/>
                        <wps:cNvSpPr txBox="1"/>
                        <wps:spPr>
                          <a:xfrm>
                            <a:off x="1092301" y="341858"/>
                            <a:ext cx="1077299" cy="667836"/>
                          </a:xfrm>
                          <a:prstGeom prst="rect">
                            <a:avLst/>
                          </a:prstGeom>
                          <a:solidFill>
                            <a:schemeClr val="lt1"/>
                          </a:solidFill>
                          <a:ln w="6350">
                            <a:solidFill>
                              <a:prstClr val="black"/>
                            </a:solidFill>
                          </a:ln>
                        </wps:spPr>
                        <wps:txbx>
                          <w:txbxContent>
                            <w:p w14:paraId="777FF12B" w14:textId="77777777" w:rsidR="001206E5" w:rsidRPr="00B53F1A" w:rsidRDefault="001206E5" w:rsidP="00B53F1A">
                              <w:pPr>
                                <w:pStyle w:val="NormalWeb"/>
                                <w:spacing w:before="0" w:beforeAutospacing="0" w:after="0" w:afterAutospacing="0" w:line="254" w:lineRule="auto"/>
                                <w:rPr>
                                  <w:sz w:val="18"/>
                                  <w:szCs w:val="18"/>
                                </w:rPr>
                              </w:pPr>
                              <w:r w:rsidRPr="00B53F1A">
                                <w:rPr>
                                  <w:rFonts w:ascii="Calibri" w:eastAsia="Calibri" w:hAnsi="Calibri"/>
                                  <w:b/>
                                  <w:bCs/>
                                  <w:sz w:val="18"/>
                                  <w:szCs w:val="18"/>
                                </w:rPr>
                                <w:t>COMPLEXITY AND CAPABILITY ASSESSMENT</w:t>
                              </w:r>
                              <w:r w:rsidRPr="00B53F1A">
                                <w:rPr>
                                  <w:rFonts w:ascii="Calibri" w:eastAsia="Calibri" w:hAnsi="Calibri"/>
                                  <w:sz w:val="18"/>
                                  <w:szCs w:val="18"/>
                                </w:rPr>
                                <w:t xml:space="preserve"> </w:t>
                              </w:r>
                            </w:p>
                            <w:p w14:paraId="0253EA99" w14:textId="77777777" w:rsidR="001206E5" w:rsidRPr="00B53F1A" w:rsidRDefault="001206E5" w:rsidP="00B53F1A">
                              <w:pPr>
                                <w:pStyle w:val="NormalWeb"/>
                                <w:spacing w:before="0" w:beforeAutospacing="0" w:after="0" w:afterAutospacing="0" w:line="254" w:lineRule="auto"/>
                                <w:rPr>
                                  <w:sz w:val="18"/>
                                  <w:szCs w:val="18"/>
                                </w:rPr>
                              </w:pPr>
                              <w:r w:rsidRPr="00B53F1A">
                                <w:rPr>
                                  <w:rFonts w:ascii="Calibri" w:eastAsia="Calibri" w:hAnsi="Calibri"/>
                                  <w:sz w:val="18"/>
                                  <w:szCs w:val="18"/>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68" name="Text Box 21"/>
                        <wps:cNvSpPr txBox="1"/>
                        <wps:spPr>
                          <a:xfrm>
                            <a:off x="2197200" y="351363"/>
                            <a:ext cx="1115400" cy="658310"/>
                          </a:xfrm>
                          <a:prstGeom prst="rect">
                            <a:avLst/>
                          </a:prstGeom>
                          <a:solidFill>
                            <a:schemeClr val="lt1"/>
                          </a:solidFill>
                          <a:ln w="6350">
                            <a:solidFill>
                              <a:prstClr val="black"/>
                            </a:solidFill>
                          </a:ln>
                        </wps:spPr>
                        <wps:txbx>
                          <w:txbxContent>
                            <w:p w14:paraId="1D1598F0" w14:textId="77777777" w:rsidR="001206E5" w:rsidRPr="00B53F1A" w:rsidRDefault="001206E5" w:rsidP="00B53F1A">
                              <w:pPr>
                                <w:pStyle w:val="NormalWeb"/>
                                <w:spacing w:before="0" w:beforeAutospacing="0" w:after="0" w:afterAutospacing="0" w:line="252" w:lineRule="auto"/>
                                <w:rPr>
                                  <w:sz w:val="18"/>
                                  <w:szCs w:val="18"/>
                                </w:rPr>
                              </w:pPr>
                              <w:r w:rsidRPr="00B53F1A">
                                <w:rPr>
                                  <w:rFonts w:ascii="Calibri" w:eastAsia="Calibri" w:hAnsi="Calibri"/>
                                  <w:b/>
                                  <w:bCs/>
                                  <w:sz w:val="18"/>
                                  <w:szCs w:val="18"/>
                                </w:rPr>
                                <w:t>MARKET ANALYSIS AND REVIEW</w:t>
                              </w:r>
                              <w:r w:rsidRPr="00B53F1A">
                                <w:rPr>
                                  <w:rFonts w:ascii="Calibri" w:eastAsia="Calibri" w:hAnsi="Calibri"/>
                                  <w:sz w:val="18"/>
                                  <w:szCs w:val="18"/>
                                </w:rPr>
                                <w:t xml:space="preserve"> </w:t>
                              </w:r>
                            </w:p>
                            <w:p w14:paraId="6098F7DE" w14:textId="77777777" w:rsidR="001206E5" w:rsidRPr="00B53F1A" w:rsidRDefault="001206E5" w:rsidP="00B53F1A">
                              <w:pPr>
                                <w:pStyle w:val="NormalWeb"/>
                                <w:spacing w:before="0" w:beforeAutospacing="0" w:after="0" w:afterAutospacing="0" w:line="252" w:lineRule="auto"/>
                                <w:rPr>
                                  <w:sz w:val="18"/>
                                  <w:szCs w:val="18"/>
                                </w:rPr>
                              </w:pPr>
                              <w:r w:rsidRPr="00B53F1A">
                                <w:rPr>
                                  <w:rFonts w:ascii="Calibri" w:eastAsia="Calibri" w:hAnsi="Calibri"/>
                                  <w:sz w:val="18"/>
                                  <w:szCs w:val="18"/>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69" name="Text Box 21"/>
                        <wps:cNvSpPr txBox="1"/>
                        <wps:spPr>
                          <a:xfrm>
                            <a:off x="3366530" y="352072"/>
                            <a:ext cx="1077300" cy="657581"/>
                          </a:xfrm>
                          <a:prstGeom prst="rect">
                            <a:avLst/>
                          </a:prstGeom>
                          <a:solidFill>
                            <a:schemeClr val="lt1"/>
                          </a:solidFill>
                          <a:ln w="6350">
                            <a:solidFill>
                              <a:prstClr val="black"/>
                            </a:solidFill>
                          </a:ln>
                        </wps:spPr>
                        <wps:txbx>
                          <w:txbxContent>
                            <w:p w14:paraId="63E31568" w14:textId="77777777" w:rsidR="001206E5" w:rsidRPr="00B53F1A" w:rsidRDefault="001206E5" w:rsidP="00B53F1A">
                              <w:pPr>
                                <w:pStyle w:val="NormalWeb"/>
                                <w:spacing w:before="0" w:beforeAutospacing="0" w:after="0" w:afterAutospacing="0" w:line="252" w:lineRule="auto"/>
                                <w:rPr>
                                  <w:sz w:val="18"/>
                                  <w:szCs w:val="18"/>
                                </w:rPr>
                              </w:pPr>
                              <w:r w:rsidRPr="00B53F1A">
                                <w:rPr>
                                  <w:rFonts w:ascii="Calibri" w:eastAsia="Calibri" w:hAnsi="Calibri"/>
                                  <w:b/>
                                  <w:bCs/>
                                  <w:sz w:val="18"/>
                                  <w:szCs w:val="18"/>
                                </w:rPr>
                                <w:t>MARKET APPROACH</w:t>
                              </w:r>
                              <w:r w:rsidRPr="00B53F1A">
                                <w:rPr>
                                  <w:rFonts w:ascii="Calibri" w:eastAsia="Calibri" w:hAnsi="Calibri"/>
                                  <w:sz w:val="18"/>
                                  <w:szCs w:val="18"/>
                                </w:rPr>
                                <w:t xml:space="preserve"> </w:t>
                              </w:r>
                            </w:p>
                            <w:p w14:paraId="19B9224E" w14:textId="77777777" w:rsidR="001206E5" w:rsidRPr="00B53F1A" w:rsidRDefault="001206E5" w:rsidP="00B53F1A">
                              <w:pPr>
                                <w:pStyle w:val="NormalWeb"/>
                                <w:spacing w:before="0" w:beforeAutospacing="0" w:after="0" w:afterAutospacing="0" w:line="252" w:lineRule="auto"/>
                                <w:rPr>
                                  <w:sz w:val="18"/>
                                  <w:szCs w:val="18"/>
                                </w:rPr>
                              </w:pPr>
                              <w:r w:rsidRPr="00B53F1A">
                                <w:rPr>
                                  <w:rFonts w:ascii="Calibri" w:eastAsia="Calibri" w:hAnsi="Calibri"/>
                                  <w:sz w:val="18"/>
                                  <w:szCs w:val="18"/>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70" name="Text Box 21"/>
                        <wps:cNvSpPr txBox="1"/>
                        <wps:spPr>
                          <a:xfrm>
                            <a:off x="4490480" y="360953"/>
                            <a:ext cx="1077300" cy="658199"/>
                          </a:xfrm>
                          <a:prstGeom prst="rect">
                            <a:avLst/>
                          </a:prstGeom>
                          <a:solidFill>
                            <a:schemeClr val="lt1"/>
                          </a:solidFill>
                          <a:ln w="6350">
                            <a:solidFill>
                              <a:prstClr val="black"/>
                            </a:solidFill>
                          </a:ln>
                        </wps:spPr>
                        <wps:txbx>
                          <w:txbxContent>
                            <w:p w14:paraId="53F29AE9" w14:textId="77777777" w:rsidR="001206E5" w:rsidRPr="00B53F1A" w:rsidRDefault="001206E5" w:rsidP="00B53F1A">
                              <w:pPr>
                                <w:pStyle w:val="NormalWeb"/>
                                <w:spacing w:before="0" w:beforeAutospacing="0" w:after="0" w:afterAutospacing="0" w:line="252" w:lineRule="auto"/>
                                <w:rPr>
                                  <w:sz w:val="18"/>
                                  <w:szCs w:val="18"/>
                                </w:rPr>
                              </w:pPr>
                              <w:r w:rsidRPr="00B53F1A">
                                <w:rPr>
                                  <w:rFonts w:ascii="Calibri" w:eastAsia="Calibri" w:hAnsi="Calibri"/>
                                  <w:b/>
                                  <w:bCs/>
                                  <w:sz w:val="18"/>
                                  <w:szCs w:val="18"/>
                                </w:rPr>
                                <w:t>CONTRACT MANAGEMENT AND CONTRACT DISCLOSURE</w:t>
                              </w:r>
                            </w:p>
                            <w:p w14:paraId="1D2DB6A3" w14:textId="77777777" w:rsidR="001206E5" w:rsidRPr="00B53F1A" w:rsidRDefault="001206E5" w:rsidP="00B53F1A">
                              <w:pPr>
                                <w:pStyle w:val="NormalWeb"/>
                                <w:spacing w:before="0" w:beforeAutospacing="0" w:after="0" w:afterAutospacing="0" w:line="252" w:lineRule="auto"/>
                                <w:rPr>
                                  <w:sz w:val="18"/>
                                  <w:szCs w:val="18"/>
                                </w:rPr>
                              </w:pPr>
                              <w:r w:rsidRPr="00B53F1A">
                                <w:rPr>
                                  <w:rFonts w:ascii="Calibri" w:eastAsia="Calibri" w:hAnsi="Calibri"/>
                                  <w:sz w:val="18"/>
                                  <w:szCs w:val="18"/>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c:wpc>
                  </a:graphicData>
                </a:graphic>
              </wp:inline>
            </w:drawing>
          </mc:Choice>
          <mc:Fallback>
            <w:pict>
              <v:group w14:anchorId="5D6F4C80" id="Canvas 71" o:spid="_x0000_s1043" editas="canvas" style="width:448.3pt;height:408.75pt;mso-position-horizontal-relative:char;mso-position-vertical-relative:line" coordsize="56934,519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">
                <v:shape id="_x0000_s1044" type="#_x0000_t75" style="position:absolute;width:56934;height:51911;visibility:visible;mso-wrap-style:square">
                  <v:fill o:detectmouseclick="t"/>
                  <v:path o:connecttype="none"/>
                </v:shape>
                <v:shape id="Text Box 25" o:spid="_x0000_s1045" type="#_x0000_t202" style="position:absolute;left:2741;top:11810;width:9715;height:66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" fillcolor="white [3201]" strokeweight=".5pt">
                  <v:textbox>
                    <w:txbxContent>
                      <w:p w14:paraId="2929DF47" w14:textId="77777777" w:rsidR="001206E5" w:rsidRPr="00B53F1A" w:rsidRDefault="001206E5" w:rsidP="00B53F1A">
                        <w:pPr>
                          <w:jc w:val="center"/>
                          <w:rPr>
                            <w:rFonts w:asciiTheme="majorHAnsi" w:hAnsiTheme="majorHAnsi"/>
                            <w:sz w:val="18"/>
                            <w:szCs w:val="18"/>
                          </w:rPr>
                        </w:pPr>
                        <w:r w:rsidRPr="00B53F1A">
                          <w:rPr>
                            <w:rFonts w:asciiTheme="majorHAnsi" w:hAnsiTheme="majorHAnsi"/>
                            <w:sz w:val="18"/>
                            <w:szCs w:val="18"/>
                          </w:rPr>
                          <w:t>Review procurement need</w:t>
                        </w:r>
                      </w:p>
                    </w:txbxContent>
                  </v:textbox>
                </v:shape>
                <v:shape id="Text Box 2" o:spid="_x0000_s1046" type="#_x0000_t202" style="position:absolute;left:16352;top:11810;width:9715;height:6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" fillcolor="white [3201]" strokeweight=".5pt">
                  <v:textbox>
                    <w:txbxContent>
                      <w:p w14:paraId="0A9C4597" w14:textId="77777777" w:rsidR="001206E5" w:rsidRPr="00B53F1A" w:rsidRDefault="001206E5" w:rsidP="00B53F1A">
                        <w:pPr>
                          <w:pStyle w:val="NormalWeb"/>
                          <w:spacing w:before="0" w:beforeAutospacing="0" w:after="0" w:afterAutospacing="0" w:line="256" w:lineRule="auto"/>
                          <w:jc w:val="center"/>
                          <w:rPr>
                            <w:sz w:val="18"/>
                            <w:szCs w:val="18"/>
                          </w:rPr>
                        </w:pPr>
                        <w:r w:rsidRPr="00B53F1A">
                          <w:rPr>
                            <w:rFonts w:ascii="Calibri" w:eastAsia="Calibri" w:hAnsi="Calibri"/>
                            <w:sz w:val="18"/>
                            <w:szCs w:val="18"/>
                          </w:rPr>
                          <w:t>Conduct market analysis</w:t>
                        </w:r>
                      </w:p>
                    </w:txbxContent>
                  </v:textbox>
                </v:shape>
                <v:shape id="Text Box 2" o:spid="_x0000_s1047" type="#_x0000_t202" style="position:absolute;left:29592;top:11810;width:9715;height:6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" fillcolor="white [3201]" strokeweight=".5pt">
                  <v:textbox>
                    <w:txbxContent>
                      <w:p w14:paraId="631BAA48" w14:textId="77777777" w:rsidR="001206E5" w:rsidRPr="00B53F1A" w:rsidRDefault="001206E5" w:rsidP="00B53F1A">
                        <w:pPr>
                          <w:pStyle w:val="NormalWeb"/>
                          <w:spacing w:before="0" w:beforeAutospacing="0" w:after="0" w:afterAutospacing="0" w:line="254" w:lineRule="auto"/>
                          <w:jc w:val="center"/>
                          <w:rPr>
                            <w:sz w:val="18"/>
                            <w:szCs w:val="18"/>
                          </w:rPr>
                        </w:pPr>
                        <w:r w:rsidRPr="00B53F1A">
                          <w:rPr>
                            <w:rFonts w:ascii="Calibri" w:eastAsia="Calibri" w:hAnsi="Calibri"/>
                            <w:sz w:val="18"/>
                            <w:szCs w:val="18"/>
                          </w:rPr>
                          <w:t>Develop market approach plan</w:t>
                        </w:r>
                      </w:p>
                    </w:txbxContent>
                  </v:textbox>
                </v:shape>
                <v:shape id="Text Box 2" o:spid="_x0000_s1048" type="#_x0000_t202" style="position:absolute;left:42641;top:11905;width:9715;height:68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" fillcolor="white [3201]" strokeweight=".5pt">
                  <v:textbox>
                    <w:txbxContent>
                      <w:p w14:paraId="0D689D6F" w14:textId="77777777" w:rsidR="001206E5" w:rsidRPr="00B53F1A" w:rsidRDefault="001206E5" w:rsidP="00B53F1A">
                        <w:pPr>
                          <w:pStyle w:val="NormalWeb"/>
                          <w:spacing w:before="0" w:beforeAutospacing="0" w:after="0" w:afterAutospacing="0" w:line="252" w:lineRule="auto"/>
                          <w:jc w:val="center"/>
                          <w:rPr>
                            <w:sz w:val="18"/>
                            <w:szCs w:val="18"/>
                          </w:rPr>
                        </w:pPr>
                        <w:r w:rsidRPr="00B53F1A">
                          <w:rPr>
                            <w:rFonts w:ascii="Calibri" w:eastAsia="Calibri" w:hAnsi="Calibri"/>
                            <w:sz w:val="18"/>
                            <w:szCs w:val="18"/>
                          </w:rPr>
                          <w:t>Evaluate, negotiate and select supplier</w:t>
                        </w:r>
                      </w:p>
                    </w:txbxContent>
                  </v:textbox>
                </v:shape>
                <v:shape id="Text Box 2" o:spid="_x0000_s1049" type="#_x0000_t202" style="position:absolute;left:2550;top:21134;width:9716;height:64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" fillcolor="white [3201]" strokeweight=".5pt">
                  <v:textbox>
                    <w:txbxContent>
                      <w:p w14:paraId="36F07F76" w14:textId="77777777" w:rsidR="001206E5" w:rsidRPr="00B53F1A" w:rsidRDefault="001206E5" w:rsidP="00B53F1A">
                        <w:pPr>
                          <w:pStyle w:val="NormalWeb"/>
                          <w:spacing w:before="0" w:beforeAutospacing="0" w:after="0" w:afterAutospacing="0" w:line="252" w:lineRule="auto"/>
                          <w:jc w:val="center"/>
                          <w:rPr>
                            <w:sz w:val="18"/>
                            <w:szCs w:val="18"/>
                          </w:rPr>
                        </w:pPr>
                        <w:r w:rsidRPr="00B53F1A">
                          <w:rPr>
                            <w:rFonts w:ascii="Calibri" w:eastAsia="Calibri" w:hAnsi="Calibri"/>
                            <w:sz w:val="18"/>
                            <w:szCs w:val="18"/>
                          </w:rPr>
                          <w:t>Create and commit to contract</w:t>
                        </w:r>
                      </w:p>
                    </w:txbxContent>
                  </v:textbox>
                </v:shape>
                <v:shape id="Text Box 2" o:spid="_x0000_s1050" type="#_x0000_t202" style="position:absolute;left:16161;top:21410;width:9716;height:62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" fillcolor="white [3201]" strokeweight=".5pt">
                  <v:textbox>
                    <w:txbxContent>
                      <w:p w14:paraId="6FC6B339" w14:textId="77777777" w:rsidR="001206E5" w:rsidRPr="00B53F1A" w:rsidRDefault="001206E5" w:rsidP="00B53F1A">
                        <w:pPr>
                          <w:pStyle w:val="NormalWeb"/>
                          <w:spacing w:before="0" w:beforeAutospacing="0" w:after="0" w:afterAutospacing="0" w:line="252" w:lineRule="auto"/>
                          <w:jc w:val="center"/>
                          <w:rPr>
                            <w:sz w:val="18"/>
                            <w:szCs w:val="18"/>
                          </w:rPr>
                        </w:pPr>
                        <w:r w:rsidRPr="00B53F1A">
                          <w:rPr>
                            <w:rFonts w:ascii="Calibri" w:eastAsia="Calibri" w:hAnsi="Calibri"/>
                            <w:sz w:val="18"/>
                            <w:szCs w:val="18"/>
                          </w:rPr>
                          <w:t>Manage contract</w:t>
                        </w:r>
                      </w:p>
                    </w:txbxContent>
                  </v:textbox>
                </v:shape>
                <v:shape id="Text Box 2" o:spid="_x0000_s1051" type="#_x0000_t202" style="position:absolute;left:29687;top:21590;width:9715;height:61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" fillcolor="white [3201]" strokeweight=".5pt">
                  <v:textbox>
                    <w:txbxContent>
                      <w:p w14:paraId="24414512" w14:textId="3A523D4D" w:rsidR="001206E5" w:rsidRPr="00B53F1A" w:rsidRDefault="001206E5" w:rsidP="00B53F1A">
                        <w:pPr>
                          <w:pStyle w:val="NormalWeb"/>
                          <w:spacing w:before="0" w:beforeAutospacing="0" w:after="0" w:afterAutospacing="0" w:line="252" w:lineRule="auto"/>
                          <w:jc w:val="center"/>
                          <w:rPr>
                            <w:sz w:val="18"/>
                            <w:szCs w:val="18"/>
                          </w:rPr>
                        </w:pPr>
                        <w:r>
                          <w:rPr>
                            <w:rFonts w:ascii="Calibri" w:eastAsia="Calibri" w:hAnsi="Calibri"/>
                            <w:sz w:val="18"/>
                            <w:szCs w:val="18"/>
                          </w:rPr>
                          <w:t>Review or close c</w:t>
                        </w:r>
                        <w:r w:rsidRPr="00B53F1A">
                          <w:rPr>
                            <w:rFonts w:ascii="Calibri" w:eastAsia="Calibri" w:hAnsi="Calibri"/>
                            <w:sz w:val="18"/>
                            <w:szCs w:val="18"/>
                          </w:rPr>
                          <w:t>ontract</w:t>
                        </w:r>
                      </w:p>
                    </w:txbxContent>
                  </v:textbox>
                </v:shape>
                <v:shape id="Text Box 2" o:spid="_x0000_s1052" type="#_x0000_t202" style="position:absolute;left:42693;top:21505;width:9715;height:62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" fillcolor="white [3201]" strokeweight=".5pt">
                  <v:textbox>
                    <w:txbxContent>
                      <w:p w14:paraId="5BE27BA6" w14:textId="1504885E" w:rsidR="001206E5" w:rsidRPr="00B53F1A" w:rsidRDefault="001206E5" w:rsidP="00B53F1A">
                        <w:pPr>
                          <w:pStyle w:val="NormalWeb"/>
                          <w:spacing w:before="0" w:beforeAutospacing="0" w:after="0" w:afterAutospacing="0" w:line="252" w:lineRule="auto"/>
                          <w:jc w:val="center"/>
                          <w:rPr>
                            <w:sz w:val="18"/>
                            <w:szCs w:val="18"/>
                          </w:rPr>
                        </w:pPr>
                        <w:r>
                          <w:rPr>
                            <w:rFonts w:ascii="Calibri" w:eastAsia="Calibri" w:hAnsi="Calibri"/>
                            <w:sz w:val="18"/>
                            <w:szCs w:val="18"/>
                          </w:rPr>
                          <w:t>D</w:t>
                        </w:r>
                        <w:r w:rsidRPr="00B53F1A">
                          <w:rPr>
                            <w:rFonts w:ascii="Calibri" w:eastAsia="Calibri" w:hAnsi="Calibri"/>
                            <w:sz w:val="18"/>
                            <w:szCs w:val="18"/>
                          </w:rPr>
                          <w:t>ispos</w:t>
                        </w:r>
                        <w:r>
                          <w:rPr>
                            <w:rFonts w:ascii="Calibri" w:eastAsia="Calibri" w:hAnsi="Calibri"/>
                            <w:sz w:val="18"/>
                            <w:szCs w:val="18"/>
                          </w:rPr>
                          <w:t>e of</w:t>
                        </w:r>
                        <w:r w:rsidRPr="00B53F1A">
                          <w:rPr>
                            <w:rFonts w:ascii="Calibri" w:eastAsia="Calibri" w:hAnsi="Calibri"/>
                            <w:sz w:val="18"/>
                            <w:szCs w:val="18"/>
                          </w:rPr>
                          <w:t xml:space="preserve"> </w:t>
                        </w:r>
                        <w:r>
                          <w:rPr>
                            <w:rFonts w:ascii="Calibri" w:eastAsia="Calibri" w:hAnsi="Calibri"/>
                            <w:sz w:val="18"/>
                            <w:szCs w:val="18"/>
                          </w:rPr>
                          <w:t>a</w:t>
                        </w:r>
                        <w:r w:rsidRPr="00B53F1A">
                          <w:rPr>
                            <w:rFonts w:ascii="Calibri" w:eastAsia="Calibri" w:hAnsi="Calibri"/>
                            <w:sz w:val="18"/>
                            <w:szCs w:val="18"/>
                          </w:rPr>
                          <w:t>sset</w:t>
                        </w:r>
                        <w:r>
                          <w:rPr>
                            <w:rFonts w:ascii="Calibri" w:eastAsia="Calibri" w:hAnsi="Calibri"/>
                            <w:sz w:val="18"/>
                            <w:szCs w:val="18"/>
                          </w:rPr>
                          <w:t>s</w:t>
                        </w:r>
                        <w:r w:rsidRPr="00B53F1A">
                          <w:rPr>
                            <w:rFonts w:ascii="Calibri" w:eastAsia="Calibri" w:hAnsi="Calibri"/>
                            <w:sz w:val="18"/>
                            <w:szCs w:val="18"/>
                          </w:rPr>
                          <w:t xml:space="preserve"> </w:t>
                        </w:r>
                      </w:p>
                    </w:txbxContent>
                  </v:textbox>
                </v:shape>
                <v:shapetype id="_x0000_t32" coordsize="21600,21600" o:spt="32" o:oned="t" path="m,l21600,21600e" filled="f">
                  <v:path arrowok="t" fillok="f" o:connecttype="none"/>
                  <o:lock v:ext="edit" shapetype="t"/>
                </v:shapetype>
                <v:shape id="Straight Arrow Connector 47" o:spid="_x0000_s1053" type="#_x0000_t32" style="position:absolute;left:12456;top:15143;width:3896;height: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" strokecolor="#4579b8 [3044]">
                  <v:stroke endarrow="block"/>
                </v:shape>
                <v:shape id="Straight Arrow Connector 48" o:spid="_x0000_s1054" type="#_x0000_t32" style="position:absolute;left:26067;top:15143;width:352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" strokecolor="#4579b8 [3044]">
                  <v:stroke endarrow="block"/>
                </v:shape>
                <v:shape id="Straight Arrow Connector 49" o:spid="_x0000_s1055" type="#_x0000_t32" style="position:absolute;left:39307;top:15143;width:3334;height:19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" strokecolor="#4579b8 [3044]">
                  <v:stroke endarrow="block"/>
                </v:shape>
                <v:shape id="Straight Arrow Connector 50" o:spid="_x0000_s1056" type="#_x0000_t32" style="position:absolute;left:12266;top:24378;width:3895;height:13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" strokecolor="#4579b8 [3044]">
                  <v:stroke endarrow="block"/>
                </v:shape>
                <v:shape id="Straight Arrow Connector 51" o:spid="_x0000_s1057" type="#_x0000_t32" style="position:absolute;left:25877;top:24516;width:3810;height:13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" strokecolor="#4579b8 [3044]">
                  <v:stroke endarrow="block"/>
                </v:shape>
                <v:shape id="Straight Arrow Connector 52" o:spid="_x0000_s1058" type="#_x0000_t32" style="position:absolute;left:39402;top:24610;width:3291;height:4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" strokecolor="#4579b8 [3044]">
                  <v:stroke endarrow="block"/>
                </v:shape>
                <v:shapetype id="_x0000_t36" coordsize="21600,21600" o:spt="36" o:oned="t" adj="10800,10800,10800" path="m,l@0,0@0@1@2@1@2,21600,21600,21600e" filled="f">
                  <v:stroke joinstyle="miter"/>
                  <v:formulas>
                    <v:f eqn="val #0"/>
                    <v:f eqn="val #1"/>
                    <v:f eqn="val #2"/>
                    <v:f eqn="prod #1 1 2"/>
                    <v:f eqn="mid #0 #2"/>
                    <v:f eqn="mid #1 height"/>
                  </v:formulas>
                  <v:path arrowok="t" fillok="f" o:connecttype="none"/>
                  <v:handles>
                    <v:h position="#0,@3"/>
                    <v:h position="@4,#1"/>
                    <v:h position="#2,@5"/>
                  </v:handles>
                  <o:lock v:ext="edit" shapetype="t"/>
                </v:shapetype>
                <v:shape id="Connector: Elbow 55" o:spid="_x0000_s1059" type="#_x0000_t36" style="position:absolute;left:2550;top:15334;width:49806;height:9044;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" adj="-991,11021,22591" strokecolor="#4579b8 [3044]">
                  <v:stroke endarrow="block"/>
                </v:shape>
                <v:rect id="Rectangle 56" o:spid="_x0000_s1060" style="position:absolute;left:641;top:28822;width:56197;height:209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" fillcolor="#4f81bd [3204]" strokecolor="#243f60 [1604]" strokeweight="2pt"/>
                <v:shape id="Text Box 57" o:spid="_x0000_s1061" type="#_x0000_t202" style="position:absolute;left:1407;top:29336;width:54854;height:2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" fillcolor="white [3201]" strokeweight=".5pt">
                  <v:textbox>
                    <w:txbxContent>
                      <w:p w14:paraId="31ADEEF9" w14:textId="2E3FAE6D" w:rsidR="001206E5" w:rsidRPr="00B53F1A" w:rsidRDefault="001206E5" w:rsidP="00C4088E">
                        <w:pPr>
                          <w:jc w:val="center"/>
                          <w:rPr>
                            <w:sz w:val="18"/>
                            <w:szCs w:val="18"/>
                          </w:rPr>
                        </w:pPr>
                        <w:r>
                          <w:rPr>
                            <w:sz w:val="18"/>
                            <w:szCs w:val="18"/>
                          </w:rPr>
                          <w:t xml:space="preserve">VGPB PROCUREMENT </w:t>
                        </w:r>
                        <w:r w:rsidRPr="00B53F1A">
                          <w:rPr>
                            <w:sz w:val="18"/>
                            <w:szCs w:val="18"/>
                          </w:rPr>
                          <w:t>PRINCIPLES</w:t>
                        </w:r>
                      </w:p>
                    </w:txbxContent>
                  </v:textbox>
                </v:shape>
                <v:shape id="Text Box 59" o:spid="_x0000_s1062" type="#_x0000_t202" style="position:absolute;left:1502;top:32649;width:16119;height:16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" fillcolor="white [3201]" strokeweight=".5pt">
                  <v:textbox>
                    <w:txbxContent>
                      <w:p w14:paraId="41956FA9" w14:textId="04F9F530" w:rsidR="001206E5" w:rsidRPr="00E13115" w:rsidRDefault="001206E5" w:rsidP="00E13115">
                        <w:pPr>
                          <w:rPr>
                            <w:rFonts w:asciiTheme="majorHAnsi" w:hAnsiTheme="majorHAnsi" w:cstheme="majorHAnsi"/>
                            <w:b/>
                            <w:sz w:val="18"/>
                            <w:szCs w:val="18"/>
                          </w:rPr>
                        </w:pPr>
                        <w:r w:rsidRPr="00E13115">
                          <w:rPr>
                            <w:rFonts w:asciiTheme="majorHAnsi" w:hAnsiTheme="majorHAnsi" w:cstheme="majorHAnsi"/>
                            <w:sz w:val="18"/>
                            <w:szCs w:val="18"/>
                          </w:rPr>
                          <w:t xml:space="preserve">The </w:t>
                        </w:r>
                        <w:r>
                          <w:rPr>
                            <w:rFonts w:asciiTheme="majorHAnsi" w:hAnsiTheme="majorHAnsi" w:cstheme="majorHAnsi"/>
                            <w:b/>
                            <w:sz w:val="18"/>
                            <w:szCs w:val="18"/>
                          </w:rPr>
                          <w:t>v</w:t>
                        </w:r>
                        <w:r w:rsidRPr="00E13115">
                          <w:rPr>
                            <w:rFonts w:asciiTheme="majorHAnsi" w:hAnsiTheme="majorHAnsi" w:cstheme="majorHAnsi"/>
                            <w:b/>
                            <w:sz w:val="18"/>
                            <w:szCs w:val="18"/>
                          </w:rPr>
                          <w:t>alue for money</w:t>
                        </w:r>
                        <w:r w:rsidRPr="00E13115">
                          <w:rPr>
                            <w:rFonts w:asciiTheme="majorHAnsi" w:hAnsiTheme="majorHAnsi" w:cstheme="majorHAnsi"/>
                            <w:sz w:val="18"/>
                            <w:szCs w:val="18"/>
                          </w:rPr>
                          <w:t xml:space="preserve"> of the procurement</w:t>
                        </w:r>
                        <w:r>
                          <w:rPr>
                            <w:rFonts w:asciiTheme="majorHAnsi" w:hAnsiTheme="majorHAnsi" w:cstheme="majorHAnsi"/>
                            <w:b/>
                            <w:sz w:val="18"/>
                            <w:szCs w:val="18"/>
                          </w:rPr>
                          <w:t xml:space="preserve"> t</w:t>
                        </w:r>
                        <w:r w:rsidRPr="00E13115">
                          <w:rPr>
                            <w:rFonts w:asciiTheme="majorHAnsi" w:eastAsia="Calibri" w:hAnsiTheme="majorHAnsi" w:cstheme="majorHAnsi"/>
                            <w:sz w:val="18"/>
                            <w:szCs w:val="18"/>
                          </w:rPr>
                          <w:t>aking into account:</w:t>
                        </w:r>
                      </w:p>
                      <w:p w14:paraId="5D4F267C" w14:textId="766A1A6E" w:rsidR="001206E5" w:rsidRPr="00E13115" w:rsidRDefault="001206E5" w:rsidP="00B53F1A">
                        <w:pPr>
                          <w:rPr>
                            <w:rFonts w:asciiTheme="majorHAnsi" w:hAnsiTheme="majorHAnsi" w:cstheme="majorHAnsi"/>
                            <w:sz w:val="18"/>
                            <w:szCs w:val="18"/>
                          </w:rPr>
                        </w:pPr>
                        <w:r w:rsidRPr="00E13115">
                          <w:rPr>
                            <w:rFonts w:asciiTheme="majorHAnsi" w:eastAsia="Calibri" w:hAnsiTheme="majorHAnsi" w:cstheme="majorHAnsi"/>
                            <w:sz w:val="18"/>
                            <w:szCs w:val="18"/>
                          </w:rPr>
                          <w:t>(i) the total benefits and costs over the life of the goods, services or works procured</w:t>
                        </w:r>
                        <w:r>
                          <w:rPr>
                            <w:rFonts w:asciiTheme="majorHAnsi" w:eastAsia="Calibri" w:hAnsiTheme="majorHAnsi" w:cstheme="majorHAnsi"/>
                            <w:sz w:val="18"/>
                            <w:szCs w:val="18"/>
                          </w:rPr>
                          <w:t>;</w:t>
                        </w:r>
                        <w:r w:rsidRPr="00E13115">
                          <w:rPr>
                            <w:rFonts w:asciiTheme="majorHAnsi" w:eastAsia="Calibri" w:hAnsiTheme="majorHAnsi" w:cstheme="majorHAnsi"/>
                            <w:sz w:val="18"/>
                            <w:szCs w:val="18"/>
                          </w:rPr>
                          <w:br/>
                          <w:t xml:space="preserve">(ii) environmental, </w:t>
                        </w:r>
                        <w:r w:rsidRPr="00E13115">
                          <w:rPr>
                            <w:rFonts w:asciiTheme="majorHAnsi" w:hAnsiTheme="majorHAnsi" w:cstheme="majorHAnsi"/>
                            <w:sz w:val="18"/>
                            <w:szCs w:val="18"/>
                          </w:rPr>
                          <w:t>social and economic factors; and</w:t>
                        </w:r>
                        <w:r w:rsidRPr="00E13115">
                          <w:rPr>
                            <w:rFonts w:asciiTheme="majorHAnsi" w:hAnsiTheme="majorHAnsi" w:cstheme="majorHAnsi"/>
                            <w:sz w:val="18"/>
                            <w:szCs w:val="18"/>
                          </w:rPr>
                          <w:br/>
                          <w:t>(iii) any risk related to the procurement</w:t>
                        </w:r>
                        <w:r>
                          <w:rPr>
                            <w:rFonts w:asciiTheme="majorHAnsi" w:hAnsiTheme="majorHAnsi" w:cstheme="majorHAnsi"/>
                            <w:sz w:val="18"/>
                            <w:szCs w:val="18"/>
                          </w:rPr>
                          <w:t xml:space="preserve">. </w:t>
                        </w:r>
                      </w:p>
                    </w:txbxContent>
                  </v:textbox>
                </v:shape>
                <v:shape id="Text Box 21" o:spid="_x0000_s1063" type="#_x0000_t202" style="position:absolute;left:18065;top:32657;width:11367;height:16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" fillcolor="white [3201]" strokeweight=".5pt">
                  <v:textbox>
                    <w:txbxContent>
                      <w:p w14:paraId="22BFB179" w14:textId="0B592842" w:rsidR="001206E5" w:rsidRPr="00B53F1A" w:rsidRDefault="001206E5" w:rsidP="00B53F1A">
                        <w:pPr>
                          <w:pStyle w:val="NormalWeb"/>
                          <w:spacing w:before="0" w:beforeAutospacing="0" w:after="0" w:afterAutospacing="0" w:line="256" w:lineRule="auto"/>
                          <w:rPr>
                            <w:sz w:val="18"/>
                            <w:szCs w:val="18"/>
                          </w:rPr>
                        </w:pPr>
                        <w:r w:rsidRPr="00B53F1A">
                          <w:rPr>
                            <w:rFonts w:ascii="Calibri" w:eastAsia="Calibri" w:hAnsi="Calibri"/>
                            <w:b/>
                            <w:bCs/>
                            <w:sz w:val="18"/>
                            <w:szCs w:val="18"/>
                          </w:rPr>
                          <w:t>Accountability</w:t>
                        </w:r>
                        <w:r>
                          <w:rPr>
                            <w:rFonts w:ascii="Calibri" w:eastAsia="Calibri" w:hAnsi="Calibri"/>
                            <w:b/>
                            <w:bCs/>
                            <w:sz w:val="18"/>
                            <w:szCs w:val="18"/>
                          </w:rPr>
                          <w:t xml:space="preserve"> </w:t>
                        </w:r>
                        <w:r w:rsidRPr="00D2111A">
                          <w:rPr>
                            <w:rFonts w:ascii="Calibri" w:eastAsia="Calibri" w:hAnsi="Calibri"/>
                            <w:sz w:val="18"/>
                            <w:szCs w:val="18"/>
                          </w:rPr>
                          <w:t>for procurement commensurate with appropriate levels of authority and responsibility</w:t>
                        </w:r>
                        <w:r>
                          <w:rPr>
                            <w:rFonts w:ascii="Calibri" w:eastAsia="Calibri" w:hAnsi="Calibri"/>
                            <w:sz w:val="18"/>
                            <w:szCs w:val="18"/>
                          </w:rPr>
                          <w:t xml:space="preserve">. </w:t>
                        </w:r>
                        <w:r w:rsidRPr="00B53F1A">
                          <w:rPr>
                            <w:rFonts w:ascii="Calibri" w:eastAsia="Calibri" w:hAnsi="Calibri"/>
                            <w:sz w:val="18"/>
                            <w:szCs w:val="18"/>
                          </w:rPr>
                          <w:t> </w:t>
                        </w:r>
                      </w:p>
                    </w:txbxContent>
                  </v:textbox>
                </v:shape>
                <v:shape id="Text Box 21" o:spid="_x0000_s1064" type="#_x0000_t202" style="position:absolute;left:41814;top:32634;width:14193;height:163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" fillcolor="white [3201]" strokeweight=".5pt">
                  <v:textbox>
                    <w:txbxContent>
                      <w:p w14:paraId="4C704FBC" w14:textId="1C5F6D82" w:rsidR="001206E5" w:rsidRPr="00B53F1A" w:rsidRDefault="001206E5" w:rsidP="00B53F1A">
                        <w:pPr>
                          <w:pStyle w:val="NormalWeb"/>
                          <w:spacing w:before="0" w:beforeAutospacing="0" w:after="0" w:afterAutospacing="0" w:line="254" w:lineRule="auto"/>
                          <w:rPr>
                            <w:sz w:val="18"/>
                            <w:szCs w:val="18"/>
                          </w:rPr>
                        </w:pPr>
                        <w:r w:rsidRPr="00B53F1A">
                          <w:rPr>
                            <w:rFonts w:ascii="Calibri" w:eastAsia="Calibri" w:hAnsi="Calibri"/>
                            <w:b/>
                            <w:bCs/>
                            <w:sz w:val="18"/>
                            <w:szCs w:val="18"/>
                          </w:rPr>
                          <w:t>Scalability</w:t>
                        </w:r>
                        <w:r>
                          <w:rPr>
                            <w:rFonts w:ascii="Calibri" w:eastAsia="Calibri" w:hAnsi="Calibri"/>
                            <w:b/>
                            <w:bCs/>
                            <w:sz w:val="18"/>
                            <w:szCs w:val="18"/>
                          </w:rPr>
                          <w:t xml:space="preserve"> </w:t>
                        </w:r>
                        <w:r w:rsidRPr="003D6D8C">
                          <w:rPr>
                            <w:rFonts w:ascii="Calibri" w:eastAsia="Calibri" w:hAnsi="Calibri"/>
                            <w:sz w:val="18"/>
                            <w:szCs w:val="18"/>
                          </w:rPr>
                          <w:t>so that the procurement governance policies and processes are appropriate and efficient, taking into account the capability of available resources and the complexity of the procurement undertaken.</w:t>
                        </w:r>
                        <w:r w:rsidRPr="00B53F1A">
                          <w:rPr>
                            <w:rFonts w:ascii="Calibri" w:eastAsia="Calibri" w:hAnsi="Calibri"/>
                            <w:sz w:val="18"/>
                            <w:szCs w:val="18"/>
                          </w:rPr>
                          <w:t> </w:t>
                        </w:r>
                      </w:p>
                    </w:txbxContent>
                  </v:textbox>
                </v:shape>
                <v:shape id="Text Box 21" o:spid="_x0000_s1065" type="#_x0000_t202" style="position:absolute;left:29687;top:32654;width:11560;height:163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" fillcolor="white [3201]" strokeweight=".5pt">
                  <v:textbox>
                    <w:txbxContent>
                      <w:p w14:paraId="76EC43D6" w14:textId="7E4139AA" w:rsidR="001206E5" w:rsidRPr="00B53F1A" w:rsidRDefault="001206E5" w:rsidP="00B53F1A">
                        <w:pPr>
                          <w:pStyle w:val="NormalWeb"/>
                          <w:spacing w:before="0" w:beforeAutospacing="0" w:after="0" w:afterAutospacing="0" w:line="254" w:lineRule="auto"/>
                          <w:rPr>
                            <w:sz w:val="18"/>
                            <w:szCs w:val="18"/>
                          </w:rPr>
                        </w:pPr>
                        <w:r w:rsidRPr="00B53F1A">
                          <w:rPr>
                            <w:rFonts w:ascii="Calibri" w:eastAsia="Calibri" w:hAnsi="Calibri"/>
                            <w:b/>
                            <w:bCs/>
                            <w:sz w:val="18"/>
                            <w:szCs w:val="18"/>
                          </w:rPr>
                          <w:t>Probity</w:t>
                        </w:r>
                        <w:r>
                          <w:rPr>
                            <w:rFonts w:ascii="Calibri" w:eastAsia="Calibri" w:hAnsi="Calibri"/>
                            <w:b/>
                            <w:bCs/>
                            <w:sz w:val="18"/>
                            <w:szCs w:val="18"/>
                          </w:rPr>
                          <w:t xml:space="preserve"> </w:t>
                        </w:r>
                        <w:r w:rsidRPr="00D2111A">
                          <w:rPr>
                            <w:rFonts w:ascii="Calibri" w:eastAsia="Calibri" w:hAnsi="Calibri"/>
                            <w:sz w:val="18"/>
                            <w:szCs w:val="18"/>
                          </w:rPr>
                          <w:t>through the application of integrity, ethical behaviour, fairness and transparency in the conduct of procurement processes</w:t>
                        </w:r>
                        <w:r>
                          <w:rPr>
                            <w:rFonts w:ascii="Calibri" w:eastAsia="Calibri" w:hAnsi="Calibri"/>
                            <w:sz w:val="18"/>
                            <w:szCs w:val="18"/>
                          </w:rPr>
                          <w:t>,</w:t>
                        </w:r>
                        <w:r w:rsidRPr="00B53F1A">
                          <w:rPr>
                            <w:rFonts w:ascii="Calibri" w:eastAsia="Calibri" w:hAnsi="Calibri"/>
                            <w:sz w:val="18"/>
                            <w:szCs w:val="18"/>
                          </w:rPr>
                          <w:t xml:space="preserve"> </w:t>
                        </w:r>
                      </w:p>
                      <w:p w14:paraId="60F365F2" w14:textId="77777777" w:rsidR="001206E5" w:rsidRPr="00B53F1A" w:rsidRDefault="001206E5" w:rsidP="00B53F1A">
                        <w:pPr>
                          <w:pStyle w:val="NormalWeb"/>
                          <w:spacing w:before="0" w:beforeAutospacing="0" w:after="0" w:afterAutospacing="0" w:line="254" w:lineRule="auto"/>
                          <w:rPr>
                            <w:sz w:val="18"/>
                            <w:szCs w:val="18"/>
                          </w:rPr>
                        </w:pPr>
                        <w:r w:rsidRPr="00B53F1A">
                          <w:rPr>
                            <w:rFonts w:ascii="Calibri" w:eastAsia="Calibri" w:hAnsi="Calibri"/>
                            <w:sz w:val="18"/>
                            <w:szCs w:val="18"/>
                          </w:rPr>
                          <w:t> </w:t>
                        </w:r>
                      </w:p>
                    </w:txbxContent>
                  </v:textbox>
                </v:shape>
                <v:rect id="Rectangle 64" o:spid="_x0000_s1066" style="position:absolute;left:360;width:56292;height:109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" fillcolor="#4f81bd [3204]" strokecolor="#243f60 [1604]" strokeweight="2pt"/>
                <v:shape id="Text Box 20" o:spid="_x0000_s1067" type="#_x0000_t202" style="position:absolute;left:921;top:275;width:54852;height:26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" fillcolor="white [3201]" strokeweight=".5pt">
                  <v:textbox>
                    <w:txbxContent>
                      <w:p w14:paraId="74FCF11F" w14:textId="69F046FA" w:rsidR="001206E5" w:rsidRPr="00B53F1A" w:rsidRDefault="001206E5" w:rsidP="00C4088E">
                        <w:pPr>
                          <w:pStyle w:val="NormalWeb"/>
                          <w:spacing w:before="0" w:beforeAutospacing="0" w:after="0" w:afterAutospacing="0" w:line="256" w:lineRule="auto"/>
                          <w:jc w:val="center"/>
                          <w:rPr>
                            <w:sz w:val="18"/>
                            <w:szCs w:val="18"/>
                          </w:rPr>
                        </w:pPr>
                        <w:r w:rsidRPr="00B53F1A">
                          <w:rPr>
                            <w:rFonts w:ascii="Calibri" w:eastAsia="Calibri" w:hAnsi="Calibri"/>
                            <w:sz w:val="18"/>
                            <w:szCs w:val="18"/>
                          </w:rPr>
                          <w:t>VGPB SUPPLY POLIC</w:t>
                        </w:r>
                        <w:r>
                          <w:rPr>
                            <w:rFonts w:ascii="Calibri" w:eastAsia="Calibri" w:hAnsi="Calibri"/>
                            <w:sz w:val="18"/>
                            <w:szCs w:val="18"/>
                          </w:rPr>
                          <w:t>IES</w:t>
                        </w:r>
                      </w:p>
                    </w:txbxContent>
                  </v:textbox>
                </v:shape>
                <v:shape id="Text Box 21" o:spid="_x0000_s1068" type="#_x0000_t202" style="position:absolute;left:1017;top:3418;width:9365;height:67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" fillcolor="white [3201]" strokeweight=".5pt">
                  <v:textbox>
                    <w:txbxContent>
                      <w:p w14:paraId="77B6C386" w14:textId="77777777" w:rsidR="001206E5" w:rsidRPr="00B53F1A" w:rsidRDefault="001206E5" w:rsidP="00B53F1A">
                        <w:pPr>
                          <w:pStyle w:val="NormalWeb"/>
                          <w:spacing w:before="0" w:beforeAutospacing="0" w:after="0" w:afterAutospacing="0" w:line="256" w:lineRule="auto"/>
                          <w:rPr>
                            <w:sz w:val="18"/>
                            <w:szCs w:val="18"/>
                          </w:rPr>
                        </w:pPr>
                        <w:r w:rsidRPr="00B53F1A">
                          <w:rPr>
                            <w:rFonts w:ascii="Calibri" w:eastAsia="Calibri" w:hAnsi="Calibri"/>
                            <w:b/>
                            <w:bCs/>
                            <w:sz w:val="18"/>
                            <w:szCs w:val="18"/>
                          </w:rPr>
                          <w:t>GOVERNANCE</w:t>
                        </w:r>
                        <w:r w:rsidRPr="00B53F1A">
                          <w:rPr>
                            <w:rFonts w:ascii="Calibri" w:eastAsia="Calibri" w:hAnsi="Calibri"/>
                            <w:sz w:val="18"/>
                            <w:szCs w:val="18"/>
                          </w:rPr>
                          <w:t xml:space="preserve"> </w:t>
                        </w:r>
                      </w:p>
                      <w:p w14:paraId="3977EBCF" w14:textId="77777777" w:rsidR="001206E5" w:rsidRPr="00B53F1A" w:rsidRDefault="001206E5" w:rsidP="00B53F1A">
                        <w:pPr>
                          <w:pStyle w:val="NormalWeb"/>
                          <w:spacing w:before="0" w:beforeAutospacing="0" w:after="0" w:afterAutospacing="0" w:line="256" w:lineRule="auto"/>
                          <w:rPr>
                            <w:sz w:val="18"/>
                            <w:szCs w:val="18"/>
                          </w:rPr>
                        </w:pPr>
                        <w:r w:rsidRPr="00B53F1A">
                          <w:rPr>
                            <w:rFonts w:ascii="Calibri" w:eastAsia="Calibri" w:hAnsi="Calibri"/>
                            <w:sz w:val="18"/>
                            <w:szCs w:val="18"/>
                          </w:rPr>
                          <w:t> </w:t>
                        </w:r>
                      </w:p>
                    </w:txbxContent>
                  </v:textbox>
                </v:shape>
                <v:shape id="Text Box 21" o:spid="_x0000_s1069" type="#_x0000_t202" style="position:absolute;left:10923;top:3418;width:10773;height:66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" fillcolor="white [3201]" strokeweight=".5pt">
                  <v:textbox>
                    <w:txbxContent>
                      <w:p w14:paraId="777FF12B" w14:textId="77777777" w:rsidR="001206E5" w:rsidRPr="00B53F1A" w:rsidRDefault="001206E5" w:rsidP="00B53F1A">
                        <w:pPr>
                          <w:pStyle w:val="NormalWeb"/>
                          <w:spacing w:before="0" w:beforeAutospacing="0" w:after="0" w:afterAutospacing="0" w:line="254" w:lineRule="auto"/>
                          <w:rPr>
                            <w:sz w:val="18"/>
                            <w:szCs w:val="18"/>
                          </w:rPr>
                        </w:pPr>
                        <w:r w:rsidRPr="00B53F1A">
                          <w:rPr>
                            <w:rFonts w:ascii="Calibri" w:eastAsia="Calibri" w:hAnsi="Calibri"/>
                            <w:b/>
                            <w:bCs/>
                            <w:sz w:val="18"/>
                            <w:szCs w:val="18"/>
                          </w:rPr>
                          <w:t>COMPLEXITY AND CAPABILITY ASSESSMENT</w:t>
                        </w:r>
                        <w:r w:rsidRPr="00B53F1A">
                          <w:rPr>
                            <w:rFonts w:ascii="Calibri" w:eastAsia="Calibri" w:hAnsi="Calibri"/>
                            <w:sz w:val="18"/>
                            <w:szCs w:val="18"/>
                          </w:rPr>
                          <w:t xml:space="preserve"> </w:t>
                        </w:r>
                      </w:p>
                      <w:p w14:paraId="0253EA99" w14:textId="77777777" w:rsidR="001206E5" w:rsidRPr="00B53F1A" w:rsidRDefault="001206E5" w:rsidP="00B53F1A">
                        <w:pPr>
                          <w:pStyle w:val="NormalWeb"/>
                          <w:spacing w:before="0" w:beforeAutospacing="0" w:after="0" w:afterAutospacing="0" w:line="254" w:lineRule="auto"/>
                          <w:rPr>
                            <w:sz w:val="18"/>
                            <w:szCs w:val="18"/>
                          </w:rPr>
                        </w:pPr>
                        <w:r w:rsidRPr="00B53F1A">
                          <w:rPr>
                            <w:rFonts w:ascii="Calibri" w:eastAsia="Calibri" w:hAnsi="Calibri"/>
                            <w:sz w:val="18"/>
                            <w:szCs w:val="18"/>
                          </w:rPr>
                          <w:t> </w:t>
                        </w:r>
                      </w:p>
                    </w:txbxContent>
                  </v:textbox>
                </v:shape>
                <v:shape id="Text Box 21" o:spid="_x0000_s1070" type="#_x0000_t202" style="position:absolute;left:21972;top:3513;width:11154;height:65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" fillcolor="white [3201]" strokeweight=".5pt">
                  <v:textbox>
                    <w:txbxContent>
                      <w:p w14:paraId="1D1598F0" w14:textId="77777777" w:rsidR="001206E5" w:rsidRPr="00B53F1A" w:rsidRDefault="001206E5" w:rsidP="00B53F1A">
                        <w:pPr>
                          <w:pStyle w:val="NormalWeb"/>
                          <w:spacing w:before="0" w:beforeAutospacing="0" w:after="0" w:afterAutospacing="0" w:line="252" w:lineRule="auto"/>
                          <w:rPr>
                            <w:sz w:val="18"/>
                            <w:szCs w:val="18"/>
                          </w:rPr>
                        </w:pPr>
                        <w:r w:rsidRPr="00B53F1A">
                          <w:rPr>
                            <w:rFonts w:ascii="Calibri" w:eastAsia="Calibri" w:hAnsi="Calibri"/>
                            <w:b/>
                            <w:bCs/>
                            <w:sz w:val="18"/>
                            <w:szCs w:val="18"/>
                          </w:rPr>
                          <w:t>MARKET ANALYSIS AND REVIEW</w:t>
                        </w:r>
                        <w:r w:rsidRPr="00B53F1A">
                          <w:rPr>
                            <w:rFonts w:ascii="Calibri" w:eastAsia="Calibri" w:hAnsi="Calibri"/>
                            <w:sz w:val="18"/>
                            <w:szCs w:val="18"/>
                          </w:rPr>
                          <w:t xml:space="preserve"> </w:t>
                        </w:r>
                      </w:p>
                      <w:p w14:paraId="6098F7DE" w14:textId="77777777" w:rsidR="001206E5" w:rsidRPr="00B53F1A" w:rsidRDefault="001206E5" w:rsidP="00B53F1A">
                        <w:pPr>
                          <w:pStyle w:val="NormalWeb"/>
                          <w:spacing w:before="0" w:beforeAutospacing="0" w:after="0" w:afterAutospacing="0" w:line="252" w:lineRule="auto"/>
                          <w:rPr>
                            <w:sz w:val="18"/>
                            <w:szCs w:val="18"/>
                          </w:rPr>
                        </w:pPr>
                        <w:r w:rsidRPr="00B53F1A">
                          <w:rPr>
                            <w:rFonts w:ascii="Calibri" w:eastAsia="Calibri" w:hAnsi="Calibri"/>
                            <w:sz w:val="18"/>
                            <w:szCs w:val="18"/>
                          </w:rPr>
                          <w:t> </w:t>
                        </w:r>
                      </w:p>
                    </w:txbxContent>
                  </v:textbox>
                </v:shape>
                <v:shape id="Text Box 21" o:spid="_x0000_s1071" type="#_x0000_t202" style="position:absolute;left:33665;top:3520;width:10773;height:65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" fillcolor="white [3201]" strokeweight=".5pt">
                  <v:textbox>
                    <w:txbxContent>
                      <w:p w14:paraId="63E31568" w14:textId="77777777" w:rsidR="001206E5" w:rsidRPr="00B53F1A" w:rsidRDefault="001206E5" w:rsidP="00B53F1A">
                        <w:pPr>
                          <w:pStyle w:val="NormalWeb"/>
                          <w:spacing w:before="0" w:beforeAutospacing="0" w:after="0" w:afterAutospacing="0" w:line="252" w:lineRule="auto"/>
                          <w:rPr>
                            <w:sz w:val="18"/>
                            <w:szCs w:val="18"/>
                          </w:rPr>
                        </w:pPr>
                        <w:r w:rsidRPr="00B53F1A">
                          <w:rPr>
                            <w:rFonts w:ascii="Calibri" w:eastAsia="Calibri" w:hAnsi="Calibri"/>
                            <w:b/>
                            <w:bCs/>
                            <w:sz w:val="18"/>
                            <w:szCs w:val="18"/>
                          </w:rPr>
                          <w:t>MARKET APPROACH</w:t>
                        </w:r>
                        <w:r w:rsidRPr="00B53F1A">
                          <w:rPr>
                            <w:rFonts w:ascii="Calibri" w:eastAsia="Calibri" w:hAnsi="Calibri"/>
                            <w:sz w:val="18"/>
                            <w:szCs w:val="18"/>
                          </w:rPr>
                          <w:t xml:space="preserve"> </w:t>
                        </w:r>
                      </w:p>
                      <w:p w14:paraId="19B9224E" w14:textId="77777777" w:rsidR="001206E5" w:rsidRPr="00B53F1A" w:rsidRDefault="001206E5" w:rsidP="00B53F1A">
                        <w:pPr>
                          <w:pStyle w:val="NormalWeb"/>
                          <w:spacing w:before="0" w:beforeAutospacing="0" w:after="0" w:afterAutospacing="0" w:line="252" w:lineRule="auto"/>
                          <w:rPr>
                            <w:sz w:val="18"/>
                            <w:szCs w:val="18"/>
                          </w:rPr>
                        </w:pPr>
                        <w:r w:rsidRPr="00B53F1A">
                          <w:rPr>
                            <w:rFonts w:ascii="Calibri" w:eastAsia="Calibri" w:hAnsi="Calibri"/>
                            <w:sz w:val="18"/>
                            <w:szCs w:val="18"/>
                          </w:rPr>
                          <w:t> </w:t>
                        </w:r>
                      </w:p>
                    </w:txbxContent>
                  </v:textbox>
                </v:shape>
                <v:shape id="Text Box 21" o:spid="_x0000_s1072" type="#_x0000_t202" style="position:absolute;left:44904;top:3609;width:10773;height:65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" fillcolor="white [3201]" strokeweight=".5pt">
                  <v:textbox>
                    <w:txbxContent>
                      <w:p w14:paraId="53F29AE9" w14:textId="77777777" w:rsidR="001206E5" w:rsidRPr="00B53F1A" w:rsidRDefault="001206E5" w:rsidP="00B53F1A">
                        <w:pPr>
                          <w:pStyle w:val="NormalWeb"/>
                          <w:spacing w:before="0" w:beforeAutospacing="0" w:after="0" w:afterAutospacing="0" w:line="252" w:lineRule="auto"/>
                          <w:rPr>
                            <w:sz w:val="18"/>
                            <w:szCs w:val="18"/>
                          </w:rPr>
                        </w:pPr>
                        <w:r w:rsidRPr="00B53F1A">
                          <w:rPr>
                            <w:rFonts w:ascii="Calibri" w:eastAsia="Calibri" w:hAnsi="Calibri"/>
                            <w:b/>
                            <w:bCs/>
                            <w:sz w:val="18"/>
                            <w:szCs w:val="18"/>
                          </w:rPr>
                          <w:t>CONTRACT MANAGEMENT AND CONTRACT DISCLOSURE</w:t>
                        </w:r>
                      </w:p>
                      <w:p w14:paraId="1D2DB6A3" w14:textId="77777777" w:rsidR="001206E5" w:rsidRPr="00B53F1A" w:rsidRDefault="001206E5" w:rsidP="00B53F1A">
                        <w:pPr>
                          <w:pStyle w:val="NormalWeb"/>
                          <w:spacing w:before="0" w:beforeAutospacing="0" w:after="0" w:afterAutospacing="0" w:line="252" w:lineRule="auto"/>
                          <w:rPr>
                            <w:sz w:val="18"/>
                            <w:szCs w:val="18"/>
                          </w:rPr>
                        </w:pPr>
                        <w:r w:rsidRPr="00B53F1A">
                          <w:rPr>
                            <w:rFonts w:ascii="Calibri" w:eastAsia="Calibri" w:hAnsi="Calibri"/>
                            <w:sz w:val="18"/>
                            <w:szCs w:val="18"/>
                          </w:rPr>
                          <w:t> </w:t>
                        </w:r>
                      </w:p>
                    </w:txbxContent>
                  </v:textbox>
                </v:shape>
                <w10:anchorlock/>
              </v:group>
            </w:pict>
          </mc:Fallback>
        </mc:AlternateContent>
      </w:r>
    </w:p>
    <w:bookmarkEnd w:id="51"/>
    <w:p w14:paraId="504AF8B8" w14:textId="5BF4E81F" w:rsidR="00D00C99" w:rsidRDefault="00D00C99">
      <w:pPr>
        <w:rPr>
          <w:rFonts w:ascii="Calibri" w:hAnsi="Calibri" w:cs="Calibri"/>
          <w:sz w:val="22"/>
          <w:szCs w:val="22"/>
        </w:rPr>
      </w:pPr>
    </w:p>
    <w:p w14:paraId="714A6B71" w14:textId="77777777" w:rsidR="00441A0F" w:rsidRDefault="00441A0F">
      <w:r>
        <w:br w:type="page"/>
      </w:r>
    </w:p>
    <w:p w14:paraId="770B6455" w14:textId="77777777" w:rsidR="00441A0F" w:rsidRDefault="00441A0F" w:rsidP="00006A5F">
      <w:pPr>
        <w:pStyle w:val="Normal1"/>
      </w:pPr>
    </w:p>
    <w:p w14:paraId="4B832E7A" w14:textId="422BD6ED" w:rsidR="00441A0F" w:rsidRPr="00FE3FFE" w:rsidRDefault="00441A0F" w:rsidP="003C4145">
      <w:pPr>
        <w:pStyle w:val="Heading3NoNum"/>
        <w:pBdr>
          <w:top w:val="single" w:sz="4" w:space="1" w:color="auto"/>
        </w:pBdr>
      </w:pPr>
      <w:r w:rsidRPr="00FE3FFE">
        <w:t xml:space="preserve">A look inside procurement – </w:t>
      </w:r>
      <w:r>
        <w:t>A mature</w:t>
      </w:r>
      <w:r w:rsidRPr="00FE3FFE">
        <w:t xml:space="preserve"> centre-led model</w:t>
      </w:r>
    </w:p>
    <w:p w14:paraId="029ADD69" w14:textId="61C1BDF1" w:rsidR="00441A0F" w:rsidRPr="0083666F" w:rsidRDefault="00441A0F" w:rsidP="00441A0F">
      <w:pPr>
        <w:pStyle w:val="Normal1"/>
      </w:pPr>
      <w:r w:rsidRPr="00D00C99">
        <w:t xml:space="preserve">The Department of Health and Human Services successfully operates a mature, centre-led </w:t>
      </w:r>
      <w:r w:rsidR="00710CAB" w:rsidRPr="00D00C99">
        <w:t>Procurement Services</w:t>
      </w:r>
      <w:r w:rsidRPr="00D00C99">
        <w:t xml:space="preserve"> team</w:t>
      </w:r>
      <w:r w:rsidR="009F3DF7">
        <w:t>,</w:t>
      </w:r>
      <w:r w:rsidRPr="00D00C99">
        <w:t xml:space="preserve"> led by th</w:t>
      </w:r>
      <w:r w:rsidRPr="006226A6">
        <w:t xml:space="preserve">e Department’s </w:t>
      </w:r>
      <w:r w:rsidR="00D4584B">
        <w:t>chief procurement officer</w:t>
      </w:r>
      <w:r w:rsidRPr="006226A6">
        <w:t xml:space="preserve">. The team processed </w:t>
      </w:r>
      <w:r>
        <w:t>more than</w:t>
      </w:r>
      <w:r w:rsidRPr="006226A6">
        <w:t xml:space="preserve"> 1 400 jobs of varying complexity in 2017–18. The team’s strength comes from the De</w:t>
      </w:r>
      <w:r w:rsidRPr="00D00C99">
        <w:t>partment’s commitment to complying with VGPB poli</w:t>
      </w:r>
      <w:r w:rsidRPr="0083666F">
        <w:t>cies, supported by the Secretary and executive board down. The team consists of three units:</w:t>
      </w:r>
    </w:p>
    <w:p w14:paraId="0A2CA584" w14:textId="26E12574" w:rsidR="00441A0F" w:rsidRPr="0083666F" w:rsidRDefault="00441A0F" w:rsidP="00441A0F">
      <w:pPr>
        <w:pStyle w:val="Bullet1"/>
      </w:pPr>
      <w:r w:rsidRPr="0083666F">
        <w:t>Strategy and Policy to provide governance and manage the Procurement Committee;</w:t>
      </w:r>
    </w:p>
    <w:p w14:paraId="6DD67E69" w14:textId="2666A770" w:rsidR="00441A0F" w:rsidRPr="0083666F" w:rsidRDefault="00441A0F" w:rsidP="00441A0F">
      <w:pPr>
        <w:pStyle w:val="Bullet1"/>
      </w:pPr>
      <w:r w:rsidRPr="0083666F">
        <w:t>Procurement Operations to support most non-ICT goods and services procurement and contract management activities; and</w:t>
      </w:r>
    </w:p>
    <w:p w14:paraId="58BC8196" w14:textId="4B32346D" w:rsidR="00441A0F" w:rsidRPr="0083666F" w:rsidRDefault="00441A0F" w:rsidP="00441A0F">
      <w:pPr>
        <w:pStyle w:val="Bullet1"/>
      </w:pPr>
      <w:r w:rsidRPr="0083666F">
        <w:t>Systems and Service Improvement to support most of the Department’s ICT procurement, as well as managing all back-of-house administrative support to ‘keep the team going’.</w:t>
      </w:r>
    </w:p>
    <w:p w14:paraId="52C4475C" w14:textId="6012110A" w:rsidR="00441A0F" w:rsidRPr="0083666F" w:rsidRDefault="00441A0F" w:rsidP="00441A0F">
      <w:pPr>
        <w:pStyle w:val="Normal1"/>
      </w:pPr>
      <w:r w:rsidRPr="0083666F">
        <w:t>The end result is a highly coordinated central operation that is committed to customer service, drives compliance, best practice and value-for-money outcomes, and is able to support the Department’s myriad business units located throughout Victoria.</w:t>
      </w:r>
    </w:p>
    <w:p w14:paraId="4EF27587" w14:textId="5FA3AFA0" w:rsidR="00441A0F" w:rsidRPr="0083666F" w:rsidRDefault="00441A0F" w:rsidP="00441A0F">
      <w:pPr>
        <w:pStyle w:val="Normal1"/>
      </w:pPr>
      <w:r w:rsidRPr="0083666F">
        <w:t xml:space="preserve">In 2017–18, the team worked with some 3 000 staff throughout the year, ranging from administrative staff and project managers to financial delegates, including Deputy Secretaries and the offices of </w:t>
      </w:r>
      <w:r>
        <w:t xml:space="preserve">the Department’s </w:t>
      </w:r>
      <w:r w:rsidRPr="0083666F">
        <w:t>Minister and Secretary.</w:t>
      </w:r>
    </w:p>
    <w:p w14:paraId="4693A578" w14:textId="77777777" w:rsidR="00441A0F" w:rsidRPr="00582768" w:rsidRDefault="00441A0F" w:rsidP="003C4145">
      <w:pPr>
        <w:pStyle w:val="Normal1"/>
        <w:pBdr>
          <w:bottom w:val="single" w:sz="4" w:space="1" w:color="auto"/>
        </w:pBdr>
      </w:pPr>
      <w:r w:rsidRPr="0083666F">
        <w:t>Another advantage of the centre-led team in 2017–18 was its capacity to ramp up support for parts of the Department impacted by machinery-of-government change. The team was able to support the efficient set-up and transition-in of three new administrative offices, while also ensuring that new staff and areas coming into the department were able to integrate their procurement and contract management expectations and requirements into the Department’s operations in a compliant manner with minimal delay or stress.</w:t>
      </w:r>
    </w:p>
    <w:p w14:paraId="51B61831" w14:textId="2BA7AEB5" w:rsidR="00C10B55" w:rsidRDefault="00C10B55" w:rsidP="004734CC">
      <w:pPr>
        <w:ind w:left="709"/>
        <w:rPr>
          <w:rFonts w:ascii="Calibri" w:hAnsi="Calibri" w:cs="Calibri"/>
          <w:color w:val="4D4D4D"/>
          <w:kern w:val="28"/>
          <w:sz w:val="30"/>
          <w:szCs w:val="22"/>
          <w:lang w:eastAsia="en-US"/>
        </w:rPr>
      </w:pPr>
      <w:r>
        <w:br w:type="page"/>
      </w:r>
    </w:p>
    <w:p w14:paraId="3E254C43" w14:textId="60A56A8C" w:rsidR="00C10B55" w:rsidRPr="0038456D" w:rsidRDefault="00C10B55" w:rsidP="0038456D">
      <w:pPr>
        <w:pStyle w:val="Heading2NoNum"/>
      </w:pPr>
      <w:bookmarkStart w:id="55" w:name="_Toc524354065"/>
      <w:r w:rsidRPr="0038456D">
        <w:lastRenderedPageBreak/>
        <w:t>About the data in this report</w:t>
      </w:r>
      <w:bookmarkEnd w:id="55"/>
    </w:p>
    <w:p w14:paraId="44F565C2" w14:textId="2BD7B903" w:rsidR="004734CC" w:rsidRPr="004734CC" w:rsidRDefault="00C8604F" w:rsidP="004734CC">
      <w:pPr>
        <w:pStyle w:val="Normal1"/>
        <w:rPr>
          <w:lang w:eastAsia="en-US"/>
        </w:rPr>
      </w:pPr>
      <w:r>
        <w:rPr>
          <w:lang w:eastAsia="en-US"/>
        </w:rPr>
        <w:t>In 2017–18,</w:t>
      </w:r>
      <w:r w:rsidR="004734CC">
        <w:rPr>
          <w:lang w:eastAsia="en-US"/>
        </w:rPr>
        <w:t xml:space="preserve"> 1</w:t>
      </w:r>
      <w:r w:rsidR="00DA0454">
        <w:rPr>
          <w:lang w:eastAsia="en-US"/>
        </w:rPr>
        <w:t>1</w:t>
      </w:r>
      <w:r w:rsidR="004734CC">
        <w:rPr>
          <w:lang w:eastAsia="en-US"/>
        </w:rPr>
        <w:t xml:space="preserve"> organisations</w:t>
      </w:r>
      <w:r>
        <w:rPr>
          <w:lang w:eastAsia="en-US"/>
        </w:rPr>
        <w:t xml:space="preserve"> report</w:t>
      </w:r>
      <w:r w:rsidR="003E0CE6">
        <w:rPr>
          <w:lang w:eastAsia="en-US"/>
        </w:rPr>
        <w:t>ed</w:t>
      </w:r>
      <w:r>
        <w:rPr>
          <w:lang w:eastAsia="en-US"/>
        </w:rPr>
        <w:t xml:space="preserve"> directly to the VGPB with their procurement data</w:t>
      </w:r>
      <w:r w:rsidR="004734CC">
        <w:rPr>
          <w:lang w:eastAsia="en-US"/>
        </w:rPr>
        <w:t xml:space="preserve">: the </w:t>
      </w:r>
      <w:r w:rsidR="004734CC" w:rsidRPr="004A0C4C">
        <w:t xml:space="preserve">seven government departments, </w:t>
      </w:r>
      <w:r w:rsidR="00820DB7">
        <w:t>CenITex</w:t>
      </w:r>
      <w:r w:rsidR="004734CC" w:rsidRPr="004A0C4C">
        <w:t>,</w:t>
      </w:r>
      <w:r w:rsidR="004A0C4C">
        <w:t xml:space="preserve"> </w:t>
      </w:r>
      <w:r w:rsidR="004734CC" w:rsidRPr="004A0C4C">
        <w:t>Public Transport Victoria, VicRoads and Victoria Police.</w:t>
      </w:r>
    </w:p>
    <w:p w14:paraId="4EF96FD5" w14:textId="2F712D8A" w:rsidR="004734CC" w:rsidRDefault="004734CC" w:rsidP="0070744B">
      <w:pPr>
        <w:pStyle w:val="Normal1"/>
      </w:pPr>
      <w:r>
        <w:t xml:space="preserve">At the end of each financial year, these organisations </w:t>
      </w:r>
      <w:r w:rsidR="00CF1937">
        <w:t>report on their procurement contract approvals and performance. Contract approvals are for goods and services valued at $100</w:t>
      </w:r>
      <w:r w:rsidR="00DA09FB">
        <w:t> </w:t>
      </w:r>
      <w:r w:rsidR="00CF1937">
        <w:t>000 or more (including GST). It does not include any construction procurement.</w:t>
      </w:r>
    </w:p>
    <w:p w14:paraId="7FBF65A6" w14:textId="039FE39C" w:rsidR="00653FCC" w:rsidRDefault="00CF1937" w:rsidP="00A903E0">
      <w:pPr>
        <w:pStyle w:val="Normal1"/>
      </w:pPr>
      <w:r>
        <w:t xml:space="preserve">Organisations report on the total estimated value of approved contracts. Contracts can </w:t>
      </w:r>
      <w:r w:rsidR="00C10B55" w:rsidRPr="000A7D04">
        <w:t>extend over several years</w:t>
      </w:r>
      <w:r>
        <w:t>, so values in this report reflect</w:t>
      </w:r>
      <w:r w:rsidR="00C10B55" w:rsidRPr="000A7D04">
        <w:t xml:space="preserve"> </w:t>
      </w:r>
      <w:r>
        <w:t xml:space="preserve">total contract value rather than actual annual </w:t>
      </w:r>
      <w:r w:rsidR="00C10B55" w:rsidRPr="000A7D04">
        <w:t>spend.</w:t>
      </w:r>
    </w:p>
    <w:p w14:paraId="3D6DD466" w14:textId="17970A1E" w:rsidR="00CF1937" w:rsidRDefault="00653FCC" w:rsidP="00A903E0">
      <w:pPr>
        <w:pStyle w:val="Normal1"/>
      </w:pPr>
      <w:r>
        <w:t>Contract values also include any options to extend the contract.</w:t>
      </w:r>
    </w:p>
    <w:p w14:paraId="74DF3F15" w14:textId="4D31CEFB" w:rsidR="00653FCC" w:rsidRDefault="00653FCC" w:rsidP="00653FCC">
      <w:pPr>
        <w:pStyle w:val="Normal1"/>
      </w:pPr>
      <w:r w:rsidRPr="000A7D04">
        <w:t>All figures in the tables and text in the annual report have been rounded. Discrepancies in tables</w:t>
      </w:r>
      <w:r w:rsidRPr="00653FCC">
        <w:t xml:space="preserve"> </w:t>
      </w:r>
      <w:r w:rsidRPr="000A7D04">
        <w:t>between totals and sums of components reflect this rounding.</w:t>
      </w:r>
    </w:p>
    <w:p w14:paraId="11D64DC0" w14:textId="198F1DD8" w:rsidR="00653FCC" w:rsidRDefault="00710380" w:rsidP="004C18E5">
      <w:pPr>
        <w:pStyle w:val="Heading3NoNum"/>
      </w:pPr>
      <w:r>
        <w:rPr>
          <w:noProof/>
          <w:lang w:val="en-US"/>
        </w:rPr>
        <mc:AlternateContent>
          <mc:Choice Requires="wps">
            <w:drawing>
              <wp:anchor distT="0" distB="0" distL="114300" distR="114300" simplePos="0" relativeHeight="251659264" behindDoc="0" locked="0" layoutInCell="1" allowOverlap="1" wp14:anchorId="2B420555" wp14:editId="78B04C62">
                <wp:simplePos x="0" y="0"/>
                <wp:positionH relativeFrom="margin">
                  <wp:posOffset>4478020</wp:posOffset>
                </wp:positionH>
                <wp:positionV relativeFrom="margin">
                  <wp:posOffset>2557780</wp:posOffset>
                </wp:positionV>
                <wp:extent cx="1666875" cy="1457325"/>
                <wp:effectExtent l="0" t="0" r="28575" b="28575"/>
                <wp:wrapSquare wrapText="bothSides"/>
                <wp:docPr id="6" name="Text Box 6"/>
                <wp:cNvGraphicFramePr/>
                <a:graphic xmlns:a="http://schemas.openxmlformats.org/drawingml/2006/main">
                  <a:graphicData uri="http://schemas.microsoft.com/office/word/2010/wordprocessingShape">
                    <wps:wsp>
                      <wps:cNvSpPr txBox="1"/>
                      <wps:spPr>
                        <a:xfrm>
                          <a:off x="0" y="0"/>
                          <a:ext cx="1666875" cy="1457325"/>
                        </a:xfrm>
                        <a:prstGeom prst="rect">
                          <a:avLst/>
                        </a:prstGeom>
                        <a:noFill/>
                        <a:ln w="6350">
                          <a:solidFill>
                            <a:prstClr val="black"/>
                          </a:solidFill>
                        </a:ln>
                      </wps:spPr>
                      <wps:txbx>
                        <w:txbxContent>
                          <w:p w14:paraId="710FA2B8" w14:textId="77777777" w:rsidR="001206E5" w:rsidRPr="00755429" w:rsidRDefault="001206E5" w:rsidP="000C3B64">
                            <w:pPr>
                              <w:pStyle w:val="textbox"/>
                            </w:pPr>
                            <w:r w:rsidRPr="00755429">
                              <w:rPr>
                                <w:rStyle w:val="textboxChar"/>
                                <w:b/>
                              </w:rPr>
                              <w:t>A</w:t>
                            </w:r>
                            <w:r w:rsidRPr="00755429">
                              <w:rPr>
                                <w:b/>
                              </w:rPr>
                              <w:t xml:space="preserve">ggregated purchasing </w:t>
                            </w:r>
                            <w:r w:rsidRPr="00755429">
                              <w:t xml:space="preserve">is grouping together demand for commonly purchased goods and services to </w:t>
                            </w:r>
                            <w:r>
                              <w:t>make the most of</w:t>
                            </w:r>
                            <w:r w:rsidRPr="00755429">
                              <w:t xml:space="preserve"> greater economies of scale when procuring from the marketplace.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B420555" id="Text Box 6" o:spid="_x0000_s1073" type="#_x0000_t202" style="position:absolute;left:0;text-align:left;margin-left:352.6pt;margin-top:201.4pt;width:131.25pt;height:114.75pt;z-index:251659264;visibility:visible;mso-wrap-style:square;mso-wrap-distance-left:9pt;mso-wrap-distance-top:0;mso-wrap-distance-right:9pt;mso-wrap-distance-bottom:0;mso-position-horizontal:absolute;mso-position-horizontal-relative:margin;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" filled="f" strokeweight=".5pt">
                <v:textbox>
                  <w:txbxContent>
                    <w:p w14:paraId="710FA2B8" w14:textId="77777777" w:rsidR="001206E5" w:rsidRPr="00755429" w:rsidRDefault="001206E5" w:rsidP="000C3B64">
                      <w:pPr>
                        <w:pStyle w:val="textbox"/>
                      </w:pPr>
                      <w:r w:rsidRPr="00755429">
                        <w:rPr>
                          <w:rStyle w:val="textboxChar"/>
                          <w:b/>
                        </w:rPr>
                        <w:t>A</w:t>
                      </w:r>
                      <w:r w:rsidRPr="00755429">
                        <w:rPr>
                          <w:b/>
                        </w:rPr>
                        <w:t xml:space="preserve">ggregated purchasing </w:t>
                      </w:r>
                      <w:r w:rsidRPr="00755429">
                        <w:t xml:space="preserve">is grouping together demand for commonly purchased goods and services to </w:t>
                      </w:r>
                      <w:r>
                        <w:t>make the most of</w:t>
                      </w:r>
                      <w:r w:rsidRPr="00755429">
                        <w:t xml:space="preserve"> greater economies of scale when procuring from the marketplace.</w:t>
                      </w:r>
                    </w:p>
                  </w:txbxContent>
                </v:textbox>
                <w10:wrap type="square" anchorx="margin" anchory="margin"/>
              </v:shape>
            </w:pict>
          </mc:Fallback>
        </mc:AlternateContent>
      </w:r>
      <w:r w:rsidR="00653FCC">
        <w:t>Contract types</w:t>
      </w:r>
    </w:p>
    <w:p w14:paraId="57DAA1AD" w14:textId="04CE82C3" w:rsidR="00653FCC" w:rsidRDefault="00C10B55" w:rsidP="009B74A3">
      <w:pPr>
        <w:pStyle w:val="Normal1"/>
      </w:pPr>
      <w:r w:rsidRPr="000A7D04">
        <w:t>Contract types include</w:t>
      </w:r>
      <w:r w:rsidR="00653FCC">
        <w:t>:</w:t>
      </w:r>
    </w:p>
    <w:p w14:paraId="6006C245" w14:textId="51F75BF1" w:rsidR="00653FCC" w:rsidRDefault="00C10B55" w:rsidP="00653FCC">
      <w:pPr>
        <w:pStyle w:val="Bullet1"/>
      </w:pPr>
      <w:r w:rsidRPr="000A7D04">
        <w:t>one-</w:t>
      </w:r>
      <w:r w:rsidRPr="00634C04">
        <w:t>off supply contracts</w:t>
      </w:r>
      <w:r w:rsidR="00653FCC">
        <w:t>: a</w:t>
      </w:r>
      <w:r w:rsidR="00653FCC" w:rsidRPr="009B74A3">
        <w:t xml:space="preserve"> single purchase of a specific quantity of goods or services</w:t>
      </w:r>
      <w:r w:rsidR="003E0CE6">
        <w:t>,</w:t>
      </w:r>
      <w:r w:rsidR="00653FCC" w:rsidRPr="009B74A3">
        <w:t xml:space="preserve"> which has been subject to a discrete quotation or tender process</w:t>
      </w:r>
      <w:r w:rsidR="00653FCC">
        <w:t>;</w:t>
      </w:r>
    </w:p>
    <w:p w14:paraId="43CF98C3" w14:textId="4A3FDFD6" w:rsidR="00653FCC" w:rsidRDefault="00653FCC" w:rsidP="00653FCC">
      <w:pPr>
        <w:pStyle w:val="Bullet1"/>
      </w:pPr>
      <w:r>
        <w:t>sole entity purchase contracts</w:t>
      </w:r>
      <w:r w:rsidR="00854DBF">
        <w:t xml:space="preserve"> (SEPC)</w:t>
      </w:r>
      <w:r>
        <w:t xml:space="preserve">: an aggregated </w:t>
      </w:r>
      <w:r w:rsidRPr="009B74A3">
        <w:t>arrangement established</w:t>
      </w:r>
      <w:r w:rsidRPr="004B074E">
        <w:t xml:space="preserve"> for one </w:t>
      </w:r>
      <w:r>
        <w:t>organisation</w:t>
      </w:r>
      <w:r w:rsidRPr="004B074E">
        <w:t xml:space="preserve"> or a business unit/group of business units within an organisation.</w:t>
      </w:r>
      <w:r w:rsidRPr="009B74A3">
        <w:t xml:space="preserve"> SEPCs are mandatory for the organisation establishing the arrangement</w:t>
      </w:r>
      <w:r>
        <w:t>; and</w:t>
      </w:r>
    </w:p>
    <w:p w14:paraId="2652A274" w14:textId="5F2EE1F4" w:rsidR="004B074E" w:rsidRDefault="004B074E" w:rsidP="00653FCC">
      <w:pPr>
        <w:pStyle w:val="Bullet1"/>
      </w:pPr>
      <w:r>
        <w:t>state purchase contracts</w:t>
      </w:r>
      <w:r w:rsidR="00854DBF">
        <w:t xml:space="preserve"> (SPC)</w:t>
      </w:r>
      <w:r w:rsidR="00653FCC">
        <w:t>: a</w:t>
      </w:r>
      <w:r w:rsidR="00653FCC">
        <w:rPr>
          <w:lang w:eastAsia="en-US"/>
        </w:rPr>
        <w:t xml:space="preserve">n aggregated arrangement </w:t>
      </w:r>
      <w:r w:rsidR="00653FCC" w:rsidRPr="009B74A3">
        <w:t>for the purchase of goods and services</w:t>
      </w:r>
      <w:r w:rsidR="00653FCC">
        <w:rPr>
          <w:lang w:eastAsia="en-US"/>
        </w:rPr>
        <w:t xml:space="preserve"> for use by </w:t>
      </w:r>
      <w:hyperlink r:id="rId22" w:history="1">
        <w:r w:rsidR="003E0CE6">
          <w:rPr>
            <w:rStyle w:val="Hyperlink"/>
            <w:lang w:eastAsia="en-US"/>
          </w:rPr>
          <w:t>mandated Victorian Government departments</w:t>
        </w:r>
      </w:hyperlink>
      <w:r w:rsidR="00653FCC">
        <w:rPr>
          <w:lang w:eastAsia="en-US"/>
        </w:rPr>
        <w:t xml:space="preserve"> and agencies</w:t>
      </w:r>
      <w:r w:rsidR="00653FCC" w:rsidRPr="009B74A3">
        <w:t xml:space="preserve">. </w:t>
      </w:r>
      <w:r w:rsidR="00653FCC">
        <w:t>Other agencies can access the SPC if they agree to the rules of use.</w:t>
      </w:r>
    </w:p>
    <w:p w14:paraId="7524D75B" w14:textId="77777777" w:rsidR="00924D6D" w:rsidRDefault="00924D6D" w:rsidP="00924D6D">
      <w:pPr>
        <w:pStyle w:val="Bullet1"/>
        <w:numPr>
          <w:ilvl w:val="0"/>
          <w:numId w:val="0"/>
        </w:numPr>
        <w:ind w:left="1077" w:hanging="283"/>
      </w:pPr>
    </w:p>
    <w:bookmarkEnd w:id="49"/>
    <w:p w14:paraId="03953328" w14:textId="40CC8C18" w:rsidR="00FE3FFE" w:rsidRDefault="00924D6D">
      <w:pPr>
        <w:rPr>
          <w:rFonts w:ascii="Calibri" w:hAnsi="Calibri" w:cs="Calibri"/>
          <w:color w:val="4D4D4D"/>
          <w:kern w:val="28"/>
          <w:sz w:val="30"/>
          <w:szCs w:val="22"/>
          <w:lang w:eastAsia="en-US"/>
        </w:rPr>
      </w:pPr>
      <w:r>
        <w:rPr>
          <w:noProof/>
          <w:lang w:val="en-US" w:eastAsia="en-US"/>
        </w:rPr>
        <mc:AlternateContent>
          <mc:Choice Requires="wps">
            <w:drawing>
              <wp:anchor distT="0" distB="0" distL="114300" distR="114300" simplePos="0" relativeHeight="251661312" behindDoc="0" locked="0" layoutInCell="1" allowOverlap="1" wp14:anchorId="6421E1B8" wp14:editId="09882A4C">
                <wp:simplePos x="0" y="0"/>
                <wp:positionH relativeFrom="margin">
                  <wp:align>right</wp:align>
                </wp:positionH>
                <wp:positionV relativeFrom="margin">
                  <wp:posOffset>5366385</wp:posOffset>
                </wp:positionV>
                <wp:extent cx="5457825" cy="1457325"/>
                <wp:effectExtent l="0" t="0" r="28575" b="28575"/>
                <wp:wrapSquare wrapText="bothSides"/>
                <wp:docPr id="9" name="Text Box 9"/>
                <wp:cNvGraphicFramePr/>
                <a:graphic xmlns:a="http://schemas.openxmlformats.org/drawingml/2006/main">
                  <a:graphicData uri="http://schemas.microsoft.com/office/word/2010/wordprocessingShape">
                    <wps:wsp>
                      <wps:cNvSpPr txBox="1"/>
                      <wps:spPr>
                        <a:xfrm>
                          <a:off x="0" y="0"/>
                          <a:ext cx="5457825" cy="1457325"/>
                        </a:xfrm>
                        <a:prstGeom prst="rect">
                          <a:avLst/>
                        </a:prstGeom>
                        <a:solidFill>
                          <a:schemeClr val="lt1"/>
                        </a:solidFill>
                        <a:ln w="6350">
                          <a:solidFill>
                            <a:prstClr val="black"/>
                          </a:solidFill>
                        </a:ln>
                      </wps:spPr>
                      <wps:txbx>
                        <w:txbxContent>
                          <w:p w14:paraId="486A37D0" w14:textId="77777777" w:rsidR="001206E5" w:rsidRPr="00FE3FFE" w:rsidRDefault="001206E5" w:rsidP="005D5FB8">
                            <w:pPr>
                              <w:pStyle w:val="textbox"/>
                              <w:rPr>
                                <w:b/>
                              </w:rPr>
                            </w:pPr>
                            <w:r w:rsidRPr="00FE3FFE">
                              <w:rPr>
                                <w:b/>
                              </w:rPr>
                              <w:t>Reporting multi-year contracts</w:t>
                            </w:r>
                          </w:p>
                          <w:p w14:paraId="2DEC0D71" w14:textId="41DFE198" w:rsidR="001206E5" w:rsidRDefault="001206E5" w:rsidP="005D5FB8">
                            <w:pPr>
                              <w:pStyle w:val="textbox"/>
                            </w:pPr>
                            <w:r>
                              <w:t>In 2017–18, the Department of Treasury and Finance renegotiated the Security Services SPC. The estimated annual value for this contract is $47.2 million. The contract term is three years with two further one-year options to extend. The total estimated approved contract value is reported to the VGPB as $236 million, equivalent to five years of potential spend under this contract</w:t>
                            </w:r>
                            <w:r w:rsidRPr="00FB6FF3">
                              <w:t xml:space="preserve">. Actual spend may look quite different </w:t>
                            </w:r>
                            <w:r>
                              <w:t xml:space="preserve">due </w:t>
                            </w:r>
                            <w:r w:rsidRPr="00FB6FF3">
                              <w:t>to business demand and will be spread over a three to five-year period.</w:t>
                            </w:r>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21E1B8" id="Text Box 9" o:spid="_x0000_s1074" type="#_x0000_t202" style="position:absolute;margin-left:378.55pt;margin-top:422.55pt;width:429.75pt;height:114.7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" fillcolor="white [3201]" strokeweight=".5pt">
                <v:textbox>
                  <w:txbxContent>
                    <w:p w14:paraId="486A37D0" w14:textId="77777777" w:rsidR="001206E5" w:rsidRPr="00FE3FFE" w:rsidRDefault="001206E5" w:rsidP="005D5FB8">
                      <w:pPr>
                        <w:pStyle w:val="textbox"/>
                        <w:rPr>
                          <w:b/>
                        </w:rPr>
                      </w:pPr>
                      <w:r w:rsidRPr="00FE3FFE">
                        <w:rPr>
                          <w:b/>
                        </w:rPr>
                        <w:t>Reporting multi-year contracts</w:t>
                      </w:r>
                    </w:p>
                    <w:p w14:paraId="2DEC0D71" w14:textId="41DFE198" w:rsidR="001206E5" w:rsidRDefault="001206E5" w:rsidP="005D5FB8">
                      <w:pPr>
                        <w:pStyle w:val="textbox"/>
                      </w:pPr>
                      <w:r>
                        <w:t>In 2017–18, the Department of Treasury and Finance renegotiated the Security Services SPC. The estimated annual value for this contract is $47.2 million. The contract term is three years with two further one-year options to extend. The total estimated approved contract value is reported to the VGPB as $236 million, equivalent to five years of potential spend under this contract</w:t>
                      </w:r>
                      <w:r w:rsidRPr="00FB6FF3">
                        <w:t xml:space="preserve">. Actual spend may look quite different </w:t>
                      </w:r>
                      <w:r>
                        <w:t xml:space="preserve">due </w:t>
                      </w:r>
                      <w:r w:rsidRPr="00FB6FF3">
                        <w:t>to business demand and will be spread over a three to five-year period.</w:t>
                      </w:r>
                      <w:r>
                        <w:t xml:space="preserve"> </w:t>
                      </w:r>
                    </w:p>
                  </w:txbxContent>
                </v:textbox>
                <w10:wrap type="square" anchorx="margin" anchory="margin"/>
              </v:shape>
            </w:pict>
          </mc:Fallback>
        </mc:AlternateContent>
      </w:r>
      <w:r w:rsidR="00FE3FFE">
        <w:br w:type="page"/>
      </w:r>
    </w:p>
    <w:p w14:paraId="37D0AD67" w14:textId="3E5CA791" w:rsidR="002608E3" w:rsidRDefault="0078371C" w:rsidP="000A7D04">
      <w:pPr>
        <w:pStyle w:val="Heading2NoNum"/>
      </w:pPr>
      <w:bookmarkStart w:id="56" w:name="_Toc524354066"/>
      <w:r>
        <w:lastRenderedPageBreak/>
        <w:t>Summary</w:t>
      </w:r>
      <w:r w:rsidR="00013E74">
        <w:t xml:space="preserve"> of </w:t>
      </w:r>
      <w:r w:rsidR="007C2746">
        <w:t>c</w:t>
      </w:r>
      <w:r w:rsidR="002608E3">
        <w:t>ontract approvals</w:t>
      </w:r>
      <w:bookmarkEnd w:id="56"/>
    </w:p>
    <w:p w14:paraId="4ED70868" w14:textId="727D8637" w:rsidR="00013E74" w:rsidRDefault="00F91925" w:rsidP="00E41631">
      <w:pPr>
        <w:pStyle w:val="Normal1"/>
      </w:pPr>
      <w:r w:rsidRPr="00CD6245">
        <w:t xml:space="preserve">In </w:t>
      </w:r>
      <w:r w:rsidR="00FA0FB5">
        <w:t>2017</w:t>
      </w:r>
      <w:r w:rsidR="00D54BA4">
        <w:t>–18</w:t>
      </w:r>
      <w:r w:rsidR="008A718C" w:rsidRPr="00CD6245">
        <w:t>,</w:t>
      </w:r>
      <w:r w:rsidRPr="00CD6245">
        <w:t xml:space="preserve"> </w:t>
      </w:r>
      <w:r w:rsidR="00FD0317" w:rsidRPr="00CD6245">
        <w:t>organisation</w:t>
      </w:r>
      <w:r w:rsidR="00654F4D" w:rsidRPr="00CD6245">
        <w:t>s reported</w:t>
      </w:r>
      <w:r w:rsidR="00904111" w:rsidRPr="00CD6245">
        <w:t xml:space="preserve"> </w:t>
      </w:r>
      <w:r w:rsidR="00772826" w:rsidRPr="007457E1">
        <w:t>1 </w:t>
      </w:r>
      <w:r w:rsidR="00B33C59">
        <w:t>197</w:t>
      </w:r>
      <w:r w:rsidR="000D2AE1" w:rsidRPr="007457E1">
        <w:t xml:space="preserve"> </w:t>
      </w:r>
      <w:r w:rsidRPr="007457E1">
        <w:t xml:space="preserve">procurement </w:t>
      </w:r>
      <w:r w:rsidR="00160614">
        <w:t xml:space="preserve">contract </w:t>
      </w:r>
      <w:r w:rsidRPr="007457E1">
        <w:t xml:space="preserve">approvals </w:t>
      </w:r>
      <w:r w:rsidR="00414E57" w:rsidRPr="007457E1">
        <w:t xml:space="preserve">valued at </w:t>
      </w:r>
      <w:r w:rsidR="004D6764" w:rsidRPr="007457E1">
        <w:t>$</w:t>
      </w:r>
      <w:r w:rsidR="00C27AA9" w:rsidRPr="007457E1">
        <w:t>3 011</w:t>
      </w:r>
      <w:r w:rsidR="00160614">
        <w:t> </w:t>
      </w:r>
      <w:r w:rsidR="004D6764" w:rsidRPr="007457E1">
        <w:t>millio</w:t>
      </w:r>
      <w:r w:rsidR="004D6764" w:rsidRPr="00CD6245">
        <w:t>n</w:t>
      </w:r>
      <w:r w:rsidR="00881556">
        <w:t>,</w:t>
      </w:r>
      <w:r w:rsidR="004D6764" w:rsidRPr="00CD6245">
        <w:t xml:space="preserve"> </w:t>
      </w:r>
      <w:r w:rsidR="006F1BB3" w:rsidRPr="00CD6245">
        <w:t>as shown in</w:t>
      </w:r>
      <w:r w:rsidR="000D2AE1" w:rsidRPr="00CD6245">
        <w:t xml:space="preserve"> </w:t>
      </w:r>
      <w:r w:rsidR="00AC517C">
        <w:fldChar w:fldCharType="begin"/>
      </w:r>
      <w:r w:rsidR="00AC517C">
        <w:instrText xml:space="preserve"> REF _Ref425964284 \h  \* MERGEFORMAT </w:instrText>
      </w:r>
      <w:r w:rsidR="00AC517C">
        <w:fldChar w:fldCharType="separate"/>
      </w:r>
      <w:r w:rsidR="00A07703" w:rsidRPr="00CD6245">
        <w:t xml:space="preserve">Table </w:t>
      </w:r>
      <w:r w:rsidR="00A07703">
        <w:t>3</w:t>
      </w:r>
      <w:r w:rsidR="00AC517C">
        <w:fldChar w:fldCharType="end"/>
      </w:r>
      <w:r w:rsidRPr="00CD6245">
        <w:t>.</w:t>
      </w:r>
      <w:bookmarkStart w:id="57" w:name="_Ref420421996"/>
    </w:p>
    <w:p w14:paraId="2790D320" w14:textId="51BFBBB2" w:rsidR="00E41631" w:rsidRPr="00CD6245" w:rsidRDefault="00E41631" w:rsidP="00E41631">
      <w:pPr>
        <w:pStyle w:val="Caption"/>
      </w:pPr>
      <w:bookmarkStart w:id="58" w:name="_Ref425964284"/>
      <w:bookmarkStart w:id="59" w:name="_Ref450554704"/>
      <w:bookmarkStart w:id="60" w:name="_Toc524353996"/>
      <w:r w:rsidRPr="00CD6245">
        <w:t xml:space="preserve">Table </w:t>
      </w:r>
      <w:r w:rsidR="002407F7">
        <w:rPr>
          <w:noProof/>
        </w:rPr>
        <w:fldChar w:fldCharType="begin"/>
      </w:r>
      <w:r w:rsidR="002407F7">
        <w:rPr>
          <w:noProof/>
        </w:rPr>
        <w:instrText xml:space="preserve"> SEQ Table \* ARABIC </w:instrText>
      </w:r>
      <w:r w:rsidR="002407F7">
        <w:rPr>
          <w:noProof/>
        </w:rPr>
        <w:fldChar w:fldCharType="separate"/>
      </w:r>
      <w:r w:rsidR="00A07703">
        <w:rPr>
          <w:noProof/>
        </w:rPr>
        <w:t>3</w:t>
      </w:r>
      <w:r w:rsidR="002407F7">
        <w:rPr>
          <w:noProof/>
        </w:rPr>
        <w:fldChar w:fldCharType="end"/>
      </w:r>
      <w:bookmarkEnd w:id="58"/>
      <w:r w:rsidRPr="00CD6245">
        <w:t xml:space="preserve">: Total number and value of </w:t>
      </w:r>
      <w:r w:rsidR="00381BB6">
        <w:t xml:space="preserve">contract </w:t>
      </w:r>
      <w:r w:rsidRPr="00CD6245">
        <w:t xml:space="preserve">approvals in </w:t>
      </w:r>
      <w:r>
        <w:t>201</w:t>
      </w:r>
      <w:r w:rsidR="008E1ACC">
        <w:t>7–18</w:t>
      </w:r>
      <w:r w:rsidRPr="00CD6245">
        <w:t xml:space="preserve"> </w:t>
      </w:r>
      <w:bookmarkEnd w:id="59"/>
      <w:r w:rsidRPr="00CD6245">
        <w:t>by goods and services</w:t>
      </w:r>
      <w:bookmarkEnd w:id="60"/>
    </w:p>
    <w:tbl>
      <w:tblPr>
        <w:tblStyle w:val="ListTable31"/>
        <w:tblW w:w="8931" w:type="dxa"/>
        <w:tblInd w:w="846" w:type="dxa"/>
        <w:tblLayout w:type="fixed"/>
        <w:tblLook w:val="04A0" w:firstRow="1" w:lastRow="0" w:firstColumn="1" w:lastColumn="0" w:noHBand="0" w:noVBand="1"/>
      </w:tblPr>
      <w:tblGrid>
        <w:gridCol w:w="992"/>
        <w:gridCol w:w="967"/>
        <w:gridCol w:w="1018"/>
        <w:gridCol w:w="992"/>
        <w:gridCol w:w="993"/>
        <w:gridCol w:w="993"/>
        <w:gridCol w:w="991"/>
        <w:gridCol w:w="1033"/>
        <w:gridCol w:w="952"/>
      </w:tblGrid>
      <w:tr w:rsidR="00E41631" w:rsidRPr="00CD6245" w14:paraId="2E323074" w14:textId="77777777" w:rsidTr="003B1A9E">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92" w:type="dxa"/>
          </w:tcPr>
          <w:p w14:paraId="7A0046C4" w14:textId="77777777" w:rsidR="00E41631" w:rsidRPr="00CD6245" w:rsidRDefault="00E41631" w:rsidP="007D26AE">
            <w:pPr>
              <w:pStyle w:val="TableText"/>
              <w:jc w:val="center"/>
            </w:pPr>
          </w:p>
        </w:tc>
        <w:tc>
          <w:tcPr>
            <w:tcW w:w="1985" w:type="dxa"/>
            <w:gridSpan w:val="2"/>
          </w:tcPr>
          <w:p w14:paraId="77A7CCBA" w14:textId="77777777" w:rsidR="00E41631" w:rsidRPr="00CD6245" w:rsidRDefault="00E41631" w:rsidP="007D26AE">
            <w:pPr>
              <w:pStyle w:val="TableText"/>
              <w:jc w:val="center"/>
              <w:cnfStyle w:val="100000000000" w:firstRow="1" w:lastRow="0" w:firstColumn="0" w:lastColumn="0" w:oddVBand="0" w:evenVBand="0" w:oddHBand="0" w:evenHBand="0" w:firstRowFirstColumn="0" w:firstRowLastColumn="0" w:lastRowFirstColumn="0" w:lastRowLastColumn="0"/>
            </w:pPr>
            <w:r w:rsidRPr="00CD6245">
              <w:t>One-off supplies</w:t>
            </w:r>
          </w:p>
        </w:tc>
        <w:tc>
          <w:tcPr>
            <w:tcW w:w="1985" w:type="dxa"/>
            <w:gridSpan w:val="2"/>
          </w:tcPr>
          <w:p w14:paraId="7B6601C3" w14:textId="77777777" w:rsidR="00E41631" w:rsidRPr="00CD6245" w:rsidRDefault="00E41631" w:rsidP="007D26AE">
            <w:pPr>
              <w:pStyle w:val="TableText"/>
              <w:jc w:val="center"/>
              <w:cnfStyle w:val="100000000000" w:firstRow="1" w:lastRow="0" w:firstColumn="0" w:lastColumn="0" w:oddVBand="0" w:evenVBand="0" w:oddHBand="0" w:evenHBand="0" w:firstRowFirstColumn="0" w:firstRowLastColumn="0" w:lastRowFirstColumn="0" w:lastRowLastColumn="0"/>
            </w:pPr>
            <w:r w:rsidRPr="00CD6245">
              <w:t>SEPCs</w:t>
            </w:r>
          </w:p>
        </w:tc>
        <w:tc>
          <w:tcPr>
            <w:tcW w:w="1984" w:type="dxa"/>
            <w:gridSpan w:val="2"/>
          </w:tcPr>
          <w:p w14:paraId="135EA255" w14:textId="77777777" w:rsidR="00E41631" w:rsidRPr="00CD6245" w:rsidRDefault="00E41631" w:rsidP="007D26AE">
            <w:pPr>
              <w:pStyle w:val="TableText"/>
              <w:jc w:val="center"/>
              <w:cnfStyle w:val="100000000000" w:firstRow="1" w:lastRow="0" w:firstColumn="0" w:lastColumn="0" w:oddVBand="0" w:evenVBand="0" w:oddHBand="0" w:evenHBand="0" w:firstRowFirstColumn="0" w:firstRowLastColumn="0" w:lastRowFirstColumn="0" w:lastRowLastColumn="0"/>
            </w:pPr>
            <w:r w:rsidRPr="00CD6245">
              <w:t>SPCs</w:t>
            </w:r>
          </w:p>
        </w:tc>
        <w:tc>
          <w:tcPr>
            <w:tcW w:w="1985" w:type="dxa"/>
            <w:gridSpan w:val="2"/>
          </w:tcPr>
          <w:p w14:paraId="30866089" w14:textId="77777777" w:rsidR="00E41631" w:rsidRPr="00CD6245" w:rsidRDefault="00E41631" w:rsidP="007D26AE">
            <w:pPr>
              <w:pStyle w:val="TableText"/>
              <w:jc w:val="center"/>
              <w:cnfStyle w:val="100000000000" w:firstRow="1" w:lastRow="0" w:firstColumn="0" w:lastColumn="0" w:oddVBand="0" w:evenVBand="0" w:oddHBand="0" w:evenHBand="0" w:firstRowFirstColumn="0" w:firstRowLastColumn="0" w:lastRowFirstColumn="0" w:lastRowLastColumn="0"/>
            </w:pPr>
            <w:r w:rsidRPr="00CD6245">
              <w:t>Totals</w:t>
            </w:r>
          </w:p>
        </w:tc>
      </w:tr>
      <w:tr w:rsidR="00E41631" w:rsidRPr="00CD6245" w14:paraId="029DCFA3" w14:textId="77777777" w:rsidTr="00C26B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2" w:type="dxa"/>
            <w:tcBorders>
              <w:right w:val="single" w:sz="4" w:space="0" w:color="FFFFFF" w:themeColor="background1"/>
            </w:tcBorders>
            <w:shd w:val="clear" w:color="auto" w:fill="000000" w:themeFill="text1"/>
          </w:tcPr>
          <w:p w14:paraId="56798CF5" w14:textId="77777777" w:rsidR="00E41631" w:rsidRPr="00CD6245" w:rsidRDefault="00E41631" w:rsidP="007D26AE">
            <w:pPr>
              <w:pStyle w:val="TableText"/>
              <w:jc w:val="center"/>
            </w:pPr>
          </w:p>
        </w:tc>
        <w:tc>
          <w:tcPr>
            <w:tcW w:w="967" w:type="dxa"/>
            <w:tcBorders>
              <w:left w:val="single" w:sz="4" w:space="0" w:color="FFFFFF" w:themeColor="background1"/>
              <w:right w:val="single" w:sz="4" w:space="0" w:color="FFFFFF" w:themeColor="background1"/>
            </w:tcBorders>
            <w:shd w:val="clear" w:color="auto" w:fill="000000" w:themeFill="text1"/>
          </w:tcPr>
          <w:p w14:paraId="10218366" w14:textId="77777777" w:rsidR="00E41631" w:rsidRPr="00CD6245" w:rsidRDefault="00E41631" w:rsidP="007D26AE">
            <w:pPr>
              <w:pStyle w:val="TableText"/>
              <w:jc w:val="center"/>
              <w:cnfStyle w:val="000000100000" w:firstRow="0" w:lastRow="0" w:firstColumn="0" w:lastColumn="0" w:oddVBand="0" w:evenVBand="0" w:oddHBand="1" w:evenHBand="0" w:firstRowFirstColumn="0" w:firstRowLastColumn="0" w:lastRowFirstColumn="0" w:lastRowLastColumn="0"/>
            </w:pPr>
            <w:r w:rsidRPr="00CD6245">
              <w:t>Number</w:t>
            </w:r>
          </w:p>
        </w:tc>
        <w:tc>
          <w:tcPr>
            <w:tcW w:w="1018" w:type="dxa"/>
            <w:tcBorders>
              <w:left w:val="single" w:sz="4" w:space="0" w:color="FFFFFF" w:themeColor="background1"/>
              <w:right w:val="single" w:sz="4" w:space="0" w:color="FFFFFF" w:themeColor="background1"/>
            </w:tcBorders>
            <w:shd w:val="clear" w:color="auto" w:fill="000000" w:themeFill="text1"/>
          </w:tcPr>
          <w:p w14:paraId="70BAA536" w14:textId="1354FAC1" w:rsidR="00E41631" w:rsidRPr="00CD6245" w:rsidRDefault="00E41631" w:rsidP="007D26AE">
            <w:pPr>
              <w:pStyle w:val="TableText"/>
              <w:jc w:val="center"/>
              <w:cnfStyle w:val="000000100000" w:firstRow="0" w:lastRow="0" w:firstColumn="0" w:lastColumn="0" w:oddVBand="0" w:evenVBand="0" w:oddHBand="1" w:evenHBand="0" w:firstRowFirstColumn="0" w:firstRowLastColumn="0" w:lastRowFirstColumn="0" w:lastRowLastColumn="0"/>
            </w:pPr>
            <w:r w:rsidRPr="00CD6245">
              <w:t>Value</w:t>
            </w:r>
            <w:r w:rsidR="00595198">
              <w:t xml:space="preserve"> ($</w:t>
            </w:r>
            <w:r w:rsidR="006628E6">
              <w:t>M</w:t>
            </w:r>
            <w:r w:rsidR="00595198">
              <w:t>)</w:t>
            </w:r>
          </w:p>
        </w:tc>
        <w:tc>
          <w:tcPr>
            <w:tcW w:w="992" w:type="dxa"/>
            <w:tcBorders>
              <w:left w:val="single" w:sz="4" w:space="0" w:color="FFFFFF" w:themeColor="background1"/>
              <w:right w:val="single" w:sz="4" w:space="0" w:color="FFFFFF" w:themeColor="background1"/>
            </w:tcBorders>
            <w:shd w:val="clear" w:color="auto" w:fill="000000" w:themeFill="text1"/>
          </w:tcPr>
          <w:p w14:paraId="4360FB8F" w14:textId="77777777" w:rsidR="00E41631" w:rsidRPr="00CD6245" w:rsidRDefault="00E41631" w:rsidP="007D26AE">
            <w:pPr>
              <w:pStyle w:val="TableText"/>
              <w:jc w:val="center"/>
              <w:cnfStyle w:val="000000100000" w:firstRow="0" w:lastRow="0" w:firstColumn="0" w:lastColumn="0" w:oddVBand="0" w:evenVBand="0" w:oddHBand="1" w:evenHBand="0" w:firstRowFirstColumn="0" w:firstRowLastColumn="0" w:lastRowFirstColumn="0" w:lastRowLastColumn="0"/>
            </w:pPr>
            <w:r w:rsidRPr="00CD6245">
              <w:t>Number</w:t>
            </w:r>
          </w:p>
        </w:tc>
        <w:tc>
          <w:tcPr>
            <w:tcW w:w="993" w:type="dxa"/>
            <w:tcBorders>
              <w:left w:val="single" w:sz="4" w:space="0" w:color="FFFFFF" w:themeColor="background1"/>
              <w:right w:val="single" w:sz="4" w:space="0" w:color="FFFFFF" w:themeColor="background1"/>
            </w:tcBorders>
            <w:shd w:val="clear" w:color="auto" w:fill="000000" w:themeFill="text1"/>
          </w:tcPr>
          <w:p w14:paraId="7A9F6900" w14:textId="18852FC1" w:rsidR="00E41631" w:rsidRPr="00CD6245" w:rsidRDefault="00E41631" w:rsidP="007D26AE">
            <w:pPr>
              <w:pStyle w:val="TableText"/>
              <w:jc w:val="center"/>
              <w:cnfStyle w:val="000000100000" w:firstRow="0" w:lastRow="0" w:firstColumn="0" w:lastColumn="0" w:oddVBand="0" w:evenVBand="0" w:oddHBand="1" w:evenHBand="0" w:firstRowFirstColumn="0" w:firstRowLastColumn="0" w:lastRowFirstColumn="0" w:lastRowLastColumn="0"/>
            </w:pPr>
            <w:r w:rsidRPr="00CD6245">
              <w:t>Value</w:t>
            </w:r>
            <w:r w:rsidR="00595198">
              <w:t xml:space="preserve"> ($</w:t>
            </w:r>
            <w:r w:rsidR="006628E6">
              <w:t>M</w:t>
            </w:r>
            <w:r w:rsidR="00595198">
              <w:t>)</w:t>
            </w:r>
          </w:p>
        </w:tc>
        <w:tc>
          <w:tcPr>
            <w:tcW w:w="993" w:type="dxa"/>
            <w:tcBorders>
              <w:left w:val="single" w:sz="4" w:space="0" w:color="FFFFFF" w:themeColor="background1"/>
              <w:right w:val="single" w:sz="4" w:space="0" w:color="FFFFFF" w:themeColor="background1"/>
            </w:tcBorders>
            <w:shd w:val="clear" w:color="auto" w:fill="000000" w:themeFill="text1"/>
          </w:tcPr>
          <w:p w14:paraId="508C0CDA" w14:textId="77777777" w:rsidR="00E41631" w:rsidRPr="00CD6245" w:rsidRDefault="00E41631" w:rsidP="007D26AE">
            <w:pPr>
              <w:pStyle w:val="TableText"/>
              <w:jc w:val="center"/>
              <w:cnfStyle w:val="000000100000" w:firstRow="0" w:lastRow="0" w:firstColumn="0" w:lastColumn="0" w:oddVBand="0" w:evenVBand="0" w:oddHBand="1" w:evenHBand="0" w:firstRowFirstColumn="0" w:firstRowLastColumn="0" w:lastRowFirstColumn="0" w:lastRowLastColumn="0"/>
            </w:pPr>
            <w:r w:rsidRPr="00CD6245">
              <w:t>Number</w:t>
            </w:r>
          </w:p>
        </w:tc>
        <w:tc>
          <w:tcPr>
            <w:tcW w:w="991" w:type="dxa"/>
            <w:tcBorders>
              <w:left w:val="single" w:sz="4" w:space="0" w:color="FFFFFF" w:themeColor="background1"/>
              <w:right w:val="single" w:sz="4" w:space="0" w:color="FFFFFF" w:themeColor="background1"/>
            </w:tcBorders>
            <w:shd w:val="clear" w:color="auto" w:fill="000000" w:themeFill="text1"/>
          </w:tcPr>
          <w:p w14:paraId="27D5D7BF" w14:textId="4B74A449" w:rsidR="00E41631" w:rsidRPr="00CD6245" w:rsidRDefault="00595198" w:rsidP="007D26AE">
            <w:pPr>
              <w:pStyle w:val="TableText"/>
              <w:jc w:val="center"/>
              <w:cnfStyle w:val="000000100000" w:firstRow="0" w:lastRow="0" w:firstColumn="0" w:lastColumn="0" w:oddVBand="0" w:evenVBand="0" w:oddHBand="1" w:evenHBand="0" w:firstRowFirstColumn="0" w:firstRowLastColumn="0" w:lastRowFirstColumn="0" w:lastRowLastColumn="0"/>
            </w:pPr>
            <w:r w:rsidRPr="00CD6245">
              <w:t>Value</w:t>
            </w:r>
            <w:r>
              <w:t xml:space="preserve"> ($</w:t>
            </w:r>
            <w:r w:rsidR="006628E6">
              <w:t>M</w:t>
            </w:r>
            <w:r>
              <w:t>)</w:t>
            </w:r>
          </w:p>
        </w:tc>
        <w:tc>
          <w:tcPr>
            <w:tcW w:w="1033" w:type="dxa"/>
            <w:tcBorders>
              <w:left w:val="single" w:sz="4" w:space="0" w:color="FFFFFF" w:themeColor="background1"/>
              <w:right w:val="single" w:sz="4" w:space="0" w:color="FFFFFF" w:themeColor="background1"/>
            </w:tcBorders>
            <w:shd w:val="clear" w:color="auto" w:fill="000000" w:themeFill="text1"/>
          </w:tcPr>
          <w:p w14:paraId="51C277FA" w14:textId="77777777" w:rsidR="00E41631" w:rsidRPr="00CD6245" w:rsidRDefault="00E41631" w:rsidP="007D26AE">
            <w:pPr>
              <w:pStyle w:val="TableText"/>
              <w:jc w:val="center"/>
              <w:cnfStyle w:val="000000100000" w:firstRow="0" w:lastRow="0" w:firstColumn="0" w:lastColumn="0" w:oddVBand="0" w:evenVBand="0" w:oddHBand="1" w:evenHBand="0" w:firstRowFirstColumn="0" w:firstRowLastColumn="0" w:lastRowFirstColumn="0" w:lastRowLastColumn="0"/>
            </w:pPr>
            <w:r w:rsidRPr="00CD6245">
              <w:t>Number</w:t>
            </w:r>
          </w:p>
        </w:tc>
        <w:tc>
          <w:tcPr>
            <w:tcW w:w="952" w:type="dxa"/>
            <w:tcBorders>
              <w:left w:val="single" w:sz="4" w:space="0" w:color="FFFFFF" w:themeColor="background1"/>
            </w:tcBorders>
            <w:shd w:val="clear" w:color="auto" w:fill="000000" w:themeFill="text1"/>
          </w:tcPr>
          <w:p w14:paraId="2C819780" w14:textId="34E1E462" w:rsidR="00E41631" w:rsidRPr="00CD6245" w:rsidRDefault="00595198" w:rsidP="007D26AE">
            <w:pPr>
              <w:pStyle w:val="TableText"/>
              <w:jc w:val="center"/>
              <w:cnfStyle w:val="000000100000" w:firstRow="0" w:lastRow="0" w:firstColumn="0" w:lastColumn="0" w:oddVBand="0" w:evenVBand="0" w:oddHBand="1" w:evenHBand="0" w:firstRowFirstColumn="0" w:firstRowLastColumn="0" w:lastRowFirstColumn="0" w:lastRowLastColumn="0"/>
            </w:pPr>
            <w:r w:rsidRPr="00CD6245">
              <w:t>Value</w:t>
            </w:r>
            <w:r>
              <w:t xml:space="preserve"> ($</w:t>
            </w:r>
            <w:r w:rsidR="006628E6">
              <w:t>M</w:t>
            </w:r>
            <w:r>
              <w:t>)</w:t>
            </w:r>
          </w:p>
        </w:tc>
      </w:tr>
      <w:tr w:rsidR="00C27AA9" w:rsidRPr="00CD6245" w14:paraId="7F097A5F" w14:textId="77777777" w:rsidTr="003B1A9E">
        <w:tc>
          <w:tcPr>
            <w:cnfStyle w:val="001000000000" w:firstRow="0" w:lastRow="0" w:firstColumn="1" w:lastColumn="0" w:oddVBand="0" w:evenVBand="0" w:oddHBand="0" w:evenHBand="0" w:firstRowFirstColumn="0" w:firstRowLastColumn="0" w:lastRowFirstColumn="0" w:lastRowLastColumn="0"/>
            <w:tcW w:w="992" w:type="dxa"/>
          </w:tcPr>
          <w:p w14:paraId="7B335449" w14:textId="77777777" w:rsidR="00C27AA9" w:rsidRPr="00A30EEE" w:rsidRDefault="00C27AA9" w:rsidP="00C27AA9">
            <w:pPr>
              <w:pStyle w:val="TableText"/>
              <w:rPr>
                <w:b w:val="0"/>
              </w:rPr>
            </w:pPr>
            <w:r w:rsidRPr="00A30EEE">
              <w:rPr>
                <w:b w:val="0"/>
              </w:rPr>
              <w:t>Goods</w:t>
            </w:r>
          </w:p>
        </w:tc>
        <w:tc>
          <w:tcPr>
            <w:tcW w:w="967" w:type="dxa"/>
          </w:tcPr>
          <w:p w14:paraId="7B357DF0" w14:textId="6DFC3820" w:rsidR="00C27AA9" w:rsidRPr="00443A4D" w:rsidRDefault="00C27AA9" w:rsidP="00C27AA9">
            <w:pPr>
              <w:pStyle w:val="Tablenumbers"/>
              <w:cnfStyle w:val="000000000000" w:firstRow="0" w:lastRow="0" w:firstColumn="0" w:lastColumn="0" w:oddVBand="0" w:evenVBand="0" w:oddHBand="0" w:evenHBand="0" w:firstRowFirstColumn="0" w:firstRowLastColumn="0" w:lastRowFirstColumn="0" w:lastRowLastColumn="0"/>
              <w:rPr>
                <w:highlight w:val="yellow"/>
              </w:rPr>
            </w:pPr>
            <w:r w:rsidRPr="00866ED6">
              <w:t>178</w:t>
            </w:r>
          </w:p>
        </w:tc>
        <w:tc>
          <w:tcPr>
            <w:tcW w:w="1018" w:type="dxa"/>
          </w:tcPr>
          <w:p w14:paraId="4E2D560D" w14:textId="6956D987" w:rsidR="00C27AA9" w:rsidRPr="00443A4D" w:rsidRDefault="00C27AA9" w:rsidP="00C27AA9">
            <w:pPr>
              <w:pStyle w:val="Tablenumbers"/>
              <w:cnfStyle w:val="000000000000" w:firstRow="0" w:lastRow="0" w:firstColumn="0" w:lastColumn="0" w:oddVBand="0" w:evenVBand="0" w:oddHBand="0" w:evenHBand="0" w:firstRowFirstColumn="0" w:firstRowLastColumn="0" w:lastRowFirstColumn="0" w:lastRowLastColumn="0"/>
              <w:rPr>
                <w:highlight w:val="yellow"/>
              </w:rPr>
            </w:pPr>
            <w:r w:rsidRPr="00866ED6">
              <w:t>362.8</w:t>
            </w:r>
          </w:p>
        </w:tc>
        <w:tc>
          <w:tcPr>
            <w:tcW w:w="992" w:type="dxa"/>
          </w:tcPr>
          <w:p w14:paraId="3C4AFFEC" w14:textId="6EF15E59" w:rsidR="00C27AA9" w:rsidRPr="007457E1" w:rsidRDefault="00C27AA9" w:rsidP="00C27AA9">
            <w:pPr>
              <w:pStyle w:val="Tablenumbers"/>
              <w:cnfStyle w:val="000000000000" w:firstRow="0" w:lastRow="0" w:firstColumn="0" w:lastColumn="0" w:oddVBand="0" w:evenVBand="0" w:oddHBand="0" w:evenHBand="0" w:firstRowFirstColumn="0" w:firstRowLastColumn="0" w:lastRowFirstColumn="0" w:lastRowLastColumn="0"/>
            </w:pPr>
            <w:r w:rsidRPr="007457E1">
              <w:t>16</w:t>
            </w:r>
          </w:p>
        </w:tc>
        <w:tc>
          <w:tcPr>
            <w:tcW w:w="993" w:type="dxa"/>
          </w:tcPr>
          <w:p w14:paraId="2448DA5A" w14:textId="4B42D23F" w:rsidR="00C27AA9" w:rsidRPr="007457E1" w:rsidRDefault="00C27AA9" w:rsidP="00C27AA9">
            <w:pPr>
              <w:pStyle w:val="Tablenumbers"/>
              <w:cnfStyle w:val="000000000000" w:firstRow="0" w:lastRow="0" w:firstColumn="0" w:lastColumn="0" w:oddVBand="0" w:evenVBand="0" w:oddHBand="0" w:evenHBand="0" w:firstRowFirstColumn="0" w:firstRowLastColumn="0" w:lastRowFirstColumn="0" w:lastRowLastColumn="0"/>
            </w:pPr>
            <w:r w:rsidRPr="007457E1">
              <w:t>19.3</w:t>
            </w:r>
          </w:p>
        </w:tc>
        <w:tc>
          <w:tcPr>
            <w:tcW w:w="993" w:type="dxa"/>
          </w:tcPr>
          <w:p w14:paraId="19ED6B77" w14:textId="5993AE33" w:rsidR="00C27AA9" w:rsidRPr="007457E1" w:rsidRDefault="00C27AA9" w:rsidP="00C27AA9">
            <w:pPr>
              <w:pStyle w:val="Tablenumbers"/>
              <w:cnfStyle w:val="000000000000" w:firstRow="0" w:lastRow="0" w:firstColumn="0" w:lastColumn="0" w:oddVBand="0" w:evenVBand="0" w:oddHBand="0" w:evenHBand="0" w:firstRowFirstColumn="0" w:firstRowLastColumn="0" w:lastRowFirstColumn="0" w:lastRowLastColumn="0"/>
            </w:pPr>
            <w:r w:rsidRPr="007457E1">
              <w:t>3</w:t>
            </w:r>
          </w:p>
        </w:tc>
        <w:tc>
          <w:tcPr>
            <w:tcW w:w="991" w:type="dxa"/>
          </w:tcPr>
          <w:p w14:paraId="4440739F" w14:textId="2ECEFC1A" w:rsidR="00C27AA9" w:rsidRPr="007457E1" w:rsidRDefault="00C27AA9" w:rsidP="00C27AA9">
            <w:pPr>
              <w:pStyle w:val="Tablenumbers"/>
              <w:cnfStyle w:val="000000000000" w:firstRow="0" w:lastRow="0" w:firstColumn="0" w:lastColumn="0" w:oddVBand="0" w:evenVBand="0" w:oddHBand="0" w:evenHBand="0" w:firstRowFirstColumn="0" w:firstRowLastColumn="0" w:lastRowFirstColumn="0" w:lastRowLastColumn="0"/>
            </w:pPr>
            <w:r w:rsidRPr="007457E1">
              <w:t>255.1</w:t>
            </w:r>
          </w:p>
        </w:tc>
        <w:tc>
          <w:tcPr>
            <w:tcW w:w="1033" w:type="dxa"/>
          </w:tcPr>
          <w:p w14:paraId="77A067DC" w14:textId="4A4E70DC" w:rsidR="00C27AA9" w:rsidRPr="00A30EEE" w:rsidRDefault="00C27AA9" w:rsidP="00C27AA9">
            <w:pPr>
              <w:pStyle w:val="Tablenumbers"/>
              <w:cnfStyle w:val="000000000000" w:firstRow="0" w:lastRow="0" w:firstColumn="0" w:lastColumn="0" w:oddVBand="0" w:evenVBand="0" w:oddHBand="0" w:evenHBand="0" w:firstRowFirstColumn="0" w:firstRowLastColumn="0" w:lastRowFirstColumn="0" w:lastRowLastColumn="0"/>
              <w:rPr>
                <w:b/>
                <w:highlight w:val="yellow"/>
              </w:rPr>
            </w:pPr>
            <w:r w:rsidRPr="00A30EEE">
              <w:rPr>
                <w:b/>
              </w:rPr>
              <w:t>197</w:t>
            </w:r>
          </w:p>
        </w:tc>
        <w:tc>
          <w:tcPr>
            <w:tcW w:w="952" w:type="dxa"/>
          </w:tcPr>
          <w:p w14:paraId="5FBD5F9A" w14:textId="1B3443D2" w:rsidR="00C27AA9" w:rsidRPr="00A30EEE" w:rsidRDefault="00C27AA9" w:rsidP="00C27AA9">
            <w:pPr>
              <w:pStyle w:val="Tablenumbers"/>
              <w:cnfStyle w:val="000000000000" w:firstRow="0" w:lastRow="0" w:firstColumn="0" w:lastColumn="0" w:oddVBand="0" w:evenVBand="0" w:oddHBand="0" w:evenHBand="0" w:firstRowFirstColumn="0" w:firstRowLastColumn="0" w:lastRowFirstColumn="0" w:lastRowLastColumn="0"/>
              <w:rPr>
                <w:b/>
                <w:highlight w:val="yellow"/>
              </w:rPr>
            </w:pPr>
            <w:r w:rsidRPr="00A30EEE">
              <w:rPr>
                <w:b/>
              </w:rPr>
              <w:t>637.2</w:t>
            </w:r>
          </w:p>
        </w:tc>
      </w:tr>
      <w:tr w:rsidR="00C27AA9" w:rsidRPr="00CD6245" w14:paraId="5E4FA4A9" w14:textId="77777777" w:rsidTr="003B1A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2" w:type="dxa"/>
          </w:tcPr>
          <w:p w14:paraId="29A89024" w14:textId="77777777" w:rsidR="00C27AA9" w:rsidRPr="00A30EEE" w:rsidRDefault="00C27AA9" w:rsidP="00C27AA9">
            <w:pPr>
              <w:pStyle w:val="TableText"/>
              <w:rPr>
                <w:b w:val="0"/>
              </w:rPr>
            </w:pPr>
            <w:r w:rsidRPr="00A30EEE">
              <w:rPr>
                <w:b w:val="0"/>
              </w:rPr>
              <w:t>Services</w:t>
            </w:r>
          </w:p>
        </w:tc>
        <w:tc>
          <w:tcPr>
            <w:tcW w:w="967" w:type="dxa"/>
          </w:tcPr>
          <w:p w14:paraId="42AE71D8" w14:textId="1BE367DE" w:rsidR="00C27AA9" w:rsidRPr="00443A4D" w:rsidRDefault="00C27AA9" w:rsidP="00C27AA9">
            <w:pPr>
              <w:pStyle w:val="Tablenumbers"/>
              <w:cnfStyle w:val="000000100000" w:firstRow="0" w:lastRow="0" w:firstColumn="0" w:lastColumn="0" w:oddVBand="0" w:evenVBand="0" w:oddHBand="1" w:evenHBand="0" w:firstRowFirstColumn="0" w:firstRowLastColumn="0" w:lastRowFirstColumn="0" w:lastRowLastColumn="0"/>
              <w:rPr>
                <w:highlight w:val="yellow"/>
              </w:rPr>
            </w:pPr>
            <w:r w:rsidRPr="00866ED6">
              <w:t>974</w:t>
            </w:r>
          </w:p>
        </w:tc>
        <w:tc>
          <w:tcPr>
            <w:tcW w:w="1018" w:type="dxa"/>
          </w:tcPr>
          <w:p w14:paraId="39525139" w14:textId="6E123BB2" w:rsidR="00C27AA9" w:rsidRPr="00443A4D" w:rsidRDefault="00C27AA9" w:rsidP="00C27AA9">
            <w:pPr>
              <w:pStyle w:val="Tablenumbers"/>
              <w:cnfStyle w:val="000000100000" w:firstRow="0" w:lastRow="0" w:firstColumn="0" w:lastColumn="0" w:oddVBand="0" w:evenVBand="0" w:oddHBand="1" w:evenHBand="0" w:firstRowFirstColumn="0" w:firstRowLastColumn="0" w:lastRowFirstColumn="0" w:lastRowLastColumn="0"/>
              <w:rPr>
                <w:highlight w:val="yellow"/>
              </w:rPr>
            </w:pPr>
            <w:r w:rsidRPr="00866ED6">
              <w:t>1</w:t>
            </w:r>
            <w:r w:rsidR="007457E1">
              <w:t> </w:t>
            </w:r>
            <w:r w:rsidRPr="00866ED6">
              <w:t>153.</w:t>
            </w:r>
            <w:r w:rsidR="007457E1">
              <w:t>0</w:t>
            </w:r>
          </w:p>
        </w:tc>
        <w:tc>
          <w:tcPr>
            <w:tcW w:w="992" w:type="dxa"/>
          </w:tcPr>
          <w:p w14:paraId="2602C4CF" w14:textId="3658B7EA" w:rsidR="00C27AA9" w:rsidRPr="007457E1" w:rsidRDefault="00C27AA9" w:rsidP="00C27AA9">
            <w:pPr>
              <w:pStyle w:val="Tablenumbers"/>
              <w:cnfStyle w:val="000000100000" w:firstRow="0" w:lastRow="0" w:firstColumn="0" w:lastColumn="0" w:oddVBand="0" w:evenVBand="0" w:oddHBand="1" w:evenHBand="0" w:firstRowFirstColumn="0" w:firstRowLastColumn="0" w:lastRowFirstColumn="0" w:lastRowLastColumn="0"/>
            </w:pPr>
            <w:r w:rsidRPr="007457E1">
              <w:t>20</w:t>
            </w:r>
          </w:p>
        </w:tc>
        <w:tc>
          <w:tcPr>
            <w:tcW w:w="993" w:type="dxa"/>
          </w:tcPr>
          <w:p w14:paraId="53450F84" w14:textId="4D95362C" w:rsidR="00C27AA9" w:rsidRPr="007457E1" w:rsidRDefault="00C27AA9" w:rsidP="00C27AA9">
            <w:pPr>
              <w:pStyle w:val="Tablenumbers"/>
              <w:cnfStyle w:val="000000100000" w:firstRow="0" w:lastRow="0" w:firstColumn="0" w:lastColumn="0" w:oddVBand="0" w:evenVBand="0" w:oddHBand="1" w:evenHBand="0" w:firstRowFirstColumn="0" w:firstRowLastColumn="0" w:lastRowFirstColumn="0" w:lastRowLastColumn="0"/>
            </w:pPr>
            <w:r w:rsidRPr="007457E1">
              <w:t>234.9</w:t>
            </w:r>
          </w:p>
        </w:tc>
        <w:tc>
          <w:tcPr>
            <w:tcW w:w="993" w:type="dxa"/>
          </w:tcPr>
          <w:p w14:paraId="1B711E63" w14:textId="3471BC03" w:rsidR="00C27AA9" w:rsidRPr="007457E1" w:rsidRDefault="00C27AA9" w:rsidP="00C27AA9">
            <w:pPr>
              <w:pStyle w:val="Tablenumbers"/>
              <w:cnfStyle w:val="000000100000" w:firstRow="0" w:lastRow="0" w:firstColumn="0" w:lastColumn="0" w:oddVBand="0" w:evenVBand="0" w:oddHBand="1" w:evenHBand="0" w:firstRowFirstColumn="0" w:firstRowLastColumn="0" w:lastRowFirstColumn="0" w:lastRowLastColumn="0"/>
            </w:pPr>
            <w:r w:rsidRPr="007457E1">
              <w:t>6</w:t>
            </w:r>
          </w:p>
        </w:tc>
        <w:tc>
          <w:tcPr>
            <w:tcW w:w="991" w:type="dxa"/>
          </w:tcPr>
          <w:p w14:paraId="5DA770DD" w14:textId="4D94601A" w:rsidR="00C27AA9" w:rsidRPr="007457E1" w:rsidRDefault="00C27AA9" w:rsidP="00C27AA9">
            <w:pPr>
              <w:pStyle w:val="Tablenumbers"/>
              <w:cnfStyle w:val="000000100000" w:firstRow="0" w:lastRow="0" w:firstColumn="0" w:lastColumn="0" w:oddVBand="0" w:evenVBand="0" w:oddHBand="1" w:evenHBand="0" w:firstRowFirstColumn="0" w:firstRowLastColumn="0" w:lastRowFirstColumn="0" w:lastRowLastColumn="0"/>
            </w:pPr>
            <w:r w:rsidRPr="007457E1">
              <w:t>986.1</w:t>
            </w:r>
          </w:p>
        </w:tc>
        <w:tc>
          <w:tcPr>
            <w:tcW w:w="1033" w:type="dxa"/>
          </w:tcPr>
          <w:p w14:paraId="7BA1B143" w14:textId="7A99DFB6" w:rsidR="00C27AA9" w:rsidRPr="00A30EEE" w:rsidRDefault="00C27AA9" w:rsidP="00C27AA9">
            <w:pPr>
              <w:pStyle w:val="Tablenumbers"/>
              <w:cnfStyle w:val="000000100000" w:firstRow="0" w:lastRow="0" w:firstColumn="0" w:lastColumn="0" w:oddVBand="0" w:evenVBand="0" w:oddHBand="1" w:evenHBand="0" w:firstRowFirstColumn="0" w:firstRowLastColumn="0" w:lastRowFirstColumn="0" w:lastRowLastColumn="0"/>
              <w:rPr>
                <w:b/>
                <w:highlight w:val="yellow"/>
              </w:rPr>
            </w:pPr>
            <w:r w:rsidRPr="00A30EEE">
              <w:rPr>
                <w:b/>
              </w:rPr>
              <w:t>1 000</w:t>
            </w:r>
          </w:p>
        </w:tc>
        <w:tc>
          <w:tcPr>
            <w:tcW w:w="952" w:type="dxa"/>
          </w:tcPr>
          <w:p w14:paraId="051A5586" w14:textId="425DECA3" w:rsidR="00C27AA9" w:rsidRPr="00A30EEE" w:rsidRDefault="00C27AA9" w:rsidP="00C27AA9">
            <w:pPr>
              <w:pStyle w:val="Tablenumbers"/>
              <w:cnfStyle w:val="000000100000" w:firstRow="0" w:lastRow="0" w:firstColumn="0" w:lastColumn="0" w:oddVBand="0" w:evenVBand="0" w:oddHBand="1" w:evenHBand="0" w:firstRowFirstColumn="0" w:firstRowLastColumn="0" w:lastRowFirstColumn="0" w:lastRowLastColumn="0"/>
              <w:rPr>
                <w:b/>
                <w:highlight w:val="yellow"/>
              </w:rPr>
            </w:pPr>
            <w:r w:rsidRPr="00A30EEE">
              <w:rPr>
                <w:b/>
              </w:rPr>
              <w:t>2</w:t>
            </w:r>
            <w:r w:rsidR="007457E1" w:rsidRPr="00A30EEE">
              <w:rPr>
                <w:b/>
              </w:rPr>
              <w:t> </w:t>
            </w:r>
            <w:r w:rsidRPr="00A30EEE">
              <w:rPr>
                <w:b/>
              </w:rPr>
              <w:t>374.</w:t>
            </w:r>
            <w:r w:rsidR="007457E1" w:rsidRPr="00A30EEE">
              <w:rPr>
                <w:b/>
              </w:rPr>
              <w:t>0</w:t>
            </w:r>
          </w:p>
        </w:tc>
      </w:tr>
      <w:tr w:rsidR="00C27AA9" w:rsidRPr="00A30EEE" w14:paraId="48FE0AC8" w14:textId="77777777" w:rsidTr="003B1A9E">
        <w:tc>
          <w:tcPr>
            <w:cnfStyle w:val="001000000000" w:firstRow="0" w:lastRow="0" w:firstColumn="1" w:lastColumn="0" w:oddVBand="0" w:evenVBand="0" w:oddHBand="0" w:evenHBand="0" w:firstRowFirstColumn="0" w:firstRowLastColumn="0" w:lastRowFirstColumn="0" w:lastRowLastColumn="0"/>
            <w:tcW w:w="992" w:type="dxa"/>
          </w:tcPr>
          <w:p w14:paraId="306CBCF7" w14:textId="77777777" w:rsidR="00C27AA9" w:rsidRPr="00A30EEE" w:rsidRDefault="00C27AA9" w:rsidP="00C27AA9">
            <w:pPr>
              <w:pStyle w:val="TableText"/>
              <w:rPr>
                <w:bCs w:val="0"/>
              </w:rPr>
            </w:pPr>
            <w:r w:rsidRPr="00A30EEE">
              <w:rPr>
                <w:bCs w:val="0"/>
              </w:rPr>
              <w:t>Totals</w:t>
            </w:r>
          </w:p>
        </w:tc>
        <w:tc>
          <w:tcPr>
            <w:tcW w:w="967" w:type="dxa"/>
          </w:tcPr>
          <w:p w14:paraId="569A13D7" w14:textId="1007A2C3" w:rsidR="00C27AA9" w:rsidRPr="00A30EEE" w:rsidRDefault="00C27AA9" w:rsidP="00C27AA9">
            <w:pPr>
              <w:pStyle w:val="Tablenumbers"/>
              <w:cnfStyle w:val="000000000000" w:firstRow="0" w:lastRow="0" w:firstColumn="0" w:lastColumn="0" w:oddVBand="0" w:evenVBand="0" w:oddHBand="0" w:evenHBand="0" w:firstRowFirstColumn="0" w:firstRowLastColumn="0" w:lastRowFirstColumn="0" w:lastRowLastColumn="0"/>
              <w:rPr>
                <w:b/>
                <w:highlight w:val="yellow"/>
              </w:rPr>
            </w:pPr>
            <w:r w:rsidRPr="00A30EEE">
              <w:rPr>
                <w:b/>
              </w:rPr>
              <w:t>1 152</w:t>
            </w:r>
          </w:p>
        </w:tc>
        <w:tc>
          <w:tcPr>
            <w:tcW w:w="1018" w:type="dxa"/>
          </w:tcPr>
          <w:p w14:paraId="6FF7FD36" w14:textId="0FFBD65A" w:rsidR="00C27AA9" w:rsidRPr="00A30EEE" w:rsidRDefault="00C27AA9" w:rsidP="00C27AA9">
            <w:pPr>
              <w:pStyle w:val="Tablenumbers"/>
              <w:cnfStyle w:val="000000000000" w:firstRow="0" w:lastRow="0" w:firstColumn="0" w:lastColumn="0" w:oddVBand="0" w:evenVBand="0" w:oddHBand="0" w:evenHBand="0" w:firstRowFirstColumn="0" w:firstRowLastColumn="0" w:lastRowFirstColumn="0" w:lastRowLastColumn="0"/>
              <w:rPr>
                <w:b/>
                <w:highlight w:val="yellow"/>
              </w:rPr>
            </w:pPr>
            <w:r w:rsidRPr="00A30EEE">
              <w:rPr>
                <w:b/>
              </w:rPr>
              <w:t>1 515.8</w:t>
            </w:r>
          </w:p>
        </w:tc>
        <w:tc>
          <w:tcPr>
            <w:tcW w:w="992" w:type="dxa"/>
          </w:tcPr>
          <w:p w14:paraId="17BA0638" w14:textId="1592FE2A" w:rsidR="00C27AA9" w:rsidRPr="00A30EEE" w:rsidRDefault="00C27AA9" w:rsidP="00C27AA9">
            <w:pPr>
              <w:pStyle w:val="Tablenumbers"/>
              <w:cnfStyle w:val="000000000000" w:firstRow="0" w:lastRow="0" w:firstColumn="0" w:lastColumn="0" w:oddVBand="0" w:evenVBand="0" w:oddHBand="0" w:evenHBand="0" w:firstRowFirstColumn="0" w:firstRowLastColumn="0" w:lastRowFirstColumn="0" w:lastRowLastColumn="0"/>
              <w:rPr>
                <w:b/>
              </w:rPr>
            </w:pPr>
            <w:r w:rsidRPr="00A30EEE">
              <w:rPr>
                <w:b/>
              </w:rPr>
              <w:t>36</w:t>
            </w:r>
          </w:p>
        </w:tc>
        <w:tc>
          <w:tcPr>
            <w:tcW w:w="993" w:type="dxa"/>
          </w:tcPr>
          <w:p w14:paraId="568D40B9" w14:textId="39C9DC72" w:rsidR="00C27AA9" w:rsidRPr="00A30EEE" w:rsidRDefault="00C27AA9" w:rsidP="00C27AA9">
            <w:pPr>
              <w:pStyle w:val="Tablenumbers"/>
              <w:cnfStyle w:val="000000000000" w:firstRow="0" w:lastRow="0" w:firstColumn="0" w:lastColumn="0" w:oddVBand="0" w:evenVBand="0" w:oddHBand="0" w:evenHBand="0" w:firstRowFirstColumn="0" w:firstRowLastColumn="0" w:lastRowFirstColumn="0" w:lastRowLastColumn="0"/>
              <w:rPr>
                <w:b/>
              </w:rPr>
            </w:pPr>
            <w:r w:rsidRPr="00A30EEE">
              <w:rPr>
                <w:b/>
              </w:rPr>
              <w:t>254.2</w:t>
            </w:r>
          </w:p>
        </w:tc>
        <w:tc>
          <w:tcPr>
            <w:tcW w:w="993" w:type="dxa"/>
          </w:tcPr>
          <w:p w14:paraId="03F8E3C2" w14:textId="6F9112D8" w:rsidR="00C27AA9" w:rsidRPr="00A30EEE" w:rsidRDefault="00C27AA9" w:rsidP="00C27AA9">
            <w:pPr>
              <w:pStyle w:val="Tablenumbers"/>
              <w:cnfStyle w:val="000000000000" w:firstRow="0" w:lastRow="0" w:firstColumn="0" w:lastColumn="0" w:oddVBand="0" w:evenVBand="0" w:oddHBand="0" w:evenHBand="0" w:firstRowFirstColumn="0" w:firstRowLastColumn="0" w:lastRowFirstColumn="0" w:lastRowLastColumn="0"/>
              <w:rPr>
                <w:b/>
              </w:rPr>
            </w:pPr>
            <w:r w:rsidRPr="00A30EEE">
              <w:rPr>
                <w:b/>
              </w:rPr>
              <w:t>9</w:t>
            </w:r>
          </w:p>
        </w:tc>
        <w:tc>
          <w:tcPr>
            <w:tcW w:w="991" w:type="dxa"/>
          </w:tcPr>
          <w:p w14:paraId="7E464830" w14:textId="30668267" w:rsidR="00C27AA9" w:rsidRPr="00A30EEE" w:rsidRDefault="00C27AA9" w:rsidP="00C27AA9">
            <w:pPr>
              <w:pStyle w:val="Tablenumbers"/>
              <w:cnfStyle w:val="000000000000" w:firstRow="0" w:lastRow="0" w:firstColumn="0" w:lastColumn="0" w:oddVBand="0" w:evenVBand="0" w:oddHBand="0" w:evenHBand="0" w:firstRowFirstColumn="0" w:firstRowLastColumn="0" w:lastRowFirstColumn="0" w:lastRowLastColumn="0"/>
              <w:rPr>
                <w:b/>
              </w:rPr>
            </w:pPr>
            <w:r w:rsidRPr="00A30EEE">
              <w:rPr>
                <w:b/>
              </w:rPr>
              <w:t>1 241.2</w:t>
            </w:r>
          </w:p>
        </w:tc>
        <w:tc>
          <w:tcPr>
            <w:tcW w:w="1033" w:type="dxa"/>
          </w:tcPr>
          <w:p w14:paraId="694C5AE9" w14:textId="7C284831" w:rsidR="00C27AA9" w:rsidRPr="00A30EEE" w:rsidRDefault="00C27AA9" w:rsidP="00C27AA9">
            <w:pPr>
              <w:pStyle w:val="Tablenumbers"/>
              <w:cnfStyle w:val="000000000000" w:firstRow="0" w:lastRow="0" w:firstColumn="0" w:lastColumn="0" w:oddVBand="0" w:evenVBand="0" w:oddHBand="0" w:evenHBand="0" w:firstRowFirstColumn="0" w:firstRowLastColumn="0" w:lastRowFirstColumn="0" w:lastRowLastColumn="0"/>
              <w:rPr>
                <w:b/>
                <w:highlight w:val="yellow"/>
              </w:rPr>
            </w:pPr>
            <w:r w:rsidRPr="00A30EEE">
              <w:rPr>
                <w:b/>
              </w:rPr>
              <w:t>1 197</w:t>
            </w:r>
          </w:p>
        </w:tc>
        <w:tc>
          <w:tcPr>
            <w:tcW w:w="952" w:type="dxa"/>
          </w:tcPr>
          <w:p w14:paraId="3148980D" w14:textId="4B5B076C" w:rsidR="00C27AA9" w:rsidRPr="00A30EEE" w:rsidRDefault="00C27AA9" w:rsidP="00C27AA9">
            <w:pPr>
              <w:pStyle w:val="Tablenumbers"/>
              <w:cnfStyle w:val="000000000000" w:firstRow="0" w:lastRow="0" w:firstColumn="0" w:lastColumn="0" w:oddVBand="0" w:evenVBand="0" w:oddHBand="0" w:evenHBand="0" w:firstRowFirstColumn="0" w:firstRowLastColumn="0" w:lastRowFirstColumn="0" w:lastRowLastColumn="0"/>
              <w:rPr>
                <w:b/>
                <w:highlight w:val="yellow"/>
              </w:rPr>
            </w:pPr>
            <w:r w:rsidRPr="00A30EEE">
              <w:rPr>
                <w:b/>
              </w:rPr>
              <w:t>3 011.2</w:t>
            </w:r>
          </w:p>
        </w:tc>
      </w:tr>
    </w:tbl>
    <w:p w14:paraId="71EF41ED" w14:textId="7F7C15A8" w:rsidR="002F3F68" w:rsidRPr="0024020B" w:rsidRDefault="00E41631" w:rsidP="00E41631">
      <w:pPr>
        <w:pStyle w:val="Normal1"/>
      </w:pPr>
      <w:r>
        <w:t>Most contract approvals</w:t>
      </w:r>
      <w:r w:rsidR="00B36194">
        <w:t xml:space="preserve"> were </w:t>
      </w:r>
      <w:r>
        <w:t>for one-off sup</w:t>
      </w:r>
      <w:r w:rsidRPr="0024020B">
        <w:t>plies</w:t>
      </w:r>
      <w:r w:rsidR="00B36194" w:rsidRPr="0024020B">
        <w:t xml:space="preserve"> (</w:t>
      </w:r>
      <w:r w:rsidR="002F3F68" w:rsidRPr="0024020B">
        <w:t>9</w:t>
      </w:r>
      <w:r w:rsidR="007457E1" w:rsidRPr="0024020B">
        <w:t>6</w:t>
      </w:r>
      <w:r w:rsidR="00F56463" w:rsidRPr="0024020B">
        <w:t xml:space="preserve"> per cent</w:t>
      </w:r>
      <w:r w:rsidR="00B36194" w:rsidRPr="0024020B">
        <w:t>), followed by SEPCs (</w:t>
      </w:r>
      <w:r w:rsidR="002F3F68" w:rsidRPr="0024020B">
        <w:t>3</w:t>
      </w:r>
      <w:r w:rsidR="00F56463" w:rsidRPr="0024020B">
        <w:t xml:space="preserve"> per cent</w:t>
      </w:r>
      <w:r w:rsidR="00B36194" w:rsidRPr="0024020B">
        <w:t>) and SPCs (</w:t>
      </w:r>
      <w:r w:rsidR="007457E1" w:rsidRPr="0024020B">
        <w:t>1</w:t>
      </w:r>
      <w:r w:rsidR="002F3F68" w:rsidRPr="0024020B">
        <w:t xml:space="preserve"> </w:t>
      </w:r>
      <w:r w:rsidR="00F56463" w:rsidRPr="0024020B">
        <w:t>per cent</w:t>
      </w:r>
      <w:r w:rsidR="00B36194" w:rsidRPr="0024020B">
        <w:t>). In terms of value, one-off supplies were equivalent</w:t>
      </w:r>
      <w:r w:rsidR="00C10B55" w:rsidRPr="0024020B">
        <w:t xml:space="preserve"> to </w:t>
      </w:r>
      <w:r w:rsidR="002F3F68" w:rsidRPr="0024020B">
        <w:t>50</w:t>
      </w:r>
      <w:r w:rsidR="00F56463" w:rsidRPr="0024020B">
        <w:t xml:space="preserve"> per cent</w:t>
      </w:r>
      <w:r w:rsidR="00B36194" w:rsidRPr="0024020B">
        <w:t xml:space="preserve"> of the total value</w:t>
      </w:r>
      <w:r w:rsidR="00CA2FD8" w:rsidRPr="0024020B">
        <w:t xml:space="preserve"> of approved contracts</w:t>
      </w:r>
      <w:r w:rsidR="00C10B55" w:rsidRPr="0024020B">
        <w:t xml:space="preserve">, followed by SPCs at </w:t>
      </w:r>
      <w:r w:rsidR="002F3F68" w:rsidRPr="0024020B">
        <w:t>41</w:t>
      </w:r>
      <w:r w:rsidR="00F56463" w:rsidRPr="0024020B">
        <w:t xml:space="preserve"> per cent</w:t>
      </w:r>
      <w:r w:rsidR="00B36194" w:rsidRPr="0024020B">
        <w:t xml:space="preserve"> and S</w:t>
      </w:r>
      <w:r w:rsidR="002F3F68" w:rsidRPr="0024020B">
        <w:t>E</w:t>
      </w:r>
      <w:r w:rsidR="00B36194" w:rsidRPr="0024020B">
        <w:t xml:space="preserve">PCs at </w:t>
      </w:r>
      <w:r w:rsidR="007457E1" w:rsidRPr="0024020B">
        <w:t>9</w:t>
      </w:r>
      <w:r w:rsidR="00F56463" w:rsidRPr="0024020B">
        <w:t xml:space="preserve"> per cent</w:t>
      </w:r>
      <w:r w:rsidR="00B36194" w:rsidRPr="0024020B">
        <w:t>.</w:t>
      </w:r>
    </w:p>
    <w:p w14:paraId="5E204222" w14:textId="09DC041D" w:rsidR="002F3F68" w:rsidRPr="0024020B" w:rsidRDefault="00B36194" w:rsidP="00E41631">
      <w:pPr>
        <w:pStyle w:val="Normal1"/>
      </w:pPr>
      <w:r w:rsidRPr="0024020B">
        <w:t xml:space="preserve">The </w:t>
      </w:r>
      <w:r w:rsidR="00947854" w:rsidRPr="0024020B">
        <w:t>difference in proportions</w:t>
      </w:r>
      <w:r w:rsidRPr="0024020B">
        <w:t xml:space="preserve"> between </w:t>
      </w:r>
      <w:r w:rsidR="00CA2FD8" w:rsidRPr="0024020B">
        <w:t xml:space="preserve">numbers and values is because </w:t>
      </w:r>
      <w:r w:rsidR="00C10B55" w:rsidRPr="0024020B">
        <w:t xml:space="preserve">SPCs generally have </w:t>
      </w:r>
      <w:r w:rsidRPr="0024020B">
        <w:t>higher estimated contract value</w:t>
      </w:r>
      <w:r w:rsidR="00C10B55" w:rsidRPr="0024020B">
        <w:t xml:space="preserve">s and </w:t>
      </w:r>
      <w:r w:rsidRPr="0024020B">
        <w:t>span multiple years.</w:t>
      </w:r>
      <w:r w:rsidR="002F3F68" w:rsidRPr="0024020B">
        <w:t xml:space="preserve"> For example, in 2017–18, </w:t>
      </w:r>
      <w:r w:rsidR="006919A6">
        <w:t>the Department of Treasury and Finance</w:t>
      </w:r>
      <w:r w:rsidR="002F3F68" w:rsidRPr="0024020B">
        <w:t xml:space="preserve"> had four high-value SPCs approved with a total </w:t>
      </w:r>
      <w:r w:rsidR="0083666F">
        <w:t xml:space="preserve">contract </w:t>
      </w:r>
      <w:r w:rsidR="002F3F68" w:rsidRPr="0024020B">
        <w:t>value of $1 236</w:t>
      </w:r>
      <w:r w:rsidR="00160614">
        <w:t> </w:t>
      </w:r>
      <w:r w:rsidR="002F3F68" w:rsidRPr="0024020B">
        <w:t>million. The estimated annual spend for these four SPCs is $462 million</w:t>
      </w:r>
      <w:r w:rsidR="00443A4D" w:rsidRPr="0024020B">
        <w:t xml:space="preserve">, but </w:t>
      </w:r>
      <w:r w:rsidR="007457E1" w:rsidRPr="0024020B">
        <w:t>the total estimated contract value takes into account the length of the contract as well as any options to extend</w:t>
      </w:r>
      <w:r w:rsidR="00443A4D" w:rsidRPr="0024020B">
        <w:t xml:space="preserve"> (see</w:t>
      </w:r>
      <w:r w:rsidR="00443A4D" w:rsidRPr="00A30EEE">
        <w:rPr>
          <w:i/>
        </w:rPr>
        <w:t xml:space="preserve"> </w:t>
      </w:r>
      <w:r w:rsidR="00443A4D" w:rsidRPr="00A30EEE">
        <w:rPr>
          <w:i/>
        </w:rPr>
        <w:fldChar w:fldCharType="begin"/>
      </w:r>
      <w:r w:rsidR="00443A4D" w:rsidRPr="00A30EEE">
        <w:rPr>
          <w:i/>
        </w:rPr>
        <w:instrText xml:space="preserve"> REF _Ref520987609 \h </w:instrText>
      </w:r>
      <w:r w:rsidR="007457E1" w:rsidRPr="00A30EEE">
        <w:rPr>
          <w:i/>
        </w:rPr>
        <w:instrText xml:space="preserve"> \* MERGEFORMAT </w:instrText>
      </w:r>
      <w:r w:rsidR="00443A4D" w:rsidRPr="00A30EEE">
        <w:rPr>
          <w:i/>
        </w:rPr>
      </w:r>
      <w:r w:rsidR="00443A4D" w:rsidRPr="00A30EEE">
        <w:rPr>
          <w:i/>
        </w:rPr>
        <w:fldChar w:fldCharType="separate"/>
      </w:r>
      <w:r w:rsidR="00A07703" w:rsidRPr="00A07703">
        <w:rPr>
          <w:i/>
        </w:rPr>
        <w:t xml:space="preserve">Table </w:t>
      </w:r>
      <w:r w:rsidR="00A07703" w:rsidRPr="00A07703">
        <w:rPr>
          <w:i/>
          <w:noProof/>
        </w:rPr>
        <w:t>15</w:t>
      </w:r>
      <w:r w:rsidR="00A07703" w:rsidRPr="00A07703">
        <w:rPr>
          <w:i/>
        </w:rPr>
        <w:t>: SPCs approved in 2017–18</w:t>
      </w:r>
      <w:r w:rsidR="00443A4D" w:rsidRPr="00A30EEE">
        <w:rPr>
          <w:i/>
        </w:rPr>
        <w:fldChar w:fldCharType="end"/>
      </w:r>
      <w:r w:rsidR="00443A4D" w:rsidRPr="0024020B">
        <w:t xml:space="preserve"> for a breakdown of SPCs reported in 2017–18).</w:t>
      </w:r>
    </w:p>
    <w:p w14:paraId="3E7BEE4F" w14:textId="4BE8948E" w:rsidR="008F7F3D" w:rsidRDefault="00595198" w:rsidP="00E41631">
      <w:pPr>
        <w:pStyle w:val="Normal1"/>
      </w:pPr>
      <w:r w:rsidRPr="0024020B">
        <w:t>Most</w:t>
      </w:r>
      <w:r w:rsidR="00735E0F" w:rsidRPr="0024020B">
        <w:t xml:space="preserve"> procurement contract approvals were for services (</w:t>
      </w:r>
      <w:r w:rsidR="00443A4D" w:rsidRPr="0024020B">
        <w:t>8</w:t>
      </w:r>
      <w:r w:rsidR="007457E1" w:rsidRPr="0024020B">
        <w:t>4</w:t>
      </w:r>
      <w:r w:rsidR="00D54BA4" w:rsidRPr="0024020B">
        <w:t xml:space="preserve"> </w:t>
      </w:r>
      <w:r w:rsidR="00735E0F" w:rsidRPr="0024020B">
        <w:t>per cent).</w:t>
      </w:r>
    </w:p>
    <w:bookmarkEnd w:id="57"/>
    <w:p w14:paraId="66A57B38" w14:textId="375C279A" w:rsidR="00143F89" w:rsidRPr="00CD6245" w:rsidRDefault="00143F89" w:rsidP="00C06304">
      <w:pPr>
        <w:pStyle w:val="Heading3NoNum"/>
      </w:pPr>
      <w:r w:rsidRPr="00CD6245">
        <w:t xml:space="preserve">Trends in </w:t>
      </w:r>
      <w:r w:rsidR="00076DC5">
        <w:t xml:space="preserve">contract </w:t>
      </w:r>
      <w:r w:rsidR="00BC77D6">
        <w:t>approvals</w:t>
      </w:r>
    </w:p>
    <w:bookmarkStart w:id="61" w:name="_Ref451521043"/>
    <w:p w14:paraId="498FF390" w14:textId="4BF5B206" w:rsidR="00E41631" w:rsidRDefault="00E41631" w:rsidP="00164C63">
      <w:pPr>
        <w:pStyle w:val="Caption"/>
        <w:rPr>
          <w:b w:val="0"/>
        </w:rPr>
      </w:pPr>
      <w:r w:rsidRPr="007C2746">
        <w:rPr>
          <w:b w:val="0"/>
        </w:rPr>
        <w:fldChar w:fldCharType="begin"/>
      </w:r>
      <w:r w:rsidRPr="007C2746">
        <w:rPr>
          <w:b w:val="0"/>
        </w:rPr>
        <w:instrText xml:space="preserve"> REF _Ref489003425 \h  \* MERGEFORMAT </w:instrText>
      </w:r>
      <w:r w:rsidRPr="007C2746">
        <w:rPr>
          <w:b w:val="0"/>
        </w:rPr>
      </w:r>
      <w:r w:rsidRPr="007C2746">
        <w:rPr>
          <w:b w:val="0"/>
        </w:rPr>
        <w:fldChar w:fldCharType="separate"/>
      </w:r>
      <w:r w:rsidR="00A07703" w:rsidRPr="00A07703">
        <w:rPr>
          <w:b w:val="0"/>
        </w:rPr>
        <w:t xml:space="preserve">Table </w:t>
      </w:r>
      <w:r w:rsidR="00A07703" w:rsidRPr="00A07703">
        <w:rPr>
          <w:b w:val="0"/>
          <w:noProof/>
        </w:rPr>
        <w:t>4</w:t>
      </w:r>
      <w:r w:rsidRPr="007C2746">
        <w:rPr>
          <w:b w:val="0"/>
        </w:rPr>
        <w:fldChar w:fldCharType="end"/>
      </w:r>
      <w:r>
        <w:rPr>
          <w:b w:val="0"/>
        </w:rPr>
        <w:t xml:space="preserve"> shows the </w:t>
      </w:r>
      <w:r w:rsidR="00904111" w:rsidRPr="00CD6245">
        <w:rPr>
          <w:b w:val="0"/>
        </w:rPr>
        <w:t>number and value of</w:t>
      </w:r>
      <w:r w:rsidR="007C2746">
        <w:rPr>
          <w:b w:val="0"/>
        </w:rPr>
        <w:t xml:space="preserve"> contract</w:t>
      </w:r>
      <w:r w:rsidR="00904111" w:rsidRPr="00CD6245">
        <w:rPr>
          <w:b w:val="0"/>
        </w:rPr>
        <w:t xml:space="preserve"> </w:t>
      </w:r>
      <w:r w:rsidR="00904111" w:rsidRPr="007C2746">
        <w:rPr>
          <w:b w:val="0"/>
        </w:rPr>
        <w:t xml:space="preserve">approvals </w:t>
      </w:r>
      <w:r w:rsidR="00D544FC">
        <w:rPr>
          <w:b w:val="0"/>
        </w:rPr>
        <w:t>over the p</w:t>
      </w:r>
      <w:r>
        <w:rPr>
          <w:b w:val="0"/>
        </w:rPr>
        <w:t>ast f</w:t>
      </w:r>
      <w:r w:rsidR="0083666F">
        <w:rPr>
          <w:b w:val="0"/>
        </w:rPr>
        <w:t>our</w:t>
      </w:r>
      <w:r>
        <w:rPr>
          <w:b w:val="0"/>
        </w:rPr>
        <w:t xml:space="preserve"> years.</w:t>
      </w:r>
    </w:p>
    <w:p w14:paraId="35B0B862" w14:textId="79507740" w:rsidR="00143F89" w:rsidRDefault="00143F89" w:rsidP="00143F89">
      <w:pPr>
        <w:pStyle w:val="Caption"/>
      </w:pPr>
      <w:bookmarkStart w:id="62" w:name="_Ref451521058"/>
      <w:bookmarkStart w:id="63" w:name="_Ref489003425"/>
      <w:bookmarkStart w:id="64" w:name="_Toc524353997"/>
      <w:r w:rsidRPr="00CD6245">
        <w:t xml:space="preserve">Table </w:t>
      </w:r>
      <w:r w:rsidR="002407F7">
        <w:rPr>
          <w:noProof/>
        </w:rPr>
        <w:fldChar w:fldCharType="begin"/>
      </w:r>
      <w:r w:rsidR="002407F7">
        <w:rPr>
          <w:noProof/>
        </w:rPr>
        <w:instrText xml:space="preserve"> SEQ Table \* ARABIC </w:instrText>
      </w:r>
      <w:r w:rsidR="002407F7">
        <w:rPr>
          <w:noProof/>
        </w:rPr>
        <w:fldChar w:fldCharType="separate"/>
      </w:r>
      <w:r w:rsidR="00A07703">
        <w:rPr>
          <w:noProof/>
        </w:rPr>
        <w:t>4</w:t>
      </w:r>
      <w:r w:rsidR="002407F7">
        <w:rPr>
          <w:noProof/>
        </w:rPr>
        <w:fldChar w:fldCharType="end"/>
      </w:r>
      <w:bookmarkEnd w:id="61"/>
      <w:bookmarkEnd w:id="62"/>
      <w:bookmarkEnd w:id="63"/>
      <w:r w:rsidRPr="00CD6245">
        <w:t>: T</w:t>
      </w:r>
      <w:r w:rsidR="00381BB6">
        <w:t>rends in</w:t>
      </w:r>
      <w:r w:rsidRPr="00CD6245">
        <w:t xml:space="preserve"> one-off supply, SEPC and SPC </w:t>
      </w:r>
      <w:r w:rsidR="00FD7FAE">
        <w:t xml:space="preserve">contract </w:t>
      </w:r>
      <w:r w:rsidRPr="00CD6245">
        <w:t>approvals</w:t>
      </w:r>
      <w:r w:rsidR="00EE5BE9" w:rsidRPr="00CD6245">
        <w:t xml:space="preserve"> from</w:t>
      </w:r>
      <w:r w:rsidRPr="00CD6245">
        <w:t xml:space="preserve"> </w:t>
      </w:r>
      <w:r w:rsidR="00DD4C20" w:rsidRPr="00CD6245">
        <w:t>201</w:t>
      </w:r>
      <w:r w:rsidR="003B1A9E">
        <w:t>4–15</w:t>
      </w:r>
      <w:r w:rsidR="00DD4C20" w:rsidRPr="00CD6245">
        <w:t xml:space="preserve"> to </w:t>
      </w:r>
      <w:r w:rsidR="00FA0FB5">
        <w:t>201</w:t>
      </w:r>
      <w:r w:rsidR="008E1ACC">
        <w:t>7–18</w:t>
      </w:r>
      <w:bookmarkEnd w:id="64"/>
    </w:p>
    <w:tbl>
      <w:tblPr>
        <w:tblStyle w:val="ListTable31"/>
        <w:tblW w:w="8789" w:type="dxa"/>
        <w:tblInd w:w="704" w:type="dxa"/>
        <w:tblLook w:val="04A0" w:firstRow="1" w:lastRow="0" w:firstColumn="1" w:lastColumn="0" w:noHBand="0" w:noVBand="1"/>
      </w:tblPr>
      <w:tblGrid>
        <w:gridCol w:w="965"/>
        <w:gridCol w:w="885"/>
        <w:gridCol w:w="985"/>
        <w:gridCol w:w="885"/>
        <w:gridCol w:w="1099"/>
        <w:gridCol w:w="895"/>
        <w:gridCol w:w="1090"/>
        <w:gridCol w:w="885"/>
        <w:gridCol w:w="1100"/>
      </w:tblGrid>
      <w:tr w:rsidR="003B1A9E" w:rsidRPr="00CD6245" w14:paraId="216F3A4F" w14:textId="5E191356" w:rsidTr="0083666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65" w:type="dxa"/>
          </w:tcPr>
          <w:p w14:paraId="579E5527" w14:textId="77777777" w:rsidR="003B1A9E" w:rsidRPr="00CD6245" w:rsidRDefault="003B1A9E" w:rsidP="00FD5CAC">
            <w:pPr>
              <w:pStyle w:val="TableText"/>
              <w:jc w:val="center"/>
            </w:pPr>
          </w:p>
        </w:tc>
        <w:tc>
          <w:tcPr>
            <w:tcW w:w="1870" w:type="dxa"/>
            <w:gridSpan w:val="2"/>
            <w:tcBorders>
              <w:top w:val="nil"/>
              <w:left w:val="nil"/>
              <w:bottom w:val="nil"/>
              <w:right w:val="nil"/>
            </w:tcBorders>
          </w:tcPr>
          <w:p w14:paraId="703592EE" w14:textId="42259996" w:rsidR="003B1A9E" w:rsidRPr="00CD6245" w:rsidRDefault="003B1A9E" w:rsidP="00FD5CAC">
            <w:pPr>
              <w:pStyle w:val="TableText"/>
              <w:jc w:val="center"/>
              <w:cnfStyle w:val="100000000000" w:firstRow="1" w:lastRow="0" w:firstColumn="0" w:lastColumn="0" w:oddVBand="0" w:evenVBand="0" w:oddHBand="0" w:evenHBand="0" w:firstRowFirstColumn="0" w:firstRowLastColumn="0" w:lastRowFirstColumn="0" w:lastRowLastColumn="0"/>
            </w:pPr>
            <w:r>
              <w:t>2014–15</w:t>
            </w:r>
          </w:p>
        </w:tc>
        <w:tc>
          <w:tcPr>
            <w:tcW w:w="1984" w:type="dxa"/>
            <w:gridSpan w:val="2"/>
            <w:tcBorders>
              <w:top w:val="nil"/>
              <w:left w:val="nil"/>
              <w:bottom w:val="nil"/>
              <w:right w:val="nil"/>
            </w:tcBorders>
          </w:tcPr>
          <w:p w14:paraId="5252A587" w14:textId="678C3CA2" w:rsidR="003B1A9E" w:rsidRPr="00CD6245" w:rsidRDefault="003B1A9E" w:rsidP="00FD5CAC">
            <w:pPr>
              <w:pStyle w:val="TableText"/>
              <w:jc w:val="center"/>
              <w:cnfStyle w:val="100000000000" w:firstRow="1" w:lastRow="0" w:firstColumn="0" w:lastColumn="0" w:oddVBand="0" w:evenVBand="0" w:oddHBand="0" w:evenHBand="0" w:firstRowFirstColumn="0" w:firstRowLastColumn="0" w:lastRowFirstColumn="0" w:lastRowLastColumn="0"/>
            </w:pPr>
            <w:r>
              <w:t>2015–16</w:t>
            </w:r>
          </w:p>
        </w:tc>
        <w:tc>
          <w:tcPr>
            <w:tcW w:w="1985" w:type="dxa"/>
            <w:gridSpan w:val="2"/>
            <w:tcBorders>
              <w:top w:val="nil"/>
              <w:left w:val="nil"/>
              <w:bottom w:val="nil"/>
              <w:right w:val="nil"/>
            </w:tcBorders>
          </w:tcPr>
          <w:p w14:paraId="47A509A1" w14:textId="77777777" w:rsidR="003B1A9E" w:rsidRPr="00CD6245" w:rsidRDefault="003B1A9E" w:rsidP="00FD5CAC">
            <w:pPr>
              <w:pStyle w:val="TableText"/>
              <w:jc w:val="center"/>
              <w:cnfStyle w:val="100000000000" w:firstRow="1" w:lastRow="0" w:firstColumn="0" w:lastColumn="0" w:oddVBand="0" w:evenVBand="0" w:oddHBand="0" w:evenHBand="0" w:firstRowFirstColumn="0" w:firstRowLastColumn="0" w:lastRowFirstColumn="0" w:lastRowLastColumn="0"/>
            </w:pPr>
            <w:r>
              <w:t>2016–17</w:t>
            </w:r>
          </w:p>
        </w:tc>
        <w:tc>
          <w:tcPr>
            <w:tcW w:w="1985" w:type="dxa"/>
            <w:gridSpan w:val="2"/>
            <w:tcBorders>
              <w:left w:val="nil"/>
            </w:tcBorders>
          </w:tcPr>
          <w:p w14:paraId="0307B997" w14:textId="678E3B9C" w:rsidR="003B1A9E" w:rsidRDefault="003B1A9E" w:rsidP="00FD5CAC">
            <w:pPr>
              <w:pStyle w:val="TableText"/>
              <w:jc w:val="center"/>
              <w:cnfStyle w:val="100000000000" w:firstRow="1" w:lastRow="0" w:firstColumn="0" w:lastColumn="0" w:oddVBand="0" w:evenVBand="0" w:oddHBand="0" w:evenHBand="0" w:firstRowFirstColumn="0" w:firstRowLastColumn="0" w:lastRowFirstColumn="0" w:lastRowLastColumn="0"/>
            </w:pPr>
            <w:r>
              <w:t>2017–18</w:t>
            </w:r>
          </w:p>
        </w:tc>
      </w:tr>
      <w:tr w:rsidR="00C26B50" w:rsidRPr="002608E3" w14:paraId="225A139E" w14:textId="5A67862F" w:rsidTr="00C26B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5" w:type="dxa"/>
            <w:tcBorders>
              <w:right w:val="single" w:sz="4" w:space="0" w:color="FFFFFF" w:themeColor="background1"/>
            </w:tcBorders>
            <w:shd w:val="clear" w:color="auto" w:fill="000000" w:themeFill="text1"/>
          </w:tcPr>
          <w:p w14:paraId="431CB3DA" w14:textId="77777777" w:rsidR="003B1A9E" w:rsidRPr="002608E3" w:rsidRDefault="003B1A9E" w:rsidP="008E1ACC">
            <w:pPr>
              <w:pStyle w:val="TableText"/>
              <w:jc w:val="center"/>
            </w:pPr>
          </w:p>
        </w:tc>
        <w:tc>
          <w:tcPr>
            <w:tcW w:w="885" w:type="dxa"/>
            <w:tcBorders>
              <w:top w:val="nil"/>
              <w:left w:val="single" w:sz="4" w:space="0" w:color="FFFFFF" w:themeColor="background1"/>
              <w:right w:val="single" w:sz="4" w:space="0" w:color="FFFFFF" w:themeColor="background1"/>
            </w:tcBorders>
            <w:shd w:val="clear" w:color="auto" w:fill="000000" w:themeFill="text1"/>
          </w:tcPr>
          <w:p w14:paraId="3F2C9327" w14:textId="3C818BA1" w:rsidR="003B1A9E" w:rsidRPr="002608E3" w:rsidRDefault="003B1A9E" w:rsidP="008E1ACC">
            <w:pPr>
              <w:pStyle w:val="TableText"/>
              <w:jc w:val="center"/>
              <w:cnfStyle w:val="000000100000" w:firstRow="0" w:lastRow="0" w:firstColumn="0" w:lastColumn="0" w:oddVBand="0" w:evenVBand="0" w:oddHBand="1" w:evenHBand="0" w:firstRowFirstColumn="0" w:firstRowLastColumn="0" w:lastRowFirstColumn="0" w:lastRowLastColumn="0"/>
            </w:pPr>
            <w:r w:rsidRPr="002608E3">
              <w:t>Number</w:t>
            </w:r>
          </w:p>
        </w:tc>
        <w:tc>
          <w:tcPr>
            <w:tcW w:w="985" w:type="dxa"/>
            <w:tcBorders>
              <w:top w:val="nil"/>
              <w:left w:val="single" w:sz="4" w:space="0" w:color="FFFFFF" w:themeColor="background1"/>
              <w:right w:val="single" w:sz="4" w:space="0" w:color="FFFFFF" w:themeColor="background1"/>
            </w:tcBorders>
            <w:shd w:val="clear" w:color="auto" w:fill="000000" w:themeFill="text1"/>
          </w:tcPr>
          <w:p w14:paraId="2C161AA8" w14:textId="24247A8A" w:rsidR="003B1A9E" w:rsidRPr="002608E3" w:rsidRDefault="003B1A9E" w:rsidP="008E1ACC">
            <w:pPr>
              <w:pStyle w:val="TableText"/>
              <w:jc w:val="center"/>
              <w:cnfStyle w:val="000000100000" w:firstRow="0" w:lastRow="0" w:firstColumn="0" w:lastColumn="0" w:oddVBand="0" w:evenVBand="0" w:oddHBand="1" w:evenHBand="0" w:firstRowFirstColumn="0" w:firstRowLastColumn="0" w:lastRowFirstColumn="0" w:lastRowLastColumn="0"/>
            </w:pPr>
            <w:r w:rsidRPr="002608E3">
              <w:t>Value</w:t>
            </w:r>
            <w:r>
              <w:t xml:space="preserve"> ($M)</w:t>
            </w:r>
          </w:p>
        </w:tc>
        <w:tc>
          <w:tcPr>
            <w:tcW w:w="885" w:type="dxa"/>
            <w:tcBorders>
              <w:top w:val="nil"/>
              <w:left w:val="single" w:sz="4" w:space="0" w:color="FFFFFF" w:themeColor="background1"/>
              <w:right w:val="single" w:sz="4" w:space="0" w:color="FFFFFF" w:themeColor="background1"/>
            </w:tcBorders>
            <w:shd w:val="clear" w:color="auto" w:fill="000000" w:themeFill="text1"/>
          </w:tcPr>
          <w:p w14:paraId="6709708D" w14:textId="77777777" w:rsidR="003B1A9E" w:rsidRPr="002608E3" w:rsidRDefault="003B1A9E" w:rsidP="008E1ACC">
            <w:pPr>
              <w:pStyle w:val="TableText"/>
              <w:jc w:val="center"/>
              <w:cnfStyle w:val="000000100000" w:firstRow="0" w:lastRow="0" w:firstColumn="0" w:lastColumn="0" w:oddVBand="0" w:evenVBand="0" w:oddHBand="1" w:evenHBand="0" w:firstRowFirstColumn="0" w:firstRowLastColumn="0" w:lastRowFirstColumn="0" w:lastRowLastColumn="0"/>
            </w:pPr>
            <w:r w:rsidRPr="002608E3">
              <w:t>Number</w:t>
            </w:r>
          </w:p>
        </w:tc>
        <w:tc>
          <w:tcPr>
            <w:tcW w:w="1099" w:type="dxa"/>
            <w:tcBorders>
              <w:top w:val="nil"/>
              <w:left w:val="single" w:sz="4" w:space="0" w:color="FFFFFF" w:themeColor="background1"/>
              <w:right w:val="single" w:sz="4" w:space="0" w:color="FFFFFF" w:themeColor="background1"/>
            </w:tcBorders>
            <w:shd w:val="clear" w:color="auto" w:fill="000000" w:themeFill="text1"/>
          </w:tcPr>
          <w:p w14:paraId="702FC309" w14:textId="4387C97E" w:rsidR="003B1A9E" w:rsidRPr="002608E3" w:rsidRDefault="003B1A9E" w:rsidP="008E1ACC">
            <w:pPr>
              <w:pStyle w:val="TableText"/>
              <w:jc w:val="center"/>
              <w:cnfStyle w:val="000000100000" w:firstRow="0" w:lastRow="0" w:firstColumn="0" w:lastColumn="0" w:oddVBand="0" w:evenVBand="0" w:oddHBand="1" w:evenHBand="0" w:firstRowFirstColumn="0" w:firstRowLastColumn="0" w:lastRowFirstColumn="0" w:lastRowLastColumn="0"/>
            </w:pPr>
            <w:r w:rsidRPr="002608E3">
              <w:t>Value</w:t>
            </w:r>
            <w:r>
              <w:t xml:space="preserve"> ($M)</w:t>
            </w:r>
          </w:p>
        </w:tc>
        <w:tc>
          <w:tcPr>
            <w:tcW w:w="895" w:type="dxa"/>
            <w:tcBorders>
              <w:top w:val="nil"/>
              <w:left w:val="single" w:sz="4" w:space="0" w:color="FFFFFF" w:themeColor="background1"/>
              <w:right w:val="single" w:sz="4" w:space="0" w:color="FFFFFF" w:themeColor="background1"/>
            </w:tcBorders>
            <w:shd w:val="clear" w:color="auto" w:fill="000000" w:themeFill="text1"/>
          </w:tcPr>
          <w:p w14:paraId="735A2D19" w14:textId="77777777" w:rsidR="003B1A9E" w:rsidRPr="002608E3" w:rsidRDefault="003B1A9E" w:rsidP="008E1ACC">
            <w:pPr>
              <w:pStyle w:val="TableText"/>
              <w:jc w:val="center"/>
              <w:cnfStyle w:val="000000100000" w:firstRow="0" w:lastRow="0" w:firstColumn="0" w:lastColumn="0" w:oddVBand="0" w:evenVBand="0" w:oddHBand="1" w:evenHBand="0" w:firstRowFirstColumn="0" w:firstRowLastColumn="0" w:lastRowFirstColumn="0" w:lastRowLastColumn="0"/>
            </w:pPr>
            <w:r w:rsidRPr="002608E3">
              <w:t>Number</w:t>
            </w:r>
          </w:p>
        </w:tc>
        <w:tc>
          <w:tcPr>
            <w:tcW w:w="1090" w:type="dxa"/>
            <w:tcBorders>
              <w:top w:val="nil"/>
              <w:left w:val="single" w:sz="4" w:space="0" w:color="FFFFFF" w:themeColor="background1"/>
              <w:right w:val="single" w:sz="4" w:space="0" w:color="FFFFFF" w:themeColor="background1"/>
            </w:tcBorders>
            <w:shd w:val="clear" w:color="auto" w:fill="000000" w:themeFill="text1"/>
          </w:tcPr>
          <w:p w14:paraId="65810999" w14:textId="68D388AB" w:rsidR="003B1A9E" w:rsidRPr="002608E3" w:rsidRDefault="003B1A9E" w:rsidP="008E1ACC">
            <w:pPr>
              <w:pStyle w:val="TableText"/>
              <w:jc w:val="center"/>
              <w:cnfStyle w:val="000000100000" w:firstRow="0" w:lastRow="0" w:firstColumn="0" w:lastColumn="0" w:oddVBand="0" w:evenVBand="0" w:oddHBand="1" w:evenHBand="0" w:firstRowFirstColumn="0" w:firstRowLastColumn="0" w:lastRowFirstColumn="0" w:lastRowLastColumn="0"/>
            </w:pPr>
            <w:r w:rsidRPr="002608E3">
              <w:t>Value</w:t>
            </w:r>
            <w:r>
              <w:t xml:space="preserve"> ($M)</w:t>
            </w:r>
          </w:p>
        </w:tc>
        <w:tc>
          <w:tcPr>
            <w:tcW w:w="885" w:type="dxa"/>
            <w:tcBorders>
              <w:left w:val="single" w:sz="4" w:space="0" w:color="FFFFFF" w:themeColor="background1"/>
              <w:right w:val="single" w:sz="4" w:space="0" w:color="FFFFFF" w:themeColor="background1"/>
            </w:tcBorders>
            <w:shd w:val="clear" w:color="auto" w:fill="000000" w:themeFill="text1"/>
          </w:tcPr>
          <w:p w14:paraId="005A1625" w14:textId="775A684E" w:rsidR="003B1A9E" w:rsidRPr="002608E3" w:rsidRDefault="003B1A9E" w:rsidP="008E1ACC">
            <w:pPr>
              <w:pStyle w:val="TableText"/>
              <w:jc w:val="center"/>
              <w:cnfStyle w:val="000000100000" w:firstRow="0" w:lastRow="0" w:firstColumn="0" w:lastColumn="0" w:oddVBand="0" w:evenVBand="0" w:oddHBand="1" w:evenHBand="0" w:firstRowFirstColumn="0" w:firstRowLastColumn="0" w:lastRowFirstColumn="0" w:lastRowLastColumn="0"/>
            </w:pPr>
            <w:r w:rsidRPr="002608E3">
              <w:t>Number</w:t>
            </w:r>
          </w:p>
        </w:tc>
        <w:tc>
          <w:tcPr>
            <w:tcW w:w="1100" w:type="dxa"/>
            <w:tcBorders>
              <w:left w:val="single" w:sz="4" w:space="0" w:color="FFFFFF" w:themeColor="background1"/>
            </w:tcBorders>
            <w:shd w:val="clear" w:color="auto" w:fill="000000" w:themeFill="text1"/>
          </w:tcPr>
          <w:p w14:paraId="509398FC" w14:textId="23767FD0" w:rsidR="003B1A9E" w:rsidRPr="002608E3" w:rsidRDefault="003B1A9E" w:rsidP="008E1ACC">
            <w:pPr>
              <w:pStyle w:val="TableText"/>
              <w:jc w:val="center"/>
              <w:cnfStyle w:val="000000100000" w:firstRow="0" w:lastRow="0" w:firstColumn="0" w:lastColumn="0" w:oddVBand="0" w:evenVBand="0" w:oddHBand="1" w:evenHBand="0" w:firstRowFirstColumn="0" w:firstRowLastColumn="0" w:lastRowFirstColumn="0" w:lastRowLastColumn="0"/>
            </w:pPr>
            <w:r w:rsidRPr="002608E3">
              <w:t>Value</w:t>
            </w:r>
            <w:r>
              <w:t xml:space="preserve"> ($M)</w:t>
            </w:r>
          </w:p>
        </w:tc>
      </w:tr>
      <w:tr w:rsidR="003B1A9E" w:rsidRPr="00CD6245" w14:paraId="53F023D8" w14:textId="4960D935" w:rsidTr="0083666F">
        <w:tc>
          <w:tcPr>
            <w:cnfStyle w:val="001000000000" w:firstRow="0" w:lastRow="0" w:firstColumn="1" w:lastColumn="0" w:oddVBand="0" w:evenVBand="0" w:oddHBand="0" w:evenHBand="0" w:firstRowFirstColumn="0" w:firstRowLastColumn="0" w:lastRowFirstColumn="0" w:lastRowLastColumn="0"/>
            <w:tcW w:w="965" w:type="dxa"/>
            <w:tcBorders>
              <w:right w:val="single" w:sz="4" w:space="0" w:color="FFFFFF" w:themeColor="background1"/>
            </w:tcBorders>
          </w:tcPr>
          <w:p w14:paraId="74AF507D" w14:textId="77777777" w:rsidR="003B1A9E" w:rsidRPr="00546DF9" w:rsidRDefault="003B1A9E" w:rsidP="00C27AA9">
            <w:pPr>
              <w:pStyle w:val="TableText"/>
              <w:rPr>
                <w:b w:val="0"/>
              </w:rPr>
            </w:pPr>
            <w:r w:rsidRPr="00546DF9">
              <w:rPr>
                <w:b w:val="0"/>
              </w:rPr>
              <w:t>One-off supplies</w:t>
            </w:r>
          </w:p>
        </w:tc>
        <w:tc>
          <w:tcPr>
            <w:tcW w:w="885" w:type="dxa"/>
            <w:tcBorders>
              <w:left w:val="single" w:sz="4" w:space="0" w:color="FFFFFF" w:themeColor="background1"/>
            </w:tcBorders>
          </w:tcPr>
          <w:p w14:paraId="04AFBF2E" w14:textId="438F9116" w:rsidR="003B1A9E" w:rsidRPr="00CD6245" w:rsidRDefault="003B1A9E" w:rsidP="00C27AA9">
            <w:pPr>
              <w:pStyle w:val="TableText"/>
              <w:jc w:val="right"/>
              <w:cnfStyle w:val="000000000000" w:firstRow="0" w:lastRow="0" w:firstColumn="0" w:lastColumn="0" w:oddVBand="0" w:evenVBand="0" w:oddHBand="0" w:evenHBand="0" w:firstRowFirstColumn="0" w:firstRowLastColumn="0" w:lastRowFirstColumn="0" w:lastRowLastColumn="0"/>
            </w:pPr>
            <w:r w:rsidRPr="00CD6245">
              <w:t>630</w:t>
            </w:r>
          </w:p>
        </w:tc>
        <w:tc>
          <w:tcPr>
            <w:tcW w:w="985" w:type="dxa"/>
          </w:tcPr>
          <w:p w14:paraId="6545ED40" w14:textId="3732628D" w:rsidR="003B1A9E" w:rsidRPr="00CD6245" w:rsidRDefault="003B1A9E" w:rsidP="00C27AA9">
            <w:pPr>
              <w:pStyle w:val="TableText"/>
              <w:jc w:val="right"/>
              <w:cnfStyle w:val="000000000000" w:firstRow="0" w:lastRow="0" w:firstColumn="0" w:lastColumn="0" w:oddVBand="0" w:evenVBand="0" w:oddHBand="0" w:evenHBand="0" w:firstRowFirstColumn="0" w:firstRowLastColumn="0" w:lastRowFirstColumn="0" w:lastRowLastColumn="0"/>
            </w:pPr>
            <w:r>
              <w:t>692.3</w:t>
            </w:r>
          </w:p>
        </w:tc>
        <w:tc>
          <w:tcPr>
            <w:tcW w:w="885" w:type="dxa"/>
          </w:tcPr>
          <w:p w14:paraId="46AB8A2A" w14:textId="4F204DC3" w:rsidR="003B1A9E" w:rsidRPr="00CD6245" w:rsidRDefault="003B1A9E" w:rsidP="00C27AA9">
            <w:pPr>
              <w:pStyle w:val="TableText"/>
              <w:jc w:val="right"/>
              <w:cnfStyle w:val="000000000000" w:firstRow="0" w:lastRow="0" w:firstColumn="0" w:lastColumn="0" w:oddVBand="0" w:evenVBand="0" w:oddHBand="0" w:evenHBand="0" w:firstRowFirstColumn="0" w:firstRowLastColumn="0" w:lastRowFirstColumn="0" w:lastRowLastColumn="0"/>
            </w:pPr>
            <w:r w:rsidRPr="00CD6245">
              <w:rPr>
                <w:color w:val="000000"/>
              </w:rPr>
              <w:t>743</w:t>
            </w:r>
          </w:p>
        </w:tc>
        <w:tc>
          <w:tcPr>
            <w:tcW w:w="1099" w:type="dxa"/>
          </w:tcPr>
          <w:p w14:paraId="3DE045E6" w14:textId="2F198F56" w:rsidR="003B1A9E" w:rsidRPr="00CD6245" w:rsidRDefault="003B1A9E" w:rsidP="00C27AA9">
            <w:pPr>
              <w:pStyle w:val="TableText"/>
              <w:jc w:val="right"/>
              <w:cnfStyle w:val="000000000000" w:firstRow="0" w:lastRow="0" w:firstColumn="0" w:lastColumn="0" w:oddVBand="0" w:evenVBand="0" w:oddHBand="0" w:evenHBand="0" w:firstRowFirstColumn="0" w:firstRowLastColumn="0" w:lastRowFirstColumn="0" w:lastRowLastColumn="0"/>
            </w:pPr>
            <w:r>
              <w:rPr>
                <w:color w:val="000000"/>
              </w:rPr>
              <w:t>915.5</w:t>
            </w:r>
          </w:p>
        </w:tc>
        <w:tc>
          <w:tcPr>
            <w:tcW w:w="895" w:type="dxa"/>
          </w:tcPr>
          <w:p w14:paraId="5FE65DD2" w14:textId="083570A0" w:rsidR="003B1A9E" w:rsidRPr="007C2746" w:rsidRDefault="003B1A9E" w:rsidP="00C27AA9">
            <w:pPr>
              <w:pStyle w:val="Tablenumbers"/>
              <w:cnfStyle w:val="000000000000" w:firstRow="0" w:lastRow="0" w:firstColumn="0" w:lastColumn="0" w:oddVBand="0" w:evenVBand="0" w:oddHBand="0" w:evenHBand="0" w:firstRowFirstColumn="0" w:firstRowLastColumn="0" w:lastRowFirstColumn="0" w:lastRowLastColumn="0"/>
              <w:rPr>
                <w:rFonts w:cs="Calibri"/>
              </w:rPr>
            </w:pPr>
            <w:r>
              <w:rPr>
                <w:rFonts w:cs="Calibri"/>
              </w:rPr>
              <w:t>952</w:t>
            </w:r>
          </w:p>
        </w:tc>
        <w:tc>
          <w:tcPr>
            <w:tcW w:w="1090" w:type="dxa"/>
          </w:tcPr>
          <w:p w14:paraId="23AA3641" w14:textId="55824D42" w:rsidR="003B1A9E" w:rsidRPr="00735E0F" w:rsidRDefault="003B1A9E" w:rsidP="00C27AA9">
            <w:pPr>
              <w:pStyle w:val="Tablenumbers"/>
              <w:cnfStyle w:val="000000000000" w:firstRow="0" w:lastRow="0" w:firstColumn="0" w:lastColumn="0" w:oddVBand="0" w:evenVBand="0" w:oddHBand="0" w:evenHBand="0" w:firstRowFirstColumn="0" w:firstRowLastColumn="0" w:lastRowFirstColumn="0" w:lastRowLastColumn="0"/>
            </w:pPr>
            <w:r>
              <w:t>1 137.7</w:t>
            </w:r>
          </w:p>
        </w:tc>
        <w:tc>
          <w:tcPr>
            <w:tcW w:w="885" w:type="dxa"/>
          </w:tcPr>
          <w:p w14:paraId="5911F423" w14:textId="0A9243C0" w:rsidR="003B1A9E" w:rsidRPr="00C27AA9" w:rsidRDefault="003B1A9E" w:rsidP="00C27AA9">
            <w:pPr>
              <w:pStyle w:val="Tablenumbers"/>
              <w:cnfStyle w:val="000000000000" w:firstRow="0" w:lastRow="0" w:firstColumn="0" w:lastColumn="0" w:oddVBand="0" w:evenVBand="0" w:oddHBand="0" w:evenHBand="0" w:firstRowFirstColumn="0" w:firstRowLastColumn="0" w:lastRowFirstColumn="0" w:lastRowLastColumn="0"/>
              <w:rPr>
                <w:highlight w:val="yellow"/>
              </w:rPr>
            </w:pPr>
            <w:r w:rsidRPr="00C27AA9">
              <w:t>1</w:t>
            </w:r>
            <w:r>
              <w:t> </w:t>
            </w:r>
            <w:r w:rsidRPr="00C27AA9">
              <w:t>152</w:t>
            </w:r>
          </w:p>
        </w:tc>
        <w:tc>
          <w:tcPr>
            <w:tcW w:w="1100" w:type="dxa"/>
          </w:tcPr>
          <w:p w14:paraId="2379A20B" w14:textId="108B5407" w:rsidR="003B1A9E" w:rsidRPr="00C27AA9" w:rsidRDefault="003B1A9E" w:rsidP="00C27AA9">
            <w:pPr>
              <w:pStyle w:val="Tablenumbers"/>
              <w:cnfStyle w:val="000000000000" w:firstRow="0" w:lastRow="0" w:firstColumn="0" w:lastColumn="0" w:oddVBand="0" w:evenVBand="0" w:oddHBand="0" w:evenHBand="0" w:firstRowFirstColumn="0" w:firstRowLastColumn="0" w:lastRowFirstColumn="0" w:lastRowLastColumn="0"/>
              <w:rPr>
                <w:highlight w:val="yellow"/>
              </w:rPr>
            </w:pPr>
            <w:r w:rsidRPr="00C27AA9">
              <w:t>1 515.8</w:t>
            </w:r>
          </w:p>
        </w:tc>
      </w:tr>
      <w:tr w:rsidR="003B1A9E" w:rsidRPr="00CD6245" w14:paraId="2FE42742" w14:textId="0C4A4708" w:rsidTr="008366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5" w:type="dxa"/>
          </w:tcPr>
          <w:p w14:paraId="3E9BF334" w14:textId="77777777" w:rsidR="003B1A9E" w:rsidRPr="00546DF9" w:rsidRDefault="003B1A9E" w:rsidP="00C27AA9">
            <w:pPr>
              <w:pStyle w:val="TableText"/>
              <w:rPr>
                <w:b w:val="0"/>
              </w:rPr>
            </w:pPr>
            <w:r w:rsidRPr="00546DF9">
              <w:rPr>
                <w:b w:val="0"/>
              </w:rPr>
              <w:t>SEPCs</w:t>
            </w:r>
          </w:p>
        </w:tc>
        <w:tc>
          <w:tcPr>
            <w:tcW w:w="885" w:type="dxa"/>
          </w:tcPr>
          <w:p w14:paraId="7FCDF4A4" w14:textId="10DA89B2" w:rsidR="003B1A9E" w:rsidRPr="00CD6245" w:rsidRDefault="003B1A9E" w:rsidP="00C27AA9">
            <w:pPr>
              <w:pStyle w:val="TableText"/>
              <w:jc w:val="right"/>
              <w:cnfStyle w:val="000000100000" w:firstRow="0" w:lastRow="0" w:firstColumn="0" w:lastColumn="0" w:oddVBand="0" w:evenVBand="0" w:oddHBand="1" w:evenHBand="0" w:firstRowFirstColumn="0" w:firstRowLastColumn="0" w:lastRowFirstColumn="0" w:lastRowLastColumn="0"/>
            </w:pPr>
            <w:r w:rsidRPr="00CD6245">
              <w:t>37</w:t>
            </w:r>
          </w:p>
        </w:tc>
        <w:tc>
          <w:tcPr>
            <w:tcW w:w="985" w:type="dxa"/>
          </w:tcPr>
          <w:p w14:paraId="1B2F4738" w14:textId="41BF37BE" w:rsidR="003B1A9E" w:rsidRPr="00CD6245" w:rsidRDefault="003B1A9E" w:rsidP="00C27AA9">
            <w:pPr>
              <w:pStyle w:val="TableText"/>
              <w:jc w:val="right"/>
              <w:cnfStyle w:val="000000100000" w:firstRow="0" w:lastRow="0" w:firstColumn="0" w:lastColumn="0" w:oddVBand="0" w:evenVBand="0" w:oddHBand="1" w:evenHBand="0" w:firstRowFirstColumn="0" w:firstRowLastColumn="0" w:lastRowFirstColumn="0" w:lastRowLastColumn="0"/>
            </w:pPr>
            <w:r>
              <w:t>270.9</w:t>
            </w:r>
          </w:p>
        </w:tc>
        <w:tc>
          <w:tcPr>
            <w:tcW w:w="885" w:type="dxa"/>
          </w:tcPr>
          <w:p w14:paraId="7FCBEAC2" w14:textId="262E0E6B" w:rsidR="003B1A9E" w:rsidRPr="00CD6245" w:rsidRDefault="003B1A9E" w:rsidP="00C27AA9">
            <w:pPr>
              <w:pStyle w:val="TableText"/>
              <w:jc w:val="right"/>
              <w:cnfStyle w:val="000000100000" w:firstRow="0" w:lastRow="0" w:firstColumn="0" w:lastColumn="0" w:oddVBand="0" w:evenVBand="0" w:oddHBand="1" w:evenHBand="0" w:firstRowFirstColumn="0" w:firstRowLastColumn="0" w:lastRowFirstColumn="0" w:lastRowLastColumn="0"/>
            </w:pPr>
            <w:r w:rsidRPr="00CD6245">
              <w:rPr>
                <w:color w:val="000000"/>
              </w:rPr>
              <w:t>37</w:t>
            </w:r>
          </w:p>
        </w:tc>
        <w:tc>
          <w:tcPr>
            <w:tcW w:w="1099" w:type="dxa"/>
          </w:tcPr>
          <w:p w14:paraId="4CFA1640" w14:textId="19C7A19D" w:rsidR="003B1A9E" w:rsidRPr="00CD6245" w:rsidRDefault="003B1A9E" w:rsidP="00C27AA9">
            <w:pPr>
              <w:pStyle w:val="TableText"/>
              <w:jc w:val="right"/>
              <w:cnfStyle w:val="000000100000" w:firstRow="0" w:lastRow="0" w:firstColumn="0" w:lastColumn="0" w:oddVBand="0" w:evenVBand="0" w:oddHBand="1" w:evenHBand="0" w:firstRowFirstColumn="0" w:firstRowLastColumn="0" w:lastRowFirstColumn="0" w:lastRowLastColumn="0"/>
            </w:pPr>
            <w:r>
              <w:rPr>
                <w:color w:val="000000"/>
              </w:rPr>
              <w:t>778.8</w:t>
            </w:r>
          </w:p>
        </w:tc>
        <w:tc>
          <w:tcPr>
            <w:tcW w:w="895" w:type="dxa"/>
          </w:tcPr>
          <w:p w14:paraId="3134862B" w14:textId="4501E2E4" w:rsidR="003B1A9E" w:rsidRPr="00881556" w:rsidRDefault="003B1A9E" w:rsidP="00C27AA9">
            <w:pPr>
              <w:pStyle w:val="Tablenumbers"/>
              <w:cnfStyle w:val="000000100000" w:firstRow="0" w:lastRow="0" w:firstColumn="0" w:lastColumn="0" w:oddVBand="0" w:evenVBand="0" w:oddHBand="1" w:evenHBand="0" w:firstRowFirstColumn="0" w:firstRowLastColumn="0" w:lastRowFirstColumn="0" w:lastRowLastColumn="0"/>
              <w:rPr>
                <w:rFonts w:cs="Calibri"/>
              </w:rPr>
            </w:pPr>
            <w:r w:rsidRPr="00881556">
              <w:rPr>
                <w:rFonts w:cs="Calibri"/>
              </w:rPr>
              <w:t>45</w:t>
            </w:r>
          </w:p>
        </w:tc>
        <w:tc>
          <w:tcPr>
            <w:tcW w:w="1090" w:type="dxa"/>
          </w:tcPr>
          <w:p w14:paraId="470BEF32" w14:textId="755FB85B" w:rsidR="003B1A9E" w:rsidRPr="00735E0F" w:rsidRDefault="003B1A9E" w:rsidP="00C27AA9">
            <w:pPr>
              <w:pStyle w:val="Tablenumbers"/>
              <w:cnfStyle w:val="000000100000" w:firstRow="0" w:lastRow="0" w:firstColumn="0" w:lastColumn="0" w:oddVBand="0" w:evenVBand="0" w:oddHBand="1" w:evenHBand="0" w:firstRowFirstColumn="0" w:firstRowLastColumn="0" w:lastRowFirstColumn="0" w:lastRowLastColumn="0"/>
            </w:pPr>
            <w:r>
              <w:t>537.2</w:t>
            </w:r>
          </w:p>
        </w:tc>
        <w:tc>
          <w:tcPr>
            <w:tcW w:w="885" w:type="dxa"/>
          </w:tcPr>
          <w:p w14:paraId="60051CC7" w14:textId="255108AC" w:rsidR="003B1A9E" w:rsidRPr="00C27AA9" w:rsidRDefault="003B1A9E" w:rsidP="00C27AA9">
            <w:pPr>
              <w:pStyle w:val="Tablenumbers"/>
              <w:cnfStyle w:val="000000100000" w:firstRow="0" w:lastRow="0" w:firstColumn="0" w:lastColumn="0" w:oddVBand="0" w:evenVBand="0" w:oddHBand="1" w:evenHBand="0" w:firstRowFirstColumn="0" w:firstRowLastColumn="0" w:lastRowFirstColumn="0" w:lastRowLastColumn="0"/>
              <w:rPr>
                <w:highlight w:val="yellow"/>
              </w:rPr>
            </w:pPr>
            <w:r w:rsidRPr="00C27AA9">
              <w:t>36</w:t>
            </w:r>
          </w:p>
        </w:tc>
        <w:tc>
          <w:tcPr>
            <w:tcW w:w="1100" w:type="dxa"/>
          </w:tcPr>
          <w:p w14:paraId="1893B8E1" w14:textId="466F431E" w:rsidR="003B1A9E" w:rsidRPr="00C27AA9" w:rsidRDefault="003B1A9E" w:rsidP="00C27AA9">
            <w:pPr>
              <w:pStyle w:val="Tablenumbers"/>
              <w:cnfStyle w:val="000000100000" w:firstRow="0" w:lastRow="0" w:firstColumn="0" w:lastColumn="0" w:oddVBand="0" w:evenVBand="0" w:oddHBand="1" w:evenHBand="0" w:firstRowFirstColumn="0" w:firstRowLastColumn="0" w:lastRowFirstColumn="0" w:lastRowLastColumn="0"/>
              <w:rPr>
                <w:highlight w:val="yellow"/>
              </w:rPr>
            </w:pPr>
            <w:r w:rsidRPr="00C27AA9">
              <w:t>254.2</w:t>
            </w:r>
          </w:p>
        </w:tc>
      </w:tr>
      <w:tr w:rsidR="003B1A9E" w:rsidRPr="00CD6245" w14:paraId="6E4874E6" w14:textId="76284156" w:rsidTr="0083666F">
        <w:tc>
          <w:tcPr>
            <w:cnfStyle w:val="001000000000" w:firstRow="0" w:lastRow="0" w:firstColumn="1" w:lastColumn="0" w:oddVBand="0" w:evenVBand="0" w:oddHBand="0" w:evenHBand="0" w:firstRowFirstColumn="0" w:firstRowLastColumn="0" w:lastRowFirstColumn="0" w:lastRowLastColumn="0"/>
            <w:tcW w:w="965" w:type="dxa"/>
          </w:tcPr>
          <w:p w14:paraId="5EC2DD80" w14:textId="77777777" w:rsidR="003B1A9E" w:rsidRPr="00546DF9" w:rsidRDefault="003B1A9E" w:rsidP="00C27AA9">
            <w:pPr>
              <w:pStyle w:val="TableText"/>
              <w:rPr>
                <w:b w:val="0"/>
              </w:rPr>
            </w:pPr>
            <w:r w:rsidRPr="00546DF9">
              <w:rPr>
                <w:b w:val="0"/>
              </w:rPr>
              <w:t>SPCs</w:t>
            </w:r>
          </w:p>
        </w:tc>
        <w:tc>
          <w:tcPr>
            <w:tcW w:w="885" w:type="dxa"/>
          </w:tcPr>
          <w:p w14:paraId="74B85F1F" w14:textId="1DD5BFA9" w:rsidR="003B1A9E" w:rsidRPr="00CD6245" w:rsidRDefault="003B1A9E" w:rsidP="00C27AA9">
            <w:pPr>
              <w:pStyle w:val="TableText"/>
              <w:jc w:val="right"/>
              <w:cnfStyle w:val="000000000000" w:firstRow="0" w:lastRow="0" w:firstColumn="0" w:lastColumn="0" w:oddVBand="0" w:evenVBand="0" w:oddHBand="0" w:evenHBand="0" w:firstRowFirstColumn="0" w:firstRowLastColumn="0" w:lastRowFirstColumn="0" w:lastRowLastColumn="0"/>
            </w:pPr>
            <w:r w:rsidRPr="00CD6245">
              <w:t>6</w:t>
            </w:r>
          </w:p>
        </w:tc>
        <w:tc>
          <w:tcPr>
            <w:tcW w:w="985" w:type="dxa"/>
          </w:tcPr>
          <w:p w14:paraId="6026307B" w14:textId="4203D907" w:rsidR="003B1A9E" w:rsidRPr="00CD6245" w:rsidRDefault="003B1A9E" w:rsidP="00C27AA9">
            <w:pPr>
              <w:pStyle w:val="TableText"/>
              <w:jc w:val="right"/>
              <w:cnfStyle w:val="000000000000" w:firstRow="0" w:lastRow="0" w:firstColumn="0" w:lastColumn="0" w:oddVBand="0" w:evenVBand="0" w:oddHBand="0" w:evenHBand="0" w:firstRowFirstColumn="0" w:firstRowLastColumn="0" w:lastRowFirstColumn="0" w:lastRowLastColumn="0"/>
            </w:pPr>
            <w:r>
              <w:t>658.6</w:t>
            </w:r>
          </w:p>
        </w:tc>
        <w:tc>
          <w:tcPr>
            <w:tcW w:w="885" w:type="dxa"/>
          </w:tcPr>
          <w:p w14:paraId="341EC137" w14:textId="25D767A9" w:rsidR="003B1A9E" w:rsidRPr="00CD6245" w:rsidRDefault="003B1A9E" w:rsidP="00C27AA9">
            <w:pPr>
              <w:pStyle w:val="TableText"/>
              <w:jc w:val="right"/>
              <w:cnfStyle w:val="000000000000" w:firstRow="0" w:lastRow="0" w:firstColumn="0" w:lastColumn="0" w:oddVBand="0" w:evenVBand="0" w:oddHBand="0" w:evenHBand="0" w:firstRowFirstColumn="0" w:firstRowLastColumn="0" w:lastRowFirstColumn="0" w:lastRowLastColumn="0"/>
            </w:pPr>
            <w:r w:rsidRPr="00CD6245">
              <w:rPr>
                <w:color w:val="000000"/>
              </w:rPr>
              <w:t>10</w:t>
            </w:r>
          </w:p>
        </w:tc>
        <w:tc>
          <w:tcPr>
            <w:tcW w:w="1099" w:type="dxa"/>
          </w:tcPr>
          <w:p w14:paraId="1AE72F5A" w14:textId="5B09F7C0" w:rsidR="003B1A9E" w:rsidRPr="00CD6245" w:rsidRDefault="003B1A9E" w:rsidP="00C27AA9">
            <w:pPr>
              <w:pStyle w:val="TableText"/>
              <w:jc w:val="right"/>
              <w:cnfStyle w:val="000000000000" w:firstRow="0" w:lastRow="0" w:firstColumn="0" w:lastColumn="0" w:oddVBand="0" w:evenVBand="0" w:oddHBand="0" w:evenHBand="0" w:firstRowFirstColumn="0" w:firstRowLastColumn="0" w:lastRowFirstColumn="0" w:lastRowLastColumn="0"/>
            </w:pPr>
            <w:r>
              <w:rPr>
                <w:color w:val="000000"/>
              </w:rPr>
              <w:t>720.6</w:t>
            </w:r>
          </w:p>
        </w:tc>
        <w:tc>
          <w:tcPr>
            <w:tcW w:w="895" w:type="dxa"/>
          </w:tcPr>
          <w:p w14:paraId="32105767" w14:textId="17E649CF" w:rsidR="003B1A9E" w:rsidRPr="00CD6245" w:rsidRDefault="003B1A9E" w:rsidP="00C27AA9">
            <w:pPr>
              <w:pStyle w:val="Tablenumbers"/>
              <w:cnfStyle w:val="000000000000" w:firstRow="0" w:lastRow="0" w:firstColumn="0" w:lastColumn="0" w:oddVBand="0" w:evenVBand="0" w:oddHBand="0" w:evenHBand="0" w:firstRowFirstColumn="0" w:firstRowLastColumn="0" w:lastRowFirstColumn="0" w:lastRowLastColumn="0"/>
            </w:pPr>
            <w:r>
              <w:rPr>
                <w:rFonts w:cs="Calibri"/>
              </w:rPr>
              <w:t>8</w:t>
            </w:r>
          </w:p>
        </w:tc>
        <w:tc>
          <w:tcPr>
            <w:tcW w:w="1090" w:type="dxa"/>
          </w:tcPr>
          <w:p w14:paraId="37F5DDBD" w14:textId="10003074" w:rsidR="003B1A9E" w:rsidRPr="00735E0F" w:rsidRDefault="003B1A9E" w:rsidP="00C27AA9">
            <w:pPr>
              <w:pStyle w:val="Tablenumbers"/>
              <w:cnfStyle w:val="000000000000" w:firstRow="0" w:lastRow="0" w:firstColumn="0" w:lastColumn="0" w:oddVBand="0" w:evenVBand="0" w:oddHBand="0" w:evenHBand="0" w:firstRowFirstColumn="0" w:firstRowLastColumn="0" w:lastRowFirstColumn="0" w:lastRowLastColumn="0"/>
            </w:pPr>
            <w:r>
              <w:t>408.8</w:t>
            </w:r>
          </w:p>
        </w:tc>
        <w:tc>
          <w:tcPr>
            <w:tcW w:w="885" w:type="dxa"/>
          </w:tcPr>
          <w:p w14:paraId="5EE2E9D7" w14:textId="6FE8F365" w:rsidR="003B1A9E" w:rsidRPr="00C27AA9" w:rsidRDefault="003B1A9E" w:rsidP="00C27AA9">
            <w:pPr>
              <w:pStyle w:val="Tablenumbers"/>
              <w:cnfStyle w:val="000000000000" w:firstRow="0" w:lastRow="0" w:firstColumn="0" w:lastColumn="0" w:oddVBand="0" w:evenVBand="0" w:oddHBand="0" w:evenHBand="0" w:firstRowFirstColumn="0" w:firstRowLastColumn="0" w:lastRowFirstColumn="0" w:lastRowLastColumn="0"/>
              <w:rPr>
                <w:highlight w:val="yellow"/>
              </w:rPr>
            </w:pPr>
            <w:r w:rsidRPr="00C27AA9">
              <w:t>9</w:t>
            </w:r>
          </w:p>
        </w:tc>
        <w:tc>
          <w:tcPr>
            <w:tcW w:w="1100" w:type="dxa"/>
          </w:tcPr>
          <w:p w14:paraId="015F89E4" w14:textId="081108CD" w:rsidR="003B1A9E" w:rsidRPr="00C27AA9" w:rsidRDefault="003B1A9E" w:rsidP="00C27AA9">
            <w:pPr>
              <w:pStyle w:val="Tablenumbers"/>
              <w:cnfStyle w:val="000000000000" w:firstRow="0" w:lastRow="0" w:firstColumn="0" w:lastColumn="0" w:oddVBand="0" w:evenVBand="0" w:oddHBand="0" w:evenHBand="0" w:firstRowFirstColumn="0" w:firstRowLastColumn="0" w:lastRowFirstColumn="0" w:lastRowLastColumn="0"/>
              <w:rPr>
                <w:highlight w:val="yellow"/>
              </w:rPr>
            </w:pPr>
            <w:r w:rsidRPr="00C27AA9">
              <w:t>1 241.2</w:t>
            </w:r>
          </w:p>
        </w:tc>
      </w:tr>
      <w:tr w:rsidR="003B1A9E" w:rsidRPr="00546DF9" w14:paraId="41E93EC2" w14:textId="493996DE" w:rsidTr="008366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5" w:type="dxa"/>
          </w:tcPr>
          <w:p w14:paraId="6CB98234" w14:textId="77777777" w:rsidR="003B1A9E" w:rsidRPr="00546DF9" w:rsidRDefault="003B1A9E" w:rsidP="00C27AA9">
            <w:pPr>
              <w:pStyle w:val="TableText"/>
            </w:pPr>
            <w:r w:rsidRPr="00546DF9">
              <w:t>Totals</w:t>
            </w:r>
          </w:p>
        </w:tc>
        <w:tc>
          <w:tcPr>
            <w:tcW w:w="885" w:type="dxa"/>
          </w:tcPr>
          <w:p w14:paraId="23C4FF67" w14:textId="5CAC3429" w:rsidR="003B1A9E" w:rsidRPr="00546DF9" w:rsidRDefault="003B1A9E" w:rsidP="00C27AA9">
            <w:pPr>
              <w:pStyle w:val="TableText"/>
              <w:jc w:val="right"/>
              <w:cnfStyle w:val="000000100000" w:firstRow="0" w:lastRow="0" w:firstColumn="0" w:lastColumn="0" w:oddVBand="0" w:evenVBand="0" w:oddHBand="1" w:evenHBand="0" w:firstRowFirstColumn="0" w:firstRowLastColumn="0" w:lastRowFirstColumn="0" w:lastRowLastColumn="0"/>
              <w:rPr>
                <w:b/>
              </w:rPr>
            </w:pPr>
            <w:r w:rsidRPr="00546DF9">
              <w:rPr>
                <w:b/>
              </w:rPr>
              <w:t>673</w:t>
            </w:r>
          </w:p>
        </w:tc>
        <w:tc>
          <w:tcPr>
            <w:tcW w:w="985" w:type="dxa"/>
          </w:tcPr>
          <w:p w14:paraId="5786C54B" w14:textId="37F92AB0" w:rsidR="003B1A9E" w:rsidRPr="00546DF9" w:rsidRDefault="003B1A9E" w:rsidP="00C27AA9">
            <w:pPr>
              <w:pStyle w:val="TableText"/>
              <w:jc w:val="right"/>
              <w:cnfStyle w:val="000000100000" w:firstRow="0" w:lastRow="0" w:firstColumn="0" w:lastColumn="0" w:oddVBand="0" w:evenVBand="0" w:oddHBand="1" w:evenHBand="0" w:firstRowFirstColumn="0" w:firstRowLastColumn="0" w:lastRowFirstColumn="0" w:lastRowLastColumn="0"/>
              <w:rPr>
                <w:b/>
              </w:rPr>
            </w:pPr>
            <w:r w:rsidRPr="00546DF9">
              <w:rPr>
                <w:b/>
              </w:rPr>
              <w:t>1 621.9</w:t>
            </w:r>
          </w:p>
        </w:tc>
        <w:tc>
          <w:tcPr>
            <w:tcW w:w="885" w:type="dxa"/>
          </w:tcPr>
          <w:p w14:paraId="684BB4E5" w14:textId="3551EF90" w:rsidR="003B1A9E" w:rsidRPr="00546DF9" w:rsidRDefault="003B1A9E" w:rsidP="00C27AA9">
            <w:pPr>
              <w:pStyle w:val="TableText"/>
              <w:jc w:val="right"/>
              <w:cnfStyle w:val="000000100000" w:firstRow="0" w:lastRow="0" w:firstColumn="0" w:lastColumn="0" w:oddVBand="0" w:evenVBand="0" w:oddHBand="1" w:evenHBand="0" w:firstRowFirstColumn="0" w:firstRowLastColumn="0" w:lastRowFirstColumn="0" w:lastRowLastColumn="0"/>
              <w:rPr>
                <w:b/>
              </w:rPr>
            </w:pPr>
            <w:r w:rsidRPr="00546DF9">
              <w:rPr>
                <w:b/>
                <w:color w:val="000000"/>
              </w:rPr>
              <w:t>790</w:t>
            </w:r>
          </w:p>
        </w:tc>
        <w:tc>
          <w:tcPr>
            <w:tcW w:w="1099" w:type="dxa"/>
          </w:tcPr>
          <w:p w14:paraId="3B67AF8D" w14:textId="1BC71CD9" w:rsidR="003B1A9E" w:rsidRPr="00546DF9" w:rsidRDefault="003B1A9E" w:rsidP="00C27AA9">
            <w:pPr>
              <w:pStyle w:val="TableText"/>
              <w:jc w:val="right"/>
              <w:cnfStyle w:val="000000100000" w:firstRow="0" w:lastRow="0" w:firstColumn="0" w:lastColumn="0" w:oddVBand="0" w:evenVBand="0" w:oddHBand="1" w:evenHBand="0" w:firstRowFirstColumn="0" w:firstRowLastColumn="0" w:lastRowFirstColumn="0" w:lastRowLastColumn="0"/>
              <w:rPr>
                <w:b/>
              </w:rPr>
            </w:pPr>
            <w:r w:rsidRPr="00546DF9">
              <w:rPr>
                <w:b/>
                <w:color w:val="000000"/>
              </w:rPr>
              <w:t>2 414.9</w:t>
            </w:r>
          </w:p>
        </w:tc>
        <w:tc>
          <w:tcPr>
            <w:tcW w:w="895" w:type="dxa"/>
          </w:tcPr>
          <w:p w14:paraId="13C67F74" w14:textId="4EAD5289" w:rsidR="003B1A9E" w:rsidRPr="00546DF9" w:rsidRDefault="003B1A9E" w:rsidP="00C27AA9">
            <w:pPr>
              <w:pStyle w:val="TableText"/>
              <w:jc w:val="right"/>
              <w:cnfStyle w:val="000000100000" w:firstRow="0" w:lastRow="0" w:firstColumn="0" w:lastColumn="0" w:oddVBand="0" w:evenVBand="0" w:oddHBand="1" w:evenHBand="0" w:firstRowFirstColumn="0" w:firstRowLastColumn="0" w:lastRowFirstColumn="0" w:lastRowLastColumn="0"/>
              <w:rPr>
                <w:b/>
                <w:color w:val="000000"/>
              </w:rPr>
            </w:pPr>
            <w:r w:rsidRPr="00546DF9">
              <w:rPr>
                <w:b/>
                <w:color w:val="000000"/>
              </w:rPr>
              <w:t>1 005</w:t>
            </w:r>
          </w:p>
        </w:tc>
        <w:tc>
          <w:tcPr>
            <w:tcW w:w="1090" w:type="dxa"/>
          </w:tcPr>
          <w:p w14:paraId="411446B4" w14:textId="3D992080" w:rsidR="003B1A9E" w:rsidRPr="00546DF9" w:rsidRDefault="003B1A9E" w:rsidP="00C27AA9">
            <w:pPr>
              <w:pStyle w:val="Tablenumbers"/>
              <w:cnfStyle w:val="000000100000" w:firstRow="0" w:lastRow="0" w:firstColumn="0" w:lastColumn="0" w:oddVBand="0" w:evenVBand="0" w:oddHBand="1" w:evenHBand="0" w:firstRowFirstColumn="0" w:firstRowLastColumn="0" w:lastRowFirstColumn="0" w:lastRowLastColumn="0"/>
              <w:rPr>
                <w:b/>
              </w:rPr>
            </w:pPr>
            <w:r w:rsidRPr="00546DF9">
              <w:rPr>
                <w:b/>
              </w:rPr>
              <w:t>2 083.8</w:t>
            </w:r>
          </w:p>
        </w:tc>
        <w:tc>
          <w:tcPr>
            <w:tcW w:w="885" w:type="dxa"/>
          </w:tcPr>
          <w:p w14:paraId="07B19A2F" w14:textId="2AAFF184" w:rsidR="003B1A9E" w:rsidRPr="00546DF9" w:rsidRDefault="003B1A9E" w:rsidP="00C27AA9">
            <w:pPr>
              <w:pStyle w:val="Tablenumbers"/>
              <w:cnfStyle w:val="000000100000" w:firstRow="0" w:lastRow="0" w:firstColumn="0" w:lastColumn="0" w:oddVBand="0" w:evenVBand="0" w:oddHBand="1" w:evenHBand="0" w:firstRowFirstColumn="0" w:firstRowLastColumn="0" w:lastRowFirstColumn="0" w:lastRowLastColumn="0"/>
              <w:rPr>
                <w:b/>
                <w:highlight w:val="yellow"/>
              </w:rPr>
            </w:pPr>
            <w:r w:rsidRPr="00546DF9">
              <w:rPr>
                <w:b/>
              </w:rPr>
              <w:t>1</w:t>
            </w:r>
            <w:r w:rsidR="00265112">
              <w:rPr>
                <w:b/>
              </w:rPr>
              <w:t> </w:t>
            </w:r>
            <w:r w:rsidRPr="00546DF9">
              <w:rPr>
                <w:b/>
              </w:rPr>
              <w:t>197</w:t>
            </w:r>
          </w:p>
        </w:tc>
        <w:tc>
          <w:tcPr>
            <w:tcW w:w="1100" w:type="dxa"/>
          </w:tcPr>
          <w:p w14:paraId="415D8E7A" w14:textId="41E4F829" w:rsidR="003B1A9E" w:rsidRPr="00546DF9" w:rsidRDefault="003B1A9E" w:rsidP="00C27AA9">
            <w:pPr>
              <w:pStyle w:val="Tablenumbers"/>
              <w:cnfStyle w:val="000000100000" w:firstRow="0" w:lastRow="0" w:firstColumn="0" w:lastColumn="0" w:oddVBand="0" w:evenVBand="0" w:oddHBand="1" w:evenHBand="0" w:firstRowFirstColumn="0" w:firstRowLastColumn="0" w:lastRowFirstColumn="0" w:lastRowLastColumn="0"/>
              <w:rPr>
                <w:b/>
                <w:highlight w:val="yellow"/>
              </w:rPr>
            </w:pPr>
            <w:r w:rsidRPr="00546DF9">
              <w:rPr>
                <w:b/>
              </w:rPr>
              <w:t>3 011.2</w:t>
            </w:r>
          </w:p>
        </w:tc>
      </w:tr>
    </w:tbl>
    <w:p w14:paraId="2C196A60" w14:textId="7F640CFD" w:rsidR="007C2609" w:rsidRPr="007457E1" w:rsidRDefault="007C2609" w:rsidP="005B2E7F">
      <w:pPr>
        <w:pStyle w:val="Tablenotes"/>
        <w:ind w:left="709" w:firstLine="0"/>
      </w:pPr>
      <w:r w:rsidRPr="007457E1">
        <w:t>Note: The increase in one-off supp</w:t>
      </w:r>
      <w:r w:rsidR="000376FB" w:rsidRPr="007457E1">
        <w:t>ly approvals in 201</w:t>
      </w:r>
      <w:r w:rsidR="008E1ACC" w:rsidRPr="007457E1">
        <w:t>7–18</w:t>
      </w:r>
      <w:r w:rsidRPr="007457E1">
        <w:t xml:space="preserve"> compared to previous years can be partly attributed to the </w:t>
      </w:r>
      <w:r w:rsidR="00D544FC" w:rsidRPr="007457E1">
        <w:t>increase in organisations reporting to the VGPB, better data capture and yearly variations in SEPC and SPC contract approvals.</w:t>
      </w:r>
    </w:p>
    <w:p w14:paraId="0AF7ECAE" w14:textId="6D21903B" w:rsidR="002A12F9" w:rsidRPr="007457E1" w:rsidRDefault="002A12F9" w:rsidP="002A12F9">
      <w:pPr>
        <w:pStyle w:val="Normal1"/>
      </w:pPr>
      <w:r w:rsidRPr="007457E1">
        <w:t xml:space="preserve">The number and value of contract approvals has shown an upward trend over the past </w:t>
      </w:r>
      <w:r w:rsidR="00D4584B">
        <w:t>four</w:t>
      </w:r>
      <w:r w:rsidR="00D4584B" w:rsidRPr="007457E1">
        <w:t xml:space="preserve"> </w:t>
      </w:r>
      <w:r w:rsidRPr="007457E1">
        <w:t>years.</w:t>
      </w:r>
    </w:p>
    <w:p w14:paraId="643F8741" w14:textId="1BD88073" w:rsidR="002A12F9" w:rsidRPr="007457E1" w:rsidRDefault="002A12F9" w:rsidP="002A12F9">
      <w:pPr>
        <w:pStyle w:val="Normal1"/>
        <w:rPr>
          <w:rStyle w:val="NormalChar"/>
        </w:rPr>
      </w:pPr>
      <w:r w:rsidRPr="007457E1">
        <w:rPr>
          <w:rStyle w:val="NormalChar"/>
        </w:rPr>
        <w:t>The increase over time can be partly attributed to bringing more organisations under the scope of the VGPB. VicRoads began reporting from 1 July 2015, P</w:t>
      </w:r>
      <w:r w:rsidR="00854DBF">
        <w:rPr>
          <w:rStyle w:val="NormalChar"/>
        </w:rPr>
        <w:t xml:space="preserve">ublic </w:t>
      </w:r>
      <w:r w:rsidRPr="007457E1">
        <w:rPr>
          <w:rStyle w:val="NormalChar"/>
        </w:rPr>
        <w:t>T</w:t>
      </w:r>
      <w:r w:rsidR="00854DBF">
        <w:rPr>
          <w:rStyle w:val="NormalChar"/>
        </w:rPr>
        <w:t xml:space="preserve">ransport </w:t>
      </w:r>
      <w:r w:rsidRPr="007457E1">
        <w:rPr>
          <w:rStyle w:val="NormalChar"/>
        </w:rPr>
        <w:t>V</w:t>
      </w:r>
      <w:r w:rsidR="00854DBF">
        <w:rPr>
          <w:rStyle w:val="NormalChar"/>
        </w:rPr>
        <w:t>ictoria</w:t>
      </w:r>
      <w:r w:rsidRPr="007457E1">
        <w:rPr>
          <w:rStyle w:val="NormalChar"/>
        </w:rPr>
        <w:t xml:space="preserve"> from 1</w:t>
      </w:r>
      <w:r w:rsidR="00BA64F8">
        <w:rPr>
          <w:rStyle w:val="NormalChar"/>
        </w:rPr>
        <w:t> </w:t>
      </w:r>
      <w:r w:rsidRPr="007457E1">
        <w:rPr>
          <w:rStyle w:val="NormalChar"/>
        </w:rPr>
        <w:t>January</w:t>
      </w:r>
      <w:r w:rsidR="00BA64F8">
        <w:rPr>
          <w:rStyle w:val="NormalChar"/>
        </w:rPr>
        <w:t> </w:t>
      </w:r>
      <w:r w:rsidRPr="007457E1">
        <w:rPr>
          <w:rStyle w:val="NormalChar"/>
        </w:rPr>
        <w:t xml:space="preserve">2017 and </w:t>
      </w:r>
      <w:r w:rsidR="00820DB7">
        <w:rPr>
          <w:rStyle w:val="NormalChar"/>
        </w:rPr>
        <w:t>CenITex</w:t>
      </w:r>
      <w:r w:rsidRPr="007457E1">
        <w:rPr>
          <w:rStyle w:val="NormalChar"/>
        </w:rPr>
        <w:t xml:space="preserve"> from 1 July 2017 following their successful accreditation to VGPB supply policies.</w:t>
      </w:r>
    </w:p>
    <w:p w14:paraId="10C438F1" w14:textId="11032D87" w:rsidR="00B56883" w:rsidRDefault="00B56883" w:rsidP="00B56883">
      <w:pPr>
        <w:pStyle w:val="Normal1"/>
        <w:rPr>
          <w:b/>
          <w:color w:val="4D4D4D"/>
          <w:kern w:val="28"/>
          <w:lang w:eastAsia="en-US"/>
        </w:rPr>
      </w:pPr>
      <w:r w:rsidRPr="007457E1">
        <w:t>As can be seen from</w:t>
      </w:r>
      <w:r>
        <w:t xml:space="preserve"> </w:t>
      </w:r>
      <w:r>
        <w:fldChar w:fldCharType="begin"/>
      </w:r>
      <w:r>
        <w:instrText xml:space="preserve"> REF _Ref451521058 \h </w:instrText>
      </w:r>
      <w:r>
        <w:fldChar w:fldCharType="separate"/>
      </w:r>
      <w:r w:rsidR="00A07703" w:rsidRPr="00CD6245">
        <w:t xml:space="preserve">Table </w:t>
      </w:r>
      <w:r w:rsidR="00A07703">
        <w:rPr>
          <w:noProof/>
        </w:rPr>
        <w:t>4</w:t>
      </w:r>
      <w:r>
        <w:fldChar w:fldCharType="end"/>
      </w:r>
      <w:r w:rsidRPr="007457E1">
        <w:t>, the total value of SEPCs is lower than the past two years, whereas the value of SPCs is much higher than previous years. This is due to the four high-</w:t>
      </w:r>
      <w:r w:rsidR="00BA64F8">
        <w:t xml:space="preserve">value </w:t>
      </w:r>
      <w:r w:rsidRPr="007457E1">
        <w:t xml:space="preserve">SPCs refreshed or re-established </w:t>
      </w:r>
      <w:r w:rsidR="00BA64F8">
        <w:t xml:space="preserve">by the Department of Treasury and Finance in 2017–18, as mentioned </w:t>
      </w:r>
      <w:r w:rsidR="00686733">
        <w:t>previously</w:t>
      </w:r>
      <w:r w:rsidR="00BA64F8">
        <w:t xml:space="preserve"> and </w:t>
      </w:r>
      <w:r w:rsidRPr="007457E1">
        <w:t xml:space="preserve">listed in </w:t>
      </w:r>
      <w:r w:rsidRPr="007457E1">
        <w:fldChar w:fldCharType="begin"/>
      </w:r>
      <w:r w:rsidRPr="007457E1">
        <w:instrText xml:space="preserve"> REF _Ref425499231 \h  \* MERGEFORMAT </w:instrText>
      </w:r>
      <w:r w:rsidRPr="007457E1">
        <w:fldChar w:fldCharType="separate"/>
      </w:r>
      <w:r w:rsidR="00A07703" w:rsidRPr="00CD6245">
        <w:t xml:space="preserve">Table </w:t>
      </w:r>
      <w:r w:rsidR="00A07703">
        <w:rPr>
          <w:noProof/>
        </w:rPr>
        <w:t>15</w:t>
      </w:r>
      <w:r w:rsidRPr="007457E1">
        <w:fldChar w:fldCharType="end"/>
      </w:r>
      <w:r w:rsidRPr="007457E1">
        <w:t>.</w:t>
      </w:r>
    </w:p>
    <w:p w14:paraId="7434C3B8" w14:textId="6F286818" w:rsidR="002A12F9" w:rsidRPr="007457E1" w:rsidRDefault="00C54E7E" w:rsidP="002A12F9">
      <w:pPr>
        <w:pStyle w:val="Normal1"/>
        <w:rPr>
          <w:rStyle w:val="NormalChar"/>
        </w:rPr>
      </w:pPr>
      <w:r>
        <w:rPr>
          <w:rStyle w:val="NormalChar"/>
        </w:rPr>
        <w:t>T</w:t>
      </w:r>
      <w:r w:rsidR="002A12F9" w:rsidRPr="007457E1">
        <w:rPr>
          <w:rStyle w:val="NormalChar"/>
        </w:rPr>
        <w:t xml:space="preserve">he number and value of SEPC and SPC approvals </w:t>
      </w:r>
      <w:r>
        <w:rPr>
          <w:rStyle w:val="NormalChar"/>
        </w:rPr>
        <w:t xml:space="preserve">will </w:t>
      </w:r>
      <w:r w:rsidR="00E13115">
        <w:rPr>
          <w:rStyle w:val="NormalChar"/>
        </w:rPr>
        <w:t xml:space="preserve">also </w:t>
      </w:r>
      <w:r w:rsidR="002A12F9" w:rsidRPr="007457E1">
        <w:rPr>
          <w:rStyle w:val="NormalChar"/>
        </w:rPr>
        <w:t>var</w:t>
      </w:r>
      <w:r>
        <w:rPr>
          <w:rStyle w:val="NormalChar"/>
        </w:rPr>
        <w:t>y</w:t>
      </w:r>
      <w:r w:rsidR="002A12F9" w:rsidRPr="007457E1">
        <w:rPr>
          <w:rStyle w:val="NormalChar"/>
        </w:rPr>
        <w:t xml:space="preserve"> from year to year based on the specific procurement projects that need to be carried out in any given year, and/or the expiry and need for renewal of SEPCs and SPCs. SEPCs and SPCs may run over multiple years and the value reported here is the total estimated value over the life of the contract, not just for one year.</w:t>
      </w:r>
    </w:p>
    <w:p w14:paraId="72FF915D" w14:textId="01F189C2" w:rsidR="002A12F9" w:rsidRDefault="002A12F9" w:rsidP="00C27AA9">
      <w:pPr>
        <w:pStyle w:val="Heading3NoNum"/>
      </w:pPr>
      <w:bookmarkStart w:id="65" w:name="_Hlk521251284"/>
      <w:r>
        <w:lastRenderedPageBreak/>
        <w:t>Trends at a glance</w:t>
      </w:r>
    </w:p>
    <w:p w14:paraId="2A3E7C58" w14:textId="08C4259B" w:rsidR="00E117EC" w:rsidRDefault="00E117EC" w:rsidP="00E117EC">
      <w:pPr>
        <w:pStyle w:val="Caption"/>
      </w:pPr>
      <w:bookmarkStart w:id="66" w:name="_Toc524354043"/>
      <w:r>
        <w:t xml:space="preserve">Figure </w:t>
      </w:r>
      <w:r w:rsidR="00EB5FC6">
        <w:rPr>
          <w:noProof/>
        </w:rPr>
        <w:fldChar w:fldCharType="begin"/>
      </w:r>
      <w:r w:rsidR="00EB5FC6">
        <w:rPr>
          <w:noProof/>
        </w:rPr>
        <w:instrText xml:space="preserve"> SEQ Figure \* ARABIC </w:instrText>
      </w:r>
      <w:r w:rsidR="00EB5FC6">
        <w:rPr>
          <w:noProof/>
        </w:rPr>
        <w:fldChar w:fldCharType="separate"/>
      </w:r>
      <w:r w:rsidR="00A07703">
        <w:rPr>
          <w:noProof/>
        </w:rPr>
        <w:t>4</w:t>
      </w:r>
      <w:r w:rsidR="00EB5FC6">
        <w:rPr>
          <w:noProof/>
        </w:rPr>
        <w:fldChar w:fldCharType="end"/>
      </w:r>
      <w:r>
        <w:t>: Trends in number and value of contract approvals from 201</w:t>
      </w:r>
      <w:r w:rsidR="003B1A9E">
        <w:t>4–15</w:t>
      </w:r>
      <w:r>
        <w:t xml:space="preserve"> to 2017–18</w:t>
      </w:r>
      <w:bookmarkEnd w:id="66"/>
    </w:p>
    <w:p w14:paraId="14D50EC4" w14:textId="5AACBA8A" w:rsidR="0024020B" w:rsidRDefault="003B1A9E" w:rsidP="0024020B">
      <w:pPr>
        <w:ind w:left="851"/>
      </w:pPr>
      <w:r>
        <w:rPr>
          <w:noProof/>
          <w:lang w:val="en-US" w:eastAsia="en-US"/>
        </w:rPr>
        <w:drawing>
          <wp:inline distT="0" distB="0" distL="0" distR="0" wp14:anchorId="2F7D157A" wp14:editId="6B127F86">
            <wp:extent cx="5191125" cy="2638425"/>
            <wp:effectExtent l="0" t="0" r="9525" b="9525"/>
            <wp:docPr id="97" name="Chart 97">
              <a:extLst xmlns:a="http://schemas.openxmlformats.org/drawingml/2006/main">
                <a:ext uri="{FF2B5EF4-FFF2-40B4-BE49-F238E27FC236}">
                  <a16:creationId xmlns:a16="http://schemas.microsoft.com/office/drawing/2014/main" id="{0B83C1FB-560F-4126-B588-978C93F860D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39325968" w14:textId="6D6E5619" w:rsidR="0024020B" w:rsidRPr="0024020B" w:rsidRDefault="003B1A9E" w:rsidP="0024020B">
      <w:pPr>
        <w:ind w:left="851"/>
      </w:pPr>
      <w:r>
        <w:rPr>
          <w:noProof/>
          <w:lang w:val="en-US" w:eastAsia="en-US"/>
        </w:rPr>
        <w:drawing>
          <wp:inline distT="0" distB="0" distL="0" distR="0" wp14:anchorId="3CE9F4AB" wp14:editId="259563F8">
            <wp:extent cx="5181600" cy="2981325"/>
            <wp:effectExtent l="0" t="0" r="0" b="9525"/>
            <wp:docPr id="98" name="Chart 98">
              <a:extLst xmlns:a="http://schemas.openxmlformats.org/drawingml/2006/main">
                <a:ext uri="{FF2B5EF4-FFF2-40B4-BE49-F238E27FC236}">
                  <a16:creationId xmlns:a16="http://schemas.microsoft.com/office/drawing/2014/main" id="{2AE56AA6-C4D6-4044-B5F2-7B2BED7B3FC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bookmarkEnd w:id="65"/>
    <w:p w14:paraId="0206631E" w14:textId="77777777" w:rsidR="005F548E" w:rsidRDefault="005F548E">
      <w:pPr>
        <w:rPr>
          <w:rFonts w:ascii="Calibri" w:hAnsi="Calibri" w:cs="Calibri"/>
          <w:color w:val="4D4D4D"/>
          <w:kern w:val="28"/>
          <w:sz w:val="30"/>
          <w:szCs w:val="22"/>
          <w:lang w:eastAsia="en-US"/>
        </w:rPr>
      </w:pPr>
      <w:r>
        <w:br w:type="page"/>
      </w:r>
    </w:p>
    <w:p w14:paraId="3F23789B" w14:textId="2C52DD74" w:rsidR="00FD5CAC" w:rsidRPr="00CD6245" w:rsidRDefault="002A12F9" w:rsidP="000376FB">
      <w:pPr>
        <w:pStyle w:val="Heading2NoNum"/>
      </w:pPr>
      <w:bookmarkStart w:id="67" w:name="_Toc524354067"/>
      <w:r>
        <w:lastRenderedPageBreak/>
        <w:t>O</w:t>
      </w:r>
      <w:r w:rsidR="00FD5CAC" w:rsidRPr="00CD6245">
        <w:t>ne-off supply contracts</w:t>
      </w:r>
      <w:bookmarkEnd w:id="67"/>
    </w:p>
    <w:p w14:paraId="13BE5FAA" w14:textId="3194F7CF" w:rsidR="00756746" w:rsidRDefault="00FD5CAC" w:rsidP="00E41631">
      <w:pPr>
        <w:pStyle w:val="Normal1"/>
      </w:pPr>
      <w:r w:rsidRPr="00CD6245">
        <w:rPr>
          <w:lang w:eastAsia="en-US"/>
        </w:rPr>
        <w:t xml:space="preserve">In </w:t>
      </w:r>
      <w:r>
        <w:rPr>
          <w:lang w:eastAsia="en-US"/>
        </w:rPr>
        <w:t>20</w:t>
      </w:r>
      <w:r w:rsidR="002A12F9">
        <w:rPr>
          <w:lang w:eastAsia="en-US"/>
        </w:rPr>
        <w:t>17–18</w:t>
      </w:r>
      <w:r w:rsidRPr="00CD6245">
        <w:rPr>
          <w:lang w:eastAsia="en-US"/>
        </w:rPr>
        <w:t>, organisations reporte</w:t>
      </w:r>
      <w:r w:rsidRPr="00FD7FAE">
        <w:rPr>
          <w:lang w:eastAsia="en-US"/>
        </w:rPr>
        <w:t xml:space="preserve">d </w:t>
      </w:r>
      <w:r w:rsidR="002A12F9" w:rsidRPr="00FD7FAE">
        <w:rPr>
          <w:lang w:eastAsia="en-US"/>
        </w:rPr>
        <w:t>1 1</w:t>
      </w:r>
      <w:r w:rsidR="00FD7FAE" w:rsidRPr="00FD7FAE">
        <w:rPr>
          <w:lang w:eastAsia="en-US"/>
        </w:rPr>
        <w:t>52</w:t>
      </w:r>
      <w:r w:rsidR="008E1ACC" w:rsidRPr="00FD7FAE">
        <w:rPr>
          <w:lang w:eastAsia="en-US"/>
        </w:rPr>
        <w:t xml:space="preserve"> </w:t>
      </w:r>
      <w:r w:rsidRPr="00FD7FAE">
        <w:t>o</w:t>
      </w:r>
      <w:r w:rsidRPr="00CD6245">
        <w:t xml:space="preserve">ne-off supply </w:t>
      </w:r>
      <w:r w:rsidR="00FD7FAE">
        <w:rPr>
          <w:lang w:eastAsia="en-US"/>
        </w:rPr>
        <w:t>contract</w:t>
      </w:r>
      <w:r w:rsidRPr="00CD6245">
        <w:rPr>
          <w:lang w:eastAsia="en-US"/>
        </w:rPr>
        <w:t xml:space="preserve"> </w:t>
      </w:r>
      <w:r w:rsidRPr="00CD6245">
        <w:t xml:space="preserve">approvals valued at </w:t>
      </w:r>
      <w:r w:rsidR="00E41631">
        <w:br/>
      </w:r>
      <w:r w:rsidR="002A12F9" w:rsidRPr="006628E6">
        <w:t>$1 5</w:t>
      </w:r>
      <w:r w:rsidR="00FD7FAE" w:rsidRPr="006628E6">
        <w:t>16</w:t>
      </w:r>
      <w:r w:rsidRPr="006628E6">
        <w:t xml:space="preserve"> million</w:t>
      </w:r>
      <w:r w:rsidRPr="00CD6245">
        <w:t xml:space="preserve">. </w:t>
      </w:r>
      <w:r w:rsidR="009B74A3">
        <w:t xml:space="preserve">Overall, </w:t>
      </w:r>
      <w:r w:rsidR="002A12F9">
        <w:t>15.5</w:t>
      </w:r>
      <w:r w:rsidR="00321A38">
        <w:t xml:space="preserve"> </w:t>
      </w:r>
      <w:r w:rsidRPr="00CD6245">
        <w:t>per cent of one-off supply approvals were</w:t>
      </w:r>
      <w:r w:rsidR="00E41631">
        <w:t xml:space="preserve"> f</w:t>
      </w:r>
      <w:r w:rsidR="009B74A3">
        <w:t xml:space="preserve">or procurement of goods and </w:t>
      </w:r>
      <w:r w:rsidR="002A12F9">
        <w:t>84.5</w:t>
      </w:r>
      <w:r w:rsidRPr="00CD6245">
        <w:t> per cent for services</w:t>
      </w:r>
      <w:r w:rsidR="00265112">
        <w:t>.</w:t>
      </w:r>
    </w:p>
    <w:p w14:paraId="1CD373C4" w14:textId="388C0F54" w:rsidR="00FD5CAC" w:rsidRDefault="00FD5CAC" w:rsidP="00E41631">
      <w:pPr>
        <w:pStyle w:val="Normal1"/>
      </w:pPr>
      <w:r w:rsidRPr="00CD6245">
        <w:t>This compares t</w:t>
      </w:r>
      <w:r w:rsidR="00321A38">
        <w:t xml:space="preserve">o </w:t>
      </w:r>
      <w:r w:rsidR="008E1ACC">
        <w:t xml:space="preserve">952 </w:t>
      </w:r>
      <w:r w:rsidRPr="00CD6245">
        <w:t>one-off supply</w:t>
      </w:r>
      <w:r w:rsidR="006628E6">
        <w:t xml:space="preserve"> contract</w:t>
      </w:r>
      <w:r w:rsidRPr="00CD6245">
        <w:t xml:space="preserve"> approvals in </w:t>
      </w:r>
      <w:r w:rsidR="008E1ACC">
        <w:rPr>
          <w:lang w:eastAsia="en-US"/>
        </w:rPr>
        <w:t>2016–17</w:t>
      </w:r>
      <w:r w:rsidR="009B74A3">
        <w:t xml:space="preserve"> valued at </w:t>
      </w:r>
      <w:r w:rsidR="008E1ACC" w:rsidRPr="00CD6245">
        <w:t>$</w:t>
      </w:r>
      <w:r w:rsidR="008E1ACC">
        <w:t xml:space="preserve">1 138 </w:t>
      </w:r>
      <w:r w:rsidR="008E1ACC" w:rsidRPr="00CD6245">
        <w:t>million</w:t>
      </w:r>
      <w:r w:rsidRPr="00CD6245">
        <w:t>.</w:t>
      </w:r>
    </w:p>
    <w:p w14:paraId="770CECB5" w14:textId="487B69A8" w:rsidR="00FD5CAC" w:rsidRPr="00CD6245" w:rsidRDefault="00321A38" w:rsidP="00E41631">
      <w:pPr>
        <w:pStyle w:val="Normal1"/>
      </w:pPr>
      <w:r>
        <w:fldChar w:fldCharType="begin"/>
      </w:r>
      <w:r>
        <w:instrText xml:space="preserve"> REF _Ref425585681 \h </w:instrText>
      </w:r>
      <w:r>
        <w:fldChar w:fldCharType="separate"/>
      </w:r>
      <w:r w:rsidR="00A07703" w:rsidRPr="00381BB6">
        <w:t xml:space="preserve">Table </w:t>
      </w:r>
      <w:r w:rsidR="00A07703">
        <w:rPr>
          <w:noProof/>
        </w:rPr>
        <w:t>5</w:t>
      </w:r>
      <w:r>
        <w:fldChar w:fldCharType="end"/>
      </w:r>
      <w:r w:rsidR="00FD5CAC" w:rsidRPr="00CD6245">
        <w:t xml:space="preserve"> show</w:t>
      </w:r>
      <w:r w:rsidR="00E41631">
        <w:t>s</w:t>
      </w:r>
      <w:r w:rsidR="00FD5CAC" w:rsidRPr="00CD6245">
        <w:t xml:space="preserve"> the number and value of one-off supply approvals by organisation and by goods and services.</w:t>
      </w:r>
    </w:p>
    <w:p w14:paraId="45E1D909" w14:textId="091F047B" w:rsidR="00FD5CAC" w:rsidRPr="00381BB6" w:rsidRDefault="00FD5CAC" w:rsidP="00FD5CAC">
      <w:pPr>
        <w:pStyle w:val="Caption"/>
      </w:pPr>
      <w:bookmarkStart w:id="68" w:name="_Ref425585681"/>
      <w:bookmarkStart w:id="69" w:name="_Toc524353998"/>
      <w:r w:rsidRPr="00381BB6">
        <w:t xml:space="preserve">Table </w:t>
      </w:r>
      <w:r w:rsidR="002407F7" w:rsidRPr="00381BB6">
        <w:rPr>
          <w:noProof/>
        </w:rPr>
        <w:fldChar w:fldCharType="begin"/>
      </w:r>
      <w:r w:rsidR="002407F7" w:rsidRPr="00381BB6">
        <w:rPr>
          <w:noProof/>
        </w:rPr>
        <w:instrText xml:space="preserve"> SEQ Table \* ARABIC </w:instrText>
      </w:r>
      <w:r w:rsidR="002407F7" w:rsidRPr="00381BB6">
        <w:rPr>
          <w:noProof/>
        </w:rPr>
        <w:fldChar w:fldCharType="separate"/>
      </w:r>
      <w:r w:rsidR="00A07703">
        <w:rPr>
          <w:noProof/>
        </w:rPr>
        <w:t>5</w:t>
      </w:r>
      <w:r w:rsidR="002407F7" w:rsidRPr="00381BB6">
        <w:rPr>
          <w:noProof/>
        </w:rPr>
        <w:fldChar w:fldCharType="end"/>
      </w:r>
      <w:bookmarkEnd w:id="68"/>
      <w:r w:rsidRPr="00381BB6">
        <w:t xml:space="preserve">: </w:t>
      </w:r>
      <w:r w:rsidR="00705BA7" w:rsidRPr="00381BB6">
        <w:t>O</w:t>
      </w:r>
      <w:r w:rsidRPr="00381BB6">
        <w:t>ne-off supply</w:t>
      </w:r>
      <w:r w:rsidR="006628E6" w:rsidRPr="00381BB6">
        <w:t xml:space="preserve"> contract</w:t>
      </w:r>
      <w:r w:rsidRPr="00381BB6">
        <w:t xml:space="preserve"> approvals by organisation and by goods and services in 201</w:t>
      </w:r>
      <w:r w:rsidR="008E1ACC" w:rsidRPr="00381BB6">
        <w:t>7–18</w:t>
      </w:r>
      <w:bookmarkEnd w:id="69"/>
    </w:p>
    <w:tbl>
      <w:tblPr>
        <w:tblStyle w:val="ListTable31"/>
        <w:tblW w:w="8889" w:type="dxa"/>
        <w:tblInd w:w="704" w:type="dxa"/>
        <w:tblLook w:val="04A0" w:firstRow="1" w:lastRow="0" w:firstColumn="1" w:lastColumn="0" w:noHBand="0" w:noVBand="1"/>
      </w:tblPr>
      <w:tblGrid>
        <w:gridCol w:w="4394"/>
        <w:gridCol w:w="1034"/>
        <w:gridCol w:w="1234"/>
        <w:gridCol w:w="1034"/>
        <w:gridCol w:w="1193"/>
      </w:tblGrid>
      <w:tr w:rsidR="00FD5CAC" w:rsidRPr="00CD6245" w14:paraId="7BD7A553" w14:textId="77777777" w:rsidTr="0083666F">
        <w:trPr>
          <w:cnfStyle w:val="100000000000" w:firstRow="1" w:lastRow="0" w:firstColumn="0" w:lastColumn="0" w:oddVBand="0" w:evenVBand="0" w:oddHBand="0" w:evenHBand="0" w:firstRowFirstColumn="0" w:firstRowLastColumn="0" w:lastRowFirstColumn="0" w:lastRowLastColumn="0"/>
          <w:trHeight w:val="255"/>
        </w:trPr>
        <w:tc>
          <w:tcPr>
            <w:cnfStyle w:val="001000000100" w:firstRow="0" w:lastRow="0" w:firstColumn="1" w:lastColumn="0" w:oddVBand="0" w:evenVBand="0" w:oddHBand="0" w:evenHBand="0" w:firstRowFirstColumn="1" w:firstRowLastColumn="0" w:lastRowFirstColumn="0" w:lastRowLastColumn="0"/>
            <w:tcW w:w="4394" w:type="dxa"/>
            <w:vMerge w:val="restart"/>
            <w:noWrap/>
          </w:tcPr>
          <w:p w14:paraId="044FFCB9" w14:textId="77777777" w:rsidR="00FD5CAC" w:rsidRPr="00CD6245" w:rsidRDefault="00FD5CAC" w:rsidP="00705BA7">
            <w:pPr>
              <w:pStyle w:val="TableText"/>
              <w:jc w:val="center"/>
            </w:pPr>
            <w:r w:rsidRPr="00CD6245">
              <w:t>Organisation</w:t>
            </w:r>
          </w:p>
        </w:tc>
        <w:tc>
          <w:tcPr>
            <w:tcW w:w="2268" w:type="dxa"/>
            <w:gridSpan w:val="2"/>
          </w:tcPr>
          <w:p w14:paraId="0B9EFF81" w14:textId="77777777" w:rsidR="00FD5CAC" w:rsidRPr="00705BA7" w:rsidRDefault="00FD5CAC" w:rsidP="00705BA7">
            <w:pPr>
              <w:pStyle w:val="TableText"/>
              <w:jc w:val="center"/>
              <w:cnfStyle w:val="100000000000" w:firstRow="1" w:lastRow="0" w:firstColumn="0" w:lastColumn="0" w:oddVBand="0" w:evenVBand="0" w:oddHBand="0" w:evenHBand="0" w:firstRowFirstColumn="0" w:firstRowLastColumn="0" w:lastRowFirstColumn="0" w:lastRowLastColumn="0"/>
            </w:pPr>
            <w:r w:rsidRPr="00CD6245">
              <w:t>Goods</w:t>
            </w:r>
          </w:p>
        </w:tc>
        <w:tc>
          <w:tcPr>
            <w:tcW w:w="2227" w:type="dxa"/>
            <w:gridSpan w:val="2"/>
          </w:tcPr>
          <w:p w14:paraId="6DBCB77A" w14:textId="77777777" w:rsidR="00FD5CAC" w:rsidRPr="00705BA7" w:rsidRDefault="00FD5CAC" w:rsidP="00705BA7">
            <w:pPr>
              <w:pStyle w:val="TableText"/>
              <w:jc w:val="center"/>
              <w:cnfStyle w:val="100000000000" w:firstRow="1" w:lastRow="0" w:firstColumn="0" w:lastColumn="0" w:oddVBand="0" w:evenVBand="0" w:oddHBand="0" w:evenHBand="0" w:firstRowFirstColumn="0" w:firstRowLastColumn="0" w:lastRowFirstColumn="0" w:lastRowLastColumn="0"/>
            </w:pPr>
            <w:r w:rsidRPr="00CD6245">
              <w:t>Services</w:t>
            </w:r>
          </w:p>
        </w:tc>
      </w:tr>
      <w:tr w:rsidR="00FD5CAC" w:rsidRPr="00CD6245" w14:paraId="34565975" w14:textId="77777777" w:rsidTr="0083666F">
        <w:trPr>
          <w:cnfStyle w:val="000000100000" w:firstRow="0" w:lastRow="0" w:firstColumn="0" w:lastColumn="0" w:oddVBand="0" w:evenVBand="0" w:oddHBand="1" w:evenHBand="0" w:firstRowFirstColumn="0" w:firstRowLastColumn="0" w:lastRowFirstColumn="0" w:lastRowLastColumn="0"/>
          <w:trHeight w:val="115"/>
        </w:trPr>
        <w:tc>
          <w:tcPr>
            <w:cnfStyle w:val="001000000000" w:firstRow="0" w:lastRow="0" w:firstColumn="1" w:lastColumn="0" w:oddVBand="0" w:evenVBand="0" w:oddHBand="0" w:evenHBand="0" w:firstRowFirstColumn="0" w:firstRowLastColumn="0" w:lastRowFirstColumn="0" w:lastRowLastColumn="0"/>
            <w:tcW w:w="4394" w:type="dxa"/>
            <w:vMerge/>
          </w:tcPr>
          <w:p w14:paraId="1AEE5179" w14:textId="77777777" w:rsidR="00FD5CAC" w:rsidRPr="00CD6245" w:rsidRDefault="00FD5CAC" w:rsidP="00705BA7">
            <w:pPr>
              <w:pStyle w:val="TableText"/>
              <w:jc w:val="center"/>
            </w:pPr>
          </w:p>
        </w:tc>
        <w:tc>
          <w:tcPr>
            <w:tcW w:w="1034" w:type="dxa"/>
            <w:shd w:val="clear" w:color="auto" w:fill="000000" w:themeFill="text1"/>
          </w:tcPr>
          <w:p w14:paraId="43B84D39" w14:textId="77777777" w:rsidR="00FD5CAC" w:rsidRPr="00705BA7" w:rsidRDefault="00FD5CAC" w:rsidP="00705BA7">
            <w:pPr>
              <w:pStyle w:val="TableText"/>
              <w:jc w:val="center"/>
              <w:cnfStyle w:val="000000100000" w:firstRow="0" w:lastRow="0" w:firstColumn="0" w:lastColumn="0" w:oddVBand="0" w:evenVBand="0" w:oddHBand="1" w:evenHBand="0" w:firstRowFirstColumn="0" w:firstRowLastColumn="0" w:lastRowFirstColumn="0" w:lastRowLastColumn="0"/>
            </w:pPr>
            <w:r w:rsidRPr="00CD6245">
              <w:t>Number</w:t>
            </w:r>
          </w:p>
        </w:tc>
        <w:tc>
          <w:tcPr>
            <w:tcW w:w="1234" w:type="dxa"/>
            <w:shd w:val="clear" w:color="auto" w:fill="000000" w:themeFill="text1"/>
            <w:noWrap/>
          </w:tcPr>
          <w:p w14:paraId="10775B60" w14:textId="3D3918AC" w:rsidR="00FD5CAC" w:rsidRPr="00705BA7" w:rsidRDefault="00FD5CAC" w:rsidP="00705BA7">
            <w:pPr>
              <w:pStyle w:val="TableText"/>
              <w:jc w:val="center"/>
              <w:cnfStyle w:val="000000100000" w:firstRow="0" w:lastRow="0" w:firstColumn="0" w:lastColumn="0" w:oddVBand="0" w:evenVBand="0" w:oddHBand="1" w:evenHBand="0" w:firstRowFirstColumn="0" w:firstRowLastColumn="0" w:lastRowFirstColumn="0" w:lastRowLastColumn="0"/>
            </w:pPr>
            <w:r w:rsidRPr="00CD6245">
              <w:t>Value</w:t>
            </w:r>
            <w:r w:rsidR="00705BA7">
              <w:t xml:space="preserve"> ($</w:t>
            </w:r>
            <w:r w:rsidR="007500C5">
              <w:t>M</w:t>
            </w:r>
            <w:r w:rsidR="00705BA7">
              <w:t>)</w:t>
            </w:r>
          </w:p>
        </w:tc>
        <w:tc>
          <w:tcPr>
            <w:tcW w:w="1034" w:type="dxa"/>
            <w:shd w:val="clear" w:color="auto" w:fill="000000" w:themeFill="text1"/>
          </w:tcPr>
          <w:p w14:paraId="4DF93948" w14:textId="77777777" w:rsidR="00FD5CAC" w:rsidRPr="00705BA7" w:rsidRDefault="00FD5CAC" w:rsidP="00705BA7">
            <w:pPr>
              <w:pStyle w:val="TableText"/>
              <w:jc w:val="center"/>
              <w:cnfStyle w:val="000000100000" w:firstRow="0" w:lastRow="0" w:firstColumn="0" w:lastColumn="0" w:oddVBand="0" w:evenVBand="0" w:oddHBand="1" w:evenHBand="0" w:firstRowFirstColumn="0" w:firstRowLastColumn="0" w:lastRowFirstColumn="0" w:lastRowLastColumn="0"/>
            </w:pPr>
            <w:r w:rsidRPr="00CD6245">
              <w:t>Number</w:t>
            </w:r>
          </w:p>
        </w:tc>
        <w:tc>
          <w:tcPr>
            <w:tcW w:w="1193" w:type="dxa"/>
            <w:shd w:val="clear" w:color="auto" w:fill="000000" w:themeFill="text1"/>
          </w:tcPr>
          <w:p w14:paraId="6D175CF7" w14:textId="56672310" w:rsidR="00FD5CAC" w:rsidRPr="00705BA7" w:rsidRDefault="00FD5CAC" w:rsidP="00705BA7">
            <w:pPr>
              <w:pStyle w:val="TableText"/>
              <w:jc w:val="center"/>
              <w:cnfStyle w:val="000000100000" w:firstRow="0" w:lastRow="0" w:firstColumn="0" w:lastColumn="0" w:oddVBand="0" w:evenVBand="0" w:oddHBand="1" w:evenHBand="0" w:firstRowFirstColumn="0" w:firstRowLastColumn="0" w:lastRowFirstColumn="0" w:lastRowLastColumn="0"/>
            </w:pPr>
            <w:r w:rsidRPr="00CD6245">
              <w:t>Value</w:t>
            </w:r>
            <w:r w:rsidR="00705BA7">
              <w:t xml:space="preserve"> ($</w:t>
            </w:r>
            <w:r w:rsidR="007500C5">
              <w:t>M</w:t>
            </w:r>
            <w:r w:rsidR="00705BA7">
              <w:t>)</w:t>
            </w:r>
          </w:p>
        </w:tc>
      </w:tr>
      <w:tr w:rsidR="00C27AA9" w:rsidRPr="00CD6245" w14:paraId="624DEB63" w14:textId="77777777" w:rsidTr="0083666F">
        <w:trPr>
          <w:trHeight w:val="256"/>
        </w:trPr>
        <w:tc>
          <w:tcPr>
            <w:cnfStyle w:val="001000000000" w:firstRow="0" w:lastRow="0" w:firstColumn="1" w:lastColumn="0" w:oddVBand="0" w:evenVBand="0" w:oddHBand="0" w:evenHBand="0" w:firstRowFirstColumn="0" w:firstRowLastColumn="0" w:lastRowFirstColumn="0" w:lastRowLastColumn="0"/>
            <w:tcW w:w="4394" w:type="dxa"/>
          </w:tcPr>
          <w:p w14:paraId="12F46C6B" w14:textId="77777777" w:rsidR="00C27AA9" w:rsidRPr="00A30EEE" w:rsidRDefault="00C27AA9" w:rsidP="00C27AA9">
            <w:pPr>
              <w:rPr>
                <w:b w:val="0"/>
                <w:color w:val="000000"/>
                <w:sz w:val="20"/>
                <w:szCs w:val="20"/>
              </w:rPr>
            </w:pPr>
            <w:r w:rsidRPr="00A30EEE">
              <w:rPr>
                <w:b w:val="0"/>
                <w:color w:val="000000"/>
                <w:sz w:val="20"/>
                <w:szCs w:val="20"/>
              </w:rPr>
              <w:t>Department of Economic Development, Jobs, Transport and Resources</w:t>
            </w:r>
          </w:p>
        </w:tc>
        <w:tc>
          <w:tcPr>
            <w:tcW w:w="1034" w:type="dxa"/>
          </w:tcPr>
          <w:p w14:paraId="45F006F5" w14:textId="4C5E5A47" w:rsidR="00C27AA9" w:rsidRPr="00C27AA9" w:rsidRDefault="00C27AA9" w:rsidP="00C27AA9">
            <w:pPr>
              <w:pStyle w:val="Tablenumbers"/>
              <w:cnfStyle w:val="000000000000" w:firstRow="0" w:lastRow="0" w:firstColumn="0" w:lastColumn="0" w:oddVBand="0" w:evenVBand="0" w:oddHBand="0" w:evenHBand="0" w:firstRowFirstColumn="0" w:firstRowLastColumn="0" w:lastRowFirstColumn="0" w:lastRowLastColumn="0"/>
            </w:pPr>
            <w:r w:rsidRPr="00C27AA9">
              <w:t>9</w:t>
            </w:r>
            <w:r w:rsidR="00FF410A">
              <w:t>2</w:t>
            </w:r>
          </w:p>
        </w:tc>
        <w:tc>
          <w:tcPr>
            <w:tcW w:w="1234" w:type="dxa"/>
            <w:noWrap/>
          </w:tcPr>
          <w:p w14:paraId="2447C6CA" w14:textId="5E2B8018" w:rsidR="00C27AA9" w:rsidRPr="00C27AA9" w:rsidRDefault="00C27AA9" w:rsidP="00C27AA9">
            <w:pPr>
              <w:pStyle w:val="Tablenumbers"/>
              <w:cnfStyle w:val="000000000000" w:firstRow="0" w:lastRow="0" w:firstColumn="0" w:lastColumn="0" w:oddVBand="0" w:evenVBand="0" w:oddHBand="0" w:evenHBand="0" w:firstRowFirstColumn="0" w:firstRowLastColumn="0" w:lastRowFirstColumn="0" w:lastRowLastColumn="0"/>
            </w:pPr>
            <w:r w:rsidRPr="00C27AA9">
              <w:t>1</w:t>
            </w:r>
            <w:r w:rsidR="00FF410A">
              <w:t>20.4</w:t>
            </w:r>
          </w:p>
        </w:tc>
        <w:tc>
          <w:tcPr>
            <w:tcW w:w="1034" w:type="dxa"/>
          </w:tcPr>
          <w:p w14:paraId="70A1E86E" w14:textId="08701B06" w:rsidR="00C27AA9" w:rsidRPr="00C27AA9" w:rsidRDefault="00C27AA9" w:rsidP="00C27AA9">
            <w:pPr>
              <w:pStyle w:val="Tablenumbers"/>
              <w:cnfStyle w:val="000000000000" w:firstRow="0" w:lastRow="0" w:firstColumn="0" w:lastColumn="0" w:oddVBand="0" w:evenVBand="0" w:oddHBand="0" w:evenHBand="0" w:firstRowFirstColumn="0" w:firstRowLastColumn="0" w:lastRowFirstColumn="0" w:lastRowLastColumn="0"/>
            </w:pPr>
            <w:r w:rsidRPr="00C27AA9">
              <w:t>1</w:t>
            </w:r>
            <w:r w:rsidR="00FF410A">
              <w:t>44</w:t>
            </w:r>
          </w:p>
        </w:tc>
        <w:tc>
          <w:tcPr>
            <w:tcW w:w="1193" w:type="dxa"/>
          </w:tcPr>
          <w:p w14:paraId="0E5EB4E2" w14:textId="2FE42765" w:rsidR="00C27AA9" w:rsidRPr="00C27AA9" w:rsidRDefault="00FF410A" w:rsidP="00C27AA9">
            <w:pPr>
              <w:pStyle w:val="Tablenumbers"/>
              <w:cnfStyle w:val="000000000000" w:firstRow="0" w:lastRow="0" w:firstColumn="0" w:lastColumn="0" w:oddVBand="0" w:evenVBand="0" w:oddHBand="0" w:evenHBand="0" w:firstRowFirstColumn="0" w:firstRowLastColumn="0" w:lastRowFirstColumn="0" w:lastRowLastColumn="0"/>
            </w:pPr>
            <w:r>
              <w:t>97.9</w:t>
            </w:r>
          </w:p>
        </w:tc>
      </w:tr>
      <w:tr w:rsidR="00C27AA9" w:rsidRPr="00CD6245" w14:paraId="3FD62EB1" w14:textId="77777777" w:rsidTr="0083666F">
        <w:trPr>
          <w:cnfStyle w:val="000000100000" w:firstRow="0" w:lastRow="0" w:firstColumn="0" w:lastColumn="0" w:oddVBand="0" w:evenVBand="0" w:oddHBand="1" w:evenHBand="0" w:firstRowFirstColumn="0" w:firstRowLastColumn="0" w:lastRowFirstColumn="0" w:lastRowLastColumn="0"/>
          <w:trHeight w:val="256"/>
        </w:trPr>
        <w:tc>
          <w:tcPr>
            <w:cnfStyle w:val="001000000000" w:firstRow="0" w:lastRow="0" w:firstColumn="1" w:lastColumn="0" w:oddVBand="0" w:evenVBand="0" w:oddHBand="0" w:evenHBand="0" w:firstRowFirstColumn="0" w:firstRowLastColumn="0" w:lastRowFirstColumn="0" w:lastRowLastColumn="0"/>
            <w:tcW w:w="4394" w:type="dxa"/>
          </w:tcPr>
          <w:p w14:paraId="624C1206" w14:textId="77777777" w:rsidR="00C27AA9" w:rsidRPr="00A30EEE" w:rsidRDefault="00C27AA9" w:rsidP="00C27AA9">
            <w:pPr>
              <w:rPr>
                <w:b w:val="0"/>
                <w:color w:val="000000"/>
                <w:sz w:val="20"/>
                <w:szCs w:val="20"/>
              </w:rPr>
            </w:pPr>
            <w:r w:rsidRPr="00A30EEE">
              <w:rPr>
                <w:b w:val="0"/>
                <w:color w:val="000000"/>
                <w:sz w:val="20"/>
                <w:szCs w:val="20"/>
              </w:rPr>
              <w:t>Department of Education and Training</w:t>
            </w:r>
          </w:p>
        </w:tc>
        <w:tc>
          <w:tcPr>
            <w:tcW w:w="1034" w:type="dxa"/>
          </w:tcPr>
          <w:p w14:paraId="1B5C60F3" w14:textId="18F5B629" w:rsidR="00C27AA9" w:rsidRPr="00C27AA9" w:rsidRDefault="00C27AA9" w:rsidP="00C27AA9">
            <w:pPr>
              <w:pStyle w:val="Tablenumbers"/>
              <w:cnfStyle w:val="000000100000" w:firstRow="0" w:lastRow="0" w:firstColumn="0" w:lastColumn="0" w:oddVBand="0" w:evenVBand="0" w:oddHBand="1" w:evenHBand="0" w:firstRowFirstColumn="0" w:firstRowLastColumn="0" w:lastRowFirstColumn="0" w:lastRowLastColumn="0"/>
            </w:pPr>
            <w:r w:rsidRPr="00C27AA9">
              <w:t>4</w:t>
            </w:r>
          </w:p>
        </w:tc>
        <w:tc>
          <w:tcPr>
            <w:tcW w:w="1234" w:type="dxa"/>
            <w:noWrap/>
          </w:tcPr>
          <w:p w14:paraId="42000BEA" w14:textId="0B5DFD5F" w:rsidR="00C27AA9" w:rsidRPr="00C27AA9" w:rsidRDefault="00C27AA9" w:rsidP="00C27AA9">
            <w:pPr>
              <w:pStyle w:val="Tablenumbers"/>
              <w:cnfStyle w:val="000000100000" w:firstRow="0" w:lastRow="0" w:firstColumn="0" w:lastColumn="0" w:oddVBand="0" w:evenVBand="0" w:oddHBand="1" w:evenHBand="0" w:firstRowFirstColumn="0" w:firstRowLastColumn="0" w:lastRowFirstColumn="0" w:lastRowLastColumn="0"/>
            </w:pPr>
            <w:r w:rsidRPr="00C27AA9">
              <w:t>3.1</w:t>
            </w:r>
          </w:p>
        </w:tc>
        <w:tc>
          <w:tcPr>
            <w:tcW w:w="1034" w:type="dxa"/>
          </w:tcPr>
          <w:p w14:paraId="16D5EE58" w14:textId="079FACDC" w:rsidR="00C27AA9" w:rsidRPr="00C27AA9" w:rsidRDefault="00C27AA9" w:rsidP="00C27AA9">
            <w:pPr>
              <w:pStyle w:val="Tablenumbers"/>
              <w:cnfStyle w:val="000000100000" w:firstRow="0" w:lastRow="0" w:firstColumn="0" w:lastColumn="0" w:oddVBand="0" w:evenVBand="0" w:oddHBand="1" w:evenHBand="0" w:firstRowFirstColumn="0" w:firstRowLastColumn="0" w:lastRowFirstColumn="0" w:lastRowLastColumn="0"/>
            </w:pPr>
            <w:r w:rsidRPr="00C27AA9">
              <w:t>195</w:t>
            </w:r>
          </w:p>
        </w:tc>
        <w:tc>
          <w:tcPr>
            <w:tcW w:w="1193" w:type="dxa"/>
          </w:tcPr>
          <w:p w14:paraId="282573BF" w14:textId="06BC6F06" w:rsidR="00C27AA9" w:rsidRPr="00C27AA9" w:rsidRDefault="00C27AA9" w:rsidP="00C27AA9">
            <w:pPr>
              <w:pStyle w:val="Tablenumbers"/>
              <w:cnfStyle w:val="000000100000" w:firstRow="0" w:lastRow="0" w:firstColumn="0" w:lastColumn="0" w:oddVBand="0" w:evenVBand="0" w:oddHBand="1" w:evenHBand="0" w:firstRowFirstColumn="0" w:firstRowLastColumn="0" w:lastRowFirstColumn="0" w:lastRowLastColumn="0"/>
            </w:pPr>
            <w:r w:rsidRPr="00C27AA9">
              <w:t>273.</w:t>
            </w:r>
            <w:r w:rsidR="00420659">
              <w:t>0</w:t>
            </w:r>
          </w:p>
        </w:tc>
      </w:tr>
      <w:tr w:rsidR="00C27AA9" w:rsidRPr="00CD6245" w14:paraId="1118C9C5" w14:textId="77777777" w:rsidTr="0083666F">
        <w:trPr>
          <w:trHeight w:val="256"/>
        </w:trPr>
        <w:tc>
          <w:tcPr>
            <w:cnfStyle w:val="001000000000" w:firstRow="0" w:lastRow="0" w:firstColumn="1" w:lastColumn="0" w:oddVBand="0" w:evenVBand="0" w:oddHBand="0" w:evenHBand="0" w:firstRowFirstColumn="0" w:firstRowLastColumn="0" w:lastRowFirstColumn="0" w:lastRowLastColumn="0"/>
            <w:tcW w:w="4394" w:type="dxa"/>
          </w:tcPr>
          <w:p w14:paraId="16CA2102" w14:textId="77777777" w:rsidR="00C27AA9" w:rsidRPr="00A30EEE" w:rsidRDefault="00C27AA9" w:rsidP="00C27AA9">
            <w:pPr>
              <w:rPr>
                <w:b w:val="0"/>
                <w:color w:val="000000"/>
                <w:sz w:val="20"/>
                <w:szCs w:val="20"/>
              </w:rPr>
            </w:pPr>
            <w:r w:rsidRPr="00A30EEE">
              <w:rPr>
                <w:b w:val="0"/>
                <w:color w:val="000000"/>
                <w:sz w:val="20"/>
                <w:szCs w:val="20"/>
              </w:rPr>
              <w:t>Department of Environment, Land, Water and Planning</w:t>
            </w:r>
          </w:p>
        </w:tc>
        <w:tc>
          <w:tcPr>
            <w:tcW w:w="1034" w:type="dxa"/>
          </w:tcPr>
          <w:p w14:paraId="636101FF" w14:textId="38033A70" w:rsidR="00C27AA9" w:rsidRPr="00C27AA9" w:rsidRDefault="00C27AA9" w:rsidP="00C27AA9">
            <w:pPr>
              <w:pStyle w:val="Tablenumbers"/>
              <w:cnfStyle w:val="000000000000" w:firstRow="0" w:lastRow="0" w:firstColumn="0" w:lastColumn="0" w:oddVBand="0" w:evenVBand="0" w:oddHBand="0" w:evenHBand="0" w:firstRowFirstColumn="0" w:firstRowLastColumn="0" w:lastRowFirstColumn="0" w:lastRowLastColumn="0"/>
            </w:pPr>
            <w:r w:rsidRPr="00C27AA9">
              <w:t>5</w:t>
            </w:r>
          </w:p>
        </w:tc>
        <w:tc>
          <w:tcPr>
            <w:tcW w:w="1234" w:type="dxa"/>
            <w:noWrap/>
          </w:tcPr>
          <w:p w14:paraId="1B967D4A" w14:textId="7CBE970C" w:rsidR="00C27AA9" w:rsidRPr="00C27AA9" w:rsidRDefault="00C27AA9" w:rsidP="00C27AA9">
            <w:pPr>
              <w:pStyle w:val="Tablenumbers"/>
              <w:cnfStyle w:val="000000000000" w:firstRow="0" w:lastRow="0" w:firstColumn="0" w:lastColumn="0" w:oddVBand="0" w:evenVBand="0" w:oddHBand="0" w:evenHBand="0" w:firstRowFirstColumn="0" w:firstRowLastColumn="0" w:lastRowFirstColumn="0" w:lastRowLastColumn="0"/>
            </w:pPr>
            <w:r w:rsidRPr="00C27AA9">
              <w:t>1.7</w:t>
            </w:r>
          </w:p>
        </w:tc>
        <w:tc>
          <w:tcPr>
            <w:tcW w:w="1034" w:type="dxa"/>
          </w:tcPr>
          <w:p w14:paraId="775137B4" w14:textId="735FC03E" w:rsidR="00C27AA9" w:rsidRPr="00C27AA9" w:rsidRDefault="00C27AA9" w:rsidP="00C27AA9">
            <w:pPr>
              <w:pStyle w:val="Tablenumbers"/>
              <w:cnfStyle w:val="000000000000" w:firstRow="0" w:lastRow="0" w:firstColumn="0" w:lastColumn="0" w:oddVBand="0" w:evenVBand="0" w:oddHBand="0" w:evenHBand="0" w:firstRowFirstColumn="0" w:firstRowLastColumn="0" w:lastRowFirstColumn="0" w:lastRowLastColumn="0"/>
            </w:pPr>
            <w:r w:rsidRPr="00C27AA9">
              <w:t>116</w:t>
            </w:r>
          </w:p>
        </w:tc>
        <w:tc>
          <w:tcPr>
            <w:tcW w:w="1193" w:type="dxa"/>
          </w:tcPr>
          <w:p w14:paraId="01D2DA99" w14:textId="495925AA" w:rsidR="00C27AA9" w:rsidRPr="00C27AA9" w:rsidRDefault="00C27AA9" w:rsidP="00C27AA9">
            <w:pPr>
              <w:pStyle w:val="Tablenumbers"/>
              <w:cnfStyle w:val="000000000000" w:firstRow="0" w:lastRow="0" w:firstColumn="0" w:lastColumn="0" w:oddVBand="0" w:evenVBand="0" w:oddHBand="0" w:evenHBand="0" w:firstRowFirstColumn="0" w:firstRowLastColumn="0" w:lastRowFirstColumn="0" w:lastRowLastColumn="0"/>
            </w:pPr>
            <w:r w:rsidRPr="00C27AA9">
              <w:t>125.8</w:t>
            </w:r>
          </w:p>
        </w:tc>
      </w:tr>
      <w:tr w:rsidR="00C27AA9" w:rsidRPr="00CD6245" w14:paraId="60A271E1" w14:textId="77777777" w:rsidTr="0083666F">
        <w:trPr>
          <w:cnfStyle w:val="000000100000" w:firstRow="0" w:lastRow="0" w:firstColumn="0" w:lastColumn="0" w:oddVBand="0" w:evenVBand="0" w:oddHBand="1" w:evenHBand="0" w:firstRowFirstColumn="0" w:firstRowLastColumn="0" w:lastRowFirstColumn="0" w:lastRowLastColumn="0"/>
          <w:trHeight w:val="256"/>
        </w:trPr>
        <w:tc>
          <w:tcPr>
            <w:cnfStyle w:val="001000000000" w:firstRow="0" w:lastRow="0" w:firstColumn="1" w:lastColumn="0" w:oddVBand="0" w:evenVBand="0" w:oddHBand="0" w:evenHBand="0" w:firstRowFirstColumn="0" w:firstRowLastColumn="0" w:lastRowFirstColumn="0" w:lastRowLastColumn="0"/>
            <w:tcW w:w="4394" w:type="dxa"/>
          </w:tcPr>
          <w:p w14:paraId="7F014828" w14:textId="77777777" w:rsidR="00C27AA9" w:rsidRPr="00A30EEE" w:rsidRDefault="00C27AA9" w:rsidP="00C27AA9">
            <w:pPr>
              <w:rPr>
                <w:b w:val="0"/>
                <w:color w:val="000000"/>
                <w:sz w:val="20"/>
                <w:szCs w:val="20"/>
              </w:rPr>
            </w:pPr>
            <w:r w:rsidRPr="00A30EEE">
              <w:rPr>
                <w:b w:val="0"/>
                <w:color w:val="000000"/>
                <w:sz w:val="20"/>
                <w:szCs w:val="20"/>
              </w:rPr>
              <w:t>Department of Health and Human Services</w:t>
            </w:r>
          </w:p>
        </w:tc>
        <w:tc>
          <w:tcPr>
            <w:tcW w:w="1034" w:type="dxa"/>
          </w:tcPr>
          <w:p w14:paraId="6F3A2336" w14:textId="2904A686" w:rsidR="00C27AA9" w:rsidRPr="00C27AA9" w:rsidRDefault="00C27AA9" w:rsidP="00C27AA9">
            <w:pPr>
              <w:pStyle w:val="Tablenumbers"/>
              <w:cnfStyle w:val="000000100000" w:firstRow="0" w:lastRow="0" w:firstColumn="0" w:lastColumn="0" w:oddVBand="0" w:evenVBand="0" w:oddHBand="1" w:evenHBand="0" w:firstRowFirstColumn="0" w:firstRowLastColumn="0" w:lastRowFirstColumn="0" w:lastRowLastColumn="0"/>
            </w:pPr>
            <w:r w:rsidRPr="00C27AA9">
              <w:t>16</w:t>
            </w:r>
          </w:p>
        </w:tc>
        <w:tc>
          <w:tcPr>
            <w:tcW w:w="1234" w:type="dxa"/>
            <w:noWrap/>
          </w:tcPr>
          <w:p w14:paraId="2465B20D" w14:textId="5699CC3F" w:rsidR="00C27AA9" w:rsidRPr="00C27AA9" w:rsidRDefault="00C27AA9" w:rsidP="00C27AA9">
            <w:pPr>
              <w:pStyle w:val="Tablenumbers"/>
              <w:cnfStyle w:val="000000100000" w:firstRow="0" w:lastRow="0" w:firstColumn="0" w:lastColumn="0" w:oddVBand="0" w:evenVBand="0" w:oddHBand="1" w:evenHBand="0" w:firstRowFirstColumn="0" w:firstRowLastColumn="0" w:lastRowFirstColumn="0" w:lastRowLastColumn="0"/>
            </w:pPr>
            <w:r w:rsidRPr="00C27AA9">
              <w:t>15.7</w:t>
            </w:r>
          </w:p>
        </w:tc>
        <w:tc>
          <w:tcPr>
            <w:tcW w:w="1034" w:type="dxa"/>
          </w:tcPr>
          <w:p w14:paraId="6C6C51B2" w14:textId="00C5B1CC" w:rsidR="00C27AA9" w:rsidRPr="00C27AA9" w:rsidRDefault="00C27AA9" w:rsidP="00C27AA9">
            <w:pPr>
              <w:pStyle w:val="Tablenumbers"/>
              <w:cnfStyle w:val="000000100000" w:firstRow="0" w:lastRow="0" w:firstColumn="0" w:lastColumn="0" w:oddVBand="0" w:evenVBand="0" w:oddHBand="1" w:evenHBand="0" w:firstRowFirstColumn="0" w:firstRowLastColumn="0" w:lastRowFirstColumn="0" w:lastRowLastColumn="0"/>
            </w:pPr>
            <w:r w:rsidRPr="00C27AA9">
              <w:t>135</w:t>
            </w:r>
          </w:p>
        </w:tc>
        <w:tc>
          <w:tcPr>
            <w:tcW w:w="1193" w:type="dxa"/>
          </w:tcPr>
          <w:p w14:paraId="1287039E" w14:textId="02F02253" w:rsidR="00C27AA9" w:rsidRPr="00C27AA9" w:rsidRDefault="00C27AA9" w:rsidP="00C27AA9">
            <w:pPr>
              <w:pStyle w:val="Tablenumbers"/>
              <w:cnfStyle w:val="000000100000" w:firstRow="0" w:lastRow="0" w:firstColumn="0" w:lastColumn="0" w:oddVBand="0" w:evenVBand="0" w:oddHBand="1" w:evenHBand="0" w:firstRowFirstColumn="0" w:firstRowLastColumn="0" w:lastRowFirstColumn="0" w:lastRowLastColumn="0"/>
            </w:pPr>
            <w:r w:rsidRPr="00C27AA9">
              <w:t>212.8</w:t>
            </w:r>
          </w:p>
        </w:tc>
      </w:tr>
      <w:tr w:rsidR="00C27AA9" w:rsidRPr="00CD6245" w14:paraId="716D290F" w14:textId="77777777" w:rsidTr="0083666F">
        <w:trPr>
          <w:trHeight w:val="256"/>
        </w:trPr>
        <w:tc>
          <w:tcPr>
            <w:cnfStyle w:val="001000000000" w:firstRow="0" w:lastRow="0" w:firstColumn="1" w:lastColumn="0" w:oddVBand="0" w:evenVBand="0" w:oddHBand="0" w:evenHBand="0" w:firstRowFirstColumn="0" w:firstRowLastColumn="0" w:lastRowFirstColumn="0" w:lastRowLastColumn="0"/>
            <w:tcW w:w="4394" w:type="dxa"/>
          </w:tcPr>
          <w:p w14:paraId="52F7A864" w14:textId="77777777" w:rsidR="00C27AA9" w:rsidRPr="00A30EEE" w:rsidRDefault="00C27AA9" w:rsidP="00C27AA9">
            <w:pPr>
              <w:rPr>
                <w:b w:val="0"/>
                <w:color w:val="000000"/>
                <w:sz w:val="20"/>
                <w:szCs w:val="20"/>
              </w:rPr>
            </w:pPr>
            <w:r w:rsidRPr="00A30EEE">
              <w:rPr>
                <w:b w:val="0"/>
                <w:color w:val="000000"/>
                <w:sz w:val="20"/>
                <w:szCs w:val="20"/>
              </w:rPr>
              <w:t>Department of Justice and Regulation</w:t>
            </w:r>
          </w:p>
        </w:tc>
        <w:tc>
          <w:tcPr>
            <w:tcW w:w="1034" w:type="dxa"/>
          </w:tcPr>
          <w:p w14:paraId="0203F480" w14:textId="2653A1B0" w:rsidR="00C27AA9" w:rsidRPr="00C27AA9" w:rsidRDefault="00C27AA9" w:rsidP="00C27AA9">
            <w:pPr>
              <w:pStyle w:val="Tablenumbers"/>
              <w:cnfStyle w:val="000000000000" w:firstRow="0" w:lastRow="0" w:firstColumn="0" w:lastColumn="0" w:oddVBand="0" w:evenVBand="0" w:oddHBand="0" w:evenHBand="0" w:firstRowFirstColumn="0" w:firstRowLastColumn="0" w:lastRowFirstColumn="0" w:lastRowLastColumn="0"/>
            </w:pPr>
            <w:r w:rsidRPr="00C27AA9">
              <w:t>35</w:t>
            </w:r>
          </w:p>
        </w:tc>
        <w:tc>
          <w:tcPr>
            <w:tcW w:w="1234" w:type="dxa"/>
            <w:noWrap/>
          </w:tcPr>
          <w:p w14:paraId="6CC782C0" w14:textId="3C19A7FD" w:rsidR="00C27AA9" w:rsidRPr="00C27AA9" w:rsidRDefault="00C27AA9" w:rsidP="00C27AA9">
            <w:pPr>
              <w:pStyle w:val="Tablenumbers"/>
              <w:cnfStyle w:val="000000000000" w:firstRow="0" w:lastRow="0" w:firstColumn="0" w:lastColumn="0" w:oddVBand="0" w:evenVBand="0" w:oddHBand="0" w:evenHBand="0" w:firstRowFirstColumn="0" w:firstRowLastColumn="0" w:lastRowFirstColumn="0" w:lastRowLastColumn="0"/>
            </w:pPr>
            <w:r w:rsidRPr="00C27AA9">
              <w:t>14.5</w:t>
            </w:r>
          </w:p>
        </w:tc>
        <w:tc>
          <w:tcPr>
            <w:tcW w:w="1034" w:type="dxa"/>
          </w:tcPr>
          <w:p w14:paraId="3CEFFF0E" w14:textId="3C8329E0" w:rsidR="00C27AA9" w:rsidRPr="00C27AA9" w:rsidRDefault="00C27AA9" w:rsidP="00C27AA9">
            <w:pPr>
              <w:pStyle w:val="Tablenumbers"/>
              <w:cnfStyle w:val="000000000000" w:firstRow="0" w:lastRow="0" w:firstColumn="0" w:lastColumn="0" w:oddVBand="0" w:evenVBand="0" w:oddHBand="0" w:evenHBand="0" w:firstRowFirstColumn="0" w:firstRowLastColumn="0" w:lastRowFirstColumn="0" w:lastRowLastColumn="0"/>
            </w:pPr>
            <w:r w:rsidRPr="00C27AA9">
              <w:t>55</w:t>
            </w:r>
          </w:p>
        </w:tc>
        <w:tc>
          <w:tcPr>
            <w:tcW w:w="1193" w:type="dxa"/>
          </w:tcPr>
          <w:p w14:paraId="5E189DDE" w14:textId="4BE678BE" w:rsidR="00C27AA9" w:rsidRPr="00C27AA9" w:rsidRDefault="00C27AA9" w:rsidP="00C27AA9">
            <w:pPr>
              <w:pStyle w:val="Tablenumbers"/>
              <w:cnfStyle w:val="000000000000" w:firstRow="0" w:lastRow="0" w:firstColumn="0" w:lastColumn="0" w:oddVBand="0" w:evenVBand="0" w:oddHBand="0" w:evenHBand="0" w:firstRowFirstColumn="0" w:firstRowLastColumn="0" w:lastRowFirstColumn="0" w:lastRowLastColumn="0"/>
            </w:pPr>
            <w:r w:rsidRPr="00C27AA9">
              <w:t>149.5</w:t>
            </w:r>
          </w:p>
        </w:tc>
      </w:tr>
      <w:tr w:rsidR="00C27AA9" w:rsidRPr="00CD6245" w14:paraId="0B63ED59" w14:textId="77777777" w:rsidTr="0083666F">
        <w:trPr>
          <w:cnfStyle w:val="000000100000" w:firstRow="0" w:lastRow="0" w:firstColumn="0" w:lastColumn="0" w:oddVBand="0" w:evenVBand="0" w:oddHBand="1" w:evenHBand="0" w:firstRowFirstColumn="0" w:firstRowLastColumn="0" w:lastRowFirstColumn="0" w:lastRowLastColumn="0"/>
          <w:trHeight w:val="256"/>
        </w:trPr>
        <w:tc>
          <w:tcPr>
            <w:cnfStyle w:val="001000000000" w:firstRow="0" w:lastRow="0" w:firstColumn="1" w:lastColumn="0" w:oddVBand="0" w:evenVBand="0" w:oddHBand="0" w:evenHBand="0" w:firstRowFirstColumn="0" w:firstRowLastColumn="0" w:lastRowFirstColumn="0" w:lastRowLastColumn="0"/>
            <w:tcW w:w="4394" w:type="dxa"/>
          </w:tcPr>
          <w:p w14:paraId="03CD155F" w14:textId="77777777" w:rsidR="00C27AA9" w:rsidRPr="00A30EEE" w:rsidRDefault="00C27AA9" w:rsidP="00C27AA9">
            <w:pPr>
              <w:rPr>
                <w:b w:val="0"/>
                <w:color w:val="000000"/>
                <w:sz w:val="20"/>
                <w:szCs w:val="20"/>
              </w:rPr>
            </w:pPr>
            <w:r w:rsidRPr="00A30EEE">
              <w:rPr>
                <w:b w:val="0"/>
                <w:color w:val="000000"/>
                <w:sz w:val="20"/>
                <w:szCs w:val="20"/>
              </w:rPr>
              <w:t>Department of Premier and Cabinet</w:t>
            </w:r>
          </w:p>
        </w:tc>
        <w:tc>
          <w:tcPr>
            <w:tcW w:w="1034" w:type="dxa"/>
          </w:tcPr>
          <w:p w14:paraId="6DB986CB" w14:textId="60EBFD56" w:rsidR="00C27AA9" w:rsidRPr="00C27AA9" w:rsidRDefault="00C27AA9" w:rsidP="00C27AA9">
            <w:pPr>
              <w:pStyle w:val="Tablenumbers"/>
              <w:cnfStyle w:val="000000100000" w:firstRow="0" w:lastRow="0" w:firstColumn="0" w:lastColumn="0" w:oddVBand="0" w:evenVBand="0" w:oddHBand="1" w:evenHBand="0" w:firstRowFirstColumn="0" w:firstRowLastColumn="0" w:lastRowFirstColumn="0" w:lastRowLastColumn="0"/>
            </w:pPr>
            <w:r w:rsidRPr="00C27AA9">
              <w:t>2</w:t>
            </w:r>
          </w:p>
        </w:tc>
        <w:tc>
          <w:tcPr>
            <w:tcW w:w="1234" w:type="dxa"/>
            <w:noWrap/>
          </w:tcPr>
          <w:p w14:paraId="01751D2D" w14:textId="6A0E103D" w:rsidR="00C27AA9" w:rsidRPr="00C27AA9" w:rsidRDefault="00420659" w:rsidP="00C27AA9">
            <w:pPr>
              <w:pStyle w:val="Tablenumbers"/>
              <w:cnfStyle w:val="000000100000" w:firstRow="0" w:lastRow="0" w:firstColumn="0" w:lastColumn="0" w:oddVBand="0" w:evenVBand="0" w:oddHBand="1" w:evenHBand="0" w:firstRowFirstColumn="0" w:firstRowLastColumn="0" w:lastRowFirstColumn="0" w:lastRowLastColumn="0"/>
            </w:pPr>
            <w:r>
              <w:t>0</w:t>
            </w:r>
            <w:r w:rsidR="00C27AA9" w:rsidRPr="00C27AA9">
              <w:t>.3</w:t>
            </w:r>
          </w:p>
        </w:tc>
        <w:tc>
          <w:tcPr>
            <w:tcW w:w="1034" w:type="dxa"/>
          </w:tcPr>
          <w:p w14:paraId="04ECEB8B" w14:textId="6A88AFD5" w:rsidR="00C27AA9" w:rsidRPr="00C27AA9" w:rsidRDefault="00C27AA9" w:rsidP="00C27AA9">
            <w:pPr>
              <w:pStyle w:val="Tablenumbers"/>
              <w:cnfStyle w:val="000000100000" w:firstRow="0" w:lastRow="0" w:firstColumn="0" w:lastColumn="0" w:oddVBand="0" w:evenVBand="0" w:oddHBand="1" w:evenHBand="0" w:firstRowFirstColumn="0" w:firstRowLastColumn="0" w:lastRowFirstColumn="0" w:lastRowLastColumn="0"/>
            </w:pPr>
            <w:r w:rsidRPr="00C27AA9">
              <w:t>93</w:t>
            </w:r>
          </w:p>
        </w:tc>
        <w:tc>
          <w:tcPr>
            <w:tcW w:w="1193" w:type="dxa"/>
          </w:tcPr>
          <w:p w14:paraId="1014DCB6" w14:textId="4434334D" w:rsidR="00C27AA9" w:rsidRPr="00C27AA9" w:rsidRDefault="00C27AA9" w:rsidP="00C27AA9">
            <w:pPr>
              <w:pStyle w:val="Tablenumbers"/>
              <w:cnfStyle w:val="000000100000" w:firstRow="0" w:lastRow="0" w:firstColumn="0" w:lastColumn="0" w:oddVBand="0" w:evenVBand="0" w:oddHBand="1" w:evenHBand="0" w:firstRowFirstColumn="0" w:firstRowLastColumn="0" w:lastRowFirstColumn="0" w:lastRowLastColumn="0"/>
            </w:pPr>
            <w:r w:rsidRPr="00C27AA9">
              <w:t>41.5</w:t>
            </w:r>
          </w:p>
        </w:tc>
      </w:tr>
      <w:tr w:rsidR="007A05B3" w:rsidRPr="00CD6245" w14:paraId="22E9C24E" w14:textId="77777777" w:rsidTr="009967B5">
        <w:trPr>
          <w:trHeight w:val="256"/>
        </w:trPr>
        <w:tc>
          <w:tcPr>
            <w:cnfStyle w:val="001000000000" w:firstRow="0" w:lastRow="0" w:firstColumn="1" w:lastColumn="0" w:oddVBand="0" w:evenVBand="0" w:oddHBand="0" w:evenHBand="0" w:firstRowFirstColumn="0" w:firstRowLastColumn="0" w:lastRowFirstColumn="0" w:lastRowLastColumn="0"/>
            <w:tcW w:w="4394" w:type="dxa"/>
          </w:tcPr>
          <w:p w14:paraId="65A5B9AB" w14:textId="77777777" w:rsidR="007A05B3" w:rsidRPr="00A30EEE" w:rsidRDefault="007A05B3" w:rsidP="007A05B3">
            <w:pPr>
              <w:rPr>
                <w:b w:val="0"/>
                <w:color w:val="000000"/>
                <w:sz w:val="20"/>
                <w:szCs w:val="20"/>
              </w:rPr>
            </w:pPr>
            <w:r w:rsidRPr="00A30EEE">
              <w:rPr>
                <w:b w:val="0"/>
                <w:color w:val="000000"/>
                <w:sz w:val="20"/>
                <w:szCs w:val="20"/>
              </w:rPr>
              <w:t>Department of Treasury and Finance</w:t>
            </w:r>
          </w:p>
        </w:tc>
        <w:tc>
          <w:tcPr>
            <w:tcW w:w="1034" w:type="dxa"/>
            <w:vAlign w:val="center"/>
          </w:tcPr>
          <w:p w14:paraId="21D0B362" w14:textId="7956D414" w:rsidR="007A05B3" w:rsidRPr="007A05B3" w:rsidRDefault="007A05B3" w:rsidP="007A05B3">
            <w:pPr>
              <w:pStyle w:val="Tablenumbers"/>
              <w:cnfStyle w:val="000000000000" w:firstRow="0" w:lastRow="0" w:firstColumn="0" w:lastColumn="0" w:oddVBand="0" w:evenVBand="0" w:oddHBand="0" w:evenHBand="0" w:firstRowFirstColumn="0" w:firstRowLastColumn="0" w:lastRowFirstColumn="0" w:lastRowLastColumn="0"/>
            </w:pPr>
            <w:r w:rsidRPr="007A05B3">
              <w:t>5</w:t>
            </w:r>
          </w:p>
        </w:tc>
        <w:tc>
          <w:tcPr>
            <w:tcW w:w="1234" w:type="dxa"/>
            <w:noWrap/>
            <w:vAlign w:val="center"/>
          </w:tcPr>
          <w:p w14:paraId="5E7E7D68" w14:textId="5887C639" w:rsidR="007A05B3" w:rsidRPr="007A05B3" w:rsidRDefault="007A05B3" w:rsidP="007A05B3">
            <w:pPr>
              <w:pStyle w:val="Tablenumbers"/>
              <w:cnfStyle w:val="000000000000" w:firstRow="0" w:lastRow="0" w:firstColumn="0" w:lastColumn="0" w:oddVBand="0" w:evenVBand="0" w:oddHBand="0" w:evenHBand="0" w:firstRowFirstColumn="0" w:firstRowLastColumn="0" w:lastRowFirstColumn="0" w:lastRowLastColumn="0"/>
            </w:pPr>
            <w:r w:rsidRPr="007A05B3">
              <w:t>1.5</w:t>
            </w:r>
          </w:p>
        </w:tc>
        <w:tc>
          <w:tcPr>
            <w:tcW w:w="1034" w:type="dxa"/>
            <w:vAlign w:val="center"/>
          </w:tcPr>
          <w:p w14:paraId="359DF193" w14:textId="1A5661B6" w:rsidR="007A05B3" w:rsidRPr="007A05B3" w:rsidRDefault="007A05B3" w:rsidP="007A05B3">
            <w:pPr>
              <w:pStyle w:val="Tablenumbers"/>
              <w:cnfStyle w:val="000000000000" w:firstRow="0" w:lastRow="0" w:firstColumn="0" w:lastColumn="0" w:oddVBand="0" w:evenVBand="0" w:oddHBand="0" w:evenHBand="0" w:firstRowFirstColumn="0" w:firstRowLastColumn="0" w:lastRowFirstColumn="0" w:lastRowLastColumn="0"/>
            </w:pPr>
            <w:r w:rsidRPr="007A05B3">
              <w:t>30</w:t>
            </w:r>
          </w:p>
        </w:tc>
        <w:tc>
          <w:tcPr>
            <w:tcW w:w="1193" w:type="dxa"/>
            <w:vAlign w:val="center"/>
          </w:tcPr>
          <w:p w14:paraId="0749525F" w14:textId="3E0D88DA" w:rsidR="007A05B3" w:rsidRPr="007A05B3" w:rsidRDefault="007A05B3" w:rsidP="007A05B3">
            <w:pPr>
              <w:pStyle w:val="Tablenumbers"/>
              <w:cnfStyle w:val="000000000000" w:firstRow="0" w:lastRow="0" w:firstColumn="0" w:lastColumn="0" w:oddVBand="0" w:evenVBand="0" w:oddHBand="0" w:evenHBand="0" w:firstRowFirstColumn="0" w:firstRowLastColumn="0" w:lastRowFirstColumn="0" w:lastRowLastColumn="0"/>
            </w:pPr>
            <w:r w:rsidRPr="007A05B3">
              <w:t>89.1</w:t>
            </w:r>
          </w:p>
        </w:tc>
      </w:tr>
      <w:tr w:rsidR="00DA5821" w:rsidRPr="00CD6245" w14:paraId="0614D5BB" w14:textId="77777777" w:rsidTr="00DB6154">
        <w:trPr>
          <w:cnfStyle w:val="000000100000" w:firstRow="0" w:lastRow="0" w:firstColumn="0" w:lastColumn="0" w:oddVBand="0" w:evenVBand="0" w:oddHBand="1" w:evenHBand="0" w:firstRowFirstColumn="0" w:firstRowLastColumn="0" w:lastRowFirstColumn="0" w:lastRowLastColumn="0"/>
          <w:trHeight w:val="256"/>
        </w:trPr>
        <w:tc>
          <w:tcPr>
            <w:cnfStyle w:val="001000000000" w:firstRow="0" w:lastRow="0" w:firstColumn="1" w:lastColumn="0" w:oddVBand="0" w:evenVBand="0" w:oddHBand="0" w:evenHBand="0" w:firstRowFirstColumn="0" w:firstRowLastColumn="0" w:lastRowFirstColumn="0" w:lastRowLastColumn="0"/>
            <w:tcW w:w="4394" w:type="dxa"/>
          </w:tcPr>
          <w:p w14:paraId="21EF192D" w14:textId="1DA1779C" w:rsidR="00DA5821" w:rsidRPr="00A30EEE" w:rsidRDefault="00820DB7" w:rsidP="00DB6154">
            <w:pPr>
              <w:rPr>
                <w:b w:val="0"/>
                <w:color w:val="000000"/>
                <w:sz w:val="20"/>
                <w:szCs w:val="20"/>
              </w:rPr>
            </w:pPr>
            <w:bookmarkStart w:id="70" w:name="_Hlk488219359"/>
            <w:r>
              <w:rPr>
                <w:b w:val="0"/>
                <w:color w:val="000000"/>
                <w:sz w:val="20"/>
                <w:szCs w:val="20"/>
              </w:rPr>
              <w:t>CenITex</w:t>
            </w:r>
          </w:p>
        </w:tc>
        <w:tc>
          <w:tcPr>
            <w:tcW w:w="1034" w:type="dxa"/>
          </w:tcPr>
          <w:p w14:paraId="6CA59FC6" w14:textId="77777777" w:rsidR="00DA5821" w:rsidRPr="007A05B3" w:rsidRDefault="00DA5821" w:rsidP="007A05B3">
            <w:pPr>
              <w:pStyle w:val="Tablenumbers"/>
              <w:cnfStyle w:val="000000100000" w:firstRow="0" w:lastRow="0" w:firstColumn="0" w:lastColumn="0" w:oddVBand="0" w:evenVBand="0" w:oddHBand="1" w:evenHBand="0" w:firstRowFirstColumn="0" w:firstRowLastColumn="0" w:lastRowFirstColumn="0" w:lastRowLastColumn="0"/>
            </w:pPr>
            <w:r w:rsidRPr="007A05B3">
              <w:t>3</w:t>
            </w:r>
          </w:p>
        </w:tc>
        <w:tc>
          <w:tcPr>
            <w:tcW w:w="1234" w:type="dxa"/>
            <w:noWrap/>
          </w:tcPr>
          <w:p w14:paraId="28EF5343" w14:textId="77777777" w:rsidR="00DA5821" w:rsidRPr="007A05B3" w:rsidRDefault="00DA5821" w:rsidP="007A05B3">
            <w:pPr>
              <w:pStyle w:val="Tablenumbers"/>
              <w:cnfStyle w:val="000000100000" w:firstRow="0" w:lastRow="0" w:firstColumn="0" w:lastColumn="0" w:oddVBand="0" w:evenVBand="0" w:oddHBand="1" w:evenHBand="0" w:firstRowFirstColumn="0" w:firstRowLastColumn="0" w:lastRowFirstColumn="0" w:lastRowLastColumn="0"/>
            </w:pPr>
            <w:r w:rsidRPr="007A05B3">
              <w:t>1.3</w:t>
            </w:r>
          </w:p>
        </w:tc>
        <w:tc>
          <w:tcPr>
            <w:tcW w:w="1034" w:type="dxa"/>
          </w:tcPr>
          <w:p w14:paraId="0059ED36" w14:textId="77777777" w:rsidR="00DA5821" w:rsidRPr="007A05B3" w:rsidRDefault="00DA5821" w:rsidP="007A05B3">
            <w:pPr>
              <w:pStyle w:val="Tablenumbers"/>
              <w:cnfStyle w:val="000000100000" w:firstRow="0" w:lastRow="0" w:firstColumn="0" w:lastColumn="0" w:oddVBand="0" w:evenVBand="0" w:oddHBand="1" w:evenHBand="0" w:firstRowFirstColumn="0" w:firstRowLastColumn="0" w:lastRowFirstColumn="0" w:lastRowLastColumn="0"/>
            </w:pPr>
            <w:r w:rsidRPr="007A05B3">
              <w:t>19</w:t>
            </w:r>
          </w:p>
        </w:tc>
        <w:tc>
          <w:tcPr>
            <w:tcW w:w="1193" w:type="dxa"/>
          </w:tcPr>
          <w:p w14:paraId="14EDE91E" w14:textId="77777777" w:rsidR="00DA5821" w:rsidRPr="007A05B3" w:rsidRDefault="00DA5821" w:rsidP="007A05B3">
            <w:pPr>
              <w:pStyle w:val="Tablenumbers"/>
              <w:cnfStyle w:val="000000100000" w:firstRow="0" w:lastRow="0" w:firstColumn="0" w:lastColumn="0" w:oddVBand="0" w:evenVBand="0" w:oddHBand="1" w:evenHBand="0" w:firstRowFirstColumn="0" w:firstRowLastColumn="0" w:lastRowFirstColumn="0" w:lastRowLastColumn="0"/>
            </w:pPr>
            <w:r w:rsidRPr="007A05B3">
              <w:t>13.3</w:t>
            </w:r>
          </w:p>
        </w:tc>
      </w:tr>
      <w:bookmarkEnd w:id="70"/>
      <w:tr w:rsidR="007A05B3" w:rsidRPr="00CD6245" w14:paraId="039D4467" w14:textId="77777777" w:rsidTr="009967B5">
        <w:trPr>
          <w:trHeight w:val="256"/>
        </w:trPr>
        <w:tc>
          <w:tcPr>
            <w:cnfStyle w:val="001000000000" w:firstRow="0" w:lastRow="0" w:firstColumn="1" w:lastColumn="0" w:oddVBand="0" w:evenVBand="0" w:oddHBand="0" w:evenHBand="0" w:firstRowFirstColumn="0" w:firstRowLastColumn="0" w:lastRowFirstColumn="0" w:lastRowLastColumn="0"/>
            <w:tcW w:w="4394" w:type="dxa"/>
          </w:tcPr>
          <w:p w14:paraId="691BCF67" w14:textId="3CBE9B99" w:rsidR="007A05B3" w:rsidRPr="00A30EEE" w:rsidRDefault="007A05B3" w:rsidP="007A05B3">
            <w:pPr>
              <w:rPr>
                <w:b w:val="0"/>
                <w:color w:val="000000"/>
                <w:sz w:val="20"/>
                <w:szCs w:val="20"/>
              </w:rPr>
            </w:pPr>
            <w:r w:rsidRPr="00A30EEE">
              <w:rPr>
                <w:b w:val="0"/>
                <w:color w:val="000000"/>
                <w:sz w:val="20"/>
                <w:szCs w:val="20"/>
              </w:rPr>
              <w:t>Public Transport Victoria</w:t>
            </w:r>
          </w:p>
        </w:tc>
        <w:tc>
          <w:tcPr>
            <w:tcW w:w="1034" w:type="dxa"/>
            <w:vAlign w:val="center"/>
          </w:tcPr>
          <w:p w14:paraId="6AF096A1" w14:textId="0CA1D321" w:rsidR="007A05B3" w:rsidRPr="007A05B3" w:rsidRDefault="007A05B3" w:rsidP="007A05B3">
            <w:pPr>
              <w:pStyle w:val="Tablenumbers"/>
              <w:cnfStyle w:val="000000000000" w:firstRow="0" w:lastRow="0" w:firstColumn="0" w:lastColumn="0" w:oddVBand="0" w:evenVBand="0" w:oddHBand="0" w:evenHBand="0" w:firstRowFirstColumn="0" w:firstRowLastColumn="0" w:lastRowFirstColumn="0" w:lastRowLastColumn="0"/>
            </w:pPr>
            <w:r w:rsidRPr="007A05B3">
              <w:t>0</w:t>
            </w:r>
          </w:p>
        </w:tc>
        <w:tc>
          <w:tcPr>
            <w:tcW w:w="1234" w:type="dxa"/>
            <w:noWrap/>
            <w:vAlign w:val="center"/>
          </w:tcPr>
          <w:p w14:paraId="2ACF9421" w14:textId="5C46CE72" w:rsidR="007A05B3" w:rsidRPr="007A05B3" w:rsidRDefault="007A05B3" w:rsidP="007A05B3">
            <w:pPr>
              <w:pStyle w:val="Tablenumbers"/>
              <w:cnfStyle w:val="000000000000" w:firstRow="0" w:lastRow="0" w:firstColumn="0" w:lastColumn="0" w:oddVBand="0" w:evenVBand="0" w:oddHBand="0" w:evenHBand="0" w:firstRowFirstColumn="0" w:firstRowLastColumn="0" w:lastRowFirstColumn="0" w:lastRowLastColumn="0"/>
            </w:pPr>
            <w:r w:rsidRPr="007A05B3">
              <w:t>0</w:t>
            </w:r>
          </w:p>
        </w:tc>
        <w:tc>
          <w:tcPr>
            <w:tcW w:w="1034" w:type="dxa"/>
            <w:vAlign w:val="center"/>
          </w:tcPr>
          <w:p w14:paraId="7872705B" w14:textId="623F875B" w:rsidR="007A05B3" w:rsidRPr="007A05B3" w:rsidRDefault="007A05B3" w:rsidP="007A05B3">
            <w:pPr>
              <w:pStyle w:val="Tablenumbers"/>
              <w:cnfStyle w:val="000000000000" w:firstRow="0" w:lastRow="0" w:firstColumn="0" w:lastColumn="0" w:oddVBand="0" w:evenVBand="0" w:oddHBand="0" w:evenHBand="0" w:firstRowFirstColumn="0" w:firstRowLastColumn="0" w:lastRowFirstColumn="0" w:lastRowLastColumn="0"/>
            </w:pPr>
            <w:r w:rsidRPr="007A05B3">
              <w:t>6</w:t>
            </w:r>
          </w:p>
        </w:tc>
        <w:tc>
          <w:tcPr>
            <w:tcW w:w="1193" w:type="dxa"/>
            <w:vAlign w:val="center"/>
          </w:tcPr>
          <w:p w14:paraId="594D4001" w14:textId="3A388C05" w:rsidR="007A05B3" w:rsidRPr="007A05B3" w:rsidRDefault="007A05B3" w:rsidP="007A05B3">
            <w:pPr>
              <w:pStyle w:val="Tablenumbers"/>
              <w:cnfStyle w:val="000000000000" w:firstRow="0" w:lastRow="0" w:firstColumn="0" w:lastColumn="0" w:oddVBand="0" w:evenVBand="0" w:oddHBand="0" w:evenHBand="0" w:firstRowFirstColumn="0" w:firstRowLastColumn="0" w:lastRowFirstColumn="0" w:lastRowLastColumn="0"/>
            </w:pPr>
            <w:r w:rsidRPr="007A05B3">
              <w:t>5.2</w:t>
            </w:r>
          </w:p>
        </w:tc>
      </w:tr>
      <w:tr w:rsidR="00C27AA9" w:rsidRPr="00CD6245" w14:paraId="1634131A" w14:textId="77777777" w:rsidTr="0083666F">
        <w:trPr>
          <w:cnfStyle w:val="000000100000" w:firstRow="0" w:lastRow="0" w:firstColumn="0" w:lastColumn="0" w:oddVBand="0" w:evenVBand="0" w:oddHBand="1" w:evenHBand="0" w:firstRowFirstColumn="0" w:firstRowLastColumn="0" w:lastRowFirstColumn="0" w:lastRowLastColumn="0"/>
          <w:trHeight w:val="256"/>
        </w:trPr>
        <w:tc>
          <w:tcPr>
            <w:cnfStyle w:val="001000000000" w:firstRow="0" w:lastRow="0" w:firstColumn="1" w:lastColumn="0" w:oddVBand="0" w:evenVBand="0" w:oddHBand="0" w:evenHBand="0" w:firstRowFirstColumn="0" w:firstRowLastColumn="0" w:lastRowFirstColumn="0" w:lastRowLastColumn="0"/>
            <w:tcW w:w="4394" w:type="dxa"/>
          </w:tcPr>
          <w:p w14:paraId="7CD00239" w14:textId="5435D593" w:rsidR="00C27AA9" w:rsidRPr="00A30EEE" w:rsidRDefault="00C27AA9" w:rsidP="00C27AA9">
            <w:pPr>
              <w:rPr>
                <w:b w:val="0"/>
                <w:color w:val="000000"/>
                <w:sz w:val="20"/>
                <w:szCs w:val="20"/>
              </w:rPr>
            </w:pPr>
            <w:r w:rsidRPr="00A30EEE">
              <w:rPr>
                <w:b w:val="0"/>
                <w:color w:val="000000"/>
                <w:sz w:val="20"/>
                <w:szCs w:val="20"/>
              </w:rPr>
              <w:t>VicRoads</w:t>
            </w:r>
          </w:p>
        </w:tc>
        <w:tc>
          <w:tcPr>
            <w:tcW w:w="1034" w:type="dxa"/>
          </w:tcPr>
          <w:p w14:paraId="52F24762" w14:textId="2F144333" w:rsidR="00C27AA9" w:rsidRPr="007A05B3" w:rsidRDefault="00C27AA9" w:rsidP="007A05B3">
            <w:pPr>
              <w:pStyle w:val="Tablenumbers"/>
              <w:cnfStyle w:val="000000100000" w:firstRow="0" w:lastRow="0" w:firstColumn="0" w:lastColumn="0" w:oddVBand="0" w:evenVBand="0" w:oddHBand="1" w:evenHBand="0" w:firstRowFirstColumn="0" w:firstRowLastColumn="0" w:lastRowFirstColumn="0" w:lastRowLastColumn="0"/>
            </w:pPr>
            <w:r w:rsidRPr="007A05B3">
              <w:t>10</w:t>
            </w:r>
          </w:p>
        </w:tc>
        <w:tc>
          <w:tcPr>
            <w:tcW w:w="1234" w:type="dxa"/>
            <w:noWrap/>
          </w:tcPr>
          <w:p w14:paraId="33A94C0D" w14:textId="60DA9FC8" w:rsidR="00C27AA9" w:rsidRPr="007A05B3" w:rsidRDefault="00C27AA9" w:rsidP="007A05B3">
            <w:pPr>
              <w:pStyle w:val="Tablenumbers"/>
              <w:cnfStyle w:val="000000100000" w:firstRow="0" w:lastRow="0" w:firstColumn="0" w:lastColumn="0" w:oddVBand="0" w:evenVBand="0" w:oddHBand="1" w:evenHBand="0" w:firstRowFirstColumn="0" w:firstRowLastColumn="0" w:lastRowFirstColumn="0" w:lastRowLastColumn="0"/>
            </w:pPr>
            <w:r w:rsidRPr="007A05B3">
              <w:t>4.1</w:t>
            </w:r>
          </w:p>
        </w:tc>
        <w:tc>
          <w:tcPr>
            <w:tcW w:w="1034" w:type="dxa"/>
          </w:tcPr>
          <w:p w14:paraId="00D75336" w14:textId="6C95B042" w:rsidR="00C27AA9" w:rsidRPr="007A05B3" w:rsidRDefault="00C27AA9" w:rsidP="007A05B3">
            <w:pPr>
              <w:pStyle w:val="Tablenumbers"/>
              <w:cnfStyle w:val="000000100000" w:firstRow="0" w:lastRow="0" w:firstColumn="0" w:lastColumn="0" w:oddVBand="0" w:evenVBand="0" w:oddHBand="1" w:evenHBand="0" w:firstRowFirstColumn="0" w:firstRowLastColumn="0" w:lastRowFirstColumn="0" w:lastRowLastColumn="0"/>
            </w:pPr>
            <w:r w:rsidRPr="007A05B3">
              <w:t>173</w:t>
            </w:r>
          </w:p>
        </w:tc>
        <w:tc>
          <w:tcPr>
            <w:tcW w:w="1193" w:type="dxa"/>
          </w:tcPr>
          <w:p w14:paraId="5F9FF2D7" w14:textId="6AAB71F0" w:rsidR="00C27AA9" w:rsidRPr="007A05B3" w:rsidRDefault="00C27AA9" w:rsidP="007A05B3">
            <w:pPr>
              <w:pStyle w:val="Tablenumbers"/>
              <w:cnfStyle w:val="000000100000" w:firstRow="0" w:lastRow="0" w:firstColumn="0" w:lastColumn="0" w:oddVBand="0" w:evenVBand="0" w:oddHBand="1" w:evenHBand="0" w:firstRowFirstColumn="0" w:firstRowLastColumn="0" w:lastRowFirstColumn="0" w:lastRowLastColumn="0"/>
            </w:pPr>
            <w:r w:rsidRPr="007A05B3">
              <w:t>135.5</w:t>
            </w:r>
          </w:p>
        </w:tc>
      </w:tr>
      <w:tr w:rsidR="00C27AA9" w:rsidRPr="00CD6245" w14:paraId="020C0314" w14:textId="77777777" w:rsidTr="0083666F">
        <w:trPr>
          <w:trHeight w:val="256"/>
        </w:trPr>
        <w:tc>
          <w:tcPr>
            <w:cnfStyle w:val="001000000000" w:firstRow="0" w:lastRow="0" w:firstColumn="1" w:lastColumn="0" w:oddVBand="0" w:evenVBand="0" w:oddHBand="0" w:evenHBand="0" w:firstRowFirstColumn="0" w:firstRowLastColumn="0" w:lastRowFirstColumn="0" w:lastRowLastColumn="0"/>
            <w:tcW w:w="4394" w:type="dxa"/>
          </w:tcPr>
          <w:p w14:paraId="66CD8816" w14:textId="304F4B02" w:rsidR="00C27AA9" w:rsidRPr="00A30EEE" w:rsidRDefault="00C27AA9" w:rsidP="00C27AA9">
            <w:pPr>
              <w:rPr>
                <w:b w:val="0"/>
                <w:color w:val="000000"/>
                <w:sz w:val="20"/>
                <w:szCs w:val="20"/>
              </w:rPr>
            </w:pPr>
            <w:r w:rsidRPr="00A30EEE">
              <w:rPr>
                <w:b w:val="0"/>
                <w:color w:val="000000"/>
                <w:sz w:val="20"/>
                <w:szCs w:val="20"/>
              </w:rPr>
              <w:t>Victoria Police</w:t>
            </w:r>
          </w:p>
        </w:tc>
        <w:tc>
          <w:tcPr>
            <w:tcW w:w="1034" w:type="dxa"/>
          </w:tcPr>
          <w:p w14:paraId="75EAA44F" w14:textId="616A6F94" w:rsidR="00C27AA9" w:rsidRPr="00C27AA9" w:rsidRDefault="00C27AA9" w:rsidP="00C27AA9">
            <w:pPr>
              <w:pStyle w:val="Tablenumbers"/>
              <w:cnfStyle w:val="000000000000" w:firstRow="0" w:lastRow="0" w:firstColumn="0" w:lastColumn="0" w:oddVBand="0" w:evenVBand="0" w:oddHBand="0" w:evenHBand="0" w:firstRowFirstColumn="0" w:firstRowLastColumn="0" w:lastRowFirstColumn="0" w:lastRowLastColumn="0"/>
            </w:pPr>
            <w:r w:rsidRPr="00C27AA9">
              <w:t>6</w:t>
            </w:r>
          </w:p>
        </w:tc>
        <w:tc>
          <w:tcPr>
            <w:tcW w:w="1234" w:type="dxa"/>
            <w:noWrap/>
          </w:tcPr>
          <w:p w14:paraId="45AE4F41" w14:textId="0CF58C44" w:rsidR="00C27AA9" w:rsidRPr="00C27AA9" w:rsidRDefault="00C27AA9" w:rsidP="00C27AA9">
            <w:pPr>
              <w:pStyle w:val="Tablenumbers"/>
              <w:cnfStyle w:val="000000000000" w:firstRow="0" w:lastRow="0" w:firstColumn="0" w:lastColumn="0" w:oddVBand="0" w:evenVBand="0" w:oddHBand="0" w:evenHBand="0" w:firstRowFirstColumn="0" w:firstRowLastColumn="0" w:lastRowFirstColumn="0" w:lastRowLastColumn="0"/>
            </w:pPr>
            <w:r w:rsidRPr="00C27AA9">
              <w:t>200.2</w:t>
            </w:r>
          </w:p>
        </w:tc>
        <w:tc>
          <w:tcPr>
            <w:tcW w:w="1034" w:type="dxa"/>
          </w:tcPr>
          <w:p w14:paraId="4B234176" w14:textId="42F30468" w:rsidR="00C27AA9" w:rsidRPr="00C27AA9" w:rsidRDefault="00C27AA9" w:rsidP="00C27AA9">
            <w:pPr>
              <w:pStyle w:val="Tablenumbers"/>
              <w:cnfStyle w:val="000000000000" w:firstRow="0" w:lastRow="0" w:firstColumn="0" w:lastColumn="0" w:oddVBand="0" w:evenVBand="0" w:oddHBand="0" w:evenHBand="0" w:firstRowFirstColumn="0" w:firstRowLastColumn="0" w:lastRowFirstColumn="0" w:lastRowLastColumn="0"/>
            </w:pPr>
            <w:r w:rsidRPr="00C27AA9">
              <w:t>8</w:t>
            </w:r>
          </w:p>
        </w:tc>
        <w:tc>
          <w:tcPr>
            <w:tcW w:w="1193" w:type="dxa"/>
          </w:tcPr>
          <w:p w14:paraId="22932555" w14:textId="240878AF" w:rsidR="00C27AA9" w:rsidRPr="00C27AA9" w:rsidRDefault="00C27AA9" w:rsidP="00C27AA9">
            <w:pPr>
              <w:pStyle w:val="Tablenumbers"/>
              <w:cnfStyle w:val="000000000000" w:firstRow="0" w:lastRow="0" w:firstColumn="0" w:lastColumn="0" w:oddVBand="0" w:evenVBand="0" w:oddHBand="0" w:evenHBand="0" w:firstRowFirstColumn="0" w:firstRowLastColumn="0" w:lastRowFirstColumn="0" w:lastRowLastColumn="0"/>
            </w:pPr>
            <w:r w:rsidRPr="00C27AA9">
              <w:t>9.5</w:t>
            </w:r>
          </w:p>
        </w:tc>
      </w:tr>
      <w:tr w:rsidR="00C27AA9" w:rsidRPr="00A30EEE" w14:paraId="5BA437A6" w14:textId="77777777" w:rsidTr="0083666F">
        <w:trPr>
          <w:cnfStyle w:val="000000100000" w:firstRow="0" w:lastRow="0" w:firstColumn="0" w:lastColumn="0" w:oddVBand="0" w:evenVBand="0" w:oddHBand="1" w:evenHBand="0" w:firstRowFirstColumn="0" w:firstRowLastColumn="0" w:lastRowFirstColumn="0" w:lastRowLastColumn="0"/>
          <w:trHeight w:val="256"/>
        </w:trPr>
        <w:tc>
          <w:tcPr>
            <w:cnfStyle w:val="001000000000" w:firstRow="0" w:lastRow="0" w:firstColumn="1" w:lastColumn="0" w:oddVBand="0" w:evenVBand="0" w:oddHBand="0" w:evenHBand="0" w:firstRowFirstColumn="0" w:firstRowLastColumn="0" w:lastRowFirstColumn="0" w:lastRowLastColumn="0"/>
            <w:tcW w:w="4394" w:type="dxa"/>
          </w:tcPr>
          <w:p w14:paraId="21DEB789" w14:textId="19066DE3" w:rsidR="00C27AA9" w:rsidRPr="00A30EEE" w:rsidRDefault="00C27AA9" w:rsidP="00C27AA9">
            <w:pPr>
              <w:rPr>
                <w:color w:val="000000"/>
                <w:sz w:val="20"/>
                <w:szCs w:val="20"/>
              </w:rPr>
            </w:pPr>
            <w:r w:rsidRPr="00A30EEE">
              <w:rPr>
                <w:color w:val="000000"/>
                <w:sz w:val="20"/>
                <w:szCs w:val="20"/>
              </w:rPr>
              <w:t>Totals</w:t>
            </w:r>
          </w:p>
        </w:tc>
        <w:tc>
          <w:tcPr>
            <w:tcW w:w="1034" w:type="dxa"/>
          </w:tcPr>
          <w:p w14:paraId="7833CF1F" w14:textId="57A6DB75" w:rsidR="00C27AA9" w:rsidRPr="00A30EEE" w:rsidRDefault="00C27AA9" w:rsidP="00C27AA9">
            <w:pPr>
              <w:pStyle w:val="Tablenumbers"/>
              <w:cnfStyle w:val="000000100000" w:firstRow="0" w:lastRow="0" w:firstColumn="0" w:lastColumn="0" w:oddVBand="0" w:evenVBand="0" w:oddHBand="1" w:evenHBand="0" w:firstRowFirstColumn="0" w:firstRowLastColumn="0" w:lastRowFirstColumn="0" w:lastRowLastColumn="0"/>
              <w:rPr>
                <w:b/>
              </w:rPr>
            </w:pPr>
            <w:r w:rsidRPr="00A30EEE">
              <w:rPr>
                <w:b/>
              </w:rPr>
              <w:t>178</w:t>
            </w:r>
          </w:p>
        </w:tc>
        <w:tc>
          <w:tcPr>
            <w:tcW w:w="1234" w:type="dxa"/>
            <w:noWrap/>
          </w:tcPr>
          <w:p w14:paraId="769DCC9F" w14:textId="5D9D176F" w:rsidR="00C27AA9" w:rsidRPr="00A30EEE" w:rsidRDefault="00C27AA9" w:rsidP="00C27AA9">
            <w:pPr>
              <w:pStyle w:val="Tablenumbers"/>
              <w:cnfStyle w:val="000000100000" w:firstRow="0" w:lastRow="0" w:firstColumn="0" w:lastColumn="0" w:oddVBand="0" w:evenVBand="0" w:oddHBand="1" w:evenHBand="0" w:firstRowFirstColumn="0" w:firstRowLastColumn="0" w:lastRowFirstColumn="0" w:lastRowLastColumn="0"/>
              <w:rPr>
                <w:b/>
              </w:rPr>
            </w:pPr>
            <w:r w:rsidRPr="00A30EEE">
              <w:rPr>
                <w:b/>
              </w:rPr>
              <w:t>362.8</w:t>
            </w:r>
          </w:p>
        </w:tc>
        <w:tc>
          <w:tcPr>
            <w:tcW w:w="1034" w:type="dxa"/>
          </w:tcPr>
          <w:p w14:paraId="1EBFF36A" w14:textId="7A326487" w:rsidR="00C27AA9" w:rsidRPr="00A30EEE" w:rsidRDefault="00C27AA9" w:rsidP="00C27AA9">
            <w:pPr>
              <w:pStyle w:val="Tablenumbers"/>
              <w:cnfStyle w:val="000000100000" w:firstRow="0" w:lastRow="0" w:firstColumn="0" w:lastColumn="0" w:oddVBand="0" w:evenVBand="0" w:oddHBand="1" w:evenHBand="0" w:firstRowFirstColumn="0" w:firstRowLastColumn="0" w:lastRowFirstColumn="0" w:lastRowLastColumn="0"/>
              <w:rPr>
                <w:b/>
              </w:rPr>
            </w:pPr>
            <w:r w:rsidRPr="00A30EEE">
              <w:rPr>
                <w:b/>
              </w:rPr>
              <w:t>974</w:t>
            </w:r>
          </w:p>
        </w:tc>
        <w:tc>
          <w:tcPr>
            <w:tcW w:w="1193" w:type="dxa"/>
          </w:tcPr>
          <w:p w14:paraId="44E9E287" w14:textId="59666B98" w:rsidR="00C27AA9" w:rsidRPr="00A30EEE" w:rsidRDefault="00C27AA9" w:rsidP="00C27AA9">
            <w:pPr>
              <w:pStyle w:val="Tablenumbers"/>
              <w:cnfStyle w:val="000000100000" w:firstRow="0" w:lastRow="0" w:firstColumn="0" w:lastColumn="0" w:oddVBand="0" w:evenVBand="0" w:oddHBand="1" w:evenHBand="0" w:firstRowFirstColumn="0" w:firstRowLastColumn="0" w:lastRowFirstColumn="0" w:lastRowLastColumn="0"/>
              <w:rPr>
                <w:b/>
              </w:rPr>
            </w:pPr>
            <w:r w:rsidRPr="00A30EEE">
              <w:rPr>
                <w:b/>
              </w:rPr>
              <w:t>1</w:t>
            </w:r>
            <w:r w:rsidR="00E42ECB">
              <w:rPr>
                <w:b/>
              </w:rPr>
              <w:t> </w:t>
            </w:r>
            <w:r w:rsidRPr="00A30EEE">
              <w:rPr>
                <w:b/>
              </w:rPr>
              <w:t>153.</w:t>
            </w:r>
            <w:r w:rsidR="00420659" w:rsidRPr="00A30EEE">
              <w:rPr>
                <w:b/>
              </w:rPr>
              <w:t>0</w:t>
            </w:r>
          </w:p>
        </w:tc>
      </w:tr>
    </w:tbl>
    <w:p w14:paraId="337D7E36" w14:textId="7A34CA4C" w:rsidR="000A7D04" w:rsidRDefault="009B74A3" w:rsidP="005B2E7F">
      <w:pPr>
        <w:pStyle w:val="Tablenotes"/>
        <w:ind w:left="993"/>
      </w:pPr>
      <w:r w:rsidRPr="006628E6">
        <w:t>Note: Discrepancies between totals and sums of totals reflect rounding.</w:t>
      </w:r>
    </w:p>
    <w:p w14:paraId="6C7A7027" w14:textId="77777777" w:rsidR="00420659" w:rsidRPr="001F7D73" w:rsidRDefault="00420659" w:rsidP="001F7D73">
      <w:pPr>
        <w:pStyle w:val="Heading2NoNum"/>
      </w:pPr>
      <w:bookmarkStart w:id="71" w:name="_Toc524354068"/>
      <w:bookmarkStart w:id="72" w:name="_Hlk489008264"/>
      <w:r w:rsidRPr="001F7D73">
        <w:t>Procurement complexity</w:t>
      </w:r>
      <w:bookmarkEnd w:id="71"/>
    </w:p>
    <w:p w14:paraId="302D72F1" w14:textId="77777777" w:rsidR="00420659" w:rsidRDefault="00420659" w:rsidP="00420659">
      <w:pPr>
        <w:pStyle w:val="Normal1"/>
      </w:pPr>
      <w:r>
        <w:t>Procurement complexity refers to the level of difficulty involved in procuring a good or service. An assessment of complexity considers factors such as risk, total cost of ownership and market dynamics.</w:t>
      </w:r>
    </w:p>
    <w:p w14:paraId="5A9F5B3F" w14:textId="0C8BB892" w:rsidR="00420659" w:rsidRDefault="00420659" w:rsidP="00420659">
      <w:pPr>
        <w:pStyle w:val="Normal1"/>
        <w:rPr>
          <w:lang w:eastAsia="en-US"/>
        </w:rPr>
      </w:pPr>
      <w:r w:rsidRPr="00CD6245">
        <w:rPr>
          <w:lang w:eastAsia="en-US"/>
        </w:rPr>
        <w:t xml:space="preserve">When buying goods and services, organisations complete a complexity assessment and </w:t>
      </w:r>
      <w:r>
        <w:rPr>
          <w:lang w:eastAsia="en-US"/>
        </w:rPr>
        <w:t>categorise procurements into one of four complexity quadrants (</w:t>
      </w:r>
      <w:r>
        <w:rPr>
          <w:lang w:eastAsia="en-US"/>
        </w:rPr>
        <w:fldChar w:fldCharType="begin"/>
      </w:r>
      <w:r>
        <w:rPr>
          <w:lang w:eastAsia="en-US"/>
        </w:rPr>
        <w:instrText xml:space="preserve"> REF _Ref425442129 \h </w:instrText>
      </w:r>
      <w:r>
        <w:rPr>
          <w:lang w:eastAsia="en-US"/>
        </w:rPr>
      </w:r>
      <w:r>
        <w:rPr>
          <w:lang w:eastAsia="en-US"/>
        </w:rPr>
        <w:fldChar w:fldCharType="separate"/>
      </w:r>
      <w:r w:rsidR="00A07703" w:rsidRPr="00CD6245">
        <w:t xml:space="preserve">Table </w:t>
      </w:r>
      <w:r w:rsidR="00A07703">
        <w:rPr>
          <w:noProof/>
        </w:rPr>
        <w:t>6</w:t>
      </w:r>
      <w:r>
        <w:rPr>
          <w:lang w:eastAsia="en-US"/>
        </w:rPr>
        <w:fldChar w:fldCharType="end"/>
      </w:r>
      <w:r>
        <w:rPr>
          <w:lang w:eastAsia="en-US"/>
        </w:rPr>
        <w:t xml:space="preserve">). The quadrant guides </w:t>
      </w:r>
      <w:r w:rsidRPr="00CD6245">
        <w:rPr>
          <w:lang w:eastAsia="en-US"/>
        </w:rPr>
        <w:t xml:space="preserve">the sourcing strategy and </w:t>
      </w:r>
      <w:r>
        <w:rPr>
          <w:lang w:eastAsia="en-US"/>
        </w:rPr>
        <w:t xml:space="preserve">how to </w:t>
      </w:r>
      <w:r w:rsidRPr="00CD6245">
        <w:rPr>
          <w:lang w:eastAsia="en-US"/>
        </w:rPr>
        <w:t>manage risks and contractual arrangements.</w:t>
      </w:r>
    </w:p>
    <w:p w14:paraId="2E7C559B" w14:textId="2C4F276C" w:rsidR="00420659" w:rsidRPr="00CD6245" w:rsidRDefault="00420659" w:rsidP="00420659">
      <w:pPr>
        <w:pStyle w:val="Caption"/>
      </w:pPr>
      <w:bookmarkStart w:id="73" w:name="_Ref425442129"/>
      <w:bookmarkStart w:id="74" w:name="_Toc524353999"/>
      <w:r w:rsidRPr="00CD6245">
        <w:t xml:space="preserve">Table </w:t>
      </w:r>
      <w:r>
        <w:rPr>
          <w:noProof/>
        </w:rPr>
        <w:fldChar w:fldCharType="begin"/>
      </w:r>
      <w:r>
        <w:rPr>
          <w:noProof/>
        </w:rPr>
        <w:instrText xml:space="preserve"> SEQ Table \* ARABIC </w:instrText>
      </w:r>
      <w:r>
        <w:rPr>
          <w:noProof/>
        </w:rPr>
        <w:fldChar w:fldCharType="separate"/>
      </w:r>
      <w:r w:rsidR="00A07703">
        <w:rPr>
          <w:noProof/>
        </w:rPr>
        <w:t>6</w:t>
      </w:r>
      <w:r>
        <w:rPr>
          <w:noProof/>
        </w:rPr>
        <w:fldChar w:fldCharType="end"/>
      </w:r>
      <w:bookmarkEnd w:id="73"/>
      <w:r w:rsidRPr="00CD6245">
        <w:t>: Description of complexity quadrants</w:t>
      </w:r>
      <w:bookmarkEnd w:id="74"/>
    </w:p>
    <w:tbl>
      <w:tblPr>
        <w:tblStyle w:val="ListTable31"/>
        <w:tblW w:w="8789" w:type="dxa"/>
        <w:tblInd w:w="704" w:type="dxa"/>
        <w:tblLook w:val="04A0" w:firstRow="1" w:lastRow="0" w:firstColumn="1" w:lastColumn="0" w:noHBand="0" w:noVBand="1"/>
      </w:tblPr>
      <w:tblGrid>
        <w:gridCol w:w="1488"/>
        <w:gridCol w:w="7301"/>
      </w:tblGrid>
      <w:tr w:rsidR="00420659" w:rsidRPr="00FE1F84" w14:paraId="5B9D113B" w14:textId="77777777" w:rsidTr="007718E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488" w:type="dxa"/>
          </w:tcPr>
          <w:p w14:paraId="72ECED5A" w14:textId="77777777" w:rsidR="00420659" w:rsidRPr="00FE1F84" w:rsidRDefault="00420659" w:rsidP="00420659">
            <w:pPr>
              <w:pStyle w:val="TableHeader"/>
              <w:rPr>
                <w:b/>
                <w:color w:val="auto"/>
              </w:rPr>
            </w:pPr>
            <w:r w:rsidRPr="00FE1F84">
              <w:rPr>
                <w:b/>
                <w:color w:val="auto"/>
              </w:rPr>
              <w:t>Quadrant</w:t>
            </w:r>
          </w:p>
        </w:tc>
        <w:tc>
          <w:tcPr>
            <w:tcW w:w="7301" w:type="dxa"/>
          </w:tcPr>
          <w:p w14:paraId="065A91EE" w14:textId="77777777" w:rsidR="00420659" w:rsidRPr="00FE1F84" w:rsidRDefault="00420659" w:rsidP="00420659">
            <w:pPr>
              <w:pStyle w:val="TableHeader"/>
              <w:cnfStyle w:val="100000000000" w:firstRow="1" w:lastRow="0" w:firstColumn="0" w:lastColumn="0" w:oddVBand="0" w:evenVBand="0" w:oddHBand="0" w:evenHBand="0" w:firstRowFirstColumn="0" w:firstRowLastColumn="0" w:lastRowFirstColumn="0" w:lastRowLastColumn="0"/>
              <w:rPr>
                <w:b/>
                <w:color w:val="auto"/>
              </w:rPr>
            </w:pPr>
            <w:r w:rsidRPr="00FE1F84">
              <w:rPr>
                <w:b/>
                <w:color w:val="auto"/>
              </w:rPr>
              <w:t>Description</w:t>
            </w:r>
          </w:p>
        </w:tc>
      </w:tr>
      <w:tr w:rsidR="00420659" w:rsidRPr="00FE1F84" w14:paraId="29A44352" w14:textId="77777777" w:rsidTr="007718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88" w:type="dxa"/>
          </w:tcPr>
          <w:p w14:paraId="33AADFFF" w14:textId="77777777" w:rsidR="00420659" w:rsidRPr="00FE1F84" w:rsidRDefault="00420659" w:rsidP="00420659">
            <w:pPr>
              <w:pStyle w:val="TableText"/>
            </w:pPr>
            <w:r w:rsidRPr="00FE1F84">
              <w:t>Transactional</w:t>
            </w:r>
          </w:p>
        </w:tc>
        <w:tc>
          <w:tcPr>
            <w:tcW w:w="7301" w:type="dxa"/>
          </w:tcPr>
          <w:p w14:paraId="3D601221" w14:textId="77777777" w:rsidR="00420659" w:rsidRPr="00FE1F84" w:rsidRDefault="00420659" w:rsidP="00420659">
            <w:pPr>
              <w:pStyle w:val="TableText"/>
              <w:cnfStyle w:val="000000100000" w:firstRow="0" w:lastRow="0" w:firstColumn="0" w:lastColumn="0" w:oddVBand="0" w:evenVBand="0" w:oddHBand="1" w:evenHBand="0" w:firstRowFirstColumn="0" w:firstRowLastColumn="0" w:lastRowFirstColumn="0" w:lastRowLastColumn="0"/>
            </w:pPr>
            <w:r w:rsidRPr="00FE1F84">
              <w:t xml:space="preserve">Low-value and low-risk transactions where approved suppliers (e.g. SPCs) are not available. </w:t>
            </w:r>
          </w:p>
        </w:tc>
      </w:tr>
      <w:tr w:rsidR="00420659" w:rsidRPr="00FE1F84" w14:paraId="088B26A9" w14:textId="77777777" w:rsidTr="007718EF">
        <w:tc>
          <w:tcPr>
            <w:cnfStyle w:val="001000000000" w:firstRow="0" w:lastRow="0" w:firstColumn="1" w:lastColumn="0" w:oddVBand="0" w:evenVBand="0" w:oddHBand="0" w:evenHBand="0" w:firstRowFirstColumn="0" w:firstRowLastColumn="0" w:lastRowFirstColumn="0" w:lastRowLastColumn="0"/>
            <w:tcW w:w="1488" w:type="dxa"/>
          </w:tcPr>
          <w:p w14:paraId="1DB777A2" w14:textId="77777777" w:rsidR="00420659" w:rsidRPr="00FE1F84" w:rsidRDefault="00420659" w:rsidP="00420659">
            <w:pPr>
              <w:pStyle w:val="TableText"/>
            </w:pPr>
            <w:r w:rsidRPr="00FE1F84">
              <w:t>Leveraged</w:t>
            </w:r>
          </w:p>
        </w:tc>
        <w:tc>
          <w:tcPr>
            <w:tcW w:w="7301" w:type="dxa"/>
          </w:tcPr>
          <w:p w14:paraId="22754956" w14:textId="79CFA100" w:rsidR="00420659" w:rsidRPr="00FE1F84" w:rsidRDefault="00420659" w:rsidP="00420659">
            <w:pPr>
              <w:pStyle w:val="TableText"/>
              <w:cnfStyle w:val="000000000000" w:firstRow="0" w:lastRow="0" w:firstColumn="0" w:lastColumn="0" w:oddVBand="0" w:evenVBand="0" w:oddHBand="0" w:evenHBand="0" w:firstRowFirstColumn="0" w:firstRowLastColumn="0" w:lastRowFirstColumn="0" w:lastRowLastColumn="0"/>
            </w:pPr>
            <w:r w:rsidRPr="00FE1F84">
              <w:t>Frequently used goods</w:t>
            </w:r>
            <w:r w:rsidR="000C0E1A">
              <w:t xml:space="preserve"> and </w:t>
            </w:r>
            <w:r w:rsidRPr="00FE1F84">
              <w:t>services in a competitive marketplace that are procured by an individual organisation or whole of government, where the organisation has the ability to drive value.</w:t>
            </w:r>
          </w:p>
        </w:tc>
      </w:tr>
      <w:tr w:rsidR="00420659" w:rsidRPr="00FE1F84" w14:paraId="08BA43CD" w14:textId="77777777" w:rsidTr="007718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88" w:type="dxa"/>
          </w:tcPr>
          <w:p w14:paraId="5D56E0A2" w14:textId="77777777" w:rsidR="00420659" w:rsidRPr="00FE1F84" w:rsidRDefault="00420659" w:rsidP="00420659">
            <w:pPr>
              <w:pStyle w:val="TableText"/>
            </w:pPr>
            <w:r w:rsidRPr="00FE1F84">
              <w:t>Focused</w:t>
            </w:r>
          </w:p>
        </w:tc>
        <w:tc>
          <w:tcPr>
            <w:tcW w:w="7301" w:type="dxa"/>
          </w:tcPr>
          <w:p w14:paraId="68F48C61" w14:textId="172F343B" w:rsidR="00420659" w:rsidRPr="00FE1F84" w:rsidRDefault="00420659" w:rsidP="00420659">
            <w:pPr>
              <w:pStyle w:val="TableText"/>
              <w:cnfStyle w:val="000000100000" w:firstRow="0" w:lastRow="0" w:firstColumn="0" w:lastColumn="0" w:oddVBand="0" w:evenVBand="0" w:oddHBand="1" w:evenHBand="0" w:firstRowFirstColumn="0" w:firstRowLastColumn="0" w:lastRowFirstColumn="0" w:lastRowLastColumn="0"/>
            </w:pPr>
            <w:r w:rsidRPr="00FE1F84">
              <w:t>Goods</w:t>
            </w:r>
            <w:r w:rsidR="000C0E1A">
              <w:t xml:space="preserve"> and </w:t>
            </w:r>
            <w:r w:rsidRPr="00FE1F84">
              <w:t>services where a limited number of suppliers are available or where novel commercial arrangements are in place. May include whole of government contracts.</w:t>
            </w:r>
          </w:p>
        </w:tc>
      </w:tr>
      <w:tr w:rsidR="00420659" w:rsidRPr="00FE1F84" w14:paraId="405BD3C4" w14:textId="77777777" w:rsidTr="007718EF">
        <w:tc>
          <w:tcPr>
            <w:cnfStyle w:val="001000000000" w:firstRow="0" w:lastRow="0" w:firstColumn="1" w:lastColumn="0" w:oddVBand="0" w:evenVBand="0" w:oddHBand="0" w:evenHBand="0" w:firstRowFirstColumn="0" w:firstRowLastColumn="0" w:lastRowFirstColumn="0" w:lastRowLastColumn="0"/>
            <w:tcW w:w="1488" w:type="dxa"/>
          </w:tcPr>
          <w:p w14:paraId="6CC7CBCA" w14:textId="77777777" w:rsidR="00420659" w:rsidRPr="00FE1F84" w:rsidRDefault="00420659" w:rsidP="00420659">
            <w:pPr>
              <w:pStyle w:val="TableText"/>
            </w:pPr>
            <w:r w:rsidRPr="00FE1F84">
              <w:t>Strategic</w:t>
            </w:r>
          </w:p>
        </w:tc>
        <w:tc>
          <w:tcPr>
            <w:tcW w:w="7301" w:type="dxa"/>
          </w:tcPr>
          <w:p w14:paraId="47E1E6B0" w14:textId="642D399F" w:rsidR="00420659" w:rsidRPr="00FE1F84" w:rsidRDefault="00420659" w:rsidP="00420659">
            <w:pPr>
              <w:pStyle w:val="TableText"/>
              <w:cnfStyle w:val="000000000000" w:firstRow="0" w:lastRow="0" w:firstColumn="0" w:lastColumn="0" w:oddVBand="0" w:evenVBand="0" w:oddHBand="0" w:evenHBand="0" w:firstRowFirstColumn="0" w:firstRowLastColumn="0" w:lastRowFirstColumn="0" w:lastRowLastColumn="0"/>
            </w:pPr>
            <w:r w:rsidRPr="00FE1F84">
              <w:t>Goods</w:t>
            </w:r>
            <w:r w:rsidR="000C0E1A">
              <w:t xml:space="preserve"> and </w:t>
            </w:r>
            <w:r w:rsidRPr="00FE1F84">
              <w:t>services in a competitive market that are high value, where business criticality is high, and/or where the good</w:t>
            </w:r>
            <w:r w:rsidR="000C0E1A">
              <w:t xml:space="preserve"> or </w:t>
            </w:r>
            <w:r w:rsidRPr="00FE1F84">
              <w:t xml:space="preserve">service is of state significance. May include whole of government contracts. </w:t>
            </w:r>
          </w:p>
        </w:tc>
      </w:tr>
    </w:tbl>
    <w:p w14:paraId="48CCB25E" w14:textId="77777777" w:rsidR="005F548E" w:rsidRDefault="005F548E" w:rsidP="00420659">
      <w:pPr>
        <w:pStyle w:val="Heading3NoNum"/>
      </w:pPr>
      <w:r>
        <w:br w:type="page"/>
      </w:r>
    </w:p>
    <w:p w14:paraId="1DD7DA46" w14:textId="6D6EA56A" w:rsidR="00420659" w:rsidRDefault="00420659" w:rsidP="00420659">
      <w:pPr>
        <w:pStyle w:val="Heading3NoNum"/>
      </w:pPr>
      <w:r>
        <w:lastRenderedPageBreak/>
        <w:t>Overview of complexity</w:t>
      </w:r>
    </w:p>
    <w:p w14:paraId="7CDD819F" w14:textId="26349B06" w:rsidR="00420659" w:rsidRPr="00CD6245" w:rsidRDefault="00420659" w:rsidP="00420659">
      <w:pPr>
        <w:pStyle w:val="Normal1"/>
        <w:rPr>
          <w:lang w:eastAsia="en-US"/>
        </w:rPr>
      </w:pPr>
      <w:r>
        <w:rPr>
          <w:lang w:eastAsia="en-US"/>
        </w:rPr>
        <w:t>Our</w:t>
      </w:r>
      <w:r w:rsidRPr="001A77CE">
        <w:rPr>
          <w:lang w:eastAsia="en-US"/>
        </w:rPr>
        <w:t xml:space="preserve"> policies require upfront planning, category management and detailed market analysis. Organisations identify the best approach to market for any given category</w:t>
      </w:r>
      <w:r w:rsidR="003E0CE6">
        <w:rPr>
          <w:lang w:eastAsia="en-US"/>
        </w:rPr>
        <w:t>,</w:t>
      </w:r>
      <w:r w:rsidRPr="001A77CE">
        <w:rPr>
          <w:lang w:eastAsia="en-US"/>
        </w:rPr>
        <w:t xml:space="preserve"> while also identifying opportunities to aggregate demand for frequently used goods and services procured from a competitive marketplace, giving them more buying power to drive value for money.</w:t>
      </w:r>
    </w:p>
    <w:p w14:paraId="58C2BAEE" w14:textId="22E3C15C" w:rsidR="00420659" w:rsidRDefault="00420659" w:rsidP="00420659">
      <w:pPr>
        <w:pStyle w:val="Normal1"/>
      </w:pPr>
      <w:r>
        <w:fldChar w:fldCharType="begin"/>
      </w:r>
      <w:r>
        <w:instrText xml:space="preserve"> REF _Ref425586906 \h  \* MERGEFORMAT </w:instrText>
      </w:r>
      <w:r>
        <w:fldChar w:fldCharType="separate"/>
      </w:r>
      <w:r w:rsidR="00A07703" w:rsidRPr="00381BB6">
        <w:t xml:space="preserve">Table </w:t>
      </w:r>
      <w:r w:rsidR="00A07703">
        <w:rPr>
          <w:noProof/>
        </w:rPr>
        <w:t>7</w:t>
      </w:r>
      <w:r>
        <w:fldChar w:fldCharType="end"/>
      </w:r>
      <w:r w:rsidRPr="00CD6245">
        <w:t xml:space="preserve"> shows the complexity assessment results for the </w:t>
      </w:r>
      <w:r w:rsidR="007500C5">
        <w:t xml:space="preserve">reported contracts </w:t>
      </w:r>
      <w:r w:rsidRPr="00CD6245">
        <w:t>approv</w:t>
      </w:r>
      <w:r w:rsidR="007500C5">
        <w:t>ed</w:t>
      </w:r>
      <w:r w:rsidRPr="00CD6245">
        <w:t xml:space="preserve"> in </w:t>
      </w:r>
      <w:r>
        <w:t>2017–18</w:t>
      </w:r>
      <w:r w:rsidRPr="00CD6245">
        <w:t>.</w:t>
      </w:r>
    </w:p>
    <w:p w14:paraId="418A1434" w14:textId="4ADED00A" w:rsidR="00420659" w:rsidRPr="00381BB6" w:rsidRDefault="00420659" w:rsidP="00381BB6">
      <w:pPr>
        <w:pStyle w:val="Caption"/>
      </w:pPr>
      <w:bookmarkStart w:id="75" w:name="_Ref425586906"/>
      <w:bookmarkStart w:id="76" w:name="_Toc524354000"/>
      <w:r w:rsidRPr="00381BB6">
        <w:t xml:space="preserve">Table </w:t>
      </w:r>
      <w:r w:rsidR="00C26B50">
        <w:rPr>
          <w:noProof/>
        </w:rPr>
        <w:fldChar w:fldCharType="begin"/>
      </w:r>
      <w:r w:rsidR="00C26B50">
        <w:rPr>
          <w:noProof/>
        </w:rPr>
        <w:instrText xml:space="preserve"> SEQ Table \* ARABIC </w:instrText>
      </w:r>
      <w:r w:rsidR="00C26B50">
        <w:rPr>
          <w:noProof/>
        </w:rPr>
        <w:fldChar w:fldCharType="separate"/>
      </w:r>
      <w:r w:rsidR="00A07703">
        <w:rPr>
          <w:noProof/>
        </w:rPr>
        <w:t>7</w:t>
      </w:r>
      <w:r w:rsidR="00C26B50">
        <w:rPr>
          <w:noProof/>
        </w:rPr>
        <w:fldChar w:fldCharType="end"/>
      </w:r>
      <w:bookmarkEnd w:id="75"/>
      <w:r w:rsidRPr="00381BB6">
        <w:t xml:space="preserve">: </w:t>
      </w:r>
      <w:r w:rsidR="00381BB6" w:rsidRPr="00381BB6">
        <w:t>C</w:t>
      </w:r>
      <w:r w:rsidR="007500C5" w:rsidRPr="00381BB6">
        <w:t xml:space="preserve">ontract </w:t>
      </w:r>
      <w:r w:rsidRPr="00381BB6">
        <w:t>approvals by complexity quadrant in 2017–18</w:t>
      </w:r>
      <w:bookmarkEnd w:id="76"/>
    </w:p>
    <w:tbl>
      <w:tblPr>
        <w:tblStyle w:val="ListTable31"/>
        <w:tblW w:w="6237" w:type="dxa"/>
        <w:tblInd w:w="846" w:type="dxa"/>
        <w:tblLook w:val="04A0" w:firstRow="1" w:lastRow="0" w:firstColumn="1" w:lastColumn="0" w:noHBand="0" w:noVBand="1"/>
      </w:tblPr>
      <w:tblGrid>
        <w:gridCol w:w="2211"/>
        <w:gridCol w:w="936"/>
        <w:gridCol w:w="1389"/>
        <w:gridCol w:w="1701"/>
      </w:tblGrid>
      <w:tr w:rsidR="00420659" w:rsidRPr="00FE1F84" w14:paraId="3CB9D4E9" w14:textId="77777777" w:rsidTr="007718EF">
        <w:trPr>
          <w:cnfStyle w:val="100000000000" w:firstRow="1" w:lastRow="0" w:firstColumn="0" w:lastColumn="0" w:oddVBand="0" w:evenVBand="0" w:oddHBand="0" w:evenHBand="0" w:firstRowFirstColumn="0" w:firstRowLastColumn="0" w:lastRowFirstColumn="0" w:lastRowLastColumn="0"/>
          <w:trHeight w:val="255"/>
        </w:trPr>
        <w:tc>
          <w:tcPr>
            <w:cnfStyle w:val="001000000100" w:firstRow="0" w:lastRow="0" w:firstColumn="1" w:lastColumn="0" w:oddVBand="0" w:evenVBand="0" w:oddHBand="0" w:evenHBand="0" w:firstRowFirstColumn="1" w:firstRowLastColumn="0" w:lastRowFirstColumn="0" w:lastRowLastColumn="0"/>
            <w:tcW w:w="2211" w:type="dxa"/>
          </w:tcPr>
          <w:p w14:paraId="6935DD43" w14:textId="2FE96B2C" w:rsidR="00420659" w:rsidRPr="00FE1F84" w:rsidRDefault="00686733" w:rsidP="00420659">
            <w:pPr>
              <w:pStyle w:val="TableHeader"/>
              <w:rPr>
                <w:b/>
                <w:color w:val="auto"/>
                <w:sz w:val="20"/>
                <w:szCs w:val="20"/>
              </w:rPr>
            </w:pPr>
            <w:r>
              <w:rPr>
                <w:b/>
                <w:color w:val="auto"/>
                <w:sz w:val="20"/>
                <w:szCs w:val="20"/>
              </w:rPr>
              <w:t>C</w:t>
            </w:r>
            <w:r w:rsidR="00420659" w:rsidRPr="00FE1F84">
              <w:rPr>
                <w:b/>
                <w:color w:val="auto"/>
                <w:sz w:val="20"/>
                <w:szCs w:val="20"/>
              </w:rPr>
              <w:t>omplexity</w:t>
            </w:r>
            <w:r>
              <w:rPr>
                <w:b/>
                <w:color w:val="auto"/>
                <w:sz w:val="20"/>
                <w:szCs w:val="20"/>
              </w:rPr>
              <w:t xml:space="preserve"> quadrant</w:t>
            </w:r>
          </w:p>
        </w:tc>
        <w:tc>
          <w:tcPr>
            <w:tcW w:w="936" w:type="dxa"/>
          </w:tcPr>
          <w:p w14:paraId="52765364" w14:textId="77777777" w:rsidR="00420659" w:rsidRPr="00FE1F84" w:rsidRDefault="00420659" w:rsidP="00420659">
            <w:pPr>
              <w:pStyle w:val="TableHeader"/>
              <w:cnfStyle w:val="100000000000" w:firstRow="1" w:lastRow="0" w:firstColumn="0" w:lastColumn="0" w:oddVBand="0" w:evenVBand="0" w:oddHBand="0" w:evenHBand="0" w:firstRowFirstColumn="0" w:firstRowLastColumn="0" w:lastRowFirstColumn="0" w:lastRowLastColumn="0"/>
              <w:rPr>
                <w:b/>
                <w:color w:val="auto"/>
                <w:sz w:val="20"/>
                <w:szCs w:val="20"/>
              </w:rPr>
            </w:pPr>
            <w:r w:rsidRPr="00FE1F84">
              <w:rPr>
                <w:b/>
                <w:color w:val="auto"/>
                <w:sz w:val="20"/>
                <w:szCs w:val="20"/>
              </w:rPr>
              <w:t>Number</w:t>
            </w:r>
          </w:p>
        </w:tc>
        <w:tc>
          <w:tcPr>
            <w:tcW w:w="1389" w:type="dxa"/>
          </w:tcPr>
          <w:p w14:paraId="206A0D6E" w14:textId="2EE8CAE2" w:rsidR="00420659" w:rsidRPr="00FE1F84" w:rsidRDefault="00420659" w:rsidP="00420659">
            <w:pPr>
              <w:pStyle w:val="TableHeader"/>
              <w:cnfStyle w:val="100000000000" w:firstRow="1" w:lastRow="0" w:firstColumn="0" w:lastColumn="0" w:oddVBand="0" w:evenVBand="0" w:oddHBand="0" w:evenHBand="0" w:firstRowFirstColumn="0" w:firstRowLastColumn="0" w:lastRowFirstColumn="0" w:lastRowLastColumn="0"/>
              <w:rPr>
                <w:b/>
                <w:color w:val="auto"/>
                <w:sz w:val="20"/>
                <w:szCs w:val="20"/>
              </w:rPr>
            </w:pPr>
            <w:r w:rsidRPr="00FE1F84">
              <w:rPr>
                <w:b/>
                <w:color w:val="auto"/>
                <w:sz w:val="20"/>
                <w:szCs w:val="20"/>
              </w:rPr>
              <w:t>Value ($</w:t>
            </w:r>
            <w:r w:rsidR="007500C5">
              <w:rPr>
                <w:b/>
                <w:color w:val="auto"/>
                <w:sz w:val="20"/>
                <w:szCs w:val="20"/>
              </w:rPr>
              <w:t>M</w:t>
            </w:r>
            <w:r w:rsidRPr="00FE1F84">
              <w:rPr>
                <w:b/>
                <w:color w:val="auto"/>
                <w:sz w:val="20"/>
                <w:szCs w:val="20"/>
              </w:rPr>
              <w:t>)</w:t>
            </w:r>
          </w:p>
        </w:tc>
        <w:tc>
          <w:tcPr>
            <w:tcW w:w="1701" w:type="dxa"/>
          </w:tcPr>
          <w:p w14:paraId="1F91F03B" w14:textId="4F8A2343" w:rsidR="00420659" w:rsidRPr="00FE1F84" w:rsidRDefault="00420659" w:rsidP="00420659">
            <w:pPr>
              <w:pStyle w:val="TableHeader"/>
              <w:cnfStyle w:val="100000000000" w:firstRow="1" w:lastRow="0" w:firstColumn="0" w:lastColumn="0" w:oddVBand="0" w:evenVBand="0" w:oddHBand="0" w:evenHBand="0" w:firstRowFirstColumn="0" w:firstRowLastColumn="0" w:lastRowFirstColumn="0" w:lastRowLastColumn="0"/>
              <w:rPr>
                <w:b/>
                <w:color w:val="auto"/>
                <w:sz w:val="20"/>
                <w:szCs w:val="20"/>
              </w:rPr>
            </w:pPr>
            <w:r w:rsidRPr="00FE1F84">
              <w:rPr>
                <w:b/>
                <w:color w:val="auto"/>
                <w:sz w:val="20"/>
                <w:szCs w:val="20"/>
              </w:rPr>
              <w:t>Average value per contract ($</w:t>
            </w:r>
            <w:r w:rsidR="007500C5">
              <w:rPr>
                <w:b/>
                <w:color w:val="auto"/>
                <w:sz w:val="20"/>
                <w:szCs w:val="20"/>
              </w:rPr>
              <w:t>M</w:t>
            </w:r>
            <w:r w:rsidRPr="00FE1F84">
              <w:rPr>
                <w:b/>
                <w:color w:val="auto"/>
                <w:sz w:val="20"/>
                <w:szCs w:val="20"/>
              </w:rPr>
              <w:t>)</w:t>
            </w:r>
          </w:p>
        </w:tc>
      </w:tr>
      <w:tr w:rsidR="00420659" w:rsidRPr="00CD6245" w14:paraId="508BCB3F" w14:textId="77777777" w:rsidTr="007718EF">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2211" w:type="dxa"/>
          </w:tcPr>
          <w:p w14:paraId="4029C171" w14:textId="77777777" w:rsidR="00420659" w:rsidRPr="00A30EEE" w:rsidRDefault="00420659" w:rsidP="00420659">
            <w:pPr>
              <w:rPr>
                <w:rFonts w:cs="Arial"/>
                <w:b w:val="0"/>
                <w:sz w:val="20"/>
                <w:szCs w:val="20"/>
              </w:rPr>
            </w:pPr>
            <w:r w:rsidRPr="00A30EEE">
              <w:rPr>
                <w:rFonts w:cs="Arial"/>
                <w:b w:val="0"/>
                <w:sz w:val="20"/>
                <w:szCs w:val="20"/>
              </w:rPr>
              <w:t>Transactional</w:t>
            </w:r>
          </w:p>
        </w:tc>
        <w:tc>
          <w:tcPr>
            <w:tcW w:w="936" w:type="dxa"/>
          </w:tcPr>
          <w:p w14:paraId="1CEEDAE1" w14:textId="77777777" w:rsidR="00420659" w:rsidRPr="002C4EDC" w:rsidRDefault="00420659" w:rsidP="00420659">
            <w:pPr>
              <w:pStyle w:val="Tablenumbers"/>
              <w:cnfStyle w:val="000000100000" w:firstRow="0" w:lastRow="0" w:firstColumn="0" w:lastColumn="0" w:oddVBand="0" w:evenVBand="0" w:oddHBand="1" w:evenHBand="0" w:firstRowFirstColumn="0" w:firstRowLastColumn="0" w:lastRowFirstColumn="0" w:lastRowLastColumn="0"/>
            </w:pPr>
            <w:r w:rsidRPr="002C4EDC">
              <w:t>578</w:t>
            </w:r>
          </w:p>
        </w:tc>
        <w:tc>
          <w:tcPr>
            <w:tcW w:w="1389" w:type="dxa"/>
          </w:tcPr>
          <w:p w14:paraId="124FA084" w14:textId="77777777" w:rsidR="00420659" w:rsidRPr="002C4EDC" w:rsidRDefault="00420659" w:rsidP="00420659">
            <w:pPr>
              <w:pStyle w:val="Tablenumbers"/>
              <w:cnfStyle w:val="000000100000" w:firstRow="0" w:lastRow="0" w:firstColumn="0" w:lastColumn="0" w:oddVBand="0" w:evenVBand="0" w:oddHBand="1" w:evenHBand="0" w:firstRowFirstColumn="0" w:firstRowLastColumn="0" w:lastRowFirstColumn="0" w:lastRowLastColumn="0"/>
            </w:pPr>
            <w:r w:rsidRPr="002C4EDC">
              <w:t>674.9</w:t>
            </w:r>
          </w:p>
        </w:tc>
        <w:tc>
          <w:tcPr>
            <w:tcW w:w="1701" w:type="dxa"/>
          </w:tcPr>
          <w:p w14:paraId="13CD92F7" w14:textId="77777777" w:rsidR="00420659" w:rsidRPr="002C4EDC" w:rsidRDefault="00420659" w:rsidP="00420659">
            <w:pPr>
              <w:pStyle w:val="Tablenumbers"/>
              <w:cnfStyle w:val="000000100000" w:firstRow="0" w:lastRow="0" w:firstColumn="0" w:lastColumn="0" w:oddVBand="0" w:evenVBand="0" w:oddHBand="1" w:evenHBand="0" w:firstRowFirstColumn="0" w:firstRowLastColumn="0" w:lastRowFirstColumn="0" w:lastRowLastColumn="0"/>
            </w:pPr>
            <w:r w:rsidRPr="002C4EDC">
              <w:t>1.2</w:t>
            </w:r>
          </w:p>
        </w:tc>
      </w:tr>
      <w:tr w:rsidR="00420659" w:rsidRPr="00CD6245" w14:paraId="3D2DC489" w14:textId="77777777" w:rsidTr="007718EF">
        <w:trPr>
          <w:trHeight w:val="255"/>
        </w:trPr>
        <w:tc>
          <w:tcPr>
            <w:cnfStyle w:val="001000000000" w:firstRow="0" w:lastRow="0" w:firstColumn="1" w:lastColumn="0" w:oddVBand="0" w:evenVBand="0" w:oddHBand="0" w:evenHBand="0" w:firstRowFirstColumn="0" w:firstRowLastColumn="0" w:lastRowFirstColumn="0" w:lastRowLastColumn="0"/>
            <w:tcW w:w="2211" w:type="dxa"/>
          </w:tcPr>
          <w:p w14:paraId="1E010E99" w14:textId="77777777" w:rsidR="00420659" w:rsidRPr="00A30EEE" w:rsidRDefault="00420659" w:rsidP="00420659">
            <w:pPr>
              <w:rPr>
                <w:rFonts w:cs="Arial"/>
                <w:b w:val="0"/>
                <w:sz w:val="20"/>
                <w:szCs w:val="20"/>
              </w:rPr>
            </w:pPr>
            <w:r w:rsidRPr="00A30EEE">
              <w:rPr>
                <w:rFonts w:cs="Arial"/>
                <w:b w:val="0"/>
                <w:sz w:val="20"/>
                <w:szCs w:val="20"/>
              </w:rPr>
              <w:t>Leveraged</w:t>
            </w:r>
          </w:p>
        </w:tc>
        <w:tc>
          <w:tcPr>
            <w:tcW w:w="936" w:type="dxa"/>
          </w:tcPr>
          <w:p w14:paraId="2999CDD6" w14:textId="77777777" w:rsidR="00420659" w:rsidRPr="002C4EDC" w:rsidRDefault="00420659" w:rsidP="00420659">
            <w:pPr>
              <w:pStyle w:val="Tablenumbers"/>
              <w:cnfStyle w:val="000000000000" w:firstRow="0" w:lastRow="0" w:firstColumn="0" w:lastColumn="0" w:oddVBand="0" w:evenVBand="0" w:oddHBand="0" w:evenHBand="0" w:firstRowFirstColumn="0" w:firstRowLastColumn="0" w:lastRowFirstColumn="0" w:lastRowLastColumn="0"/>
            </w:pPr>
            <w:r w:rsidRPr="002C4EDC">
              <w:t>316</w:t>
            </w:r>
          </w:p>
        </w:tc>
        <w:tc>
          <w:tcPr>
            <w:tcW w:w="1389" w:type="dxa"/>
          </w:tcPr>
          <w:p w14:paraId="0C7A64CF" w14:textId="77777777" w:rsidR="00420659" w:rsidRPr="002C4EDC" w:rsidRDefault="00420659" w:rsidP="00420659">
            <w:pPr>
              <w:pStyle w:val="Tablenumbers"/>
              <w:cnfStyle w:val="000000000000" w:firstRow="0" w:lastRow="0" w:firstColumn="0" w:lastColumn="0" w:oddVBand="0" w:evenVBand="0" w:oddHBand="0" w:evenHBand="0" w:firstRowFirstColumn="0" w:firstRowLastColumn="0" w:lastRowFirstColumn="0" w:lastRowLastColumn="0"/>
            </w:pPr>
            <w:r w:rsidRPr="002C4EDC">
              <w:t>528.2</w:t>
            </w:r>
          </w:p>
        </w:tc>
        <w:tc>
          <w:tcPr>
            <w:tcW w:w="1701" w:type="dxa"/>
          </w:tcPr>
          <w:p w14:paraId="4E7A196A" w14:textId="77777777" w:rsidR="00420659" w:rsidRPr="002C4EDC" w:rsidRDefault="00420659" w:rsidP="00420659">
            <w:pPr>
              <w:pStyle w:val="Tablenumbers"/>
              <w:cnfStyle w:val="000000000000" w:firstRow="0" w:lastRow="0" w:firstColumn="0" w:lastColumn="0" w:oddVBand="0" w:evenVBand="0" w:oddHBand="0" w:evenHBand="0" w:firstRowFirstColumn="0" w:firstRowLastColumn="0" w:lastRowFirstColumn="0" w:lastRowLastColumn="0"/>
            </w:pPr>
            <w:r w:rsidRPr="002C4EDC">
              <w:t>1.7</w:t>
            </w:r>
          </w:p>
        </w:tc>
      </w:tr>
      <w:tr w:rsidR="00420659" w:rsidRPr="00CD6245" w14:paraId="2DB64F45" w14:textId="77777777" w:rsidTr="00C11024">
        <w:trPr>
          <w:cnfStyle w:val="000000100000" w:firstRow="0" w:lastRow="0" w:firstColumn="0" w:lastColumn="0" w:oddVBand="0" w:evenVBand="0" w:oddHBand="1"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2211" w:type="dxa"/>
          </w:tcPr>
          <w:p w14:paraId="1FD98B1F" w14:textId="77777777" w:rsidR="00420659" w:rsidRPr="00A30EEE" w:rsidRDefault="00420659" w:rsidP="00420659">
            <w:pPr>
              <w:rPr>
                <w:rFonts w:cs="Arial"/>
                <w:b w:val="0"/>
                <w:sz w:val="20"/>
                <w:szCs w:val="20"/>
              </w:rPr>
            </w:pPr>
            <w:r w:rsidRPr="00A30EEE">
              <w:rPr>
                <w:rFonts w:cs="Arial"/>
                <w:b w:val="0"/>
                <w:sz w:val="20"/>
                <w:szCs w:val="20"/>
              </w:rPr>
              <w:t>Focused</w:t>
            </w:r>
          </w:p>
        </w:tc>
        <w:tc>
          <w:tcPr>
            <w:tcW w:w="936" w:type="dxa"/>
          </w:tcPr>
          <w:p w14:paraId="77BAE572" w14:textId="77777777" w:rsidR="00420659" w:rsidRPr="002C4EDC" w:rsidRDefault="00420659" w:rsidP="00420659">
            <w:pPr>
              <w:pStyle w:val="Tablenumbers"/>
              <w:cnfStyle w:val="000000100000" w:firstRow="0" w:lastRow="0" w:firstColumn="0" w:lastColumn="0" w:oddVBand="0" w:evenVBand="0" w:oddHBand="1" w:evenHBand="0" w:firstRowFirstColumn="0" w:firstRowLastColumn="0" w:lastRowFirstColumn="0" w:lastRowLastColumn="0"/>
            </w:pPr>
            <w:r w:rsidRPr="002C4EDC">
              <w:t>132</w:t>
            </w:r>
          </w:p>
        </w:tc>
        <w:tc>
          <w:tcPr>
            <w:tcW w:w="1389" w:type="dxa"/>
          </w:tcPr>
          <w:p w14:paraId="580147AA" w14:textId="77777777" w:rsidR="00420659" w:rsidRPr="002C4EDC" w:rsidRDefault="00420659" w:rsidP="00420659">
            <w:pPr>
              <w:pStyle w:val="Tablenumbers"/>
              <w:cnfStyle w:val="000000100000" w:firstRow="0" w:lastRow="0" w:firstColumn="0" w:lastColumn="0" w:oddVBand="0" w:evenVBand="0" w:oddHBand="1" w:evenHBand="0" w:firstRowFirstColumn="0" w:firstRowLastColumn="0" w:lastRowFirstColumn="0" w:lastRowLastColumn="0"/>
            </w:pPr>
            <w:r w:rsidRPr="002C4EDC">
              <w:t>700.7</w:t>
            </w:r>
          </w:p>
        </w:tc>
        <w:tc>
          <w:tcPr>
            <w:tcW w:w="1701" w:type="dxa"/>
          </w:tcPr>
          <w:p w14:paraId="44272B56" w14:textId="77777777" w:rsidR="00420659" w:rsidRPr="002C4EDC" w:rsidRDefault="00420659" w:rsidP="00420659">
            <w:pPr>
              <w:pStyle w:val="Tablenumbers"/>
              <w:cnfStyle w:val="000000100000" w:firstRow="0" w:lastRow="0" w:firstColumn="0" w:lastColumn="0" w:oddVBand="0" w:evenVBand="0" w:oddHBand="1" w:evenHBand="0" w:firstRowFirstColumn="0" w:firstRowLastColumn="0" w:lastRowFirstColumn="0" w:lastRowLastColumn="0"/>
            </w:pPr>
            <w:r w:rsidRPr="002C4EDC">
              <w:t>5.3</w:t>
            </w:r>
          </w:p>
        </w:tc>
      </w:tr>
      <w:tr w:rsidR="00420659" w:rsidRPr="00CD6245" w14:paraId="29C5EF72" w14:textId="77777777" w:rsidTr="007718EF">
        <w:trPr>
          <w:trHeight w:val="300"/>
        </w:trPr>
        <w:tc>
          <w:tcPr>
            <w:cnfStyle w:val="001000000000" w:firstRow="0" w:lastRow="0" w:firstColumn="1" w:lastColumn="0" w:oddVBand="0" w:evenVBand="0" w:oddHBand="0" w:evenHBand="0" w:firstRowFirstColumn="0" w:firstRowLastColumn="0" w:lastRowFirstColumn="0" w:lastRowLastColumn="0"/>
            <w:tcW w:w="2211" w:type="dxa"/>
          </w:tcPr>
          <w:p w14:paraId="460BD96A" w14:textId="77777777" w:rsidR="00420659" w:rsidRPr="00A30EEE" w:rsidRDefault="00420659" w:rsidP="00420659">
            <w:pPr>
              <w:rPr>
                <w:rFonts w:cs="Arial"/>
                <w:b w:val="0"/>
                <w:sz w:val="20"/>
                <w:szCs w:val="20"/>
              </w:rPr>
            </w:pPr>
            <w:r w:rsidRPr="00A30EEE">
              <w:rPr>
                <w:rFonts w:cs="Arial"/>
                <w:b w:val="0"/>
                <w:sz w:val="20"/>
                <w:szCs w:val="20"/>
              </w:rPr>
              <w:t xml:space="preserve">Strategic </w:t>
            </w:r>
          </w:p>
        </w:tc>
        <w:tc>
          <w:tcPr>
            <w:tcW w:w="936" w:type="dxa"/>
          </w:tcPr>
          <w:p w14:paraId="4FA09F0F" w14:textId="77777777" w:rsidR="00420659" w:rsidRPr="002C4EDC" w:rsidRDefault="00420659" w:rsidP="00420659">
            <w:pPr>
              <w:pStyle w:val="Tablenumbers"/>
              <w:cnfStyle w:val="000000000000" w:firstRow="0" w:lastRow="0" w:firstColumn="0" w:lastColumn="0" w:oddVBand="0" w:evenVBand="0" w:oddHBand="0" w:evenHBand="0" w:firstRowFirstColumn="0" w:firstRowLastColumn="0" w:lastRowFirstColumn="0" w:lastRowLastColumn="0"/>
            </w:pPr>
            <w:r w:rsidRPr="002C4EDC">
              <w:t>171</w:t>
            </w:r>
          </w:p>
        </w:tc>
        <w:tc>
          <w:tcPr>
            <w:tcW w:w="1389" w:type="dxa"/>
          </w:tcPr>
          <w:p w14:paraId="6002DD56" w14:textId="77777777" w:rsidR="00420659" w:rsidRPr="002C4EDC" w:rsidRDefault="00420659" w:rsidP="00420659">
            <w:pPr>
              <w:pStyle w:val="Tablenumbers"/>
              <w:cnfStyle w:val="000000000000" w:firstRow="0" w:lastRow="0" w:firstColumn="0" w:lastColumn="0" w:oddVBand="0" w:evenVBand="0" w:oddHBand="0" w:evenHBand="0" w:firstRowFirstColumn="0" w:firstRowLastColumn="0" w:lastRowFirstColumn="0" w:lastRowLastColumn="0"/>
            </w:pPr>
            <w:r w:rsidRPr="002C4EDC">
              <w:t>1 107.5</w:t>
            </w:r>
          </w:p>
        </w:tc>
        <w:tc>
          <w:tcPr>
            <w:tcW w:w="1701" w:type="dxa"/>
          </w:tcPr>
          <w:p w14:paraId="68F212BE" w14:textId="77777777" w:rsidR="00420659" w:rsidRPr="002C4EDC" w:rsidRDefault="00420659" w:rsidP="00420659">
            <w:pPr>
              <w:pStyle w:val="Tablenumbers"/>
              <w:cnfStyle w:val="000000000000" w:firstRow="0" w:lastRow="0" w:firstColumn="0" w:lastColumn="0" w:oddVBand="0" w:evenVBand="0" w:oddHBand="0" w:evenHBand="0" w:firstRowFirstColumn="0" w:firstRowLastColumn="0" w:lastRowFirstColumn="0" w:lastRowLastColumn="0"/>
            </w:pPr>
            <w:r w:rsidRPr="002C4EDC">
              <w:t>6.5</w:t>
            </w:r>
          </w:p>
        </w:tc>
      </w:tr>
      <w:tr w:rsidR="00420659" w:rsidRPr="00A30EEE" w14:paraId="36028A67" w14:textId="77777777" w:rsidTr="007718EF">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2211" w:type="dxa"/>
            <w:noWrap/>
          </w:tcPr>
          <w:p w14:paraId="297FBBE3" w14:textId="699EF81F" w:rsidR="00420659" w:rsidRPr="00A30EEE" w:rsidRDefault="00420659" w:rsidP="00420659">
            <w:pPr>
              <w:rPr>
                <w:rFonts w:cs="Arial"/>
                <w:bCs w:val="0"/>
                <w:sz w:val="20"/>
                <w:szCs w:val="20"/>
              </w:rPr>
            </w:pPr>
            <w:r w:rsidRPr="00A30EEE">
              <w:rPr>
                <w:rFonts w:cs="Arial"/>
                <w:bCs w:val="0"/>
                <w:sz w:val="20"/>
                <w:szCs w:val="20"/>
              </w:rPr>
              <w:t>Totals</w:t>
            </w:r>
          </w:p>
        </w:tc>
        <w:tc>
          <w:tcPr>
            <w:tcW w:w="936" w:type="dxa"/>
            <w:noWrap/>
          </w:tcPr>
          <w:p w14:paraId="2457B448" w14:textId="77777777" w:rsidR="00420659" w:rsidRPr="00A30EEE" w:rsidRDefault="00420659" w:rsidP="00420659">
            <w:pPr>
              <w:pStyle w:val="Tablenumbers"/>
              <w:cnfStyle w:val="000000100000" w:firstRow="0" w:lastRow="0" w:firstColumn="0" w:lastColumn="0" w:oddVBand="0" w:evenVBand="0" w:oddHBand="1" w:evenHBand="0" w:firstRowFirstColumn="0" w:firstRowLastColumn="0" w:lastRowFirstColumn="0" w:lastRowLastColumn="0"/>
              <w:rPr>
                <w:b/>
                <w:color w:val="auto"/>
              </w:rPr>
            </w:pPr>
            <w:r w:rsidRPr="00A30EEE">
              <w:rPr>
                <w:b/>
                <w:color w:val="auto"/>
              </w:rPr>
              <w:t>1 197</w:t>
            </w:r>
          </w:p>
        </w:tc>
        <w:tc>
          <w:tcPr>
            <w:tcW w:w="1389" w:type="dxa"/>
            <w:noWrap/>
          </w:tcPr>
          <w:p w14:paraId="53ABE634" w14:textId="77777777" w:rsidR="00420659" w:rsidRPr="00A30EEE" w:rsidRDefault="00420659" w:rsidP="00420659">
            <w:pPr>
              <w:pStyle w:val="Tablenumbers"/>
              <w:cnfStyle w:val="000000100000" w:firstRow="0" w:lastRow="0" w:firstColumn="0" w:lastColumn="0" w:oddVBand="0" w:evenVBand="0" w:oddHBand="1" w:evenHBand="0" w:firstRowFirstColumn="0" w:firstRowLastColumn="0" w:lastRowFirstColumn="0" w:lastRowLastColumn="0"/>
              <w:rPr>
                <w:b/>
                <w:color w:val="auto"/>
              </w:rPr>
            </w:pPr>
            <w:r w:rsidRPr="00A30EEE">
              <w:rPr>
                <w:b/>
                <w:color w:val="auto"/>
              </w:rPr>
              <w:t>3 011.2</w:t>
            </w:r>
          </w:p>
        </w:tc>
        <w:tc>
          <w:tcPr>
            <w:tcW w:w="1701" w:type="dxa"/>
          </w:tcPr>
          <w:p w14:paraId="04AB2DA3" w14:textId="77777777" w:rsidR="00420659" w:rsidRPr="00A30EEE" w:rsidRDefault="00420659" w:rsidP="00420659">
            <w:pPr>
              <w:pStyle w:val="Tablenumbers"/>
              <w:cnfStyle w:val="000000100000" w:firstRow="0" w:lastRow="0" w:firstColumn="0" w:lastColumn="0" w:oddVBand="0" w:evenVBand="0" w:oddHBand="1" w:evenHBand="0" w:firstRowFirstColumn="0" w:firstRowLastColumn="0" w:lastRowFirstColumn="0" w:lastRowLastColumn="0"/>
              <w:rPr>
                <w:b/>
                <w:color w:val="auto"/>
              </w:rPr>
            </w:pPr>
            <w:r w:rsidRPr="00A30EEE">
              <w:rPr>
                <w:b/>
                <w:color w:val="auto"/>
              </w:rPr>
              <w:t>2.5</w:t>
            </w:r>
          </w:p>
        </w:tc>
      </w:tr>
    </w:tbl>
    <w:p w14:paraId="04E12EB1" w14:textId="20AB207B" w:rsidR="007500C5" w:rsidRDefault="00420659" w:rsidP="005B2E7F">
      <w:pPr>
        <w:pStyle w:val="Tablenotes"/>
        <w:ind w:left="851" w:firstLine="0"/>
      </w:pPr>
      <w:bookmarkStart w:id="77" w:name="_Ref425590345"/>
      <w:bookmarkStart w:id="78" w:name="_Ref425590335"/>
      <w:r>
        <w:t>Note:</w:t>
      </w:r>
      <w:r w:rsidR="007500C5">
        <w:t xml:space="preserve"> </w:t>
      </w:r>
      <w:r w:rsidR="007500C5" w:rsidRPr="007500C5">
        <w:t>Discrepancies between totals and sums of totals reflect rounding.</w:t>
      </w:r>
    </w:p>
    <w:p w14:paraId="1A845023" w14:textId="54CE2EAB" w:rsidR="00420659" w:rsidRDefault="00420659" w:rsidP="005B2E7F">
      <w:pPr>
        <w:pStyle w:val="Tablenotes"/>
        <w:ind w:left="851" w:firstLine="0"/>
      </w:pPr>
      <w:r w:rsidRPr="00986F3F">
        <w:t>The total average value reflects total value divided by total number and not the sum of the average value components.</w:t>
      </w:r>
      <w:r>
        <w:t xml:space="preserve"> Strategic procurements are generally higher in value due to their risk and complexity profile.</w:t>
      </w:r>
    </w:p>
    <w:p w14:paraId="61030376" w14:textId="77777777" w:rsidR="00420659" w:rsidRPr="00CD6245" w:rsidRDefault="00420659" w:rsidP="00420659">
      <w:pPr>
        <w:pStyle w:val="Heading3NoNum"/>
      </w:pPr>
      <w:r w:rsidRPr="00CD6245">
        <w:t>Number of procurement approvals by complexity quadrant</w:t>
      </w:r>
    </w:p>
    <w:p w14:paraId="4BA8C146" w14:textId="10039AF9" w:rsidR="00420659" w:rsidRPr="00CD6245" w:rsidRDefault="00420659" w:rsidP="00420659">
      <w:pPr>
        <w:pStyle w:val="Normal1"/>
      </w:pPr>
      <w:r w:rsidRPr="00CD6245">
        <w:t xml:space="preserve">Most procurement approvals were </w:t>
      </w:r>
      <w:r w:rsidRPr="0083666F">
        <w:t>assessed as transactional</w:t>
      </w:r>
      <w:r w:rsidR="0083666F" w:rsidRPr="0083666F">
        <w:t xml:space="preserve"> – </w:t>
      </w:r>
      <w:r w:rsidRPr="0083666F">
        <w:t>48 per cent</w:t>
      </w:r>
      <w:r w:rsidR="0083666F" w:rsidRPr="0083666F">
        <w:t xml:space="preserve"> –</w:t>
      </w:r>
      <w:r w:rsidRPr="0083666F">
        <w:t xml:space="preserve"> followed by leveraged</w:t>
      </w:r>
      <w:r w:rsidR="0083666F">
        <w:t xml:space="preserve"> at </w:t>
      </w:r>
      <w:r w:rsidRPr="0083666F">
        <w:t>26 per cent. Strategic was 14 per cent and focused 11 per cent (</w:t>
      </w:r>
      <w:r w:rsidRPr="00CD6245">
        <w:t xml:space="preserve">see </w:t>
      </w:r>
      <w:r>
        <w:fldChar w:fldCharType="begin"/>
      </w:r>
      <w:r>
        <w:instrText xml:space="preserve"> REF _Ref425763003 \h  \* MERGEFORMAT </w:instrText>
      </w:r>
      <w:r>
        <w:fldChar w:fldCharType="separate"/>
      </w:r>
      <w:r w:rsidR="00A07703" w:rsidRPr="00381BB6">
        <w:t xml:space="preserve">Figure </w:t>
      </w:r>
      <w:r w:rsidR="00A07703">
        <w:t>5</w:t>
      </w:r>
      <w:r>
        <w:fldChar w:fldCharType="end"/>
      </w:r>
      <w:r w:rsidRPr="00CD6245">
        <w:t>).</w:t>
      </w:r>
    </w:p>
    <w:p w14:paraId="240B7A7D" w14:textId="48E1A543" w:rsidR="00420659" w:rsidRPr="00CD6245" w:rsidRDefault="00420659" w:rsidP="00420659">
      <w:pPr>
        <w:pStyle w:val="Normal1"/>
      </w:pPr>
      <w:r w:rsidRPr="00CD6245">
        <w:t xml:space="preserve">This compares with </w:t>
      </w:r>
      <w:r>
        <w:t>46 per cent transactional, 24</w:t>
      </w:r>
      <w:r w:rsidRPr="00CD6245">
        <w:t xml:space="preserve"> per cent leveraged, 1</w:t>
      </w:r>
      <w:r>
        <w:t>7</w:t>
      </w:r>
      <w:r w:rsidRPr="00CD6245">
        <w:t xml:space="preserve"> per cent strategic </w:t>
      </w:r>
      <w:r>
        <w:t xml:space="preserve">and </w:t>
      </w:r>
      <w:r w:rsidRPr="00CD6245">
        <w:t>1</w:t>
      </w:r>
      <w:r>
        <w:t>2</w:t>
      </w:r>
      <w:r w:rsidR="003E0CE6">
        <w:t> </w:t>
      </w:r>
      <w:r w:rsidRPr="00CD6245">
        <w:t xml:space="preserve">per cent focused in </w:t>
      </w:r>
      <w:r>
        <w:t>2016–17</w:t>
      </w:r>
      <w:r w:rsidRPr="00CD6245">
        <w:t>.</w:t>
      </w:r>
    </w:p>
    <w:p w14:paraId="6766E201" w14:textId="79E73B07" w:rsidR="00420659" w:rsidRPr="00381BB6" w:rsidRDefault="00420659" w:rsidP="00381BB6">
      <w:pPr>
        <w:pStyle w:val="Caption"/>
      </w:pPr>
      <w:bookmarkStart w:id="79" w:name="_Ref425763003"/>
      <w:bookmarkStart w:id="80" w:name="_Toc524354044"/>
      <w:r w:rsidRPr="00381BB6">
        <w:t xml:space="preserve">Figure </w:t>
      </w:r>
      <w:r w:rsidR="00C26B50">
        <w:rPr>
          <w:noProof/>
        </w:rPr>
        <w:fldChar w:fldCharType="begin"/>
      </w:r>
      <w:r w:rsidR="00C26B50">
        <w:rPr>
          <w:noProof/>
        </w:rPr>
        <w:instrText xml:space="preserve"> SEQ Figure \* ARABIC </w:instrText>
      </w:r>
      <w:r w:rsidR="00C26B50">
        <w:rPr>
          <w:noProof/>
        </w:rPr>
        <w:fldChar w:fldCharType="separate"/>
      </w:r>
      <w:r w:rsidR="00A07703">
        <w:rPr>
          <w:noProof/>
        </w:rPr>
        <w:t>5</w:t>
      </w:r>
      <w:r w:rsidR="00C26B50">
        <w:rPr>
          <w:noProof/>
        </w:rPr>
        <w:fldChar w:fldCharType="end"/>
      </w:r>
      <w:bookmarkEnd w:id="77"/>
      <w:bookmarkEnd w:id="79"/>
      <w:r w:rsidRPr="00381BB6">
        <w:t>: Number of contract approvals by complexity quadrant in 201</w:t>
      </w:r>
      <w:bookmarkEnd w:id="78"/>
      <w:r w:rsidRPr="00381BB6">
        <w:t>7–18</w:t>
      </w:r>
      <w:bookmarkEnd w:id="80"/>
    </w:p>
    <w:p w14:paraId="70F91CF9" w14:textId="77777777" w:rsidR="00420659" w:rsidRPr="007517D7" w:rsidRDefault="00420659" w:rsidP="00420659">
      <w:pPr>
        <w:ind w:left="851"/>
      </w:pPr>
      <w:r>
        <w:rPr>
          <w:noProof/>
          <w:lang w:val="en-US" w:eastAsia="en-US"/>
        </w:rPr>
        <w:drawing>
          <wp:inline distT="0" distB="0" distL="0" distR="0" wp14:anchorId="6CF727B3" wp14:editId="05EEE93C">
            <wp:extent cx="4267200" cy="2981325"/>
            <wp:effectExtent l="0" t="0" r="0" b="9525"/>
            <wp:docPr id="10" name="Chart 10">
              <a:extLst xmlns:a="http://schemas.openxmlformats.org/drawingml/2006/main">
                <a:ext uri="{FF2B5EF4-FFF2-40B4-BE49-F238E27FC236}">
                  <a16:creationId xmlns:a16="http://schemas.microsoft.com/office/drawing/2014/main" id="{C7FFE37A-A122-41EF-88E1-D352B219CAA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6F7AF7DA" w14:textId="77777777" w:rsidR="005F548E" w:rsidRDefault="005F548E" w:rsidP="00420659">
      <w:pPr>
        <w:pStyle w:val="Heading4NoNum"/>
      </w:pPr>
      <w:r>
        <w:br w:type="page"/>
      </w:r>
    </w:p>
    <w:p w14:paraId="1FD969C8" w14:textId="095DD32C" w:rsidR="00420659" w:rsidRPr="00CD6245" w:rsidRDefault="00420659" w:rsidP="00420659">
      <w:pPr>
        <w:pStyle w:val="Heading4NoNum"/>
      </w:pPr>
      <w:r>
        <w:lastRenderedPageBreak/>
        <w:t>Number of c</w:t>
      </w:r>
      <w:r w:rsidRPr="00CD6245">
        <w:t>omplexity quadrants by organisation</w:t>
      </w:r>
    </w:p>
    <w:p w14:paraId="72BBD1BB" w14:textId="571CEC3B" w:rsidR="00420659" w:rsidRPr="00CD6245" w:rsidRDefault="00420659" w:rsidP="00420659">
      <w:pPr>
        <w:pStyle w:val="Normal1"/>
        <w:rPr>
          <w:lang w:eastAsia="en-US"/>
        </w:rPr>
      </w:pPr>
      <w:r w:rsidRPr="00881556">
        <w:fldChar w:fldCharType="begin"/>
      </w:r>
      <w:r w:rsidRPr="00881556">
        <w:rPr>
          <w:lang w:eastAsia="en-US"/>
        </w:rPr>
        <w:instrText xml:space="preserve"> REF _Ref489535101 \h </w:instrText>
      </w:r>
      <w:r>
        <w:instrText xml:space="preserve"> \* MERGEFORMAT </w:instrText>
      </w:r>
      <w:r w:rsidRPr="00881556">
        <w:fldChar w:fldCharType="separate"/>
      </w:r>
      <w:r w:rsidR="00A07703" w:rsidRPr="00CD6245">
        <w:t xml:space="preserve">Table </w:t>
      </w:r>
      <w:r w:rsidR="00A07703">
        <w:rPr>
          <w:noProof/>
        </w:rPr>
        <w:t>8</w:t>
      </w:r>
      <w:r w:rsidRPr="00881556">
        <w:fldChar w:fldCharType="end"/>
      </w:r>
      <w:r w:rsidRPr="00881556">
        <w:rPr>
          <w:lang w:eastAsia="en-US"/>
        </w:rPr>
        <w:t xml:space="preserve"> shows a breakdown of complexity quadrants by</w:t>
      </w:r>
      <w:r>
        <w:rPr>
          <w:lang w:eastAsia="en-US"/>
        </w:rPr>
        <w:t xml:space="preserve"> number and</w:t>
      </w:r>
      <w:r w:rsidRPr="00881556">
        <w:rPr>
          <w:lang w:eastAsia="en-US"/>
        </w:rPr>
        <w:t xml:space="preserve"> organisation</w:t>
      </w:r>
      <w:r w:rsidRPr="00CD6245">
        <w:rPr>
          <w:lang w:eastAsia="en-US"/>
        </w:rPr>
        <w:t xml:space="preserve"> giving an insight into the procurement profile of each organisation.</w:t>
      </w:r>
    </w:p>
    <w:p w14:paraId="2A69D5FE" w14:textId="629D9D10" w:rsidR="00420659" w:rsidRDefault="00420659" w:rsidP="00420659">
      <w:pPr>
        <w:pStyle w:val="Caption"/>
      </w:pPr>
      <w:bookmarkStart w:id="81" w:name="_Ref489535101"/>
      <w:bookmarkStart w:id="82" w:name="_Toc524354001"/>
      <w:r w:rsidRPr="00CD6245">
        <w:t xml:space="preserve">Table </w:t>
      </w:r>
      <w:r>
        <w:rPr>
          <w:noProof/>
        </w:rPr>
        <w:fldChar w:fldCharType="begin"/>
      </w:r>
      <w:r>
        <w:rPr>
          <w:noProof/>
        </w:rPr>
        <w:instrText xml:space="preserve"> SEQ Table \* ARABIC </w:instrText>
      </w:r>
      <w:r>
        <w:rPr>
          <w:noProof/>
        </w:rPr>
        <w:fldChar w:fldCharType="separate"/>
      </w:r>
      <w:r w:rsidR="00A07703">
        <w:rPr>
          <w:noProof/>
        </w:rPr>
        <w:t>8</w:t>
      </w:r>
      <w:r>
        <w:rPr>
          <w:noProof/>
        </w:rPr>
        <w:fldChar w:fldCharType="end"/>
      </w:r>
      <w:bookmarkEnd w:id="81"/>
      <w:r w:rsidRPr="00CD6245">
        <w:t xml:space="preserve">: Complexity quadrants </w:t>
      </w:r>
      <w:r>
        <w:t xml:space="preserve">(number) </w:t>
      </w:r>
      <w:r w:rsidRPr="00CD6245">
        <w:t>by organisation</w:t>
      </w:r>
      <w:r w:rsidR="00381BB6">
        <w:t xml:space="preserve"> in 2017–18</w:t>
      </w:r>
      <w:bookmarkEnd w:id="82"/>
    </w:p>
    <w:tbl>
      <w:tblPr>
        <w:tblStyle w:val="ListTable31"/>
        <w:tblW w:w="8647" w:type="dxa"/>
        <w:tblInd w:w="704" w:type="dxa"/>
        <w:tblLook w:val="04A0" w:firstRow="1" w:lastRow="0" w:firstColumn="1" w:lastColumn="0" w:noHBand="0" w:noVBand="1"/>
      </w:tblPr>
      <w:tblGrid>
        <w:gridCol w:w="2977"/>
        <w:gridCol w:w="1389"/>
        <w:gridCol w:w="1240"/>
        <w:gridCol w:w="1030"/>
        <w:gridCol w:w="1094"/>
        <w:gridCol w:w="917"/>
      </w:tblGrid>
      <w:tr w:rsidR="00420659" w:rsidRPr="00C77F48" w14:paraId="1A80A980" w14:textId="77777777" w:rsidTr="00A5744B">
        <w:trPr>
          <w:cnfStyle w:val="100000000000" w:firstRow="1" w:lastRow="0" w:firstColumn="0" w:lastColumn="0" w:oddVBand="0" w:evenVBand="0" w:oddHBand="0" w:evenHBand="0" w:firstRowFirstColumn="0" w:firstRowLastColumn="0" w:lastRowFirstColumn="0" w:lastRowLastColumn="0"/>
          <w:trHeight w:val="115"/>
        </w:trPr>
        <w:tc>
          <w:tcPr>
            <w:cnfStyle w:val="001000000100" w:firstRow="0" w:lastRow="0" w:firstColumn="1" w:lastColumn="0" w:oddVBand="0" w:evenVBand="0" w:oddHBand="0" w:evenHBand="0" w:firstRowFirstColumn="1" w:firstRowLastColumn="0" w:lastRowFirstColumn="0" w:lastRowLastColumn="0"/>
            <w:tcW w:w="2977" w:type="dxa"/>
          </w:tcPr>
          <w:p w14:paraId="394329D8" w14:textId="77777777" w:rsidR="00420659" w:rsidRPr="00C77F48" w:rsidRDefault="00420659" w:rsidP="00420659">
            <w:pPr>
              <w:pStyle w:val="TableText"/>
              <w:rPr>
                <w:b w:val="0"/>
              </w:rPr>
            </w:pPr>
            <w:r w:rsidRPr="00C77F48">
              <w:rPr>
                <w:b w:val="0"/>
              </w:rPr>
              <w:t>Organisation</w:t>
            </w:r>
          </w:p>
        </w:tc>
        <w:tc>
          <w:tcPr>
            <w:tcW w:w="1389" w:type="dxa"/>
          </w:tcPr>
          <w:p w14:paraId="60A922A0" w14:textId="77777777" w:rsidR="00420659" w:rsidRPr="00C77F48" w:rsidRDefault="00420659" w:rsidP="00420659">
            <w:pPr>
              <w:pStyle w:val="TableText"/>
              <w:cnfStyle w:val="100000000000" w:firstRow="1" w:lastRow="0" w:firstColumn="0" w:lastColumn="0" w:oddVBand="0" w:evenVBand="0" w:oddHBand="0" w:evenHBand="0" w:firstRowFirstColumn="0" w:firstRowLastColumn="0" w:lastRowFirstColumn="0" w:lastRowLastColumn="0"/>
              <w:rPr>
                <w:b w:val="0"/>
                <w:kern w:val="28"/>
              </w:rPr>
            </w:pPr>
            <w:r w:rsidRPr="00C77F48">
              <w:rPr>
                <w:b w:val="0"/>
              </w:rPr>
              <w:t>Transactional</w:t>
            </w:r>
          </w:p>
        </w:tc>
        <w:tc>
          <w:tcPr>
            <w:tcW w:w="1240" w:type="dxa"/>
            <w:noWrap/>
          </w:tcPr>
          <w:p w14:paraId="53A24830" w14:textId="77777777" w:rsidR="00420659" w:rsidRPr="00C77F48" w:rsidRDefault="00420659" w:rsidP="00420659">
            <w:pPr>
              <w:pStyle w:val="TableText"/>
              <w:cnfStyle w:val="100000000000" w:firstRow="1" w:lastRow="0" w:firstColumn="0" w:lastColumn="0" w:oddVBand="0" w:evenVBand="0" w:oddHBand="0" w:evenHBand="0" w:firstRowFirstColumn="0" w:firstRowLastColumn="0" w:lastRowFirstColumn="0" w:lastRowLastColumn="0"/>
              <w:rPr>
                <w:b w:val="0"/>
                <w:kern w:val="28"/>
              </w:rPr>
            </w:pPr>
            <w:r w:rsidRPr="00C77F48">
              <w:rPr>
                <w:b w:val="0"/>
              </w:rPr>
              <w:t>Leveraged</w:t>
            </w:r>
          </w:p>
        </w:tc>
        <w:tc>
          <w:tcPr>
            <w:tcW w:w="1030" w:type="dxa"/>
          </w:tcPr>
          <w:p w14:paraId="13B84124" w14:textId="77777777" w:rsidR="00420659" w:rsidRPr="00C77F48" w:rsidRDefault="00420659" w:rsidP="00420659">
            <w:pPr>
              <w:pStyle w:val="TableText"/>
              <w:cnfStyle w:val="100000000000" w:firstRow="1" w:lastRow="0" w:firstColumn="0" w:lastColumn="0" w:oddVBand="0" w:evenVBand="0" w:oddHBand="0" w:evenHBand="0" w:firstRowFirstColumn="0" w:firstRowLastColumn="0" w:lastRowFirstColumn="0" w:lastRowLastColumn="0"/>
              <w:rPr>
                <w:b w:val="0"/>
                <w:kern w:val="28"/>
              </w:rPr>
            </w:pPr>
            <w:r w:rsidRPr="00C77F48">
              <w:rPr>
                <w:b w:val="0"/>
              </w:rPr>
              <w:t xml:space="preserve">Focused </w:t>
            </w:r>
          </w:p>
        </w:tc>
        <w:tc>
          <w:tcPr>
            <w:tcW w:w="1094" w:type="dxa"/>
          </w:tcPr>
          <w:p w14:paraId="1EA7C48B" w14:textId="77777777" w:rsidR="00420659" w:rsidRPr="00C77F48" w:rsidRDefault="00420659" w:rsidP="00420659">
            <w:pPr>
              <w:pStyle w:val="TableText"/>
              <w:cnfStyle w:val="100000000000" w:firstRow="1" w:lastRow="0" w:firstColumn="0" w:lastColumn="0" w:oddVBand="0" w:evenVBand="0" w:oddHBand="0" w:evenHBand="0" w:firstRowFirstColumn="0" w:firstRowLastColumn="0" w:lastRowFirstColumn="0" w:lastRowLastColumn="0"/>
              <w:rPr>
                <w:b w:val="0"/>
                <w:kern w:val="28"/>
              </w:rPr>
            </w:pPr>
            <w:r w:rsidRPr="00C77F48">
              <w:rPr>
                <w:b w:val="0"/>
              </w:rPr>
              <w:t>Strategic</w:t>
            </w:r>
          </w:p>
        </w:tc>
        <w:tc>
          <w:tcPr>
            <w:tcW w:w="917" w:type="dxa"/>
          </w:tcPr>
          <w:p w14:paraId="252BC065" w14:textId="77777777" w:rsidR="00420659" w:rsidRPr="00C77F48" w:rsidRDefault="00420659" w:rsidP="00420659">
            <w:pPr>
              <w:pStyle w:val="TableText"/>
              <w:cnfStyle w:val="100000000000" w:firstRow="1" w:lastRow="0" w:firstColumn="0" w:lastColumn="0" w:oddVBand="0" w:evenVBand="0" w:oddHBand="0" w:evenHBand="0" w:firstRowFirstColumn="0" w:firstRowLastColumn="0" w:lastRowFirstColumn="0" w:lastRowLastColumn="0"/>
              <w:rPr>
                <w:b w:val="0"/>
              </w:rPr>
            </w:pPr>
            <w:r w:rsidRPr="00C77F48">
              <w:rPr>
                <w:b w:val="0"/>
              </w:rPr>
              <w:t>Totals</w:t>
            </w:r>
          </w:p>
        </w:tc>
      </w:tr>
      <w:tr w:rsidR="00420659" w:rsidRPr="00CD6245" w14:paraId="3B78D1FE" w14:textId="77777777" w:rsidTr="00A5744B">
        <w:trPr>
          <w:cnfStyle w:val="000000100000" w:firstRow="0" w:lastRow="0" w:firstColumn="0" w:lastColumn="0" w:oddVBand="0" w:evenVBand="0" w:oddHBand="1" w:evenHBand="0" w:firstRowFirstColumn="0" w:firstRowLastColumn="0" w:lastRowFirstColumn="0" w:lastRowLastColumn="0"/>
          <w:trHeight w:val="540"/>
        </w:trPr>
        <w:tc>
          <w:tcPr>
            <w:cnfStyle w:val="001000000000" w:firstRow="0" w:lastRow="0" w:firstColumn="1" w:lastColumn="0" w:oddVBand="0" w:evenVBand="0" w:oddHBand="0" w:evenHBand="0" w:firstRowFirstColumn="0" w:firstRowLastColumn="0" w:lastRowFirstColumn="0" w:lastRowLastColumn="0"/>
            <w:tcW w:w="2977" w:type="dxa"/>
          </w:tcPr>
          <w:p w14:paraId="127C6583" w14:textId="77777777" w:rsidR="00420659" w:rsidRPr="005B2F15" w:rsidRDefault="00420659" w:rsidP="00420659">
            <w:pPr>
              <w:pStyle w:val="TableText"/>
              <w:rPr>
                <w:b w:val="0"/>
              </w:rPr>
            </w:pPr>
            <w:r w:rsidRPr="005B2F15">
              <w:rPr>
                <w:b w:val="0"/>
              </w:rPr>
              <w:t>Department of Economic Development, Jobs, Transport and Resources</w:t>
            </w:r>
          </w:p>
        </w:tc>
        <w:tc>
          <w:tcPr>
            <w:tcW w:w="1389" w:type="dxa"/>
          </w:tcPr>
          <w:p w14:paraId="494F19B2" w14:textId="63868422" w:rsidR="00420659" w:rsidRDefault="00420659" w:rsidP="00420659">
            <w:pPr>
              <w:jc w:val="right"/>
              <w:cnfStyle w:val="000000100000" w:firstRow="0" w:lastRow="0" w:firstColumn="0" w:lastColumn="0" w:oddVBand="0" w:evenVBand="0" w:oddHBand="1" w:evenHBand="0" w:firstRowFirstColumn="0" w:firstRowLastColumn="0" w:lastRowFirstColumn="0" w:lastRowLastColumn="0"/>
              <w:rPr>
                <w:rFonts w:cs="Calibri"/>
                <w:color w:val="000000"/>
                <w:sz w:val="20"/>
                <w:szCs w:val="20"/>
              </w:rPr>
            </w:pPr>
            <w:r>
              <w:rPr>
                <w:rFonts w:cs="Calibri"/>
                <w:color w:val="000000"/>
                <w:sz w:val="20"/>
                <w:szCs w:val="20"/>
              </w:rPr>
              <w:t>1</w:t>
            </w:r>
            <w:r w:rsidR="00924D6D">
              <w:rPr>
                <w:rFonts w:cs="Calibri"/>
                <w:color w:val="000000"/>
                <w:sz w:val="20"/>
                <w:szCs w:val="20"/>
              </w:rPr>
              <w:t>40</w:t>
            </w:r>
          </w:p>
        </w:tc>
        <w:tc>
          <w:tcPr>
            <w:tcW w:w="1240" w:type="dxa"/>
            <w:noWrap/>
          </w:tcPr>
          <w:p w14:paraId="7A99A9F6" w14:textId="60BEBAFF" w:rsidR="00420659" w:rsidRDefault="00420659" w:rsidP="00420659">
            <w:pPr>
              <w:jc w:val="right"/>
              <w:cnfStyle w:val="000000100000" w:firstRow="0" w:lastRow="0" w:firstColumn="0" w:lastColumn="0" w:oddVBand="0" w:evenVBand="0" w:oddHBand="1" w:evenHBand="0" w:firstRowFirstColumn="0" w:firstRowLastColumn="0" w:lastRowFirstColumn="0" w:lastRowLastColumn="0"/>
              <w:rPr>
                <w:rFonts w:cs="Calibri"/>
                <w:color w:val="000000"/>
                <w:sz w:val="20"/>
                <w:szCs w:val="20"/>
              </w:rPr>
            </w:pPr>
            <w:r>
              <w:rPr>
                <w:rFonts w:cs="Calibri"/>
                <w:color w:val="000000"/>
                <w:sz w:val="20"/>
                <w:szCs w:val="20"/>
              </w:rPr>
              <w:t>1</w:t>
            </w:r>
            <w:r w:rsidR="00A5744B">
              <w:rPr>
                <w:rFonts w:cs="Calibri"/>
                <w:color w:val="000000"/>
                <w:sz w:val="20"/>
                <w:szCs w:val="20"/>
              </w:rPr>
              <w:t>8</w:t>
            </w:r>
          </w:p>
        </w:tc>
        <w:tc>
          <w:tcPr>
            <w:tcW w:w="1030" w:type="dxa"/>
          </w:tcPr>
          <w:p w14:paraId="741A3C93" w14:textId="0C821790" w:rsidR="00420659" w:rsidRDefault="00924D6D" w:rsidP="00420659">
            <w:pPr>
              <w:jc w:val="right"/>
              <w:cnfStyle w:val="000000100000" w:firstRow="0" w:lastRow="0" w:firstColumn="0" w:lastColumn="0" w:oddVBand="0" w:evenVBand="0" w:oddHBand="1" w:evenHBand="0" w:firstRowFirstColumn="0" w:firstRowLastColumn="0" w:lastRowFirstColumn="0" w:lastRowLastColumn="0"/>
              <w:rPr>
                <w:rFonts w:cs="Calibri"/>
                <w:color w:val="000000"/>
                <w:sz w:val="20"/>
                <w:szCs w:val="20"/>
              </w:rPr>
            </w:pPr>
            <w:r>
              <w:rPr>
                <w:rFonts w:cs="Calibri"/>
                <w:color w:val="000000"/>
                <w:sz w:val="20"/>
                <w:szCs w:val="20"/>
              </w:rPr>
              <w:t>60</w:t>
            </w:r>
          </w:p>
        </w:tc>
        <w:tc>
          <w:tcPr>
            <w:tcW w:w="1094" w:type="dxa"/>
          </w:tcPr>
          <w:p w14:paraId="2D92B722" w14:textId="15811773" w:rsidR="00420659" w:rsidRDefault="00420659" w:rsidP="00420659">
            <w:pPr>
              <w:jc w:val="right"/>
              <w:cnfStyle w:val="000000100000" w:firstRow="0" w:lastRow="0" w:firstColumn="0" w:lastColumn="0" w:oddVBand="0" w:evenVBand="0" w:oddHBand="1" w:evenHBand="0" w:firstRowFirstColumn="0" w:firstRowLastColumn="0" w:lastRowFirstColumn="0" w:lastRowLastColumn="0"/>
              <w:rPr>
                <w:rFonts w:cs="Calibri"/>
                <w:color w:val="000000"/>
                <w:sz w:val="20"/>
                <w:szCs w:val="20"/>
              </w:rPr>
            </w:pPr>
            <w:r>
              <w:rPr>
                <w:rFonts w:cs="Calibri"/>
                <w:color w:val="000000"/>
                <w:sz w:val="20"/>
                <w:szCs w:val="20"/>
              </w:rPr>
              <w:t>1</w:t>
            </w:r>
            <w:r w:rsidR="00924D6D">
              <w:rPr>
                <w:rFonts w:cs="Calibri"/>
                <w:color w:val="000000"/>
                <w:sz w:val="20"/>
                <w:szCs w:val="20"/>
              </w:rPr>
              <w:t>9</w:t>
            </w:r>
          </w:p>
        </w:tc>
        <w:tc>
          <w:tcPr>
            <w:tcW w:w="917" w:type="dxa"/>
          </w:tcPr>
          <w:p w14:paraId="70886432" w14:textId="54047AEA" w:rsidR="00420659" w:rsidRDefault="00FF410A" w:rsidP="00420659">
            <w:pPr>
              <w:jc w:val="right"/>
              <w:cnfStyle w:val="000000100000" w:firstRow="0" w:lastRow="0" w:firstColumn="0" w:lastColumn="0" w:oddVBand="0" w:evenVBand="0" w:oddHBand="1" w:evenHBand="0" w:firstRowFirstColumn="0" w:firstRowLastColumn="0" w:lastRowFirstColumn="0" w:lastRowLastColumn="0"/>
              <w:rPr>
                <w:rFonts w:cs="Calibri"/>
                <w:color w:val="000000"/>
                <w:sz w:val="20"/>
                <w:szCs w:val="20"/>
              </w:rPr>
            </w:pPr>
            <w:r>
              <w:rPr>
                <w:rFonts w:cs="Calibri"/>
                <w:color w:val="000000"/>
                <w:sz w:val="20"/>
                <w:szCs w:val="20"/>
              </w:rPr>
              <w:t>23</w:t>
            </w:r>
            <w:r w:rsidR="00A5744B">
              <w:rPr>
                <w:rFonts w:cs="Calibri"/>
                <w:color w:val="000000"/>
                <w:sz w:val="20"/>
                <w:szCs w:val="20"/>
              </w:rPr>
              <w:t>7</w:t>
            </w:r>
          </w:p>
        </w:tc>
      </w:tr>
      <w:tr w:rsidR="00420659" w:rsidRPr="00CD6245" w14:paraId="3FA270AE" w14:textId="77777777" w:rsidTr="00A5744B">
        <w:trPr>
          <w:trHeight w:val="269"/>
        </w:trPr>
        <w:tc>
          <w:tcPr>
            <w:cnfStyle w:val="001000000000" w:firstRow="0" w:lastRow="0" w:firstColumn="1" w:lastColumn="0" w:oddVBand="0" w:evenVBand="0" w:oddHBand="0" w:evenHBand="0" w:firstRowFirstColumn="0" w:firstRowLastColumn="0" w:lastRowFirstColumn="0" w:lastRowLastColumn="0"/>
            <w:tcW w:w="2977" w:type="dxa"/>
          </w:tcPr>
          <w:p w14:paraId="251CD29E" w14:textId="77777777" w:rsidR="00420659" w:rsidRPr="005B2F15" w:rsidRDefault="00420659" w:rsidP="00420659">
            <w:pPr>
              <w:pStyle w:val="TableText"/>
              <w:rPr>
                <w:b w:val="0"/>
              </w:rPr>
            </w:pPr>
            <w:r w:rsidRPr="005B2F15">
              <w:rPr>
                <w:b w:val="0"/>
              </w:rPr>
              <w:t>Department of Education and Training</w:t>
            </w:r>
          </w:p>
        </w:tc>
        <w:tc>
          <w:tcPr>
            <w:tcW w:w="1389" w:type="dxa"/>
          </w:tcPr>
          <w:p w14:paraId="5DC8CCF7" w14:textId="77777777" w:rsidR="00420659" w:rsidRPr="00CD6245" w:rsidRDefault="00420659" w:rsidP="00420659">
            <w:pPr>
              <w:jc w:val="right"/>
              <w:cnfStyle w:val="000000000000" w:firstRow="0" w:lastRow="0" w:firstColumn="0" w:lastColumn="0" w:oddVBand="0" w:evenVBand="0" w:oddHBand="0" w:evenHBand="0" w:firstRowFirstColumn="0" w:firstRowLastColumn="0" w:lastRowFirstColumn="0" w:lastRowLastColumn="0"/>
              <w:rPr>
                <w:color w:val="000000"/>
                <w:sz w:val="20"/>
                <w:szCs w:val="20"/>
              </w:rPr>
            </w:pPr>
            <w:r>
              <w:rPr>
                <w:rFonts w:cs="Calibri"/>
                <w:color w:val="000000"/>
                <w:sz w:val="20"/>
                <w:szCs w:val="20"/>
              </w:rPr>
              <w:t>108</w:t>
            </w:r>
          </w:p>
        </w:tc>
        <w:tc>
          <w:tcPr>
            <w:tcW w:w="1240" w:type="dxa"/>
            <w:noWrap/>
          </w:tcPr>
          <w:p w14:paraId="7B6C0A33" w14:textId="77777777" w:rsidR="00420659" w:rsidRPr="00CD6245" w:rsidRDefault="00420659" w:rsidP="00420659">
            <w:pPr>
              <w:jc w:val="right"/>
              <w:cnfStyle w:val="000000000000" w:firstRow="0" w:lastRow="0" w:firstColumn="0" w:lastColumn="0" w:oddVBand="0" w:evenVBand="0" w:oddHBand="0" w:evenHBand="0" w:firstRowFirstColumn="0" w:firstRowLastColumn="0" w:lastRowFirstColumn="0" w:lastRowLastColumn="0"/>
              <w:rPr>
                <w:color w:val="000000"/>
                <w:sz w:val="20"/>
                <w:szCs w:val="20"/>
              </w:rPr>
            </w:pPr>
            <w:r>
              <w:rPr>
                <w:rFonts w:cs="Calibri"/>
                <w:color w:val="000000"/>
                <w:sz w:val="20"/>
                <w:szCs w:val="20"/>
              </w:rPr>
              <w:t>80</w:t>
            </w:r>
          </w:p>
        </w:tc>
        <w:tc>
          <w:tcPr>
            <w:tcW w:w="1030" w:type="dxa"/>
          </w:tcPr>
          <w:p w14:paraId="7AD04AFF" w14:textId="77777777" w:rsidR="00420659" w:rsidRPr="00CD6245" w:rsidRDefault="00420659" w:rsidP="00420659">
            <w:pPr>
              <w:jc w:val="right"/>
              <w:cnfStyle w:val="000000000000" w:firstRow="0" w:lastRow="0" w:firstColumn="0" w:lastColumn="0" w:oddVBand="0" w:evenVBand="0" w:oddHBand="0" w:evenHBand="0" w:firstRowFirstColumn="0" w:firstRowLastColumn="0" w:lastRowFirstColumn="0" w:lastRowLastColumn="0"/>
              <w:rPr>
                <w:color w:val="000000"/>
                <w:sz w:val="20"/>
                <w:szCs w:val="20"/>
              </w:rPr>
            </w:pPr>
            <w:r>
              <w:rPr>
                <w:rFonts w:cs="Calibri"/>
                <w:color w:val="000000"/>
                <w:sz w:val="20"/>
                <w:szCs w:val="20"/>
              </w:rPr>
              <w:t>10</w:t>
            </w:r>
          </w:p>
        </w:tc>
        <w:tc>
          <w:tcPr>
            <w:tcW w:w="1094" w:type="dxa"/>
          </w:tcPr>
          <w:p w14:paraId="23DA1E3C" w14:textId="77777777" w:rsidR="00420659" w:rsidRPr="00CD6245" w:rsidRDefault="00420659" w:rsidP="00420659">
            <w:pPr>
              <w:jc w:val="right"/>
              <w:cnfStyle w:val="000000000000" w:firstRow="0" w:lastRow="0" w:firstColumn="0" w:lastColumn="0" w:oddVBand="0" w:evenVBand="0" w:oddHBand="0" w:evenHBand="0" w:firstRowFirstColumn="0" w:firstRowLastColumn="0" w:lastRowFirstColumn="0" w:lastRowLastColumn="0"/>
              <w:rPr>
                <w:color w:val="000000"/>
                <w:sz w:val="20"/>
                <w:szCs w:val="20"/>
              </w:rPr>
            </w:pPr>
            <w:r>
              <w:rPr>
                <w:rFonts w:cs="Calibri"/>
                <w:color w:val="000000"/>
                <w:sz w:val="20"/>
                <w:szCs w:val="20"/>
              </w:rPr>
              <w:t>1</w:t>
            </w:r>
          </w:p>
        </w:tc>
        <w:tc>
          <w:tcPr>
            <w:tcW w:w="917" w:type="dxa"/>
          </w:tcPr>
          <w:p w14:paraId="01C6B88B" w14:textId="77777777" w:rsidR="00420659" w:rsidRPr="00CD6245" w:rsidRDefault="00420659" w:rsidP="00420659">
            <w:pPr>
              <w:jc w:val="right"/>
              <w:cnfStyle w:val="000000000000" w:firstRow="0" w:lastRow="0" w:firstColumn="0" w:lastColumn="0" w:oddVBand="0" w:evenVBand="0" w:oddHBand="0" w:evenHBand="0" w:firstRowFirstColumn="0" w:firstRowLastColumn="0" w:lastRowFirstColumn="0" w:lastRowLastColumn="0"/>
              <w:rPr>
                <w:color w:val="000000"/>
                <w:sz w:val="20"/>
                <w:szCs w:val="20"/>
              </w:rPr>
            </w:pPr>
            <w:r>
              <w:rPr>
                <w:rFonts w:cs="Calibri"/>
                <w:color w:val="000000"/>
                <w:sz w:val="20"/>
                <w:szCs w:val="20"/>
              </w:rPr>
              <w:t>199</w:t>
            </w:r>
          </w:p>
        </w:tc>
      </w:tr>
      <w:tr w:rsidR="00420659" w:rsidRPr="00CD6245" w14:paraId="40A9C209" w14:textId="77777777" w:rsidTr="00A5744B">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2977" w:type="dxa"/>
          </w:tcPr>
          <w:p w14:paraId="55C9A84A" w14:textId="77777777" w:rsidR="00420659" w:rsidRPr="005B2F15" w:rsidRDefault="00420659" w:rsidP="00420659">
            <w:pPr>
              <w:pStyle w:val="TableText"/>
              <w:rPr>
                <w:b w:val="0"/>
              </w:rPr>
            </w:pPr>
            <w:r w:rsidRPr="005B2F15">
              <w:rPr>
                <w:b w:val="0"/>
              </w:rPr>
              <w:t>Department of Environment, Land, Water and Planning</w:t>
            </w:r>
          </w:p>
        </w:tc>
        <w:tc>
          <w:tcPr>
            <w:tcW w:w="1389" w:type="dxa"/>
          </w:tcPr>
          <w:p w14:paraId="344A1100" w14:textId="77777777" w:rsidR="00420659" w:rsidRPr="00CD6245" w:rsidRDefault="00420659" w:rsidP="0042065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Pr>
                <w:rFonts w:cs="Calibri"/>
                <w:color w:val="000000"/>
                <w:sz w:val="20"/>
                <w:szCs w:val="20"/>
              </w:rPr>
              <w:t>92</w:t>
            </w:r>
          </w:p>
        </w:tc>
        <w:tc>
          <w:tcPr>
            <w:tcW w:w="1240" w:type="dxa"/>
            <w:noWrap/>
          </w:tcPr>
          <w:p w14:paraId="187AF8FB" w14:textId="77777777" w:rsidR="00420659" w:rsidRPr="00CD6245" w:rsidRDefault="00420659" w:rsidP="0042065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Pr>
                <w:rFonts w:cs="Calibri"/>
                <w:color w:val="000000"/>
                <w:sz w:val="20"/>
                <w:szCs w:val="20"/>
              </w:rPr>
              <w:t>3</w:t>
            </w:r>
          </w:p>
        </w:tc>
        <w:tc>
          <w:tcPr>
            <w:tcW w:w="1030" w:type="dxa"/>
          </w:tcPr>
          <w:p w14:paraId="40AE6FB4" w14:textId="77777777" w:rsidR="00420659" w:rsidRPr="00CD6245" w:rsidRDefault="00420659" w:rsidP="0042065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Pr>
                <w:rFonts w:cs="Calibri"/>
                <w:color w:val="000000"/>
                <w:sz w:val="20"/>
                <w:szCs w:val="20"/>
              </w:rPr>
              <w:t>24</w:t>
            </w:r>
          </w:p>
        </w:tc>
        <w:tc>
          <w:tcPr>
            <w:tcW w:w="1094" w:type="dxa"/>
          </w:tcPr>
          <w:p w14:paraId="7F0020E8" w14:textId="77777777" w:rsidR="00420659" w:rsidRPr="00CD6245" w:rsidRDefault="00420659" w:rsidP="0042065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Pr>
                <w:rFonts w:cs="Calibri"/>
                <w:color w:val="000000"/>
                <w:sz w:val="20"/>
                <w:szCs w:val="20"/>
              </w:rPr>
              <w:t>16</w:t>
            </w:r>
          </w:p>
        </w:tc>
        <w:tc>
          <w:tcPr>
            <w:tcW w:w="917" w:type="dxa"/>
          </w:tcPr>
          <w:p w14:paraId="42FB604A" w14:textId="77777777" w:rsidR="00420659" w:rsidRPr="00CD6245" w:rsidRDefault="00420659" w:rsidP="0042065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Pr>
                <w:rFonts w:cs="Calibri"/>
                <w:color w:val="000000"/>
                <w:sz w:val="20"/>
                <w:szCs w:val="20"/>
              </w:rPr>
              <w:t>135</w:t>
            </w:r>
          </w:p>
        </w:tc>
      </w:tr>
      <w:tr w:rsidR="00420659" w:rsidRPr="00CD6245" w14:paraId="0310486B" w14:textId="77777777" w:rsidTr="00A5744B">
        <w:trPr>
          <w:trHeight w:val="255"/>
        </w:trPr>
        <w:tc>
          <w:tcPr>
            <w:cnfStyle w:val="001000000000" w:firstRow="0" w:lastRow="0" w:firstColumn="1" w:lastColumn="0" w:oddVBand="0" w:evenVBand="0" w:oddHBand="0" w:evenHBand="0" w:firstRowFirstColumn="0" w:firstRowLastColumn="0" w:lastRowFirstColumn="0" w:lastRowLastColumn="0"/>
            <w:tcW w:w="2977" w:type="dxa"/>
          </w:tcPr>
          <w:p w14:paraId="4B85B43A" w14:textId="77777777" w:rsidR="00420659" w:rsidRPr="005B2F15" w:rsidRDefault="00420659" w:rsidP="00420659">
            <w:pPr>
              <w:pStyle w:val="TableText"/>
              <w:rPr>
                <w:b w:val="0"/>
              </w:rPr>
            </w:pPr>
            <w:r w:rsidRPr="005B2F15">
              <w:rPr>
                <w:b w:val="0"/>
              </w:rPr>
              <w:t>Department of Health and Human Services</w:t>
            </w:r>
          </w:p>
        </w:tc>
        <w:tc>
          <w:tcPr>
            <w:tcW w:w="1389" w:type="dxa"/>
          </w:tcPr>
          <w:p w14:paraId="635FF08E" w14:textId="77777777" w:rsidR="00420659" w:rsidRPr="00CD6245" w:rsidRDefault="00420659" w:rsidP="00420659">
            <w:pPr>
              <w:jc w:val="right"/>
              <w:cnfStyle w:val="000000000000" w:firstRow="0" w:lastRow="0" w:firstColumn="0" w:lastColumn="0" w:oddVBand="0" w:evenVBand="0" w:oddHBand="0" w:evenHBand="0" w:firstRowFirstColumn="0" w:firstRowLastColumn="0" w:lastRowFirstColumn="0" w:lastRowLastColumn="0"/>
              <w:rPr>
                <w:color w:val="000000"/>
                <w:sz w:val="20"/>
                <w:szCs w:val="20"/>
              </w:rPr>
            </w:pPr>
            <w:r>
              <w:rPr>
                <w:rFonts w:cs="Calibri"/>
                <w:color w:val="000000"/>
                <w:sz w:val="20"/>
                <w:szCs w:val="20"/>
              </w:rPr>
              <w:t>6</w:t>
            </w:r>
          </w:p>
        </w:tc>
        <w:tc>
          <w:tcPr>
            <w:tcW w:w="1240" w:type="dxa"/>
            <w:noWrap/>
          </w:tcPr>
          <w:p w14:paraId="729C6F78" w14:textId="77777777" w:rsidR="00420659" w:rsidRPr="00CD6245" w:rsidRDefault="00420659" w:rsidP="00420659">
            <w:pPr>
              <w:jc w:val="right"/>
              <w:cnfStyle w:val="000000000000" w:firstRow="0" w:lastRow="0" w:firstColumn="0" w:lastColumn="0" w:oddVBand="0" w:evenVBand="0" w:oddHBand="0" w:evenHBand="0" w:firstRowFirstColumn="0" w:firstRowLastColumn="0" w:lastRowFirstColumn="0" w:lastRowLastColumn="0"/>
              <w:rPr>
                <w:color w:val="000000"/>
                <w:sz w:val="20"/>
                <w:szCs w:val="20"/>
              </w:rPr>
            </w:pPr>
            <w:r>
              <w:rPr>
                <w:rFonts w:cs="Calibri"/>
                <w:color w:val="000000"/>
                <w:sz w:val="20"/>
                <w:szCs w:val="20"/>
              </w:rPr>
              <w:t>27</w:t>
            </w:r>
          </w:p>
        </w:tc>
        <w:tc>
          <w:tcPr>
            <w:tcW w:w="1030" w:type="dxa"/>
          </w:tcPr>
          <w:p w14:paraId="766D4068" w14:textId="77777777" w:rsidR="00420659" w:rsidRPr="00CD6245" w:rsidRDefault="00420659" w:rsidP="00420659">
            <w:pPr>
              <w:jc w:val="right"/>
              <w:cnfStyle w:val="000000000000" w:firstRow="0" w:lastRow="0" w:firstColumn="0" w:lastColumn="0" w:oddVBand="0" w:evenVBand="0" w:oddHBand="0" w:evenHBand="0" w:firstRowFirstColumn="0" w:firstRowLastColumn="0" w:lastRowFirstColumn="0" w:lastRowLastColumn="0"/>
              <w:rPr>
                <w:color w:val="000000"/>
                <w:sz w:val="20"/>
                <w:szCs w:val="20"/>
              </w:rPr>
            </w:pPr>
            <w:r>
              <w:rPr>
                <w:rFonts w:cs="Calibri"/>
                <w:color w:val="000000"/>
                <w:sz w:val="20"/>
                <w:szCs w:val="20"/>
              </w:rPr>
              <w:t>3</w:t>
            </w:r>
          </w:p>
        </w:tc>
        <w:tc>
          <w:tcPr>
            <w:tcW w:w="1094" w:type="dxa"/>
          </w:tcPr>
          <w:p w14:paraId="584CD2B0" w14:textId="77777777" w:rsidR="00420659" w:rsidRPr="00CD6245" w:rsidRDefault="00420659" w:rsidP="00420659">
            <w:pPr>
              <w:jc w:val="right"/>
              <w:cnfStyle w:val="000000000000" w:firstRow="0" w:lastRow="0" w:firstColumn="0" w:lastColumn="0" w:oddVBand="0" w:evenVBand="0" w:oddHBand="0" w:evenHBand="0" w:firstRowFirstColumn="0" w:firstRowLastColumn="0" w:lastRowFirstColumn="0" w:lastRowLastColumn="0"/>
              <w:rPr>
                <w:color w:val="000000"/>
                <w:sz w:val="20"/>
                <w:szCs w:val="20"/>
              </w:rPr>
            </w:pPr>
            <w:r>
              <w:rPr>
                <w:rFonts w:cs="Calibri"/>
                <w:color w:val="000000"/>
                <w:sz w:val="20"/>
                <w:szCs w:val="20"/>
              </w:rPr>
              <w:t>119</w:t>
            </w:r>
          </w:p>
        </w:tc>
        <w:tc>
          <w:tcPr>
            <w:tcW w:w="917" w:type="dxa"/>
          </w:tcPr>
          <w:p w14:paraId="163B7BFD" w14:textId="77777777" w:rsidR="00420659" w:rsidRPr="00CD6245" w:rsidRDefault="00420659" w:rsidP="00420659">
            <w:pPr>
              <w:jc w:val="right"/>
              <w:cnfStyle w:val="000000000000" w:firstRow="0" w:lastRow="0" w:firstColumn="0" w:lastColumn="0" w:oddVBand="0" w:evenVBand="0" w:oddHBand="0" w:evenHBand="0" w:firstRowFirstColumn="0" w:firstRowLastColumn="0" w:lastRowFirstColumn="0" w:lastRowLastColumn="0"/>
              <w:rPr>
                <w:color w:val="000000"/>
                <w:sz w:val="20"/>
                <w:szCs w:val="20"/>
              </w:rPr>
            </w:pPr>
            <w:r>
              <w:rPr>
                <w:rFonts w:cs="Calibri"/>
                <w:color w:val="000000"/>
                <w:sz w:val="20"/>
                <w:szCs w:val="20"/>
              </w:rPr>
              <w:t>155</w:t>
            </w:r>
          </w:p>
        </w:tc>
      </w:tr>
      <w:tr w:rsidR="00420659" w:rsidRPr="00CD6245" w14:paraId="16FC77F6" w14:textId="77777777" w:rsidTr="00A5744B">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2977" w:type="dxa"/>
          </w:tcPr>
          <w:p w14:paraId="22B6EA7E" w14:textId="77777777" w:rsidR="00420659" w:rsidRPr="005B2F15" w:rsidRDefault="00420659" w:rsidP="00420659">
            <w:pPr>
              <w:pStyle w:val="TableText"/>
              <w:rPr>
                <w:b w:val="0"/>
              </w:rPr>
            </w:pPr>
            <w:r w:rsidRPr="005B2F15">
              <w:rPr>
                <w:b w:val="0"/>
              </w:rPr>
              <w:t>Department of Justice and Regulation</w:t>
            </w:r>
          </w:p>
        </w:tc>
        <w:tc>
          <w:tcPr>
            <w:tcW w:w="1389" w:type="dxa"/>
          </w:tcPr>
          <w:p w14:paraId="5E4EB166" w14:textId="77777777" w:rsidR="00420659" w:rsidRPr="00CD6245" w:rsidRDefault="00420659" w:rsidP="0042065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Pr>
                <w:rFonts w:cs="Calibri"/>
                <w:color w:val="000000"/>
                <w:sz w:val="20"/>
                <w:szCs w:val="20"/>
              </w:rPr>
              <w:t>41</w:t>
            </w:r>
          </w:p>
        </w:tc>
        <w:tc>
          <w:tcPr>
            <w:tcW w:w="1240" w:type="dxa"/>
            <w:noWrap/>
          </w:tcPr>
          <w:p w14:paraId="0BF88DCB" w14:textId="77777777" w:rsidR="00420659" w:rsidRPr="00CD6245" w:rsidRDefault="00420659" w:rsidP="0042065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Pr>
                <w:rFonts w:cs="Calibri"/>
                <w:color w:val="000000"/>
                <w:sz w:val="20"/>
                <w:szCs w:val="20"/>
              </w:rPr>
              <w:t>19</w:t>
            </w:r>
          </w:p>
        </w:tc>
        <w:tc>
          <w:tcPr>
            <w:tcW w:w="1030" w:type="dxa"/>
          </w:tcPr>
          <w:p w14:paraId="59646243" w14:textId="77777777" w:rsidR="00420659" w:rsidRPr="00CD6245" w:rsidRDefault="00420659" w:rsidP="0042065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Pr>
                <w:rFonts w:cs="Calibri"/>
                <w:color w:val="000000"/>
                <w:sz w:val="20"/>
                <w:szCs w:val="20"/>
              </w:rPr>
              <w:t>26</w:t>
            </w:r>
          </w:p>
        </w:tc>
        <w:tc>
          <w:tcPr>
            <w:tcW w:w="1094" w:type="dxa"/>
          </w:tcPr>
          <w:p w14:paraId="7B1A830C" w14:textId="77777777" w:rsidR="00420659" w:rsidRPr="00CD6245" w:rsidRDefault="00420659" w:rsidP="0042065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Pr>
                <w:rFonts w:cs="Calibri"/>
                <w:color w:val="000000"/>
                <w:sz w:val="20"/>
                <w:szCs w:val="20"/>
              </w:rPr>
              <w:t>4</w:t>
            </w:r>
          </w:p>
        </w:tc>
        <w:tc>
          <w:tcPr>
            <w:tcW w:w="917" w:type="dxa"/>
          </w:tcPr>
          <w:p w14:paraId="432253FA" w14:textId="77777777" w:rsidR="00420659" w:rsidRPr="00CD6245" w:rsidRDefault="00420659" w:rsidP="0042065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Pr>
                <w:rFonts w:cs="Calibri"/>
                <w:color w:val="000000"/>
                <w:sz w:val="20"/>
                <w:szCs w:val="20"/>
              </w:rPr>
              <w:t>90</w:t>
            </w:r>
          </w:p>
        </w:tc>
      </w:tr>
      <w:tr w:rsidR="00420659" w:rsidRPr="00CD6245" w14:paraId="3DF2B055" w14:textId="77777777" w:rsidTr="00A5744B">
        <w:trPr>
          <w:trHeight w:val="255"/>
        </w:trPr>
        <w:tc>
          <w:tcPr>
            <w:cnfStyle w:val="001000000000" w:firstRow="0" w:lastRow="0" w:firstColumn="1" w:lastColumn="0" w:oddVBand="0" w:evenVBand="0" w:oddHBand="0" w:evenHBand="0" w:firstRowFirstColumn="0" w:firstRowLastColumn="0" w:lastRowFirstColumn="0" w:lastRowLastColumn="0"/>
            <w:tcW w:w="2977" w:type="dxa"/>
          </w:tcPr>
          <w:p w14:paraId="6E92DF8C" w14:textId="77777777" w:rsidR="00420659" w:rsidRPr="005B2F15" w:rsidRDefault="00420659" w:rsidP="00420659">
            <w:pPr>
              <w:pStyle w:val="TableText"/>
              <w:rPr>
                <w:b w:val="0"/>
              </w:rPr>
            </w:pPr>
            <w:r w:rsidRPr="005B2F15">
              <w:rPr>
                <w:b w:val="0"/>
              </w:rPr>
              <w:t>Department of Premier and Cabinet</w:t>
            </w:r>
          </w:p>
        </w:tc>
        <w:tc>
          <w:tcPr>
            <w:tcW w:w="1389" w:type="dxa"/>
          </w:tcPr>
          <w:p w14:paraId="1396ED22" w14:textId="77777777" w:rsidR="00420659" w:rsidRPr="00CD6245" w:rsidRDefault="00420659" w:rsidP="00420659">
            <w:pPr>
              <w:jc w:val="right"/>
              <w:cnfStyle w:val="000000000000" w:firstRow="0" w:lastRow="0" w:firstColumn="0" w:lastColumn="0" w:oddVBand="0" w:evenVBand="0" w:oddHBand="0" w:evenHBand="0" w:firstRowFirstColumn="0" w:firstRowLastColumn="0" w:lastRowFirstColumn="0" w:lastRowLastColumn="0"/>
              <w:rPr>
                <w:color w:val="000000"/>
                <w:sz w:val="20"/>
                <w:szCs w:val="20"/>
              </w:rPr>
            </w:pPr>
            <w:r>
              <w:rPr>
                <w:rFonts w:cs="Calibri"/>
                <w:color w:val="000000"/>
                <w:sz w:val="20"/>
                <w:szCs w:val="20"/>
              </w:rPr>
              <w:t>92</w:t>
            </w:r>
          </w:p>
        </w:tc>
        <w:tc>
          <w:tcPr>
            <w:tcW w:w="1240" w:type="dxa"/>
            <w:noWrap/>
          </w:tcPr>
          <w:p w14:paraId="2013DACA" w14:textId="77777777" w:rsidR="00420659" w:rsidRPr="00CD6245" w:rsidRDefault="00420659" w:rsidP="00420659">
            <w:pPr>
              <w:jc w:val="right"/>
              <w:cnfStyle w:val="000000000000" w:firstRow="0" w:lastRow="0" w:firstColumn="0" w:lastColumn="0" w:oddVBand="0" w:evenVBand="0" w:oddHBand="0" w:evenHBand="0" w:firstRowFirstColumn="0" w:firstRowLastColumn="0" w:lastRowFirstColumn="0" w:lastRowLastColumn="0"/>
              <w:rPr>
                <w:color w:val="000000"/>
                <w:sz w:val="20"/>
                <w:szCs w:val="20"/>
              </w:rPr>
            </w:pPr>
            <w:r>
              <w:rPr>
                <w:rFonts w:cs="Calibri"/>
                <w:color w:val="000000"/>
                <w:sz w:val="20"/>
                <w:szCs w:val="20"/>
              </w:rPr>
              <w:t>2</w:t>
            </w:r>
          </w:p>
        </w:tc>
        <w:tc>
          <w:tcPr>
            <w:tcW w:w="1030" w:type="dxa"/>
          </w:tcPr>
          <w:p w14:paraId="34BD3C05" w14:textId="77777777" w:rsidR="00420659" w:rsidRPr="00CD6245" w:rsidRDefault="00420659" w:rsidP="00420659">
            <w:pPr>
              <w:jc w:val="right"/>
              <w:cnfStyle w:val="000000000000" w:firstRow="0" w:lastRow="0" w:firstColumn="0" w:lastColumn="0" w:oddVBand="0" w:evenVBand="0" w:oddHBand="0" w:evenHBand="0" w:firstRowFirstColumn="0" w:firstRowLastColumn="0" w:lastRowFirstColumn="0" w:lastRowLastColumn="0"/>
              <w:rPr>
                <w:color w:val="000000"/>
                <w:sz w:val="20"/>
                <w:szCs w:val="20"/>
              </w:rPr>
            </w:pPr>
            <w:r>
              <w:rPr>
                <w:rFonts w:cs="Calibri"/>
                <w:color w:val="000000"/>
                <w:sz w:val="20"/>
                <w:szCs w:val="20"/>
              </w:rPr>
              <w:t>1</w:t>
            </w:r>
          </w:p>
        </w:tc>
        <w:tc>
          <w:tcPr>
            <w:tcW w:w="1094" w:type="dxa"/>
          </w:tcPr>
          <w:p w14:paraId="5AB44DFA" w14:textId="77777777" w:rsidR="00420659" w:rsidRPr="00CD6245" w:rsidRDefault="00420659" w:rsidP="00420659">
            <w:pPr>
              <w:jc w:val="right"/>
              <w:cnfStyle w:val="000000000000" w:firstRow="0" w:lastRow="0" w:firstColumn="0" w:lastColumn="0" w:oddVBand="0" w:evenVBand="0" w:oddHBand="0" w:evenHBand="0" w:firstRowFirstColumn="0" w:firstRowLastColumn="0" w:lastRowFirstColumn="0" w:lastRowLastColumn="0"/>
              <w:rPr>
                <w:color w:val="000000"/>
                <w:sz w:val="20"/>
                <w:szCs w:val="20"/>
              </w:rPr>
            </w:pPr>
            <w:r>
              <w:rPr>
                <w:rFonts w:cs="Calibri"/>
                <w:color w:val="000000"/>
                <w:sz w:val="20"/>
                <w:szCs w:val="20"/>
              </w:rPr>
              <w:t>5</w:t>
            </w:r>
          </w:p>
        </w:tc>
        <w:tc>
          <w:tcPr>
            <w:tcW w:w="917" w:type="dxa"/>
          </w:tcPr>
          <w:p w14:paraId="52205892" w14:textId="77777777" w:rsidR="00420659" w:rsidRPr="00CD6245" w:rsidRDefault="00420659" w:rsidP="00420659">
            <w:pPr>
              <w:jc w:val="right"/>
              <w:cnfStyle w:val="000000000000" w:firstRow="0" w:lastRow="0" w:firstColumn="0" w:lastColumn="0" w:oddVBand="0" w:evenVBand="0" w:oddHBand="0" w:evenHBand="0" w:firstRowFirstColumn="0" w:firstRowLastColumn="0" w:lastRowFirstColumn="0" w:lastRowLastColumn="0"/>
              <w:rPr>
                <w:color w:val="000000"/>
                <w:sz w:val="20"/>
                <w:szCs w:val="20"/>
              </w:rPr>
            </w:pPr>
            <w:r>
              <w:rPr>
                <w:rFonts w:cs="Calibri"/>
                <w:color w:val="000000"/>
                <w:sz w:val="20"/>
                <w:szCs w:val="20"/>
              </w:rPr>
              <w:t>100</w:t>
            </w:r>
          </w:p>
        </w:tc>
      </w:tr>
      <w:tr w:rsidR="00420659" w:rsidRPr="00CD6245" w14:paraId="5577517A" w14:textId="77777777" w:rsidTr="00A5744B">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2977" w:type="dxa"/>
          </w:tcPr>
          <w:p w14:paraId="226377CF" w14:textId="77777777" w:rsidR="00420659" w:rsidRPr="005B2F15" w:rsidRDefault="00420659" w:rsidP="00420659">
            <w:pPr>
              <w:pStyle w:val="TableText"/>
              <w:rPr>
                <w:b w:val="0"/>
              </w:rPr>
            </w:pPr>
            <w:r w:rsidRPr="005B2F15">
              <w:rPr>
                <w:b w:val="0"/>
              </w:rPr>
              <w:t>Department of Treasury and Finance</w:t>
            </w:r>
          </w:p>
        </w:tc>
        <w:tc>
          <w:tcPr>
            <w:tcW w:w="1389" w:type="dxa"/>
          </w:tcPr>
          <w:p w14:paraId="5CF80C40" w14:textId="77777777" w:rsidR="00420659" w:rsidRPr="00CD6245" w:rsidRDefault="00420659" w:rsidP="0042065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Pr>
                <w:rFonts w:cs="Calibri"/>
                <w:color w:val="000000"/>
                <w:sz w:val="20"/>
                <w:szCs w:val="20"/>
              </w:rPr>
              <w:t>32</w:t>
            </w:r>
          </w:p>
        </w:tc>
        <w:tc>
          <w:tcPr>
            <w:tcW w:w="1240" w:type="dxa"/>
            <w:noWrap/>
          </w:tcPr>
          <w:p w14:paraId="32FADB1A" w14:textId="77777777" w:rsidR="00420659" w:rsidRPr="00CD6245" w:rsidRDefault="00420659" w:rsidP="0042065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Pr>
                <w:rFonts w:cs="Calibri"/>
                <w:color w:val="000000"/>
                <w:sz w:val="20"/>
                <w:szCs w:val="20"/>
              </w:rPr>
              <w:t>0</w:t>
            </w:r>
          </w:p>
        </w:tc>
        <w:tc>
          <w:tcPr>
            <w:tcW w:w="1030" w:type="dxa"/>
          </w:tcPr>
          <w:p w14:paraId="5CB444D8" w14:textId="77777777" w:rsidR="00420659" w:rsidRPr="00CD6245" w:rsidRDefault="00420659" w:rsidP="0042065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Pr>
                <w:rFonts w:cs="Calibri"/>
                <w:color w:val="000000"/>
                <w:sz w:val="20"/>
                <w:szCs w:val="20"/>
              </w:rPr>
              <w:t>4</w:t>
            </w:r>
          </w:p>
        </w:tc>
        <w:tc>
          <w:tcPr>
            <w:tcW w:w="1094" w:type="dxa"/>
          </w:tcPr>
          <w:p w14:paraId="0AC1E87D" w14:textId="77777777" w:rsidR="00420659" w:rsidRPr="00CD6245" w:rsidRDefault="00420659" w:rsidP="0042065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Pr>
                <w:rFonts w:cs="Calibri"/>
                <w:color w:val="000000"/>
                <w:sz w:val="20"/>
                <w:szCs w:val="20"/>
              </w:rPr>
              <w:t>3</w:t>
            </w:r>
          </w:p>
        </w:tc>
        <w:tc>
          <w:tcPr>
            <w:tcW w:w="917" w:type="dxa"/>
          </w:tcPr>
          <w:p w14:paraId="4C00CAF7" w14:textId="77777777" w:rsidR="00420659" w:rsidRPr="00CD6245" w:rsidRDefault="00420659" w:rsidP="0042065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Pr>
                <w:rFonts w:cs="Calibri"/>
                <w:color w:val="000000"/>
                <w:sz w:val="20"/>
                <w:szCs w:val="20"/>
              </w:rPr>
              <w:t>39</w:t>
            </w:r>
          </w:p>
        </w:tc>
      </w:tr>
      <w:tr w:rsidR="00DA5821" w:rsidRPr="005B2F15" w14:paraId="7354D1FB" w14:textId="77777777" w:rsidTr="00A5744B">
        <w:trPr>
          <w:trHeight w:val="323"/>
        </w:trPr>
        <w:tc>
          <w:tcPr>
            <w:cnfStyle w:val="001000000000" w:firstRow="0" w:lastRow="0" w:firstColumn="1" w:lastColumn="0" w:oddVBand="0" w:evenVBand="0" w:oddHBand="0" w:evenHBand="0" w:firstRowFirstColumn="0" w:firstRowLastColumn="0" w:lastRowFirstColumn="0" w:lastRowLastColumn="0"/>
            <w:tcW w:w="2977" w:type="dxa"/>
          </w:tcPr>
          <w:p w14:paraId="6A5ACEFA" w14:textId="16E092C9" w:rsidR="00DA5821" w:rsidRPr="005B2F15" w:rsidRDefault="00820DB7" w:rsidP="00DB6154">
            <w:pPr>
              <w:pStyle w:val="TableText"/>
              <w:rPr>
                <w:b w:val="0"/>
              </w:rPr>
            </w:pPr>
            <w:r>
              <w:rPr>
                <w:b w:val="0"/>
              </w:rPr>
              <w:t>CenITex</w:t>
            </w:r>
          </w:p>
        </w:tc>
        <w:tc>
          <w:tcPr>
            <w:tcW w:w="1389" w:type="dxa"/>
          </w:tcPr>
          <w:p w14:paraId="38C33BDD" w14:textId="77777777" w:rsidR="00DA5821" w:rsidRPr="005B2F15" w:rsidRDefault="00DA5821" w:rsidP="00DB6154">
            <w:pPr>
              <w:jc w:val="right"/>
              <w:cnfStyle w:val="000000000000" w:firstRow="0" w:lastRow="0" w:firstColumn="0" w:lastColumn="0" w:oddVBand="0" w:evenVBand="0" w:oddHBand="0" w:evenHBand="0" w:firstRowFirstColumn="0" w:firstRowLastColumn="0" w:lastRowFirstColumn="0" w:lastRowLastColumn="0"/>
              <w:rPr>
                <w:sz w:val="20"/>
                <w:szCs w:val="20"/>
              </w:rPr>
            </w:pPr>
            <w:r w:rsidRPr="005B2F15">
              <w:rPr>
                <w:rFonts w:cs="Calibri"/>
                <w:sz w:val="20"/>
                <w:szCs w:val="20"/>
              </w:rPr>
              <w:t>13</w:t>
            </w:r>
          </w:p>
        </w:tc>
        <w:tc>
          <w:tcPr>
            <w:tcW w:w="1240" w:type="dxa"/>
            <w:noWrap/>
          </w:tcPr>
          <w:p w14:paraId="34DC6E78" w14:textId="77777777" w:rsidR="00DA5821" w:rsidRPr="005B2F15" w:rsidRDefault="00DA5821" w:rsidP="00DB6154">
            <w:pPr>
              <w:jc w:val="right"/>
              <w:cnfStyle w:val="000000000000" w:firstRow="0" w:lastRow="0" w:firstColumn="0" w:lastColumn="0" w:oddVBand="0" w:evenVBand="0" w:oddHBand="0" w:evenHBand="0" w:firstRowFirstColumn="0" w:firstRowLastColumn="0" w:lastRowFirstColumn="0" w:lastRowLastColumn="0"/>
              <w:rPr>
                <w:sz w:val="20"/>
                <w:szCs w:val="20"/>
              </w:rPr>
            </w:pPr>
            <w:r w:rsidRPr="005B2F15">
              <w:rPr>
                <w:rFonts w:cs="Calibri"/>
                <w:sz w:val="20"/>
                <w:szCs w:val="20"/>
              </w:rPr>
              <w:t>9</w:t>
            </w:r>
          </w:p>
        </w:tc>
        <w:tc>
          <w:tcPr>
            <w:tcW w:w="1030" w:type="dxa"/>
          </w:tcPr>
          <w:p w14:paraId="0786BBA0" w14:textId="77777777" w:rsidR="00DA5821" w:rsidRPr="005B2F15" w:rsidRDefault="00DA5821" w:rsidP="00DB6154">
            <w:pPr>
              <w:jc w:val="right"/>
              <w:cnfStyle w:val="000000000000" w:firstRow="0" w:lastRow="0" w:firstColumn="0" w:lastColumn="0" w:oddVBand="0" w:evenVBand="0" w:oddHBand="0" w:evenHBand="0" w:firstRowFirstColumn="0" w:firstRowLastColumn="0" w:lastRowFirstColumn="0" w:lastRowLastColumn="0"/>
              <w:rPr>
                <w:sz w:val="20"/>
                <w:szCs w:val="20"/>
              </w:rPr>
            </w:pPr>
            <w:r w:rsidRPr="005B2F15">
              <w:rPr>
                <w:rFonts w:cs="Calibri"/>
                <w:sz w:val="20"/>
                <w:szCs w:val="20"/>
              </w:rPr>
              <w:t>0</w:t>
            </w:r>
          </w:p>
        </w:tc>
        <w:tc>
          <w:tcPr>
            <w:tcW w:w="1094" w:type="dxa"/>
          </w:tcPr>
          <w:p w14:paraId="56D8AE48" w14:textId="77777777" w:rsidR="00DA5821" w:rsidRPr="005B2F15" w:rsidRDefault="00DA5821" w:rsidP="00DB6154">
            <w:pPr>
              <w:jc w:val="right"/>
              <w:cnfStyle w:val="000000000000" w:firstRow="0" w:lastRow="0" w:firstColumn="0" w:lastColumn="0" w:oddVBand="0" w:evenVBand="0" w:oddHBand="0" w:evenHBand="0" w:firstRowFirstColumn="0" w:firstRowLastColumn="0" w:lastRowFirstColumn="0" w:lastRowLastColumn="0"/>
              <w:rPr>
                <w:sz w:val="20"/>
                <w:szCs w:val="20"/>
              </w:rPr>
            </w:pPr>
            <w:r w:rsidRPr="005B2F15">
              <w:rPr>
                <w:rFonts w:cs="Calibri"/>
                <w:sz w:val="20"/>
                <w:szCs w:val="20"/>
              </w:rPr>
              <w:t>0</w:t>
            </w:r>
          </w:p>
        </w:tc>
        <w:tc>
          <w:tcPr>
            <w:tcW w:w="917" w:type="dxa"/>
          </w:tcPr>
          <w:p w14:paraId="51A2F318" w14:textId="77777777" w:rsidR="00DA5821" w:rsidRPr="005B2F15" w:rsidRDefault="00DA5821" w:rsidP="00DB6154">
            <w:pPr>
              <w:jc w:val="right"/>
              <w:cnfStyle w:val="000000000000" w:firstRow="0" w:lastRow="0" w:firstColumn="0" w:lastColumn="0" w:oddVBand="0" w:evenVBand="0" w:oddHBand="0" w:evenHBand="0" w:firstRowFirstColumn="0" w:firstRowLastColumn="0" w:lastRowFirstColumn="0" w:lastRowLastColumn="0"/>
              <w:rPr>
                <w:sz w:val="20"/>
                <w:szCs w:val="20"/>
              </w:rPr>
            </w:pPr>
            <w:r w:rsidRPr="005B2F15">
              <w:rPr>
                <w:rFonts w:cs="Calibri"/>
                <w:sz w:val="20"/>
                <w:szCs w:val="20"/>
              </w:rPr>
              <w:t>22</w:t>
            </w:r>
          </w:p>
        </w:tc>
      </w:tr>
      <w:tr w:rsidR="00420659" w:rsidRPr="00CD6245" w14:paraId="6905C570" w14:textId="77777777" w:rsidTr="00A5744B">
        <w:trPr>
          <w:cnfStyle w:val="000000100000" w:firstRow="0" w:lastRow="0" w:firstColumn="0" w:lastColumn="0" w:oddVBand="0" w:evenVBand="0" w:oddHBand="1" w:evenHBand="0" w:firstRowFirstColumn="0" w:firstRowLastColumn="0" w:lastRowFirstColumn="0" w:lastRowLastColumn="0"/>
          <w:trHeight w:val="335"/>
        </w:trPr>
        <w:tc>
          <w:tcPr>
            <w:cnfStyle w:val="001000000000" w:firstRow="0" w:lastRow="0" w:firstColumn="1" w:lastColumn="0" w:oddVBand="0" w:evenVBand="0" w:oddHBand="0" w:evenHBand="0" w:firstRowFirstColumn="0" w:firstRowLastColumn="0" w:lastRowFirstColumn="0" w:lastRowLastColumn="0"/>
            <w:tcW w:w="2977" w:type="dxa"/>
          </w:tcPr>
          <w:p w14:paraId="470B6318" w14:textId="77777777" w:rsidR="00420659" w:rsidRPr="005B2F15" w:rsidRDefault="00420659" w:rsidP="00420659">
            <w:pPr>
              <w:pStyle w:val="TableText"/>
              <w:rPr>
                <w:b w:val="0"/>
              </w:rPr>
            </w:pPr>
            <w:r w:rsidRPr="005B2F15">
              <w:rPr>
                <w:b w:val="0"/>
              </w:rPr>
              <w:t>Public Transport Victoria</w:t>
            </w:r>
          </w:p>
        </w:tc>
        <w:tc>
          <w:tcPr>
            <w:tcW w:w="1389" w:type="dxa"/>
          </w:tcPr>
          <w:p w14:paraId="1AE55D6C" w14:textId="77777777" w:rsidR="00420659" w:rsidRPr="00CD6245" w:rsidRDefault="00420659" w:rsidP="0042065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Pr>
                <w:rFonts w:cs="Calibri"/>
                <w:color w:val="000000"/>
                <w:sz w:val="20"/>
                <w:szCs w:val="20"/>
              </w:rPr>
              <w:t>2</w:t>
            </w:r>
          </w:p>
        </w:tc>
        <w:tc>
          <w:tcPr>
            <w:tcW w:w="1240" w:type="dxa"/>
            <w:noWrap/>
          </w:tcPr>
          <w:p w14:paraId="6C3DB992" w14:textId="77777777" w:rsidR="00420659" w:rsidRPr="00CD6245" w:rsidRDefault="00420659" w:rsidP="0042065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Pr>
                <w:rFonts w:cs="Calibri"/>
                <w:color w:val="000000"/>
                <w:sz w:val="20"/>
                <w:szCs w:val="20"/>
              </w:rPr>
              <w:t>1</w:t>
            </w:r>
          </w:p>
        </w:tc>
        <w:tc>
          <w:tcPr>
            <w:tcW w:w="1030" w:type="dxa"/>
          </w:tcPr>
          <w:p w14:paraId="1704FEDE" w14:textId="77777777" w:rsidR="00420659" w:rsidRPr="00CD6245" w:rsidRDefault="00420659" w:rsidP="0042065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Pr>
                <w:rFonts w:cs="Calibri"/>
                <w:color w:val="000000"/>
                <w:sz w:val="20"/>
                <w:szCs w:val="20"/>
              </w:rPr>
              <w:t>1</w:t>
            </w:r>
          </w:p>
        </w:tc>
        <w:tc>
          <w:tcPr>
            <w:tcW w:w="1094" w:type="dxa"/>
          </w:tcPr>
          <w:p w14:paraId="35B2429F" w14:textId="77777777" w:rsidR="00420659" w:rsidRPr="00CD6245" w:rsidRDefault="00420659" w:rsidP="0042065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Pr>
                <w:rFonts w:cs="Calibri"/>
                <w:color w:val="000000"/>
                <w:sz w:val="20"/>
                <w:szCs w:val="20"/>
              </w:rPr>
              <w:t>2</w:t>
            </w:r>
          </w:p>
        </w:tc>
        <w:tc>
          <w:tcPr>
            <w:tcW w:w="917" w:type="dxa"/>
          </w:tcPr>
          <w:p w14:paraId="12B29B8A" w14:textId="77777777" w:rsidR="00420659" w:rsidRPr="00CD6245" w:rsidRDefault="00420659" w:rsidP="0042065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Pr>
                <w:rFonts w:cs="Calibri"/>
                <w:color w:val="000000"/>
                <w:sz w:val="20"/>
                <w:szCs w:val="20"/>
              </w:rPr>
              <w:t>6</w:t>
            </w:r>
          </w:p>
        </w:tc>
      </w:tr>
      <w:tr w:rsidR="00420659" w:rsidRPr="00CD6245" w14:paraId="05ED96D4" w14:textId="77777777" w:rsidTr="00A5744B">
        <w:trPr>
          <w:trHeight w:val="255"/>
        </w:trPr>
        <w:tc>
          <w:tcPr>
            <w:cnfStyle w:val="001000000000" w:firstRow="0" w:lastRow="0" w:firstColumn="1" w:lastColumn="0" w:oddVBand="0" w:evenVBand="0" w:oddHBand="0" w:evenHBand="0" w:firstRowFirstColumn="0" w:firstRowLastColumn="0" w:lastRowFirstColumn="0" w:lastRowLastColumn="0"/>
            <w:tcW w:w="2977" w:type="dxa"/>
          </w:tcPr>
          <w:p w14:paraId="1D743E65" w14:textId="77777777" w:rsidR="00420659" w:rsidRPr="005B2F15" w:rsidRDefault="00420659" w:rsidP="00420659">
            <w:pPr>
              <w:pStyle w:val="TableText"/>
              <w:rPr>
                <w:b w:val="0"/>
              </w:rPr>
            </w:pPr>
            <w:r w:rsidRPr="005B2F15">
              <w:rPr>
                <w:b w:val="0"/>
              </w:rPr>
              <w:t>VicRoads</w:t>
            </w:r>
          </w:p>
        </w:tc>
        <w:tc>
          <w:tcPr>
            <w:tcW w:w="1389" w:type="dxa"/>
          </w:tcPr>
          <w:p w14:paraId="0F8A60F7" w14:textId="77777777" w:rsidR="00420659" w:rsidRPr="00CD6245" w:rsidRDefault="00420659" w:rsidP="00420659">
            <w:pPr>
              <w:jc w:val="right"/>
              <w:cnfStyle w:val="000000000000" w:firstRow="0" w:lastRow="0" w:firstColumn="0" w:lastColumn="0" w:oddVBand="0" w:evenVBand="0" w:oddHBand="0" w:evenHBand="0" w:firstRowFirstColumn="0" w:firstRowLastColumn="0" w:lastRowFirstColumn="0" w:lastRowLastColumn="0"/>
              <w:rPr>
                <w:color w:val="000000"/>
                <w:sz w:val="20"/>
                <w:szCs w:val="20"/>
              </w:rPr>
            </w:pPr>
            <w:r>
              <w:rPr>
                <w:rFonts w:cs="Calibri"/>
                <w:color w:val="000000"/>
                <w:sz w:val="20"/>
                <w:szCs w:val="20"/>
              </w:rPr>
              <w:t>28</w:t>
            </w:r>
          </w:p>
        </w:tc>
        <w:tc>
          <w:tcPr>
            <w:tcW w:w="1240" w:type="dxa"/>
            <w:noWrap/>
          </w:tcPr>
          <w:p w14:paraId="4AB6A704" w14:textId="77777777" w:rsidR="00420659" w:rsidRPr="00CD6245" w:rsidRDefault="00420659" w:rsidP="00420659">
            <w:pPr>
              <w:jc w:val="right"/>
              <w:cnfStyle w:val="000000000000" w:firstRow="0" w:lastRow="0" w:firstColumn="0" w:lastColumn="0" w:oddVBand="0" w:evenVBand="0" w:oddHBand="0" w:evenHBand="0" w:firstRowFirstColumn="0" w:firstRowLastColumn="0" w:lastRowFirstColumn="0" w:lastRowLastColumn="0"/>
              <w:rPr>
                <w:color w:val="000000"/>
                <w:sz w:val="20"/>
                <w:szCs w:val="20"/>
              </w:rPr>
            </w:pPr>
            <w:r>
              <w:rPr>
                <w:rFonts w:cs="Calibri"/>
                <w:color w:val="000000"/>
                <w:sz w:val="20"/>
                <w:szCs w:val="20"/>
              </w:rPr>
              <w:t>155</w:t>
            </w:r>
          </w:p>
        </w:tc>
        <w:tc>
          <w:tcPr>
            <w:tcW w:w="1030" w:type="dxa"/>
          </w:tcPr>
          <w:p w14:paraId="5C3222A3" w14:textId="77777777" w:rsidR="00420659" w:rsidRPr="00CD6245" w:rsidRDefault="00420659" w:rsidP="00420659">
            <w:pPr>
              <w:jc w:val="right"/>
              <w:cnfStyle w:val="000000000000" w:firstRow="0" w:lastRow="0" w:firstColumn="0" w:lastColumn="0" w:oddVBand="0" w:evenVBand="0" w:oddHBand="0" w:evenHBand="0" w:firstRowFirstColumn="0" w:firstRowLastColumn="0" w:lastRowFirstColumn="0" w:lastRowLastColumn="0"/>
              <w:rPr>
                <w:color w:val="000000"/>
                <w:sz w:val="20"/>
                <w:szCs w:val="20"/>
              </w:rPr>
            </w:pPr>
            <w:r>
              <w:rPr>
                <w:rFonts w:cs="Calibri"/>
                <w:color w:val="000000"/>
                <w:sz w:val="20"/>
                <w:szCs w:val="20"/>
              </w:rPr>
              <w:t>0</w:t>
            </w:r>
          </w:p>
        </w:tc>
        <w:tc>
          <w:tcPr>
            <w:tcW w:w="1094" w:type="dxa"/>
          </w:tcPr>
          <w:p w14:paraId="0A67AD6C" w14:textId="77777777" w:rsidR="00420659" w:rsidRPr="00CD6245" w:rsidRDefault="00420659" w:rsidP="00420659">
            <w:pPr>
              <w:jc w:val="right"/>
              <w:cnfStyle w:val="000000000000" w:firstRow="0" w:lastRow="0" w:firstColumn="0" w:lastColumn="0" w:oddVBand="0" w:evenVBand="0" w:oddHBand="0" w:evenHBand="0" w:firstRowFirstColumn="0" w:firstRowLastColumn="0" w:lastRowFirstColumn="0" w:lastRowLastColumn="0"/>
              <w:rPr>
                <w:color w:val="000000"/>
                <w:sz w:val="20"/>
                <w:szCs w:val="20"/>
              </w:rPr>
            </w:pPr>
            <w:r>
              <w:rPr>
                <w:rFonts w:cs="Calibri"/>
                <w:color w:val="000000"/>
                <w:sz w:val="20"/>
                <w:szCs w:val="20"/>
              </w:rPr>
              <w:t>0</w:t>
            </w:r>
          </w:p>
        </w:tc>
        <w:tc>
          <w:tcPr>
            <w:tcW w:w="917" w:type="dxa"/>
          </w:tcPr>
          <w:p w14:paraId="4674B26B" w14:textId="77777777" w:rsidR="00420659" w:rsidRPr="00CD6245" w:rsidRDefault="00420659" w:rsidP="00420659">
            <w:pPr>
              <w:jc w:val="right"/>
              <w:cnfStyle w:val="000000000000" w:firstRow="0" w:lastRow="0" w:firstColumn="0" w:lastColumn="0" w:oddVBand="0" w:evenVBand="0" w:oddHBand="0" w:evenHBand="0" w:firstRowFirstColumn="0" w:firstRowLastColumn="0" w:lastRowFirstColumn="0" w:lastRowLastColumn="0"/>
              <w:rPr>
                <w:color w:val="000000"/>
                <w:sz w:val="20"/>
                <w:szCs w:val="20"/>
              </w:rPr>
            </w:pPr>
            <w:r>
              <w:rPr>
                <w:rFonts w:cs="Calibri"/>
                <w:color w:val="000000"/>
                <w:sz w:val="20"/>
                <w:szCs w:val="20"/>
              </w:rPr>
              <w:t>183</w:t>
            </w:r>
          </w:p>
        </w:tc>
      </w:tr>
      <w:tr w:rsidR="00420659" w:rsidRPr="00CD6245" w14:paraId="3B1D12F5" w14:textId="77777777" w:rsidTr="00A5744B">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2977" w:type="dxa"/>
          </w:tcPr>
          <w:p w14:paraId="06C00255" w14:textId="77777777" w:rsidR="00420659" w:rsidRPr="005B2F15" w:rsidRDefault="00420659" w:rsidP="00420659">
            <w:pPr>
              <w:pStyle w:val="TableText"/>
              <w:rPr>
                <w:b w:val="0"/>
              </w:rPr>
            </w:pPr>
            <w:r w:rsidRPr="005B2F15">
              <w:rPr>
                <w:b w:val="0"/>
              </w:rPr>
              <w:t>Victoria Police</w:t>
            </w:r>
          </w:p>
        </w:tc>
        <w:tc>
          <w:tcPr>
            <w:tcW w:w="1389" w:type="dxa"/>
          </w:tcPr>
          <w:p w14:paraId="0F263D04" w14:textId="77777777" w:rsidR="00420659" w:rsidRPr="00CD6245" w:rsidRDefault="00420659" w:rsidP="0042065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Pr>
                <w:rFonts w:cs="Calibri"/>
                <w:color w:val="000000"/>
                <w:sz w:val="20"/>
                <w:szCs w:val="20"/>
              </w:rPr>
              <w:t>24</w:t>
            </w:r>
          </w:p>
        </w:tc>
        <w:tc>
          <w:tcPr>
            <w:tcW w:w="1240" w:type="dxa"/>
            <w:noWrap/>
          </w:tcPr>
          <w:p w14:paraId="48FF7687" w14:textId="77777777" w:rsidR="00420659" w:rsidRPr="00CD6245" w:rsidRDefault="00420659" w:rsidP="0042065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Pr>
                <w:rFonts w:cs="Calibri"/>
                <w:color w:val="000000"/>
                <w:sz w:val="20"/>
                <w:szCs w:val="20"/>
              </w:rPr>
              <w:t>2</w:t>
            </w:r>
          </w:p>
        </w:tc>
        <w:tc>
          <w:tcPr>
            <w:tcW w:w="1030" w:type="dxa"/>
          </w:tcPr>
          <w:p w14:paraId="0B72FC1A" w14:textId="77777777" w:rsidR="00420659" w:rsidRPr="00CD6245" w:rsidRDefault="00420659" w:rsidP="0042065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Pr>
                <w:rFonts w:cs="Calibri"/>
                <w:color w:val="000000"/>
                <w:sz w:val="20"/>
                <w:szCs w:val="20"/>
              </w:rPr>
              <w:t>3</w:t>
            </w:r>
          </w:p>
        </w:tc>
        <w:tc>
          <w:tcPr>
            <w:tcW w:w="1094" w:type="dxa"/>
          </w:tcPr>
          <w:p w14:paraId="553E29DE" w14:textId="77777777" w:rsidR="00420659" w:rsidRPr="00CD6245" w:rsidRDefault="00420659" w:rsidP="0042065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Pr>
                <w:rFonts w:cs="Calibri"/>
                <w:color w:val="000000"/>
                <w:sz w:val="20"/>
                <w:szCs w:val="20"/>
              </w:rPr>
              <w:t>2</w:t>
            </w:r>
          </w:p>
        </w:tc>
        <w:tc>
          <w:tcPr>
            <w:tcW w:w="917" w:type="dxa"/>
          </w:tcPr>
          <w:p w14:paraId="4CD8FADF" w14:textId="77777777" w:rsidR="00420659" w:rsidRPr="00CD6245" w:rsidRDefault="00420659" w:rsidP="0042065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Pr>
                <w:rFonts w:cs="Calibri"/>
                <w:color w:val="000000"/>
                <w:sz w:val="20"/>
                <w:szCs w:val="20"/>
              </w:rPr>
              <w:t>31</w:t>
            </w:r>
          </w:p>
        </w:tc>
      </w:tr>
      <w:tr w:rsidR="00420659" w:rsidRPr="005B2F15" w14:paraId="4536F307" w14:textId="77777777" w:rsidTr="00A5744B">
        <w:trPr>
          <w:trHeight w:val="255"/>
        </w:trPr>
        <w:tc>
          <w:tcPr>
            <w:cnfStyle w:val="001000000000" w:firstRow="0" w:lastRow="0" w:firstColumn="1" w:lastColumn="0" w:oddVBand="0" w:evenVBand="0" w:oddHBand="0" w:evenHBand="0" w:firstRowFirstColumn="0" w:firstRowLastColumn="0" w:lastRowFirstColumn="0" w:lastRowLastColumn="0"/>
            <w:tcW w:w="2977" w:type="dxa"/>
            <w:noWrap/>
          </w:tcPr>
          <w:p w14:paraId="656D0197" w14:textId="77777777" w:rsidR="00420659" w:rsidRPr="005B2F15" w:rsidRDefault="00420659" w:rsidP="00420659">
            <w:pPr>
              <w:rPr>
                <w:rFonts w:cs="Calibri"/>
                <w:bCs w:val="0"/>
                <w:sz w:val="20"/>
                <w:szCs w:val="20"/>
              </w:rPr>
            </w:pPr>
            <w:r w:rsidRPr="005B2F15">
              <w:rPr>
                <w:rFonts w:cs="Calibri"/>
                <w:bCs w:val="0"/>
                <w:sz w:val="20"/>
                <w:szCs w:val="20"/>
              </w:rPr>
              <w:t>Totals</w:t>
            </w:r>
          </w:p>
        </w:tc>
        <w:tc>
          <w:tcPr>
            <w:tcW w:w="1389" w:type="dxa"/>
            <w:noWrap/>
          </w:tcPr>
          <w:p w14:paraId="21E2EDBA" w14:textId="77777777" w:rsidR="00420659" w:rsidRPr="005B2F15" w:rsidRDefault="00420659" w:rsidP="00420659">
            <w:pPr>
              <w:jc w:val="right"/>
              <w:cnfStyle w:val="000000000000" w:firstRow="0" w:lastRow="0" w:firstColumn="0" w:lastColumn="0" w:oddVBand="0" w:evenVBand="0" w:oddHBand="0" w:evenHBand="0" w:firstRowFirstColumn="0" w:firstRowLastColumn="0" w:lastRowFirstColumn="0" w:lastRowLastColumn="0"/>
              <w:rPr>
                <w:b/>
                <w:color w:val="000000"/>
                <w:sz w:val="20"/>
                <w:szCs w:val="20"/>
              </w:rPr>
            </w:pPr>
            <w:r w:rsidRPr="005B2F15">
              <w:rPr>
                <w:rFonts w:cs="Calibri"/>
                <w:b/>
                <w:color w:val="000000"/>
                <w:sz w:val="20"/>
                <w:szCs w:val="20"/>
              </w:rPr>
              <w:t>578</w:t>
            </w:r>
          </w:p>
        </w:tc>
        <w:tc>
          <w:tcPr>
            <w:tcW w:w="1240" w:type="dxa"/>
            <w:noWrap/>
          </w:tcPr>
          <w:p w14:paraId="19C6B351" w14:textId="77777777" w:rsidR="00420659" w:rsidRPr="005B2F15" w:rsidRDefault="00420659" w:rsidP="00420659">
            <w:pPr>
              <w:jc w:val="right"/>
              <w:cnfStyle w:val="000000000000" w:firstRow="0" w:lastRow="0" w:firstColumn="0" w:lastColumn="0" w:oddVBand="0" w:evenVBand="0" w:oddHBand="0" w:evenHBand="0" w:firstRowFirstColumn="0" w:firstRowLastColumn="0" w:lastRowFirstColumn="0" w:lastRowLastColumn="0"/>
              <w:rPr>
                <w:b/>
                <w:color w:val="000000"/>
                <w:sz w:val="20"/>
                <w:szCs w:val="20"/>
              </w:rPr>
            </w:pPr>
            <w:r w:rsidRPr="005B2F15">
              <w:rPr>
                <w:rFonts w:cs="Calibri"/>
                <w:b/>
                <w:color w:val="000000"/>
                <w:sz w:val="20"/>
                <w:szCs w:val="20"/>
              </w:rPr>
              <w:t>316</w:t>
            </w:r>
          </w:p>
        </w:tc>
        <w:tc>
          <w:tcPr>
            <w:tcW w:w="1030" w:type="dxa"/>
          </w:tcPr>
          <w:p w14:paraId="76D9ED7C" w14:textId="77777777" w:rsidR="00420659" w:rsidRPr="005B2F15" w:rsidRDefault="00420659" w:rsidP="00420659">
            <w:pPr>
              <w:jc w:val="right"/>
              <w:cnfStyle w:val="000000000000" w:firstRow="0" w:lastRow="0" w:firstColumn="0" w:lastColumn="0" w:oddVBand="0" w:evenVBand="0" w:oddHBand="0" w:evenHBand="0" w:firstRowFirstColumn="0" w:firstRowLastColumn="0" w:lastRowFirstColumn="0" w:lastRowLastColumn="0"/>
              <w:rPr>
                <w:b/>
                <w:color w:val="000000"/>
                <w:sz w:val="20"/>
                <w:szCs w:val="20"/>
              </w:rPr>
            </w:pPr>
            <w:r w:rsidRPr="005B2F15">
              <w:rPr>
                <w:rFonts w:cs="Calibri"/>
                <w:b/>
                <w:color w:val="000000"/>
                <w:sz w:val="20"/>
                <w:szCs w:val="20"/>
              </w:rPr>
              <w:t>132</w:t>
            </w:r>
          </w:p>
        </w:tc>
        <w:tc>
          <w:tcPr>
            <w:tcW w:w="1094" w:type="dxa"/>
          </w:tcPr>
          <w:p w14:paraId="21789DB1" w14:textId="77777777" w:rsidR="00420659" w:rsidRPr="005B2F15" w:rsidRDefault="00420659" w:rsidP="00420659">
            <w:pPr>
              <w:jc w:val="right"/>
              <w:cnfStyle w:val="000000000000" w:firstRow="0" w:lastRow="0" w:firstColumn="0" w:lastColumn="0" w:oddVBand="0" w:evenVBand="0" w:oddHBand="0" w:evenHBand="0" w:firstRowFirstColumn="0" w:firstRowLastColumn="0" w:lastRowFirstColumn="0" w:lastRowLastColumn="0"/>
              <w:rPr>
                <w:b/>
                <w:color w:val="000000"/>
                <w:sz w:val="20"/>
                <w:szCs w:val="20"/>
              </w:rPr>
            </w:pPr>
            <w:r w:rsidRPr="005B2F15">
              <w:rPr>
                <w:rFonts w:cs="Calibri"/>
                <w:b/>
                <w:color w:val="000000"/>
                <w:sz w:val="20"/>
                <w:szCs w:val="20"/>
              </w:rPr>
              <w:t>171</w:t>
            </w:r>
          </w:p>
        </w:tc>
        <w:tc>
          <w:tcPr>
            <w:tcW w:w="917" w:type="dxa"/>
          </w:tcPr>
          <w:p w14:paraId="2B465BA8" w14:textId="77777777" w:rsidR="00420659" w:rsidRPr="005B2F15" w:rsidRDefault="00420659" w:rsidP="00420659">
            <w:pPr>
              <w:jc w:val="right"/>
              <w:cnfStyle w:val="000000000000" w:firstRow="0" w:lastRow="0" w:firstColumn="0" w:lastColumn="0" w:oddVBand="0" w:evenVBand="0" w:oddHBand="0" w:evenHBand="0" w:firstRowFirstColumn="0" w:firstRowLastColumn="0" w:lastRowFirstColumn="0" w:lastRowLastColumn="0"/>
              <w:rPr>
                <w:b/>
                <w:color w:val="000000"/>
                <w:sz w:val="20"/>
                <w:szCs w:val="20"/>
              </w:rPr>
            </w:pPr>
            <w:r w:rsidRPr="005B2F15">
              <w:rPr>
                <w:rFonts w:cs="Calibri"/>
                <w:b/>
                <w:color w:val="000000"/>
                <w:sz w:val="20"/>
                <w:szCs w:val="20"/>
              </w:rPr>
              <w:t>1 197</w:t>
            </w:r>
          </w:p>
        </w:tc>
      </w:tr>
    </w:tbl>
    <w:p w14:paraId="681639D1" w14:textId="77777777" w:rsidR="00420659" w:rsidRDefault="00420659" w:rsidP="004C18E5">
      <w:pPr>
        <w:pStyle w:val="Normal1"/>
      </w:pPr>
    </w:p>
    <w:p w14:paraId="37B504CE" w14:textId="77777777" w:rsidR="00420659" w:rsidRDefault="00420659" w:rsidP="00420659">
      <w:pPr>
        <w:rPr>
          <w:rFonts w:ascii="Calibri" w:hAnsi="Calibri" w:cs="Calibri"/>
          <w:b/>
          <w:color w:val="4D4D4D"/>
          <w:kern w:val="28"/>
          <w:sz w:val="26"/>
          <w:szCs w:val="22"/>
          <w:lang w:eastAsia="en-US"/>
        </w:rPr>
      </w:pPr>
      <w:r>
        <w:br w:type="page"/>
      </w:r>
    </w:p>
    <w:p w14:paraId="368632AC" w14:textId="77777777" w:rsidR="00420659" w:rsidRPr="00CD6245" w:rsidRDefault="00420659" w:rsidP="00420659">
      <w:pPr>
        <w:pStyle w:val="Heading3NoNum"/>
      </w:pPr>
      <w:r w:rsidRPr="00CD6245">
        <w:lastRenderedPageBreak/>
        <w:t>Value of procurement approvals by complexity quadrant</w:t>
      </w:r>
    </w:p>
    <w:p w14:paraId="5552B02C" w14:textId="16334E1E" w:rsidR="00420659" w:rsidRDefault="00420659" w:rsidP="00420659">
      <w:pPr>
        <w:pStyle w:val="Normal1"/>
      </w:pPr>
      <w:r w:rsidRPr="00C77F48">
        <w:t>In 2017–18, the strategic quadrant had the highest total value of the four complexity quadrants at 3</w:t>
      </w:r>
      <w:r w:rsidR="00C77F48" w:rsidRPr="00C77F48">
        <w:t>7</w:t>
      </w:r>
      <w:r w:rsidRPr="00C77F48">
        <w:t xml:space="preserve"> per cent. This is a decrease from 2016–17, where strategic was </w:t>
      </w:r>
      <w:r w:rsidR="00C77F48" w:rsidRPr="00C77F48">
        <w:t xml:space="preserve">also </w:t>
      </w:r>
      <w:r w:rsidRPr="00C77F48">
        <w:t>the highest value quadrant but with 57 per cent</w:t>
      </w:r>
      <w:r w:rsidR="00C77F48" w:rsidRPr="00C77F48">
        <w:t xml:space="preserve"> of the total value</w:t>
      </w:r>
      <w:r w:rsidRPr="00C77F48">
        <w:t>.</w:t>
      </w:r>
    </w:p>
    <w:p w14:paraId="563BB074" w14:textId="74118F82" w:rsidR="00420659" w:rsidRDefault="00420659" w:rsidP="00420659">
      <w:pPr>
        <w:pStyle w:val="Normal1"/>
      </w:pPr>
      <w:r w:rsidRPr="00E117EC">
        <w:t>Focused was second highest at 23 per cent, compared to 6 per cent in 2016–17.</w:t>
      </w:r>
      <w:r w:rsidR="00E117EC" w:rsidRPr="00E117EC">
        <w:t xml:space="preserve"> </w:t>
      </w:r>
      <w:r w:rsidRPr="00E117EC">
        <w:t xml:space="preserve">Transactional was </w:t>
      </w:r>
      <w:r w:rsidR="00E42ECB">
        <w:t>next</w:t>
      </w:r>
      <w:r w:rsidRPr="00E117EC">
        <w:t xml:space="preserve"> at 22 compared to 12 per cent in 2016–17. Leveraged was the lowest at 1</w:t>
      </w:r>
      <w:r w:rsidR="00C77F48" w:rsidRPr="00E117EC">
        <w:t>8</w:t>
      </w:r>
      <w:r w:rsidRPr="00E117EC">
        <w:t xml:space="preserve"> per cent, compared to 25 per cent in 2016–17.</w:t>
      </w:r>
    </w:p>
    <w:p w14:paraId="79DB2AE6" w14:textId="6AF45252" w:rsidR="00D40C3C" w:rsidRDefault="00D40C3C" w:rsidP="00D40C3C">
      <w:pPr>
        <w:pStyle w:val="Normal1"/>
      </w:pPr>
      <w:r>
        <w:rPr>
          <w:lang w:eastAsia="en-US"/>
        </w:rPr>
        <w:t xml:space="preserve">The increase in the transactional and leveraged quadrant can be linked to three of the four high-value SPCs reported by </w:t>
      </w:r>
      <w:r w:rsidR="006919A6">
        <w:rPr>
          <w:lang w:eastAsia="en-US"/>
        </w:rPr>
        <w:t>the Department of Treasury and Finance</w:t>
      </w:r>
      <w:r>
        <w:rPr>
          <w:lang w:eastAsia="en-US"/>
        </w:rPr>
        <w:t xml:space="preserve"> (see </w:t>
      </w:r>
      <w:r>
        <w:rPr>
          <w:lang w:eastAsia="en-US"/>
        </w:rPr>
        <w:fldChar w:fldCharType="begin"/>
      </w:r>
      <w:r>
        <w:rPr>
          <w:lang w:eastAsia="en-US"/>
        </w:rPr>
        <w:instrText xml:space="preserve"> REF _Ref425499231 \h </w:instrText>
      </w:r>
      <w:r>
        <w:rPr>
          <w:lang w:eastAsia="en-US"/>
        </w:rPr>
      </w:r>
      <w:r>
        <w:rPr>
          <w:lang w:eastAsia="en-US"/>
        </w:rPr>
        <w:fldChar w:fldCharType="separate"/>
      </w:r>
      <w:r w:rsidR="00A07703" w:rsidRPr="00CD6245">
        <w:t xml:space="preserve">Table </w:t>
      </w:r>
      <w:r w:rsidR="00A07703">
        <w:rPr>
          <w:noProof/>
        </w:rPr>
        <w:t>15</w:t>
      </w:r>
      <w:r>
        <w:rPr>
          <w:lang w:eastAsia="en-US"/>
        </w:rPr>
        <w:fldChar w:fldCharType="end"/>
      </w:r>
      <w:r>
        <w:rPr>
          <w:lang w:eastAsia="en-US"/>
        </w:rPr>
        <w:t xml:space="preserve">). The SPC for </w:t>
      </w:r>
      <w:r>
        <w:t xml:space="preserve">Professional Advisory Services was assessed as transactional and was valued at $288 million over four years (including a one-year option to extend). The Motor Vehicles SPC (valued at $250 million </w:t>
      </w:r>
      <w:r w:rsidR="00494F38">
        <w:t>a</w:t>
      </w:r>
      <w:r>
        <w:t xml:space="preserve"> year) and Security Services SPC (valued at $236 million over five years including </w:t>
      </w:r>
      <w:r w:rsidR="00FB6FF3">
        <w:t>two</w:t>
      </w:r>
      <w:r>
        <w:t xml:space="preserve"> one-year options to extend) were both assessed as focused.</w:t>
      </w:r>
    </w:p>
    <w:p w14:paraId="4AED45AE" w14:textId="723DD605" w:rsidR="00420659" w:rsidRDefault="00420659" w:rsidP="00420659">
      <w:pPr>
        <w:pStyle w:val="Normal1"/>
      </w:pPr>
      <w:r>
        <w:fldChar w:fldCharType="begin"/>
      </w:r>
      <w:r>
        <w:instrText xml:space="preserve"> REF _Ref425681974 \h  \* MERGEFORMAT </w:instrText>
      </w:r>
      <w:r>
        <w:fldChar w:fldCharType="separate"/>
      </w:r>
      <w:r w:rsidR="00A07703" w:rsidRPr="00CD6245">
        <w:t xml:space="preserve">Figure </w:t>
      </w:r>
      <w:r w:rsidR="00A07703">
        <w:t>6</w:t>
      </w:r>
      <w:r>
        <w:fldChar w:fldCharType="end"/>
      </w:r>
      <w:r>
        <w:t xml:space="preserve"> shows the breakdown in complexity quadrants by value in 2017–18.</w:t>
      </w:r>
    </w:p>
    <w:p w14:paraId="0B970180" w14:textId="71B5D424" w:rsidR="00420659" w:rsidRDefault="00420659" w:rsidP="00420659">
      <w:pPr>
        <w:pStyle w:val="Caption"/>
      </w:pPr>
      <w:bookmarkStart w:id="83" w:name="_Ref425681974"/>
      <w:bookmarkStart w:id="84" w:name="_Toc524354045"/>
      <w:r w:rsidRPr="00CD6245">
        <w:t xml:space="preserve">Figure </w:t>
      </w:r>
      <w:r>
        <w:rPr>
          <w:noProof/>
        </w:rPr>
        <w:fldChar w:fldCharType="begin"/>
      </w:r>
      <w:r>
        <w:rPr>
          <w:noProof/>
        </w:rPr>
        <w:instrText xml:space="preserve"> SEQ Figure \* ARABIC </w:instrText>
      </w:r>
      <w:r>
        <w:rPr>
          <w:noProof/>
        </w:rPr>
        <w:fldChar w:fldCharType="separate"/>
      </w:r>
      <w:r w:rsidR="00A07703">
        <w:rPr>
          <w:noProof/>
        </w:rPr>
        <w:t>6</w:t>
      </w:r>
      <w:r>
        <w:rPr>
          <w:noProof/>
        </w:rPr>
        <w:fldChar w:fldCharType="end"/>
      </w:r>
      <w:bookmarkEnd w:id="83"/>
      <w:r w:rsidRPr="00CD6245">
        <w:t xml:space="preserve">: Value of </w:t>
      </w:r>
      <w:r>
        <w:t>contract</w:t>
      </w:r>
      <w:r w:rsidRPr="00CD6245">
        <w:t xml:space="preserve"> approvals by complexity quadrant in </w:t>
      </w:r>
      <w:r>
        <w:t>2017–18</w:t>
      </w:r>
      <w:bookmarkEnd w:id="84"/>
    </w:p>
    <w:p w14:paraId="3B214472" w14:textId="77777777" w:rsidR="00420659" w:rsidRDefault="00420659" w:rsidP="00420659">
      <w:pPr>
        <w:ind w:left="851"/>
      </w:pPr>
      <w:r>
        <w:rPr>
          <w:noProof/>
          <w:lang w:val="en-US" w:eastAsia="en-US"/>
        </w:rPr>
        <w:drawing>
          <wp:inline distT="0" distB="0" distL="0" distR="0" wp14:anchorId="7EB56640" wp14:editId="38999734">
            <wp:extent cx="3571875" cy="1885950"/>
            <wp:effectExtent l="0" t="0" r="9525" b="0"/>
            <wp:docPr id="15" name="Chart 15">
              <a:extLst xmlns:a="http://schemas.openxmlformats.org/drawingml/2006/main">
                <a:ext uri="{FF2B5EF4-FFF2-40B4-BE49-F238E27FC236}">
                  <a16:creationId xmlns:a16="http://schemas.microsoft.com/office/drawing/2014/main" id="{5C4941CF-D2B8-42CF-98C7-7A1FCD610B3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1F07C32F" w14:textId="77777777" w:rsidR="00420659" w:rsidRPr="00B173E2" w:rsidRDefault="00420659" w:rsidP="00420659">
      <w:pPr>
        <w:pStyle w:val="Heading3NoNum"/>
      </w:pPr>
      <w:r w:rsidRPr="00CD6245">
        <w:t>Trends in procurement complexity</w:t>
      </w:r>
    </w:p>
    <w:p w14:paraId="07D7A54A" w14:textId="03B3E4E1" w:rsidR="00420659" w:rsidRDefault="00420659" w:rsidP="00420659">
      <w:pPr>
        <w:pStyle w:val="Normal1"/>
        <w:rPr>
          <w:rStyle w:val="NormalChar"/>
        </w:rPr>
      </w:pPr>
      <w:r>
        <w:rPr>
          <w:lang w:eastAsia="en-US"/>
        </w:rPr>
        <w:fldChar w:fldCharType="begin"/>
      </w:r>
      <w:r>
        <w:rPr>
          <w:lang w:eastAsia="en-US"/>
        </w:rPr>
        <w:instrText xml:space="preserve"> REF _Ref489007583 \h </w:instrText>
      </w:r>
      <w:r>
        <w:rPr>
          <w:lang w:eastAsia="en-US"/>
        </w:rPr>
      </w:r>
      <w:r>
        <w:rPr>
          <w:lang w:eastAsia="en-US"/>
        </w:rPr>
        <w:fldChar w:fldCharType="separate"/>
      </w:r>
      <w:r w:rsidR="00A07703" w:rsidRPr="00CD6245">
        <w:t xml:space="preserve">Table </w:t>
      </w:r>
      <w:r w:rsidR="00A07703">
        <w:rPr>
          <w:noProof/>
        </w:rPr>
        <w:t>9</w:t>
      </w:r>
      <w:r>
        <w:rPr>
          <w:lang w:eastAsia="en-US"/>
        </w:rPr>
        <w:fldChar w:fldCharType="end"/>
      </w:r>
      <w:r w:rsidR="00D40C3C">
        <w:rPr>
          <w:lang w:eastAsia="en-US"/>
        </w:rPr>
        <w:t xml:space="preserve"> and </w:t>
      </w:r>
      <w:r w:rsidR="00D40C3C">
        <w:rPr>
          <w:lang w:eastAsia="en-US"/>
        </w:rPr>
        <w:fldChar w:fldCharType="begin"/>
      </w:r>
      <w:r w:rsidR="00D40C3C">
        <w:rPr>
          <w:lang w:eastAsia="en-US"/>
        </w:rPr>
        <w:instrText xml:space="preserve"> REF _Ref521152299 \h </w:instrText>
      </w:r>
      <w:r w:rsidR="00D40C3C">
        <w:rPr>
          <w:lang w:eastAsia="en-US"/>
        </w:rPr>
      </w:r>
      <w:r w:rsidR="00D40C3C">
        <w:rPr>
          <w:lang w:eastAsia="en-US"/>
        </w:rPr>
        <w:fldChar w:fldCharType="separate"/>
      </w:r>
      <w:r w:rsidR="00A07703">
        <w:t xml:space="preserve">Figure </w:t>
      </w:r>
      <w:r w:rsidR="00A07703">
        <w:rPr>
          <w:noProof/>
        </w:rPr>
        <w:t>7</w:t>
      </w:r>
      <w:r w:rsidR="00D40C3C">
        <w:rPr>
          <w:lang w:eastAsia="en-US"/>
        </w:rPr>
        <w:fldChar w:fldCharType="end"/>
      </w:r>
      <w:r>
        <w:rPr>
          <w:lang w:eastAsia="en-US"/>
        </w:rPr>
        <w:t xml:space="preserve"> compare </w:t>
      </w:r>
      <w:r w:rsidR="00D40C3C">
        <w:rPr>
          <w:lang w:eastAsia="en-US"/>
        </w:rPr>
        <w:t>value and number of</w:t>
      </w:r>
      <w:r>
        <w:rPr>
          <w:lang w:eastAsia="en-US"/>
        </w:rPr>
        <w:t xml:space="preserve"> complex</w:t>
      </w:r>
      <w:r w:rsidRPr="00C77F48">
        <w:rPr>
          <w:lang w:eastAsia="en-US"/>
        </w:rPr>
        <w:t xml:space="preserve">ity quadrants </w:t>
      </w:r>
      <w:r w:rsidR="00D40C3C">
        <w:rPr>
          <w:lang w:eastAsia="en-US"/>
        </w:rPr>
        <w:t xml:space="preserve">in 2017–18 </w:t>
      </w:r>
      <w:r w:rsidRPr="00C77F48">
        <w:rPr>
          <w:lang w:eastAsia="en-US"/>
        </w:rPr>
        <w:t xml:space="preserve">with the </w:t>
      </w:r>
      <w:r w:rsidR="0024020B">
        <w:rPr>
          <w:lang w:eastAsia="en-US"/>
        </w:rPr>
        <w:t>two</w:t>
      </w:r>
      <w:r w:rsidRPr="00C77F48">
        <w:rPr>
          <w:lang w:eastAsia="en-US"/>
        </w:rPr>
        <w:t xml:space="preserve"> previous years. </w:t>
      </w:r>
      <w:r w:rsidR="0024020B">
        <w:rPr>
          <w:lang w:eastAsia="en-US"/>
        </w:rPr>
        <w:t xml:space="preserve">Although departments began reporting complexity </w:t>
      </w:r>
      <w:r w:rsidR="005B2F15">
        <w:rPr>
          <w:lang w:eastAsia="en-US"/>
        </w:rPr>
        <w:t xml:space="preserve">data </w:t>
      </w:r>
      <w:r w:rsidR="0024020B">
        <w:rPr>
          <w:lang w:eastAsia="en-US"/>
        </w:rPr>
        <w:t xml:space="preserve">in 2014–15, some departments did not </w:t>
      </w:r>
      <w:r w:rsidR="005B2F15">
        <w:rPr>
          <w:lang w:eastAsia="en-US"/>
        </w:rPr>
        <w:t>report</w:t>
      </w:r>
      <w:r w:rsidR="0024020B">
        <w:rPr>
          <w:lang w:eastAsia="en-US"/>
        </w:rPr>
        <w:t xml:space="preserve"> complexity data for the entire year</w:t>
      </w:r>
      <w:r w:rsidR="005B2F15">
        <w:rPr>
          <w:lang w:eastAsia="en-US"/>
        </w:rPr>
        <w:t>. For this reason, 2014–15 is not included in the trend data.</w:t>
      </w:r>
    </w:p>
    <w:p w14:paraId="7277EE9E" w14:textId="32D2F046" w:rsidR="00420659" w:rsidRPr="00CD6245" w:rsidRDefault="00420659" w:rsidP="00420659">
      <w:pPr>
        <w:pStyle w:val="Caption"/>
        <w:rPr>
          <w:lang w:eastAsia="en-US"/>
        </w:rPr>
      </w:pPr>
      <w:bookmarkStart w:id="85" w:name="_Ref489007583"/>
      <w:bookmarkStart w:id="86" w:name="_Toc524354002"/>
      <w:r w:rsidRPr="00CD6245">
        <w:t xml:space="preserve">Table </w:t>
      </w:r>
      <w:r>
        <w:rPr>
          <w:noProof/>
        </w:rPr>
        <w:fldChar w:fldCharType="begin"/>
      </w:r>
      <w:r>
        <w:rPr>
          <w:noProof/>
        </w:rPr>
        <w:instrText xml:space="preserve"> SEQ Table \* ARABIC </w:instrText>
      </w:r>
      <w:r>
        <w:rPr>
          <w:noProof/>
        </w:rPr>
        <w:fldChar w:fldCharType="separate"/>
      </w:r>
      <w:r w:rsidR="00A07703">
        <w:rPr>
          <w:noProof/>
        </w:rPr>
        <w:t>9</w:t>
      </w:r>
      <w:r>
        <w:rPr>
          <w:noProof/>
        </w:rPr>
        <w:fldChar w:fldCharType="end"/>
      </w:r>
      <w:bookmarkEnd w:id="85"/>
      <w:r w:rsidRPr="00CD6245">
        <w:t>: Trends in procurement complexity</w:t>
      </w:r>
      <w:bookmarkEnd w:id="86"/>
    </w:p>
    <w:tbl>
      <w:tblPr>
        <w:tblStyle w:val="ListTable31"/>
        <w:tblW w:w="8930" w:type="dxa"/>
        <w:tblInd w:w="846" w:type="dxa"/>
        <w:tblLook w:val="04A0" w:firstRow="1" w:lastRow="0" w:firstColumn="1" w:lastColumn="0" w:noHBand="0" w:noVBand="1"/>
      </w:tblPr>
      <w:tblGrid>
        <w:gridCol w:w="2211"/>
        <w:gridCol w:w="885"/>
        <w:gridCol w:w="1298"/>
        <w:gridCol w:w="885"/>
        <w:gridCol w:w="1383"/>
        <w:gridCol w:w="885"/>
        <w:gridCol w:w="1383"/>
      </w:tblGrid>
      <w:tr w:rsidR="0024020B" w:rsidRPr="0046207B" w14:paraId="225BB620" w14:textId="77777777" w:rsidTr="0024020B">
        <w:trPr>
          <w:cnfStyle w:val="100000000000" w:firstRow="1" w:lastRow="0" w:firstColumn="0" w:lastColumn="0" w:oddVBand="0" w:evenVBand="0" w:oddHBand="0" w:evenHBand="0" w:firstRowFirstColumn="0" w:firstRowLastColumn="0" w:lastRowFirstColumn="0" w:lastRowLastColumn="0"/>
          <w:trHeight w:val="255"/>
        </w:trPr>
        <w:tc>
          <w:tcPr>
            <w:cnfStyle w:val="001000000100" w:firstRow="0" w:lastRow="0" w:firstColumn="1" w:lastColumn="0" w:oddVBand="0" w:evenVBand="0" w:oddHBand="0" w:evenHBand="0" w:firstRowFirstColumn="1" w:firstRowLastColumn="0" w:lastRowFirstColumn="0" w:lastRowLastColumn="0"/>
            <w:tcW w:w="2211" w:type="dxa"/>
          </w:tcPr>
          <w:p w14:paraId="7E0A1A02" w14:textId="77777777" w:rsidR="0024020B" w:rsidRPr="0046207B" w:rsidRDefault="0024020B" w:rsidP="00420659">
            <w:pPr>
              <w:pStyle w:val="TableHeader"/>
              <w:rPr>
                <w:b/>
                <w:sz w:val="22"/>
                <w:szCs w:val="22"/>
              </w:rPr>
            </w:pPr>
          </w:p>
        </w:tc>
        <w:tc>
          <w:tcPr>
            <w:tcW w:w="2183" w:type="dxa"/>
            <w:gridSpan w:val="2"/>
          </w:tcPr>
          <w:p w14:paraId="36C720BB" w14:textId="77777777" w:rsidR="0024020B" w:rsidRPr="0046207B" w:rsidRDefault="0024020B" w:rsidP="00420659">
            <w:pPr>
              <w:pStyle w:val="TableHeader"/>
              <w:jc w:val="center"/>
              <w:cnfStyle w:val="100000000000" w:firstRow="1" w:lastRow="0" w:firstColumn="0" w:lastColumn="0" w:oddVBand="0" w:evenVBand="0" w:oddHBand="0" w:evenHBand="0" w:firstRowFirstColumn="0" w:firstRowLastColumn="0" w:lastRowFirstColumn="0" w:lastRowLastColumn="0"/>
              <w:rPr>
                <w:b/>
                <w:sz w:val="22"/>
                <w:szCs w:val="22"/>
              </w:rPr>
            </w:pPr>
            <w:r w:rsidRPr="0046207B">
              <w:rPr>
                <w:b/>
                <w:sz w:val="22"/>
                <w:szCs w:val="22"/>
              </w:rPr>
              <w:t>2015–16</w:t>
            </w:r>
          </w:p>
        </w:tc>
        <w:tc>
          <w:tcPr>
            <w:tcW w:w="2268" w:type="dxa"/>
            <w:gridSpan w:val="2"/>
          </w:tcPr>
          <w:p w14:paraId="103F6D6B" w14:textId="77777777" w:rsidR="0024020B" w:rsidRPr="0046207B" w:rsidRDefault="0024020B" w:rsidP="00420659">
            <w:pPr>
              <w:pStyle w:val="TableHeader"/>
              <w:jc w:val="center"/>
              <w:cnfStyle w:val="100000000000" w:firstRow="1" w:lastRow="0" w:firstColumn="0" w:lastColumn="0" w:oddVBand="0" w:evenVBand="0" w:oddHBand="0" w:evenHBand="0" w:firstRowFirstColumn="0" w:firstRowLastColumn="0" w:lastRowFirstColumn="0" w:lastRowLastColumn="0"/>
              <w:rPr>
                <w:b/>
                <w:sz w:val="22"/>
                <w:szCs w:val="22"/>
              </w:rPr>
            </w:pPr>
            <w:r w:rsidRPr="0046207B">
              <w:rPr>
                <w:b/>
                <w:sz w:val="22"/>
                <w:szCs w:val="22"/>
              </w:rPr>
              <w:t>2016–17</w:t>
            </w:r>
          </w:p>
        </w:tc>
        <w:tc>
          <w:tcPr>
            <w:tcW w:w="2268" w:type="dxa"/>
            <w:gridSpan w:val="2"/>
          </w:tcPr>
          <w:p w14:paraId="6C556049" w14:textId="77777777" w:rsidR="0024020B" w:rsidRPr="0046207B" w:rsidRDefault="0024020B" w:rsidP="00420659">
            <w:pPr>
              <w:pStyle w:val="TableHeader"/>
              <w:jc w:val="center"/>
              <w:cnfStyle w:val="100000000000" w:firstRow="1" w:lastRow="0" w:firstColumn="0" w:lastColumn="0" w:oddVBand="0" w:evenVBand="0" w:oddHBand="0" w:evenHBand="0" w:firstRowFirstColumn="0" w:firstRowLastColumn="0" w:lastRowFirstColumn="0" w:lastRowLastColumn="0"/>
              <w:rPr>
                <w:b/>
                <w:sz w:val="22"/>
                <w:szCs w:val="22"/>
              </w:rPr>
            </w:pPr>
            <w:r w:rsidRPr="0046207B">
              <w:rPr>
                <w:b/>
                <w:sz w:val="22"/>
                <w:szCs w:val="22"/>
              </w:rPr>
              <w:t>2017–18</w:t>
            </w:r>
          </w:p>
        </w:tc>
      </w:tr>
      <w:tr w:rsidR="0024020B" w:rsidRPr="00FF2E60" w14:paraId="6C0F1488" w14:textId="77777777" w:rsidTr="0024020B">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2211" w:type="dxa"/>
            <w:shd w:val="clear" w:color="auto" w:fill="000000" w:themeFill="text1"/>
          </w:tcPr>
          <w:p w14:paraId="3366A8CA" w14:textId="4E47E8A1" w:rsidR="0024020B" w:rsidRPr="00FF2E60" w:rsidRDefault="00C73620" w:rsidP="00420659">
            <w:pPr>
              <w:pStyle w:val="TableHeader"/>
              <w:rPr>
                <w:b/>
                <w:sz w:val="20"/>
                <w:szCs w:val="20"/>
              </w:rPr>
            </w:pPr>
            <w:r>
              <w:rPr>
                <w:b/>
                <w:sz w:val="20"/>
                <w:szCs w:val="20"/>
              </w:rPr>
              <w:t>C</w:t>
            </w:r>
            <w:r w:rsidR="0024020B" w:rsidRPr="00FF2E60">
              <w:rPr>
                <w:b/>
                <w:sz w:val="20"/>
                <w:szCs w:val="20"/>
              </w:rPr>
              <w:t>omplexity</w:t>
            </w:r>
            <w:r>
              <w:rPr>
                <w:b/>
                <w:sz w:val="20"/>
                <w:szCs w:val="20"/>
              </w:rPr>
              <w:t xml:space="preserve"> quadrant</w:t>
            </w:r>
          </w:p>
        </w:tc>
        <w:tc>
          <w:tcPr>
            <w:tcW w:w="885" w:type="dxa"/>
            <w:shd w:val="clear" w:color="auto" w:fill="000000" w:themeFill="text1"/>
          </w:tcPr>
          <w:p w14:paraId="38D97CBE" w14:textId="77777777" w:rsidR="0024020B" w:rsidRPr="00FF2E60" w:rsidRDefault="0024020B" w:rsidP="00420659">
            <w:pPr>
              <w:pStyle w:val="TableHeader"/>
              <w:jc w:val="center"/>
              <w:cnfStyle w:val="000000100000" w:firstRow="0" w:lastRow="0" w:firstColumn="0" w:lastColumn="0" w:oddVBand="0" w:evenVBand="0" w:oddHBand="1" w:evenHBand="0" w:firstRowFirstColumn="0" w:firstRowLastColumn="0" w:lastRowFirstColumn="0" w:lastRowLastColumn="0"/>
              <w:rPr>
                <w:b w:val="0"/>
                <w:sz w:val="20"/>
                <w:szCs w:val="20"/>
              </w:rPr>
            </w:pPr>
            <w:r w:rsidRPr="00FF2E60">
              <w:rPr>
                <w:b w:val="0"/>
                <w:sz w:val="20"/>
                <w:szCs w:val="20"/>
              </w:rPr>
              <w:t>Number</w:t>
            </w:r>
          </w:p>
        </w:tc>
        <w:tc>
          <w:tcPr>
            <w:tcW w:w="1298" w:type="dxa"/>
            <w:shd w:val="clear" w:color="auto" w:fill="000000" w:themeFill="text1"/>
          </w:tcPr>
          <w:p w14:paraId="0A93447E" w14:textId="587C4709" w:rsidR="0024020B" w:rsidRPr="00FF2E60" w:rsidRDefault="0024020B" w:rsidP="00420659">
            <w:pPr>
              <w:pStyle w:val="TableHeader"/>
              <w:jc w:val="center"/>
              <w:cnfStyle w:val="000000100000" w:firstRow="0" w:lastRow="0" w:firstColumn="0" w:lastColumn="0" w:oddVBand="0" w:evenVBand="0" w:oddHBand="1" w:evenHBand="0" w:firstRowFirstColumn="0" w:firstRowLastColumn="0" w:lastRowFirstColumn="0" w:lastRowLastColumn="0"/>
              <w:rPr>
                <w:b w:val="0"/>
                <w:sz w:val="20"/>
                <w:szCs w:val="20"/>
              </w:rPr>
            </w:pPr>
            <w:r w:rsidRPr="00FF2E60">
              <w:rPr>
                <w:b w:val="0"/>
                <w:sz w:val="20"/>
                <w:szCs w:val="20"/>
              </w:rPr>
              <w:t>Value</w:t>
            </w:r>
            <w:r>
              <w:rPr>
                <w:b w:val="0"/>
                <w:sz w:val="20"/>
                <w:szCs w:val="20"/>
              </w:rPr>
              <w:t xml:space="preserve"> ($M)</w:t>
            </w:r>
          </w:p>
        </w:tc>
        <w:tc>
          <w:tcPr>
            <w:tcW w:w="885" w:type="dxa"/>
            <w:shd w:val="clear" w:color="auto" w:fill="000000" w:themeFill="text1"/>
          </w:tcPr>
          <w:p w14:paraId="4EB7437B" w14:textId="77777777" w:rsidR="0024020B" w:rsidRPr="00FF2E60" w:rsidRDefault="0024020B" w:rsidP="00420659">
            <w:pPr>
              <w:pStyle w:val="TableHeader"/>
              <w:jc w:val="center"/>
              <w:cnfStyle w:val="000000100000" w:firstRow="0" w:lastRow="0" w:firstColumn="0" w:lastColumn="0" w:oddVBand="0" w:evenVBand="0" w:oddHBand="1" w:evenHBand="0" w:firstRowFirstColumn="0" w:firstRowLastColumn="0" w:lastRowFirstColumn="0" w:lastRowLastColumn="0"/>
              <w:rPr>
                <w:b w:val="0"/>
                <w:sz w:val="20"/>
                <w:szCs w:val="20"/>
              </w:rPr>
            </w:pPr>
            <w:r w:rsidRPr="00FF2E60">
              <w:rPr>
                <w:b w:val="0"/>
                <w:sz w:val="20"/>
                <w:szCs w:val="20"/>
              </w:rPr>
              <w:t>Number</w:t>
            </w:r>
          </w:p>
        </w:tc>
        <w:tc>
          <w:tcPr>
            <w:tcW w:w="1383" w:type="dxa"/>
            <w:shd w:val="clear" w:color="auto" w:fill="000000" w:themeFill="text1"/>
          </w:tcPr>
          <w:p w14:paraId="67A497E1" w14:textId="3F42D8E7" w:rsidR="0024020B" w:rsidRPr="00FF2E60" w:rsidRDefault="0024020B" w:rsidP="00420659">
            <w:pPr>
              <w:pStyle w:val="TableHeader"/>
              <w:jc w:val="center"/>
              <w:cnfStyle w:val="000000100000" w:firstRow="0" w:lastRow="0" w:firstColumn="0" w:lastColumn="0" w:oddVBand="0" w:evenVBand="0" w:oddHBand="1" w:evenHBand="0" w:firstRowFirstColumn="0" w:firstRowLastColumn="0" w:lastRowFirstColumn="0" w:lastRowLastColumn="0"/>
              <w:rPr>
                <w:b w:val="0"/>
                <w:sz w:val="20"/>
                <w:szCs w:val="20"/>
              </w:rPr>
            </w:pPr>
            <w:r w:rsidRPr="00FF2E60">
              <w:rPr>
                <w:b w:val="0"/>
                <w:sz w:val="20"/>
                <w:szCs w:val="20"/>
              </w:rPr>
              <w:t>Value</w:t>
            </w:r>
            <w:r>
              <w:rPr>
                <w:b w:val="0"/>
                <w:sz w:val="20"/>
                <w:szCs w:val="20"/>
              </w:rPr>
              <w:t xml:space="preserve"> ($M)</w:t>
            </w:r>
          </w:p>
        </w:tc>
        <w:tc>
          <w:tcPr>
            <w:tcW w:w="885" w:type="dxa"/>
            <w:shd w:val="clear" w:color="auto" w:fill="000000" w:themeFill="text1"/>
          </w:tcPr>
          <w:p w14:paraId="3063768B" w14:textId="77777777" w:rsidR="0024020B" w:rsidRPr="00FF2E60" w:rsidRDefault="0024020B" w:rsidP="00420659">
            <w:pPr>
              <w:pStyle w:val="TableHeader"/>
              <w:jc w:val="center"/>
              <w:cnfStyle w:val="000000100000" w:firstRow="0" w:lastRow="0" w:firstColumn="0" w:lastColumn="0" w:oddVBand="0" w:evenVBand="0" w:oddHBand="1" w:evenHBand="0" w:firstRowFirstColumn="0" w:firstRowLastColumn="0" w:lastRowFirstColumn="0" w:lastRowLastColumn="0"/>
              <w:rPr>
                <w:b w:val="0"/>
                <w:sz w:val="20"/>
                <w:szCs w:val="20"/>
              </w:rPr>
            </w:pPr>
            <w:r w:rsidRPr="00FF2E60">
              <w:rPr>
                <w:b w:val="0"/>
                <w:sz w:val="20"/>
                <w:szCs w:val="20"/>
              </w:rPr>
              <w:t>Number</w:t>
            </w:r>
          </w:p>
        </w:tc>
        <w:tc>
          <w:tcPr>
            <w:tcW w:w="1383" w:type="dxa"/>
            <w:shd w:val="clear" w:color="auto" w:fill="000000" w:themeFill="text1"/>
          </w:tcPr>
          <w:p w14:paraId="72C78A3C" w14:textId="338A1CB6" w:rsidR="0024020B" w:rsidRPr="00FF2E60" w:rsidRDefault="0024020B" w:rsidP="00420659">
            <w:pPr>
              <w:pStyle w:val="TableHeader"/>
              <w:jc w:val="center"/>
              <w:cnfStyle w:val="000000100000" w:firstRow="0" w:lastRow="0" w:firstColumn="0" w:lastColumn="0" w:oddVBand="0" w:evenVBand="0" w:oddHBand="1" w:evenHBand="0" w:firstRowFirstColumn="0" w:firstRowLastColumn="0" w:lastRowFirstColumn="0" w:lastRowLastColumn="0"/>
              <w:rPr>
                <w:b w:val="0"/>
                <w:sz w:val="20"/>
                <w:szCs w:val="20"/>
              </w:rPr>
            </w:pPr>
            <w:r w:rsidRPr="00FF2E60">
              <w:rPr>
                <w:b w:val="0"/>
                <w:sz w:val="20"/>
                <w:szCs w:val="20"/>
              </w:rPr>
              <w:t>Value</w:t>
            </w:r>
            <w:r>
              <w:rPr>
                <w:b w:val="0"/>
                <w:sz w:val="20"/>
                <w:szCs w:val="20"/>
              </w:rPr>
              <w:t xml:space="preserve"> ($M)</w:t>
            </w:r>
          </w:p>
        </w:tc>
      </w:tr>
      <w:tr w:rsidR="0024020B" w:rsidRPr="00CD6245" w14:paraId="7C9BB7A4" w14:textId="77777777" w:rsidTr="0024020B">
        <w:trPr>
          <w:trHeight w:val="255"/>
        </w:trPr>
        <w:tc>
          <w:tcPr>
            <w:cnfStyle w:val="001000000000" w:firstRow="0" w:lastRow="0" w:firstColumn="1" w:lastColumn="0" w:oddVBand="0" w:evenVBand="0" w:oddHBand="0" w:evenHBand="0" w:firstRowFirstColumn="0" w:firstRowLastColumn="0" w:lastRowFirstColumn="0" w:lastRowLastColumn="0"/>
            <w:tcW w:w="2211" w:type="dxa"/>
          </w:tcPr>
          <w:p w14:paraId="1993A59C" w14:textId="77777777" w:rsidR="0024020B" w:rsidRPr="00C11024" w:rsidRDefault="0024020B" w:rsidP="00420659">
            <w:pPr>
              <w:rPr>
                <w:rFonts w:cs="Arial"/>
                <w:b w:val="0"/>
                <w:sz w:val="20"/>
                <w:szCs w:val="20"/>
              </w:rPr>
            </w:pPr>
            <w:r w:rsidRPr="00C11024">
              <w:rPr>
                <w:rFonts w:cs="Arial"/>
                <w:b w:val="0"/>
                <w:sz w:val="20"/>
                <w:szCs w:val="20"/>
              </w:rPr>
              <w:t>Transactional</w:t>
            </w:r>
          </w:p>
        </w:tc>
        <w:tc>
          <w:tcPr>
            <w:tcW w:w="885" w:type="dxa"/>
          </w:tcPr>
          <w:p w14:paraId="6D4BC189" w14:textId="77777777" w:rsidR="0024020B" w:rsidRPr="00CD6245" w:rsidRDefault="0024020B" w:rsidP="00420659">
            <w:pPr>
              <w:pStyle w:val="Tablenumbers"/>
              <w:cnfStyle w:val="000000000000" w:firstRow="0" w:lastRow="0" w:firstColumn="0" w:lastColumn="0" w:oddVBand="0" w:evenVBand="0" w:oddHBand="0" w:evenHBand="0" w:firstRowFirstColumn="0" w:firstRowLastColumn="0" w:lastRowFirstColumn="0" w:lastRowLastColumn="0"/>
            </w:pPr>
            <w:r w:rsidRPr="00CD6245">
              <w:t>241</w:t>
            </w:r>
          </w:p>
        </w:tc>
        <w:tc>
          <w:tcPr>
            <w:tcW w:w="1298" w:type="dxa"/>
          </w:tcPr>
          <w:p w14:paraId="0E4C9743" w14:textId="77777777" w:rsidR="0024020B" w:rsidRPr="00CD6245" w:rsidRDefault="0024020B" w:rsidP="00420659">
            <w:pPr>
              <w:pStyle w:val="Tablenumbers"/>
              <w:cnfStyle w:val="000000000000" w:firstRow="0" w:lastRow="0" w:firstColumn="0" w:lastColumn="0" w:oddVBand="0" w:evenVBand="0" w:oddHBand="0" w:evenHBand="0" w:firstRowFirstColumn="0" w:firstRowLastColumn="0" w:lastRowFirstColumn="0" w:lastRowLastColumn="0"/>
            </w:pPr>
            <w:r>
              <w:t>275.2</w:t>
            </w:r>
          </w:p>
        </w:tc>
        <w:tc>
          <w:tcPr>
            <w:tcW w:w="885" w:type="dxa"/>
          </w:tcPr>
          <w:p w14:paraId="2B53ADCC" w14:textId="77777777" w:rsidR="0024020B" w:rsidRPr="00CC3EB6" w:rsidRDefault="0024020B" w:rsidP="00420659">
            <w:pPr>
              <w:pStyle w:val="Tablenumbers"/>
              <w:cnfStyle w:val="000000000000" w:firstRow="0" w:lastRow="0" w:firstColumn="0" w:lastColumn="0" w:oddVBand="0" w:evenVBand="0" w:oddHBand="0" w:evenHBand="0" w:firstRowFirstColumn="0" w:firstRowLastColumn="0" w:lastRowFirstColumn="0" w:lastRowLastColumn="0"/>
            </w:pPr>
            <w:r w:rsidRPr="00CC3EB6">
              <w:t>463</w:t>
            </w:r>
          </w:p>
        </w:tc>
        <w:tc>
          <w:tcPr>
            <w:tcW w:w="1383" w:type="dxa"/>
          </w:tcPr>
          <w:p w14:paraId="443F3763" w14:textId="77777777" w:rsidR="0024020B" w:rsidRPr="00CC3EB6" w:rsidRDefault="0024020B" w:rsidP="00420659">
            <w:pPr>
              <w:pStyle w:val="Tablenumbers"/>
              <w:cnfStyle w:val="000000000000" w:firstRow="0" w:lastRow="0" w:firstColumn="0" w:lastColumn="0" w:oddVBand="0" w:evenVBand="0" w:oddHBand="0" w:evenHBand="0" w:firstRowFirstColumn="0" w:firstRowLastColumn="0" w:lastRowFirstColumn="0" w:lastRowLastColumn="0"/>
            </w:pPr>
            <w:r>
              <w:t xml:space="preserve">246.2 </w:t>
            </w:r>
          </w:p>
        </w:tc>
        <w:tc>
          <w:tcPr>
            <w:tcW w:w="885" w:type="dxa"/>
          </w:tcPr>
          <w:p w14:paraId="483CA75B" w14:textId="77777777" w:rsidR="0024020B" w:rsidRDefault="0024020B" w:rsidP="00420659">
            <w:pPr>
              <w:pStyle w:val="Tablenumbers"/>
              <w:cnfStyle w:val="000000000000" w:firstRow="0" w:lastRow="0" w:firstColumn="0" w:lastColumn="0" w:oddVBand="0" w:evenVBand="0" w:oddHBand="0" w:evenHBand="0" w:firstRowFirstColumn="0" w:firstRowLastColumn="0" w:lastRowFirstColumn="0" w:lastRowLastColumn="0"/>
            </w:pPr>
            <w:r>
              <w:rPr>
                <w:rFonts w:cs="Calibri"/>
              </w:rPr>
              <w:t>578</w:t>
            </w:r>
          </w:p>
        </w:tc>
        <w:tc>
          <w:tcPr>
            <w:tcW w:w="1383" w:type="dxa"/>
          </w:tcPr>
          <w:p w14:paraId="59ED3875" w14:textId="77777777" w:rsidR="0024020B" w:rsidRPr="00E747B3" w:rsidRDefault="0024020B" w:rsidP="00420659">
            <w:pPr>
              <w:pStyle w:val="Tablenumbers"/>
              <w:cnfStyle w:val="000000000000" w:firstRow="0" w:lastRow="0" w:firstColumn="0" w:lastColumn="0" w:oddVBand="0" w:evenVBand="0" w:oddHBand="0" w:evenHBand="0" w:firstRowFirstColumn="0" w:firstRowLastColumn="0" w:lastRowFirstColumn="0" w:lastRowLastColumn="0"/>
            </w:pPr>
            <w:r w:rsidRPr="00E747B3">
              <w:t>674.9</w:t>
            </w:r>
          </w:p>
        </w:tc>
      </w:tr>
      <w:tr w:rsidR="0024020B" w:rsidRPr="00CD6245" w14:paraId="4F3AF50B" w14:textId="77777777" w:rsidTr="0024020B">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2211" w:type="dxa"/>
          </w:tcPr>
          <w:p w14:paraId="7CE1184B" w14:textId="77777777" w:rsidR="0024020B" w:rsidRPr="00C11024" w:rsidRDefault="0024020B" w:rsidP="00420659">
            <w:pPr>
              <w:rPr>
                <w:rFonts w:cs="Arial"/>
                <w:b w:val="0"/>
                <w:sz w:val="20"/>
                <w:szCs w:val="20"/>
              </w:rPr>
            </w:pPr>
            <w:r w:rsidRPr="00C11024">
              <w:rPr>
                <w:rFonts w:cs="Arial"/>
                <w:b w:val="0"/>
                <w:sz w:val="20"/>
                <w:szCs w:val="20"/>
              </w:rPr>
              <w:t>Leveraged</w:t>
            </w:r>
          </w:p>
        </w:tc>
        <w:tc>
          <w:tcPr>
            <w:tcW w:w="885" w:type="dxa"/>
          </w:tcPr>
          <w:p w14:paraId="286242E9" w14:textId="77777777" w:rsidR="0024020B" w:rsidRPr="00CD6245" w:rsidRDefault="0024020B" w:rsidP="00420659">
            <w:pPr>
              <w:pStyle w:val="Tablenumbers"/>
              <w:cnfStyle w:val="000000100000" w:firstRow="0" w:lastRow="0" w:firstColumn="0" w:lastColumn="0" w:oddVBand="0" w:evenVBand="0" w:oddHBand="1" w:evenHBand="0" w:firstRowFirstColumn="0" w:firstRowLastColumn="0" w:lastRowFirstColumn="0" w:lastRowLastColumn="0"/>
            </w:pPr>
            <w:r w:rsidRPr="00CD6245">
              <w:t>312</w:t>
            </w:r>
          </w:p>
        </w:tc>
        <w:tc>
          <w:tcPr>
            <w:tcW w:w="1298" w:type="dxa"/>
          </w:tcPr>
          <w:p w14:paraId="5CADBA23" w14:textId="77777777" w:rsidR="0024020B" w:rsidRPr="00CD6245" w:rsidRDefault="0024020B" w:rsidP="00420659">
            <w:pPr>
              <w:pStyle w:val="Tablenumbers"/>
              <w:cnfStyle w:val="000000100000" w:firstRow="0" w:lastRow="0" w:firstColumn="0" w:lastColumn="0" w:oddVBand="0" w:evenVBand="0" w:oddHBand="1" w:evenHBand="0" w:firstRowFirstColumn="0" w:firstRowLastColumn="0" w:lastRowFirstColumn="0" w:lastRowLastColumn="0"/>
            </w:pPr>
            <w:r>
              <w:t>1 164.9</w:t>
            </w:r>
          </w:p>
        </w:tc>
        <w:tc>
          <w:tcPr>
            <w:tcW w:w="885" w:type="dxa"/>
          </w:tcPr>
          <w:p w14:paraId="0FCAB439" w14:textId="77777777" w:rsidR="0024020B" w:rsidRPr="00CC3EB6" w:rsidRDefault="0024020B" w:rsidP="00420659">
            <w:pPr>
              <w:pStyle w:val="Tablenumbers"/>
              <w:cnfStyle w:val="000000100000" w:firstRow="0" w:lastRow="0" w:firstColumn="0" w:lastColumn="0" w:oddVBand="0" w:evenVBand="0" w:oddHBand="1" w:evenHBand="0" w:firstRowFirstColumn="0" w:firstRowLastColumn="0" w:lastRowFirstColumn="0" w:lastRowLastColumn="0"/>
            </w:pPr>
            <w:r w:rsidRPr="00CC3EB6">
              <w:t>245</w:t>
            </w:r>
          </w:p>
        </w:tc>
        <w:tc>
          <w:tcPr>
            <w:tcW w:w="1383" w:type="dxa"/>
          </w:tcPr>
          <w:p w14:paraId="6E70AA92" w14:textId="77777777" w:rsidR="0024020B" w:rsidRPr="00CC3EB6" w:rsidRDefault="0024020B" w:rsidP="00420659">
            <w:pPr>
              <w:pStyle w:val="Tablenumbers"/>
              <w:cnfStyle w:val="000000100000" w:firstRow="0" w:lastRow="0" w:firstColumn="0" w:lastColumn="0" w:oddVBand="0" w:evenVBand="0" w:oddHBand="1" w:evenHBand="0" w:firstRowFirstColumn="0" w:firstRowLastColumn="0" w:lastRowFirstColumn="0" w:lastRowLastColumn="0"/>
            </w:pPr>
            <w:r>
              <w:t xml:space="preserve">530.9 </w:t>
            </w:r>
          </w:p>
        </w:tc>
        <w:tc>
          <w:tcPr>
            <w:tcW w:w="885" w:type="dxa"/>
          </w:tcPr>
          <w:p w14:paraId="734CA842" w14:textId="77777777" w:rsidR="0024020B" w:rsidRDefault="0024020B" w:rsidP="00420659">
            <w:pPr>
              <w:pStyle w:val="Tablenumbers"/>
              <w:cnfStyle w:val="000000100000" w:firstRow="0" w:lastRow="0" w:firstColumn="0" w:lastColumn="0" w:oddVBand="0" w:evenVBand="0" w:oddHBand="1" w:evenHBand="0" w:firstRowFirstColumn="0" w:firstRowLastColumn="0" w:lastRowFirstColumn="0" w:lastRowLastColumn="0"/>
            </w:pPr>
            <w:r>
              <w:rPr>
                <w:rFonts w:cs="Calibri"/>
              </w:rPr>
              <w:t>316</w:t>
            </w:r>
          </w:p>
        </w:tc>
        <w:tc>
          <w:tcPr>
            <w:tcW w:w="1383" w:type="dxa"/>
          </w:tcPr>
          <w:p w14:paraId="5EDFEAAE" w14:textId="77777777" w:rsidR="0024020B" w:rsidRPr="00E747B3" w:rsidRDefault="0024020B" w:rsidP="00420659">
            <w:pPr>
              <w:pStyle w:val="Tablenumbers"/>
              <w:cnfStyle w:val="000000100000" w:firstRow="0" w:lastRow="0" w:firstColumn="0" w:lastColumn="0" w:oddVBand="0" w:evenVBand="0" w:oddHBand="1" w:evenHBand="0" w:firstRowFirstColumn="0" w:firstRowLastColumn="0" w:lastRowFirstColumn="0" w:lastRowLastColumn="0"/>
            </w:pPr>
            <w:r w:rsidRPr="00E747B3">
              <w:t>528.2</w:t>
            </w:r>
          </w:p>
        </w:tc>
      </w:tr>
      <w:tr w:rsidR="0024020B" w:rsidRPr="00CD6245" w14:paraId="477C7EA9" w14:textId="77777777" w:rsidTr="00C11024">
        <w:trPr>
          <w:trHeight w:val="272"/>
        </w:trPr>
        <w:tc>
          <w:tcPr>
            <w:cnfStyle w:val="001000000000" w:firstRow="0" w:lastRow="0" w:firstColumn="1" w:lastColumn="0" w:oddVBand="0" w:evenVBand="0" w:oddHBand="0" w:evenHBand="0" w:firstRowFirstColumn="0" w:firstRowLastColumn="0" w:lastRowFirstColumn="0" w:lastRowLastColumn="0"/>
            <w:tcW w:w="2211" w:type="dxa"/>
          </w:tcPr>
          <w:p w14:paraId="23D78D0D" w14:textId="77777777" w:rsidR="0024020B" w:rsidRPr="00C11024" w:rsidRDefault="0024020B" w:rsidP="00420659">
            <w:pPr>
              <w:rPr>
                <w:rFonts w:cs="Arial"/>
                <w:b w:val="0"/>
                <w:sz w:val="20"/>
                <w:szCs w:val="20"/>
              </w:rPr>
            </w:pPr>
            <w:r w:rsidRPr="00C11024">
              <w:rPr>
                <w:rFonts w:cs="Arial"/>
                <w:b w:val="0"/>
                <w:sz w:val="20"/>
                <w:szCs w:val="20"/>
              </w:rPr>
              <w:t>Focused</w:t>
            </w:r>
          </w:p>
        </w:tc>
        <w:tc>
          <w:tcPr>
            <w:tcW w:w="885" w:type="dxa"/>
          </w:tcPr>
          <w:p w14:paraId="380300D5" w14:textId="77777777" w:rsidR="0024020B" w:rsidRPr="00CD6245" w:rsidRDefault="0024020B" w:rsidP="00420659">
            <w:pPr>
              <w:pStyle w:val="Tablenumbers"/>
              <w:cnfStyle w:val="000000000000" w:firstRow="0" w:lastRow="0" w:firstColumn="0" w:lastColumn="0" w:oddVBand="0" w:evenVBand="0" w:oddHBand="0" w:evenHBand="0" w:firstRowFirstColumn="0" w:firstRowLastColumn="0" w:lastRowFirstColumn="0" w:lastRowLastColumn="0"/>
            </w:pPr>
            <w:r w:rsidRPr="00CD6245">
              <w:t>135</w:t>
            </w:r>
          </w:p>
        </w:tc>
        <w:tc>
          <w:tcPr>
            <w:tcW w:w="1298" w:type="dxa"/>
          </w:tcPr>
          <w:p w14:paraId="6643B88E" w14:textId="77777777" w:rsidR="0024020B" w:rsidRPr="00CD6245" w:rsidRDefault="0024020B" w:rsidP="00420659">
            <w:pPr>
              <w:pStyle w:val="Tablenumbers"/>
              <w:cnfStyle w:val="000000000000" w:firstRow="0" w:lastRow="0" w:firstColumn="0" w:lastColumn="0" w:oddVBand="0" w:evenVBand="0" w:oddHBand="0" w:evenHBand="0" w:firstRowFirstColumn="0" w:firstRowLastColumn="0" w:lastRowFirstColumn="0" w:lastRowLastColumn="0"/>
            </w:pPr>
            <w:r>
              <w:t>126.8</w:t>
            </w:r>
          </w:p>
        </w:tc>
        <w:tc>
          <w:tcPr>
            <w:tcW w:w="885" w:type="dxa"/>
          </w:tcPr>
          <w:p w14:paraId="4F0BFCDF" w14:textId="77777777" w:rsidR="0024020B" w:rsidRPr="00CC3EB6" w:rsidRDefault="0024020B" w:rsidP="00420659">
            <w:pPr>
              <w:pStyle w:val="Tablenumbers"/>
              <w:cnfStyle w:val="000000000000" w:firstRow="0" w:lastRow="0" w:firstColumn="0" w:lastColumn="0" w:oddVBand="0" w:evenVBand="0" w:oddHBand="0" w:evenHBand="0" w:firstRowFirstColumn="0" w:firstRowLastColumn="0" w:lastRowFirstColumn="0" w:lastRowLastColumn="0"/>
            </w:pPr>
            <w:r w:rsidRPr="00CC3EB6">
              <w:t>125</w:t>
            </w:r>
          </w:p>
        </w:tc>
        <w:tc>
          <w:tcPr>
            <w:tcW w:w="1383" w:type="dxa"/>
          </w:tcPr>
          <w:p w14:paraId="19F0D653" w14:textId="77777777" w:rsidR="0024020B" w:rsidRPr="00CC3EB6" w:rsidRDefault="0024020B" w:rsidP="00420659">
            <w:pPr>
              <w:pStyle w:val="Tablenumbers"/>
              <w:cnfStyle w:val="000000000000" w:firstRow="0" w:lastRow="0" w:firstColumn="0" w:lastColumn="0" w:oddVBand="0" w:evenVBand="0" w:oddHBand="0" w:evenHBand="0" w:firstRowFirstColumn="0" w:firstRowLastColumn="0" w:lastRowFirstColumn="0" w:lastRowLastColumn="0"/>
            </w:pPr>
            <w:r>
              <w:t xml:space="preserve">119.8 </w:t>
            </w:r>
          </w:p>
        </w:tc>
        <w:tc>
          <w:tcPr>
            <w:tcW w:w="885" w:type="dxa"/>
          </w:tcPr>
          <w:p w14:paraId="475AE36D" w14:textId="77777777" w:rsidR="0024020B" w:rsidRDefault="0024020B" w:rsidP="00420659">
            <w:pPr>
              <w:pStyle w:val="Tablenumbers"/>
              <w:cnfStyle w:val="000000000000" w:firstRow="0" w:lastRow="0" w:firstColumn="0" w:lastColumn="0" w:oddVBand="0" w:evenVBand="0" w:oddHBand="0" w:evenHBand="0" w:firstRowFirstColumn="0" w:firstRowLastColumn="0" w:lastRowFirstColumn="0" w:lastRowLastColumn="0"/>
            </w:pPr>
            <w:r>
              <w:rPr>
                <w:rFonts w:cs="Calibri"/>
              </w:rPr>
              <w:t>132</w:t>
            </w:r>
          </w:p>
        </w:tc>
        <w:tc>
          <w:tcPr>
            <w:tcW w:w="1383" w:type="dxa"/>
          </w:tcPr>
          <w:p w14:paraId="04D3AC0F" w14:textId="77777777" w:rsidR="0024020B" w:rsidRPr="00E747B3" w:rsidRDefault="0024020B" w:rsidP="00420659">
            <w:pPr>
              <w:pStyle w:val="Tablenumbers"/>
              <w:cnfStyle w:val="000000000000" w:firstRow="0" w:lastRow="0" w:firstColumn="0" w:lastColumn="0" w:oddVBand="0" w:evenVBand="0" w:oddHBand="0" w:evenHBand="0" w:firstRowFirstColumn="0" w:firstRowLastColumn="0" w:lastRowFirstColumn="0" w:lastRowLastColumn="0"/>
            </w:pPr>
            <w:r w:rsidRPr="00E747B3">
              <w:t>700.7</w:t>
            </w:r>
          </w:p>
        </w:tc>
      </w:tr>
      <w:tr w:rsidR="0024020B" w:rsidRPr="00CD6245" w14:paraId="3BCEC455" w14:textId="77777777" w:rsidTr="0024020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11" w:type="dxa"/>
          </w:tcPr>
          <w:p w14:paraId="0E13F09D" w14:textId="77777777" w:rsidR="0024020B" w:rsidRPr="00C11024" w:rsidRDefault="0024020B" w:rsidP="00420659">
            <w:pPr>
              <w:rPr>
                <w:rFonts w:cs="Arial"/>
                <w:b w:val="0"/>
                <w:sz w:val="20"/>
                <w:szCs w:val="20"/>
              </w:rPr>
            </w:pPr>
            <w:r w:rsidRPr="00C11024">
              <w:rPr>
                <w:rFonts w:cs="Arial"/>
                <w:b w:val="0"/>
                <w:sz w:val="20"/>
                <w:szCs w:val="20"/>
              </w:rPr>
              <w:t xml:space="preserve">Strategic </w:t>
            </w:r>
          </w:p>
        </w:tc>
        <w:tc>
          <w:tcPr>
            <w:tcW w:w="885" w:type="dxa"/>
          </w:tcPr>
          <w:p w14:paraId="099CE4AE" w14:textId="77777777" w:rsidR="0024020B" w:rsidRPr="00CD6245" w:rsidRDefault="0024020B" w:rsidP="00420659">
            <w:pPr>
              <w:pStyle w:val="Tablenumbers"/>
              <w:cnfStyle w:val="000000100000" w:firstRow="0" w:lastRow="0" w:firstColumn="0" w:lastColumn="0" w:oddVBand="0" w:evenVBand="0" w:oddHBand="1" w:evenHBand="0" w:firstRowFirstColumn="0" w:firstRowLastColumn="0" w:lastRowFirstColumn="0" w:lastRowLastColumn="0"/>
            </w:pPr>
            <w:r w:rsidRPr="00CD6245">
              <w:t>102</w:t>
            </w:r>
          </w:p>
        </w:tc>
        <w:tc>
          <w:tcPr>
            <w:tcW w:w="1298" w:type="dxa"/>
          </w:tcPr>
          <w:p w14:paraId="62FD94C4" w14:textId="77777777" w:rsidR="0024020B" w:rsidRPr="00CD6245" w:rsidRDefault="0024020B" w:rsidP="00420659">
            <w:pPr>
              <w:pStyle w:val="Tablenumbers"/>
              <w:cnfStyle w:val="000000100000" w:firstRow="0" w:lastRow="0" w:firstColumn="0" w:lastColumn="0" w:oddVBand="0" w:evenVBand="0" w:oddHBand="1" w:evenHBand="0" w:firstRowFirstColumn="0" w:firstRowLastColumn="0" w:lastRowFirstColumn="0" w:lastRowLastColumn="0"/>
            </w:pPr>
            <w:r>
              <w:t>848.0</w:t>
            </w:r>
          </w:p>
        </w:tc>
        <w:tc>
          <w:tcPr>
            <w:tcW w:w="885" w:type="dxa"/>
          </w:tcPr>
          <w:p w14:paraId="35410DD4" w14:textId="77777777" w:rsidR="0024020B" w:rsidRPr="00CC3EB6" w:rsidRDefault="0024020B" w:rsidP="00420659">
            <w:pPr>
              <w:pStyle w:val="Tablenumbers"/>
              <w:cnfStyle w:val="000000100000" w:firstRow="0" w:lastRow="0" w:firstColumn="0" w:lastColumn="0" w:oddVBand="0" w:evenVBand="0" w:oddHBand="1" w:evenHBand="0" w:firstRowFirstColumn="0" w:firstRowLastColumn="0" w:lastRowFirstColumn="0" w:lastRowLastColumn="0"/>
            </w:pPr>
            <w:r w:rsidRPr="00CC3EB6">
              <w:t>172</w:t>
            </w:r>
          </w:p>
        </w:tc>
        <w:tc>
          <w:tcPr>
            <w:tcW w:w="1383" w:type="dxa"/>
          </w:tcPr>
          <w:p w14:paraId="1BBC43B4" w14:textId="77777777" w:rsidR="0024020B" w:rsidRPr="00CC3EB6" w:rsidRDefault="0024020B" w:rsidP="00420659">
            <w:pPr>
              <w:pStyle w:val="Tablenumbers"/>
              <w:cnfStyle w:val="000000100000" w:firstRow="0" w:lastRow="0" w:firstColumn="0" w:lastColumn="0" w:oddVBand="0" w:evenVBand="0" w:oddHBand="1" w:evenHBand="0" w:firstRowFirstColumn="0" w:firstRowLastColumn="0" w:lastRowFirstColumn="0" w:lastRowLastColumn="0"/>
            </w:pPr>
            <w:r w:rsidRPr="00CC3EB6">
              <w:t>1</w:t>
            </w:r>
            <w:r>
              <w:t xml:space="preserve"> 186.8 </w:t>
            </w:r>
          </w:p>
        </w:tc>
        <w:tc>
          <w:tcPr>
            <w:tcW w:w="885" w:type="dxa"/>
          </w:tcPr>
          <w:p w14:paraId="207E0105" w14:textId="77777777" w:rsidR="0024020B" w:rsidRPr="00CC3EB6" w:rsidRDefault="0024020B" w:rsidP="00420659">
            <w:pPr>
              <w:pStyle w:val="Tablenumbers"/>
              <w:cnfStyle w:val="000000100000" w:firstRow="0" w:lastRow="0" w:firstColumn="0" w:lastColumn="0" w:oddVBand="0" w:evenVBand="0" w:oddHBand="1" w:evenHBand="0" w:firstRowFirstColumn="0" w:firstRowLastColumn="0" w:lastRowFirstColumn="0" w:lastRowLastColumn="0"/>
            </w:pPr>
            <w:r>
              <w:rPr>
                <w:rFonts w:cs="Calibri"/>
              </w:rPr>
              <w:t>171</w:t>
            </w:r>
          </w:p>
        </w:tc>
        <w:tc>
          <w:tcPr>
            <w:tcW w:w="1383" w:type="dxa"/>
          </w:tcPr>
          <w:p w14:paraId="1CF9F23D" w14:textId="77777777" w:rsidR="0024020B" w:rsidRPr="00E747B3" w:rsidRDefault="0024020B" w:rsidP="00420659">
            <w:pPr>
              <w:pStyle w:val="Tablenumbers"/>
              <w:cnfStyle w:val="000000100000" w:firstRow="0" w:lastRow="0" w:firstColumn="0" w:lastColumn="0" w:oddVBand="0" w:evenVBand="0" w:oddHBand="1" w:evenHBand="0" w:firstRowFirstColumn="0" w:firstRowLastColumn="0" w:lastRowFirstColumn="0" w:lastRowLastColumn="0"/>
            </w:pPr>
            <w:r w:rsidRPr="00E747B3">
              <w:t>1</w:t>
            </w:r>
            <w:r>
              <w:t> </w:t>
            </w:r>
            <w:r w:rsidRPr="00E747B3">
              <w:t>107.5</w:t>
            </w:r>
          </w:p>
        </w:tc>
      </w:tr>
      <w:tr w:rsidR="0024020B" w:rsidRPr="00546DF9" w14:paraId="273EF411" w14:textId="77777777" w:rsidTr="0024020B">
        <w:trPr>
          <w:trHeight w:val="255"/>
        </w:trPr>
        <w:tc>
          <w:tcPr>
            <w:cnfStyle w:val="001000000000" w:firstRow="0" w:lastRow="0" w:firstColumn="1" w:lastColumn="0" w:oddVBand="0" w:evenVBand="0" w:oddHBand="0" w:evenHBand="0" w:firstRowFirstColumn="0" w:firstRowLastColumn="0" w:lastRowFirstColumn="0" w:lastRowLastColumn="0"/>
            <w:tcW w:w="2211" w:type="dxa"/>
            <w:noWrap/>
          </w:tcPr>
          <w:p w14:paraId="064ED73C" w14:textId="77777777" w:rsidR="0024020B" w:rsidRPr="00546DF9" w:rsidRDefault="0024020B" w:rsidP="00420659">
            <w:pPr>
              <w:rPr>
                <w:rFonts w:cs="Arial"/>
                <w:bCs w:val="0"/>
                <w:sz w:val="20"/>
                <w:szCs w:val="20"/>
              </w:rPr>
            </w:pPr>
            <w:r w:rsidRPr="00546DF9">
              <w:rPr>
                <w:rFonts w:cs="Arial"/>
                <w:bCs w:val="0"/>
                <w:sz w:val="20"/>
                <w:szCs w:val="20"/>
              </w:rPr>
              <w:t>Totals</w:t>
            </w:r>
          </w:p>
        </w:tc>
        <w:tc>
          <w:tcPr>
            <w:tcW w:w="885" w:type="dxa"/>
          </w:tcPr>
          <w:p w14:paraId="6087430E" w14:textId="77777777" w:rsidR="0024020B" w:rsidRPr="00546DF9" w:rsidRDefault="0024020B" w:rsidP="00420659">
            <w:pPr>
              <w:pStyle w:val="Tablenumbers"/>
              <w:cnfStyle w:val="000000000000" w:firstRow="0" w:lastRow="0" w:firstColumn="0" w:lastColumn="0" w:oddVBand="0" w:evenVBand="0" w:oddHBand="0" w:evenHBand="0" w:firstRowFirstColumn="0" w:firstRowLastColumn="0" w:lastRowFirstColumn="0" w:lastRowLastColumn="0"/>
              <w:rPr>
                <w:b/>
                <w:color w:val="auto"/>
              </w:rPr>
            </w:pPr>
            <w:r w:rsidRPr="00546DF9">
              <w:rPr>
                <w:b/>
                <w:color w:val="auto"/>
              </w:rPr>
              <w:t>790</w:t>
            </w:r>
          </w:p>
        </w:tc>
        <w:tc>
          <w:tcPr>
            <w:tcW w:w="1298" w:type="dxa"/>
            <w:noWrap/>
          </w:tcPr>
          <w:p w14:paraId="4024558A" w14:textId="77777777" w:rsidR="0024020B" w:rsidRPr="00546DF9" w:rsidRDefault="0024020B" w:rsidP="00420659">
            <w:pPr>
              <w:pStyle w:val="Tablenumbers"/>
              <w:cnfStyle w:val="000000000000" w:firstRow="0" w:lastRow="0" w:firstColumn="0" w:lastColumn="0" w:oddVBand="0" w:evenVBand="0" w:oddHBand="0" w:evenHBand="0" w:firstRowFirstColumn="0" w:firstRowLastColumn="0" w:lastRowFirstColumn="0" w:lastRowLastColumn="0"/>
              <w:rPr>
                <w:b/>
                <w:color w:val="auto"/>
              </w:rPr>
            </w:pPr>
            <w:r w:rsidRPr="00546DF9">
              <w:rPr>
                <w:b/>
                <w:color w:val="auto"/>
              </w:rPr>
              <w:t>2 414.9</w:t>
            </w:r>
          </w:p>
        </w:tc>
        <w:tc>
          <w:tcPr>
            <w:tcW w:w="885" w:type="dxa"/>
          </w:tcPr>
          <w:p w14:paraId="4CF266B9" w14:textId="77777777" w:rsidR="0024020B" w:rsidRPr="00546DF9" w:rsidRDefault="0024020B" w:rsidP="00420659">
            <w:pPr>
              <w:pStyle w:val="Tablenumbers"/>
              <w:cnfStyle w:val="000000000000" w:firstRow="0" w:lastRow="0" w:firstColumn="0" w:lastColumn="0" w:oddVBand="0" w:evenVBand="0" w:oddHBand="0" w:evenHBand="0" w:firstRowFirstColumn="0" w:firstRowLastColumn="0" w:lastRowFirstColumn="0" w:lastRowLastColumn="0"/>
              <w:rPr>
                <w:b/>
                <w:color w:val="auto"/>
              </w:rPr>
            </w:pPr>
            <w:r w:rsidRPr="00546DF9">
              <w:rPr>
                <w:b/>
                <w:color w:val="auto"/>
              </w:rPr>
              <w:t>1 005</w:t>
            </w:r>
          </w:p>
        </w:tc>
        <w:tc>
          <w:tcPr>
            <w:tcW w:w="1383" w:type="dxa"/>
          </w:tcPr>
          <w:p w14:paraId="0A5BAE03" w14:textId="77777777" w:rsidR="0024020B" w:rsidRPr="00546DF9" w:rsidRDefault="0024020B" w:rsidP="00420659">
            <w:pPr>
              <w:pStyle w:val="Tablenumbers"/>
              <w:cnfStyle w:val="000000000000" w:firstRow="0" w:lastRow="0" w:firstColumn="0" w:lastColumn="0" w:oddVBand="0" w:evenVBand="0" w:oddHBand="0" w:evenHBand="0" w:firstRowFirstColumn="0" w:firstRowLastColumn="0" w:lastRowFirstColumn="0" w:lastRowLastColumn="0"/>
              <w:rPr>
                <w:b/>
                <w:color w:val="auto"/>
              </w:rPr>
            </w:pPr>
            <w:r w:rsidRPr="00546DF9">
              <w:rPr>
                <w:b/>
                <w:color w:val="auto"/>
              </w:rPr>
              <w:t xml:space="preserve">2 083.8 </w:t>
            </w:r>
          </w:p>
        </w:tc>
        <w:tc>
          <w:tcPr>
            <w:tcW w:w="885" w:type="dxa"/>
          </w:tcPr>
          <w:p w14:paraId="7A2F64A8" w14:textId="74269006" w:rsidR="0024020B" w:rsidRPr="00546DF9" w:rsidRDefault="0024020B" w:rsidP="00420659">
            <w:pPr>
              <w:pStyle w:val="Tablenumbers"/>
              <w:cnfStyle w:val="000000000000" w:firstRow="0" w:lastRow="0" w:firstColumn="0" w:lastColumn="0" w:oddVBand="0" w:evenVBand="0" w:oddHBand="0" w:evenHBand="0" w:firstRowFirstColumn="0" w:firstRowLastColumn="0" w:lastRowFirstColumn="0" w:lastRowLastColumn="0"/>
              <w:rPr>
                <w:b/>
                <w:color w:val="auto"/>
              </w:rPr>
            </w:pPr>
            <w:r w:rsidRPr="00546DF9">
              <w:rPr>
                <w:rFonts w:cs="Calibri"/>
                <w:b/>
                <w:color w:val="auto"/>
              </w:rPr>
              <w:t>1 197</w:t>
            </w:r>
          </w:p>
        </w:tc>
        <w:tc>
          <w:tcPr>
            <w:tcW w:w="1383" w:type="dxa"/>
          </w:tcPr>
          <w:p w14:paraId="07356A62" w14:textId="77777777" w:rsidR="0024020B" w:rsidRPr="00546DF9" w:rsidRDefault="0024020B" w:rsidP="00420659">
            <w:pPr>
              <w:pStyle w:val="Tablenumbers"/>
              <w:cnfStyle w:val="000000000000" w:firstRow="0" w:lastRow="0" w:firstColumn="0" w:lastColumn="0" w:oddVBand="0" w:evenVBand="0" w:oddHBand="0" w:evenHBand="0" w:firstRowFirstColumn="0" w:firstRowLastColumn="0" w:lastRowFirstColumn="0" w:lastRowLastColumn="0"/>
              <w:rPr>
                <w:b/>
                <w:color w:val="auto"/>
              </w:rPr>
            </w:pPr>
            <w:r w:rsidRPr="00546DF9">
              <w:rPr>
                <w:b/>
                <w:color w:val="auto"/>
              </w:rPr>
              <w:t>3 011.2</w:t>
            </w:r>
          </w:p>
        </w:tc>
      </w:tr>
    </w:tbl>
    <w:p w14:paraId="750109AB" w14:textId="2CC982DB" w:rsidR="00E117EC" w:rsidRDefault="00E117EC" w:rsidP="005B2E7F">
      <w:pPr>
        <w:pStyle w:val="Tablenotes"/>
        <w:ind w:left="851" w:firstLine="0"/>
      </w:pPr>
      <w:r>
        <w:t xml:space="preserve">Note: </w:t>
      </w:r>
      <w:r w:rsidRPr="007500C5">
        <w:t>Discrepancies between totals and sums of totals reflect rounding.</w:t>
      </w:r>
    </w:p>
    <w:p w14:paraId="1DCFDF4F" w14:textId="33B13807" w:rsidR="00E117EC" w:rsidRDefault="00E117EC" w:rsidP="00E117EC">
      <w:pPr>
        <w:pStyle w:val="Heading3NoNum"/>
      </w:pPr>
      <w:r>
        <w:lastRenderedPageBreak/>
        <w:t>Complexity trends at a glance</w:t>
      </w:r>
    </w:p>
    <w:p w14:paraId="4AB697AA" w14:textId="6DC8BFE4" w:rsidR="00E117EC" w:rsidRDefault="00E117EC" w:rsidP="00E117EC">
      <w:pPr>
        <w:pStyle w:val="Caption"/>
      </w:pPr>
      <w:bookmarkStart w:id="87" w:name="_Ref521152299"/>
      <w:bookmarkStart w:id="88" w:name="_Toc524354046"/>
      <w:r>
        <w:t xml:space="preserve">Figure </w:t>
      </w:r>
      <w:r w:rsidR="00EB5FC6">
        <w:rPr>
          <w:noProof/>
        </w:rPr>
        <w:fldChar w:fldCharType="begin"/>
      </w:r>
      <w:r w:rsidR="00EB5FC6">
        <w:rPr>
          <w:noProof/>
        </w:rPr>
        <w:instrText xml:space="preserve"> SEQ Figure \* ARABIC </w:instrText>
      </w:r>
      <w:r w:rsidR="00EB5FC6">
        <w:rPr>
          <w:noProof/>
        </w:rPr>
        <w:fldChar w:fldCharType="separate"/>
      </w:r>
      <w:r w:rsidR="00A07703">
        <w:rPr>
          <w:noProof/>
        </w:rPr>
        <w:t>7</w:t>
      </w:r>
      <w:r w:rsidR="00EB5FC6">
        <w:rPr>
          <w:noProof/>
        </w:rPr>
        <w:fldChar w:fldCharType="end"/>
      </w:r>
      <w:bookmarkEnd w:id="87"/>
      <w:r>
        <w:t>: Trends in number and value of procurement complexity from 201</w:t>
      </w:r>
      <w:r w:rsidR="003B1A9E">
        <w:t>5–16</w:t>
      </w:r>
      <w:r>
        <w:t xml:space="preserve"> to 2017–18</w:t>
      </w:r>
      <w:bookmarkEnd w:id="88"/>
    </w:p>
    <w:p w14:paraId="3E55E8F9" w14:textId="77777777" w:rsidR="00581031" w:rsidRDefault="0024020B" w:rsidP="00E21E4A">
      <w:pPr>
        <w:ind w:left="851"/>
        <w:rPr>
          <w:lang w:eastAsia="en-US"/>
        </w:rPr>
      </w:pPr>
      <w:r>
        <w:rPr>
          <w:noProof/>
          <w:lang w:val="en-US" w:eastAsia="en-US"/>
        </w:rPr>
        <w:drawing>
          <wp:inline distT="0" distB="0" distL="0" distR="0" wp14:anchorId="18165D2C" wp14:editId="6B895597">
            <wp:extent cx="5562600" cy="2019300"/>
            <wp:effectExtent l="0" t="0" r="0" b="0"/>
            <wp:docPr id="93" name="Chart 93">
              <a:extLst xmlns:a="http://schemas.openxmlformats.org/drawingml/2006/main">
                <a:ext uri="{FF2B5EF4-FFF2-40B4-BE49-F238E27FC236}">
                  <a16:creationId xmlns:a16="http://schemas.microsoft.com/office/drawing/2014/main" id="{778D72FA-F2CA-41FB-BBEF-443F33B8D42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684D99A9" w14:textId="0E9174D8" w:rsidR="00581031" w:rsidRDefault="00581031" w:rsidP="00E21E4A">
      <w:pPr>
        <w:ind w:left="851"/>
        <w:rPr>
          <w:lang w:eastAsia="en-US"/>
        </w:rPr>
      </w:pPr>
      <w:r>
        <w:rPr>
          <w:noProof/>
          <w:lang w:val="en-US" w:eastAsia="en-US"/>
        </w:rPr>
        <w:drawing>
          <wp:inline distT="0" distB="0" distL="0" distR="0" wp14:anchorId="7D3C32F2" wp14:editId="42CE106B">
            <wp:extent cx="5553075" cy="2247900"/>
            <wp:effectExtent l="0" t="0" r="9525" b="0"/>
            <wp:docPr id="8" name="Chart 8">
              <a:extLst xmlns:a="http://schemas.openxmlformats.org/drawingml/2006/main">
                <a:ext uri="{FF2B5EF4-FFF2-40B4-BE49-F238E27FC236}">
                  <a16:creationId xmlns:a16="http://schemas.microsoft.com/office/drawing/2014/main" id="{3A254FAB-B907-4578-9BE8-8BE0EA6AAC2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7E0A89D6" w14:textId="77777777" w:rsidR="00581031" w:rsidRDefault="00581031" w:rsidP="00E21E4A">
      <w:pPr>
        <w:ind w:left="851"/>
        <w:rPr>
          <w:lang w:eastAsia="en-US"/>
        </w:rPr>
      </w:pPr>
    </w:p>
    <w:p w14:paraId="497886E6" w14:textId="3553F4A9" w:rsidR="00E117EC" w:rsidRPr="00CD6245" w:rsidRDefault="001F7D73" w:rsidP="001F7D73">
      <w:pPr>
        <w:pStyle w:val="Heading4NoNum"/>
      </w:pPr>
      <w:r>
        <w:t>Trends by department</w:t>
      </w:r>
    </w:p>
    <w:p w14:paraId="3525E813" w14:textId="715C4D84" w:rsidR="00420659" w:rsidRDefault="00420659" w:rsidP="00420659">
      <w:pPr>
        <w:pStyle w:val="Normal1"/>
      </w:pPr>
      <w:r>
        <w:t>Tables 1</w:t>
      </w:r>
      <w:r w:rsidR="00FB0AF9">
        <w:t>0</w:t>
      </w:r>
      <w:r>
        <w:t xml:space="preserve"> to 1</w:t>
      </w:r>
      <w:r w:rsidR="00FB0AF9">
        <w:t>3</w:t>
      </w:r>
      <w:r>
        <w:t xml:space="preserve"> show</w:t>
      </w:r>
      <w:r w:rsidRPr="0092283F">
        <w:t xml:space="preserve"> how </w:t>
      </w:r>
      <w:r>
        <w:t>the number of procurements in each complexity quadrant</w:t>
      </w:r>
      <w:r w:rsidRPr="0092283F">
        <w:t xml:space="preserve"> have changed </w:t>
      </w:r>
      <w:r>
        <w:t>for each organisation over</w:t>
      </w:r>
      <w:r w:rsidRPr="0092283F">
        <w:t xml:space="preserve"> the past </w:t>
      </w:r>
      <w:r w:rsidR="00FB0AF9">
        <w:t>three</w:t>
      </w:r>
      <w:r w:rsidRPr="0092283F">
        <w:t xml:space="preserve"> years.</w:t>
      </w:r>
      <w:r>
        <w:t xml:space="preserve"> </w:t>
      </w:r>
      <w:r w:rsidRPr="00CD6245">
        <w:t>VicRoads began operating under VGPB policies on 1 July 2015</w:t>
      </w:r>
      <w:r w:rsidR="00686733">
        <w:t xml:space="preserve">, </w:t>
      </w:r>
      <w:r>
        <w:t>P</w:t>
      </w:r>
      <w:r w:rsidR="00854DBF">
        <w:t xml:space="preserve">ublic </w:t>
      </w:r>
      <w:r>
        <w:t>T</w:t>
      </w:r>
      <w:r w:rsidR="00854DBF">
        <w:t>ransport Victoria</w:t>
      </w:r>
      <w:r>
        <w:t xml:space="preserve"> on 1 January 2017</w:t>
      </w:r>
      <w:r w:rsidR="00686733">
        <w:t xml:space="preserve"> and CenITex on 1 July 2017,</w:t>
      </w:r>
      <w:r>
        <w:t xml:space="preserve"> </w:t>
      </w:r>
      <w:r w:rsidRPr="00CD6245">
        <w:t xml:space="preserve">so </w:t>
      </w:r>
      <w:r w:rsidR="00686733">
        <w:t>did not provide</w:t>
      </w:r>
      <w:r w:rsidRPr="00CD6245">
        <w:t xml:space="preserve"> data </w:t>
      </w:r>
      <w:r>
        <w:t>before these dates</w:t>
      </w:r>
      <w:r w:rsidRPr="00CD6245">
        <w:t>.</w:t>
      </w:r>
    </w:p>
    <w:p w14:paraId="0A44E7B7" w14:textId="43F58C0B" w:rsidR="00420659" w:rsidRPr="0092283F" w:rsidRDefault="00420659" w:rsidP="00420659">
      <w:pPr>
        <w:pStyle w:val="Caption"/>
        <w:rPr>
          <w:lang w:eastAsia="en-US"/>
        </w:rPr>
      </w:pPr>
      <w:bookmarkStart w:id="89" w:name="_Ref457845345"/>
      <w:bookmarkStart w:id="90" w:name="_Toc524354003"/>
      <w:r w:rsidRPr="0092283F">
        <w:t xml:space="preserve">Table </w:t>
      </w:r>
      <w:r>
        <w:rPr>
          <w:noProof/>
        </w:rPr>
        <w:fldChar w:fldCharType="begin"/>
      </w:r>
      <w:r>
        <w:rPr>
          <w:noProof/>
        </w:rPr>
        <w:instrText xml:space="preserve"> SEQ Table \* ARABIC </w:instrText>
      </w:r>
      <w:r>
        <w:rPr>
          <w:noProof/>
        </w:rPr>
        <w:fldChar w:fldCharType="separate"/>
      </w:r>
      <w:r w:rsidR="00A07703">
        <w:rPr>
          <w:noProof/>
        </w:rPr>
        <w:t>10</w:t>
      </w:r>
      <w:r>
        <w:rPr>
          <w:noProof/>
        </w:rPr>
        <w:fldChar w:fldCharType="end"/>
      </w:r>
      <w:bookmarkEnd w:id="89"/>
      <w:r w:rsidRPr="0092283F">
        <w:t xml:space="preserve">: </w:t>
      </w:r>
      <w:r w:rsidR="00321731">
        <w:t>Trends in</w:t>
      </w:r>
      <w:r>
        <w:t xml:space="preserve"> </w:t>
      </w:r>
      <w:r w:rsidR="00321731">
        <w:t xml:space="preserve">number of </w:t>
      </w:r>
      <w:r>
        <w:t xml:space="preserve">transactional procurements </w:t>
      </w:r>
      <w:r w:rsidRPr="0092283F">
        <w:t>by organisation</w:t>
      </w:r>
      <w:bookmarkEnd w:id="90"/>
    </w:p>
    <w:tbl>
      <w:tblPr>
        <w:tblStyle w:val="ListTable31"/>
        <w:tblW w:w="9071" w:type="dxa"/>
        <w:tblInd w:w="704" w:type="dxa"/>
        <w:tblLayout w:type="fixed"/>
        <w:tblLook w:val="04A0" w:firstRow="1" w:lastRow="0" w:firstColumn="1" w:lastColumn="0" w:noHBand="0" w:noVBand="1"/>
      </w:tblPr>
      <w:tblGrid>
        <w:gridCol w:w="6095"/>
        <w:gridCol w:w="992"/>
        <w:gridCol w:w="992"/>
        <w:gridCol w:w="992"/>
      </w:tblGrid>
      <w:tr w:rsidR="00321731" w:rsidRPr="0092283F" w14:paraId="46693D91" w14:textId="77777777" w:rsidTr="005F548E">
        <w:trPr>
          <w:cnfStyle w:val="100000000000" w:firstRow="1" w:lastRow="0" w:firstColumn="0" w:lastColumn="0" w:oddVBand="0" w:evenVBand="0" w:oddHBand="0" w:evenHBand="0" w:firstRowFirstColumn="0" w:firstRowLastColumn="0" w:lastRowFirstColumn="0" w:lastRowLastColumn="0"/>
          <w:trHeight w:val="115"/>
        </w:trPr>
        <w:tc>
          <w:tcPr>
            <w:cnfStyle w:val="001000000100" w:firstRow="0" w:lastRow="0" w:firstColumn="1" w:lastColumn="0" w:oddVBand="0" w:evenVBand="0" w:oddHBand="0" w:evenHBand="0" w:firstRowFirstColumn="1" w:firstRowLastColumn="0" w:lastRowFirstColumn="0" w:lastRowLastColumn="0"/>
            <w:tcW w:w="6095" w:type="dxa"/>
          </w:tcPr>
          <w:p w14:paraId="1079FD8C" w14:textId="77777777" w:rsidR="00321731" w:rsidRPr="0092283F" w:rsidRDefault="00321731" w:rsidP="00420659">
            <w:pPr>
              <w:pStyle w:val="TableHeader"/>
              <w:rPr>
                <w:b/>
                <w:sz w:val="20"/>
                <w:szCs w:val="20"/>
              </w:rPr>
            </w:pPr>
            <w:r>
              <w:rPr>
                <w:b/>
                <w:sz w:val="20"/>
                <w:szCs w:val="20"/>
              </w:rPr>
              <w:t>Organisation</w:t>
            </w:r>
          </w:p>
        </w:tc>
        <w:tc>
          <w:tcPr>
            <w:tcW w:w="992" w:type="dxa"/>
          </w:tcPr>
          <w:p w14:paraId="3A4CFDCF" w14:textId="77777777" w:rsidR="00321731" w:rsidRPr="0092283F" w:rsidRDefault="00321731" w:rsidP="00420659">
            <w:pPr>
              <w:pStyle w:val="TableHeader"/>
              <w:jc w:val="center"/>
              <w:cnfStyle w:val="100000000000" w:firstRow="1" w:lastRow="0" w:firstColumn="0" w:lastColumn="0" w:oddVBand="0" w:evenVBand="0" w:oddHBand="0" w:evenHBand="0" w:firstRowFirstColumn="0" w:firstRowLastColumn="0" w:lastRowFirstColumn="0" w:lastRowLastColumn="0"/>
              <w:rPr>
                <w:b/>
                <w:sz w:val="20"/>
                <w:szCs w:val="20"/>
              </w:rPr>
            </w:pPr>
            <w:r w:rsidRPr="0092283F">
              <w:rPr>
                <w:b/>
                <w:sz w:val="20"/>
                <w:szCs w:val="20"/>
              </w:rPr>
              <w:t>2015–16</w:t>
            </w:r>
          </w:p>
        </w:tc>
        <w:tc>
          <w:tcPr>
            <w:tcW w:w="992" w:type="dxa"/>
          </w:tcPr>
          <w:p w14:paraId="36B1C617" w14:textId="77777777" w:rsidR="00321731" w:rsidRPr="0092283F" w:rsidRDefault="00321731" w:rsidP="00420659">
            <w:pPr>
              <w:pStyle w:val="TableHeader"/>
              <w:jc w:val="center"/>
              <w:cnfStyle w:val="100000000000" w:firstRow="1" w:lastRow="0" w:firstColumn="0" w:lastColumn="0" w:oddVBand="0" w:evenVBand="0" w:oddHBand="0" w:evenHBand="0" w:firstRowFirstColumn="0" w:firstRowLastColumn="0" w:lastRowFirstColumn="0" w:lastRowLastColumn="0"/>
              <w:rPr>
                <w:b/>
                <w:sz w:val="20"/>
                <w:szCs w:val="20"/>
              </w:rPr>
            </w:pPr>
            <w:r w:rsidRPr="0092283F">
              <w:rPr>
                <w:b/>
                <w:sz w:val="20"/>
                <w:szCs w:val="20"/>
              </w:rPr>
              <w:t>2016–17</w:t>
            </w:r>
          </w:p>
        </w:tc>
        <w:tc>
          <w:tcPr>
            <w:tcW w:w="992" w:type="dxa"/>
          </w:tcPr>
          <w:p w14:paraId="5D093CAA" w14:textId="77777777" w:rsidR="00321731" w:rsidRPr="0092283F" w:rsidRDefault="00321731" w:rsidP="00420659">
            <w:pPr>
              <w:pStyle w:val="TableHeader"/>
              <w:jc w:val="center"/>
              <w:cnfStyle w:val="100000000000" w:firstRow="1" w:lastRow="0" w:firstColumn="0" w:lastColumn="0" w:oddVBand="0" w:evenVBand="0" w:oddHBand="0" w:evenHBand="0" w:firstRowFirstColumn="0" w:firstRowLastColumn="0" w:lastRowFirstColumn="0" w:lastRowLastColumn="0"/>
              <w:rPr>
                <w:b/>
                <w:sz w:val="20"/>
                <w:szCs w:val="20"/>
              </w:rPr>
            </w:pPr>
            <w:r>
              <w:rPr>
                <w:b/>
                <w:sz w:val="20"/>
                <w:szCs w:val="20"/>
              </w:rPr>
              <w:t>2017–18</w:t>
            </w:r>
          </w:p>
        </w:tc>
      </w:tr>
      <w:tr w:rsidR="00321731" w:rsidRPr="0092283F" w14:paraId="2B12723B" w14:textId="77777777" w:rsidTr="005F548E">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6095" w:type="dxa"/>
          </w:tcPr>
          <w:p w14:paraId="274E2D33" w14:textId="77777777" w:rsidR="00321731" w:rsidRPr="00FF410A" w:rsidRDefault="00321731" w:rsidP="00420659">
            <w:pPr>
              <w:pStyle w:val="TableText"/>
              <w:rPr>
                <w:b w:val="0"/>
              </w:rPr>
            </w:pPr>
            <w:r w:rsidRPr="00FF410A">
              <w:rPr>
                <w:b w:val="0"/>
              </w:rPr>
              <w:t>Department of Economic Development, Jobs, Transport and Resources</w:t>
            </w:r>
          </w:p>
        </w:tc>
        <w:tc>
          <w:tcPr>
            <w:tcW w:w="992" w:type="dxa"/>
          </w:tcPr>
          <w:p w14:paraId="20F8188D" w14:textId="77777777" w:rsidR="00321731" w:rsidRPr="00FF410A" w:rsidRDefault="00321731" w:rsidP="0042065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FF410A">
              <w:rPr>
                <w:color w:val="000000"/>
                <w:sz w:val="20"/>
                <w:szCs w:val="20"/>
              </w:rPr>
              <w:t>30</w:t>
            </w:r>
          </w:p>
        </w:tc>
        <w:tc>
          <w:tcPr>
            <w:tcW w:w="992" w:type="dxa"/>
          </w:tcPr>
          <w:p w14:paraId="68D28E32" w14:textId="77777777" w:rsidR="00321731" w:rsidRPr="00FF410A" w:rsidRDefault="00321731" w:rsidP="00420659">
            <w:pPr>
              <w:jc w:val="right"/>
              <w:cnfStyle w:val="000000100000" w:firstRow="0" w:lastRow="0" w:firstColumn="0" w:lastColumn="0" w:oddVBand="0" w:evenVBand="0" w:oddHBand="1" w:evenHBand="0" w:firstRowFirstColumn="0" w:firstRowLastColumn="0" w:lastRowFirstColumn="0" w:lastRowLastColumn="0"/>
              <w:rPr>
                <w:rFonts w:cs="Calibri"/>
                <w:sz w:val="20"/>
                <w:szCs w:val="20"/>
              </w:rPr>
            </w:pPr>
            <w:r w:rsidRPr="00FF410A">
              <w:rPr>
                <w:rFonts w:cs="Calibri"/>
                <w:sz w:val="20"/>
                <w:szCs w:val="20"/>
              </w:rPr>
              <w:t>150</w:t>
            </w:r>
          </w:p>
        </w:tc>
        <w:tc>
          <w:tcPr>
            <w:tcW w:w="992" w:type="dxa"/>
          </w:tcPr>
          <w:p w14:paraId="70A5FE1C" w14:textId="1E833461" w:rsidR="00321731" w:rsidRPr="0092283F" w:rsidRDefault="00321731" w:rsidP="00420659">
            <w:pPr>
              <w:jc w:val="right"/>
              <w:cnfStyle w:val="000000100000" w:firstRow="0" w:lastRow="0" w:firstColumn="0" w:lastColumn="0" w:oddVBand="0" w:evenVBand="0" w:oddHBand="1" w:evenHBand="0" w:firstRowFirstColumn="0" w:firstRowLastColumn="0" w:lastRowFirstColumn="0" w:lastRowLastColumn="0"/>
              <w:rPr>
                <w:rFonts w:cs="Calibri"/>
                <w:sz w:val="20"/>
                <w:szCs w:val="20"/>
              </w:rPr>
            </w:pPr>
            <w:r w:rsidRPr="00FF410A">
              <w:rPr>
                <w:rFonts w:cs="Calibri"/>
                <w:color w:val="000000"/>
                <w:sz w:val="20"/>
                <w:szCs w:val="20"/>
              </w:rPr>
              <w:t>1</w:t>
            </w:r>
            <w:r w:rsidR="00924D6D" w:rsidRPr="00FF410A">
              <w:rPr>
                <w:rFonts w:cs="Calibri"/>
                <w:color w:val="000000"/>
                <w:sz w:val="20"/>
                <w:szCs w:val="20"/>
              </w:rPr>
              <w:t>40</w:t>
            </w:r>
          </w:p>
        </w:tc>
      </w:tr>
      <w:tr w:rsidR="00321731" w:rsidRPr="0092283F" w14:paraId="480F7FDD" w14:textId="77777777" w:rsidTr="005F548E">
        <w:trPr>
          <w:trHeight w:val="269"/>
        </w:trPr>
        <w:tc>
          <w:tcPr>
            <w:cnfStyle w:val="001000000000" w:firstRow="0" w:lastRow="0" w:firstColumn="1" w:lastColumn="0" w:oddVBand="0" w:evenVBand="0" w:oddHBand="0" w:evenHBand="0" w:firstRowFirstColumn="0" w:firstRowLastColumn="0" w:lastRowFirstColumn="0" w:lastRowLastColumn="0"/>
            <w:tcW w:w="6095" w:type="dxa"/>
          </w:tcPr>
          <w:p w14:paraId="7DB51739" w14:textId="77777777" w:rsidR="00321731" w:rsidRPr="005B2F15" w:rsidRDefault="00321731" w:rsidP="00420659">
            <w:pPr>
              <w:pStyle w:val="TableText"/>
              <w:rPr>
                <w:b w:val="0"/>
              </w:rPr>
            </w:pPr>
            <w:r w:rsidRPr="005B2F15">
              <w:rPr>
                <w:b w:val="0"/>
              </w:rPr>
              <w:t>Department of Education and Training</w:t>
            </w:r>
          </w:p>
        </w:tc>
        <w:tc>
          <w:tcPr>
            <w:tcW w:w="992" w:type="dxa"/>
          </w:tcPr>
          <w:p w14:paraId="32894EBD" w14:textId="77777777" w:rsidR="00321731" w:rsidRPr="0092283F" w:rsidRDefault="00321731" w:rsidP="00420659">
            <w:pPr>
              <w:jc w:val="right"/>
              <w:cnfStyle w:val="000000000000" w:firstRow="0" w:lastRow="0" w:firstColumn="0" w:lastColumn="0" w:oddVBand="0" w:evenVBand="0" w:oddHBand="0" w:evenHBand="0" w:firstRowFirstColumn="0" w:firstRowLastColumn="0" w:lastRowFirstColumn="0" w:lastRowLastColumn="0"/>
              <w:rPr>
                <w:color w:val="000000"/>
                <w:sz w:val="20"/>
                <w:szCs w:val="20"/>
              </w:rPr>
            </w:pPr>
            <w:r w:rsidRPr="0092283F">
              <w:rPr>
                <w:color w:val="000000"/>
                <w:sz w:val="20"/>
                <w:szCs w:val="20"/>
              </w:rPr>
              <w:t>7</w:t>
            </w:r>
          </w:p>
        </w:tc>
        <w:tc>
          <w:tcPr>
            <w:tcW w:w="992" w:type="dxa"/>
          </w:tcPr>
          <w:p w14:paraId="589E8904" w14:textId="77777777" w:rsidR="00321731" w:rsidRPr="0092283F" w:rsidRDefault="00321731" w:rsidP="00420659">
            <w:pPr>
              <w:jc w:val="right"/>
              <w:cnfStyle w:val="000000000000" w:firstRow="0" w:lastRow="0" w:firstColumn="0" w:lastColumn="0" w:oddVBand="0" w:evenVBand="0" w:oddHBand="0" w:evenHBand="0" w:firstRowFirstColumn="0" w:firstRowLastColumn="0" w:lastRowFirstColumn="0" w:lastRowLastColumn="0"/>
              <w:rPr>
                <w:color w:val="000000"/>
                <w:sz w:val="20"/>
                <w:szCs w:val="20"/>
              </w:rPr>
            </w:pPr>
            <w:r w:rsidRPr="0092283F">
              <w:rPr>
                <w:rFonts w:cs="Calibri"/>
                <w:sz w:val="20"/>
                <w:szCs w:val="20"/>
              </w:rPr>
              <w:t>50</w:t>
            </w:r>
          </w:p>
        </w:tc>
        <w:tc>
          <w:tcPr>
            <w:tcW w:w="992" w:type="dxa"/>
          </w:tcPr>
          <w:p w14:paraId="54FB4EEB" w14:textId="51BDAE99" w:rsidR="00321731" w:rsidRPr="0092283F" w:rsidRDefault="00321731" w:rsidP="00420659">
            <w:pPr>
              <w:jc w:val="right"/>
              <w:cnfStyle w:val="000000000000" w:firstRow="0" w:lastRow="0" w:firstColumn="0" w:lastColumn="0" w:oddVBand="0" w:evenVBand="0" w:oddHBand="0" w:evenHBand="0" w:firstRowFirstColumn="0" w:firstRowLastColumn="0" w:lastRowFirstColumn="0" w:lastRowLastColumn="0"/>
              <w:rPr>
                <w:rFonts w:cs="Calibri"/>
                <w:sz w:val="20"/>
                <w:szCs w:val="20"/>
              </w:rPr>
            </w:pPr>
            <w:r>
              <w:rPr>
                <w:rFonts w:cs="Calibri"/>
                <w:sz w:val="20"/>
                <w:szCs w:val="20"/>
              </w:rPr>
              <w:t>108</w:t>
            </w:r>
          </w:p>
        </w:tc>
      </w:tr>
      <w:tr w:rsidR="00321731" w:rsidRPr="0092283F" w14:paraId="0DE8EF57" w14:textId="77777777" w:rsidTr="005F548E">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6095" w:type="dxa"/>
          </w:tcPr>
          <w:p w14:paraId="15A909BE" w14:textId="77777777" w:rsidR="00321731" w:rsidRPr="005B2F15" w:rsidRDefault="00321731" w:rsidP="00420659">
            <w:pPr>
              <w:pStyle w:val="TableText"/>
              <w:rPr>
                <w:b w:val="0"/>
              </w:rPr>
            </w:pPr>
            <w:r w:rsidRPr="005B2F15">
              <w:rPr>
                <w:b w:val="0"/>
              </w:rPr>
              <w:t>Department of Environment, Land, Water and Planning</w:t>
            </w:r>
          </w:p>
        </w:tc>
        <w:tc>
          <w:tcPr>
            <w:tcW w:w="992" w:type="dxa"/>
          </w:tcPr>
          <w:p w14:paraId="1DB1825E" w14:textId="77777777" w:rsidR="00321731" w:rsidRPr="0092283F" w:rsidRDefault="00321731" w:rsidP="0042065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92283F">
              <w:rPr>
                <w:color w:val="000000"/>
                <w:sz w:val="20"/>
                <w:szCs w:val="20"/>
              </w:rPr>
              <w:t>75</w:t>
            </w:r>
          </w:p>
        </w:tc>
        <w:tc>
          <w:tcPr>
            <w:tcW w:w="992" w:type="dxa"/>
          </w:tcPr>
          <w:p w14:paraId="3DE3142F" w14:textId="77777777" w:rsidR="00321731" w:rsidRPr="0092283F" w:rsidRDefault="00321731" w:rsidP="0042065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92283F">
              <w:rPr>
                <w:rFonts w:cs="Calibri"/>
                <w:sz w:val="20"/>
                <w:szCs w:val="20"/>
              </w:rPr>
              <w:t>81</w:t>
            </w:r>
          </w:p>
        </w:tc>
        <w:tc>
          <w:tcPr>
            <w:tcW w:w="992" w:type="dxa"/>
          </w:tcPr>
          <w:p w14:paraId="4B8A2637" w14:textId="77777777" w:rsidR="00321731" w:rsidRPr="0092283F" w:rsidRDefault="00321731" w:rsidP="00420659">
            <w:pPr>
              <w:jc w:val="right"/>
              <w:cnfStyle w:val="000000100000" w:firstRow="0" w:lastRow="0" w:firstColumn="0" w:lastColumn="0" w:oddVBand="0" w:evenVBand="0" w:oddHBand="1" w:evenHBand="0" w:firstRowFirstColumn="0" w:firstRowLastColumn="0" w:lastRowFirstColumn="0" w:lastRowLastColumn="0"/>
              <w:rPr>
                <w:rFonts w:cs="Calibri"/>
                <w:sz w:val="20"/>
                <w:szCs w:val="20"/>
              </w:rPr>
            </w:pPr>
            <w:r>
              <w:rPr>
                <w:rFonts w:cs="Calibri"/>
                <w:color w:val="000000"/>
                <w:sz w:val="20"/>
                <w:szCs w:val="20"/>
              </w:rPr>
              <w:t>92</w:t>
            </w:r>
          </w:p>
        </w:tc>
      </w:tr>
      <w:tr w:rsidR="00321731" w:rsidRPr="0092283F" w14:paraId="7DFAB721" w14:textId="77777777" w:rsidTr="005F548E">
        <w:trPr>
          <w:trHeight w:val="255"/>
        </w:trPr>
        <w:tc>
          <w:tcPr>
            <w:cnfStyle w:val="001000000000" w:firstRow="0" w:lastRow="0" w:firstColumn="1" w:lastColumn="0" w:oddVBand="0" w:evenVBand="0" w:oddHBand="0" w:evenHBand="0" w:firstRowFirstColumn="0" w:firstRowLastColumn="0" w:lastRowFirstColumn="0" w:lastRowLastColumn="0"/>
            <w:tcW w:w="6095" w:type="dxa"/>
          </w:tcPr>
          <w:p w14:paraId="3C328A89" w14:textId="77777777" w:rsidR="00321731" w:rsidRPr="005B2F15" w:rsidRDefault="00321731" w:rsidP="00420659">
            <w:pPr>
              <w:pStyle w:val="TableText"/>
              <w:rPr>
                <w:b w:val="0"/>
              </w:rPr>
            </w:pPr>
            <w:r w:rsidRPr="005B2F15">
              <w:rPr>
                <w:b w:val="0"/>
              </w:rPr>
              <w:t>Department of Health and Human Services</w:t>
            </w:r>
          </w:p>
        </w:tc>
        <w:tc>
          <w:tcPr>
            <w:tcW w:w="992" w:type="dxa"/>
          </w:tcPr>
          <w:p w14:paraId="76379273" w14:textId="77777777" w:rsidR="00321731" w:rsidRPr="0092283F" w:rsidRDefault="00321731" w:rsidP="00420659">
            <w:pPr>
              <w:jc w:val="right"/>
              <w:cnfStyle w:val="000000000000" w:firstRow="0" w:lastRow="0" w:firstColumn="0" w:lastColumn="0" w:oddVBand="0" w:evenVBand="0" w:oddHBand="0" w:evenHBand="0" w:firstRowFirstColumn="0" w:firstRowLastColumn="0" w:lastRowFirstColumn="0" w:lastRowLastColumn="0"/>
              <w:rPr>
                <w:color w:val="000000"/>
                <w:sz w:val="20"/>
                <w:szCs w:val="20"/>
              </w:rPr>
            </w:pPr>
            <w:r w:rsidRPr="0092283F">
              <w:rPr>
                <w:color w:val="000000"/>
                <w:sz w:val="20"/>
                <w:szCs w:val="20"/>
              </w:rPr>
              <w:t>3</w:t>
            </w:r>
          </w:p>
        </w:tc>
        <w:tc>
          <w:tcPr>
            <w:tcW w:w="992" w:type="dxa"/>
          </w:tcPr>
          <w:p w14:paraId="4CFA4514" w14:textId="77777777" w:rsidR="00321731" w:rsidRPr="0092283F" w:rsidRDefault="00321731" w:rsidP="00420659">
            <w:pPr>
              <w:jc w:val="right"/>
              <w:cnfStyle w:val="000000000000" w:firstRow="0" w:lastRow="0" w:firstColumn="0" w:lastColumn="0" w:oddVBand="0" w:evenVBand="0" w:oddHBand="0" w:evenHBand="0" w:firstRowFirstColumn="0" w:firstRowLastColumn="0" w:lastRowFirstColumn="0" w:lastRowLastColumn="0"/>
              <w:rPr>
                <w:color w:val="000000"/>
                <w:sz w:val="20"/>
                <w:szCs w:val="20"/>
              </w:rPr>
            </w:pPr>
            <w:r w:rsidRPr="0092283F">
              <w:rPr>
                <w:rFonts w:cs="Calibri"/>
                <w:sz w:val="20"/>
                <w:szCs w:val="20"/>
              </w:rPr>
              <w:t>4</w:t>
            </w:r>
          </w:p>
        </w:tc>
        <w:tc>
          <w:tcPr>
            <w:tcW w:w="992" w:type="dxa"/>
          </w:tcPr>
          <w:p w14:paraId="3839017C" w14:textId="77777777" w:rsidR="00321731" w:rsidRPr="0092283F" w:rsidRDefault="00321731" w:rsidP="00420659">
            <w:pPr>
              <w:jc w:val="right"/>
              <w:cnfStyle w:val="000000000000" w:firstRow="0" w:lastRow="0" w:firstColumn="0" w:lastColumn="0" w:oddVBand="0" w:evenVBand="0" w:oddHBand="0" w:evenHBand="0" w:firstRowFirstColumn="0" w:firstRowLastColumn="0" w:lastRowFirstColumn="0" w:lastRowLastColumn="0"/>
              <w:rPr>
                <w:rFonts w:cs="Calibri"/>
                <w:sz w:val="20"/>
                <w:szCs w:val="20"/>
              </w:rPr>
            </w:pPr>
            <w:r>
              <w:rPr>
                <w:rFonts w:cs="Calibri"/>
                <w:color w:val="000000"/>
                <w:sz w:val="20"/>
                <w:szCs w:val="20"/>
              </w:rPr>
              <w:t>6</w:t>
            </w:r>
          </w:p>
        </w:tc>
      </w:tr>
      <w:tr w:rsidR="00321731" w:rsidRPr="0092283F" w14:paraId="69154DFF" w14:textId="77777777" w:rsidTr="005F548E">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6095" w:type="dxa"/>
          </w:tcPr>
          <w:p w14:paraId="165058F6" w14:textId="77777777" w:rsidR="00321731" w:rsidRPr="005B2F15" w:rsidRDefault="00321731" w:rsidP="00420659">
            <w:pPr>
              <w:pStyle w:val="TableText"/>
              <w:rPr>
                <w:b w:val="0"/>
              </w:rPr>
            </w:pPr>
            <w:r w:rsidRPr="005B2F15">
              <w:rPr>
                <w:b w:val="0"/>
              </w:rPr>
              <w:t>Department of Justice and Regulation</w:t>
            </w:r>
          </w:p>
        </w:tc>
        <w:tc>
          <w:tcPr>
            <w:tcW w:w="992" w:type="dxa"/>
          </w:tcPr>
          <w:p w14:paraId="59E5A6BD" w14:textId="77777777" w:rsidR="00321731" w:rsidRPr="0092283F" w:rsidRDefault="00321731" w:rsidP="0042065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92283F">
              <w:rPr>
                <w:color w:val="000000"/>
                <w:sz w:val="20"/>
                <w:szCs w:val="20"/>
              </w:rPr>
              <w:t>18</w:t>
            </w:r>
          </w:p>
        </w:tc>
        <w:tc>
          <w:tcPr>
            <w:tcW w:w="992" w:type="dxa"/>
          </w:tcPr>
          <w:p w14:paraId="5A3A78B3" w14:textId="77777777" w:rsidR="00321731" w:rsidRPr="0092283F" w:rsidRDefault="00321731" w:rsidP="0042065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92283F">
              <w:rPr>
                <w:rFonts w:cs="Calibri"/>
                <w:sz w:val="20"/>
                <w:szCs w:val="20"/>
              </w:rPr>
              <w:t>26</w:t>
            </w:r>
          </w:p>
        </w:tc>
        <w:tc>
          <w:tcPr>
            <w:tcW w:w="992" w:type="dxa"/>
          </w:tcPr>
          <w:p w14:paraId="10355547" w14:textId="77777777" w:rsidR="00321731" w:rsidRPr="0092283F" w:rsidRDefault="00321731" w:rsidP="00420659">
            <w:pPr>
              <w:jc w:val="right"/>
              <w:cnfStyle w:val="000000100000" w:firstRow="0" w:lastRow="0" w:firstColumn="0" w:lastColumn="0" w:oddVBand="0" w:evenVBand="0" w:oddHBand="1" w:evenHBand="0" w:firstRowFirstColumn="0" w:firstRowLastColumn="0" w:lastRowFirstColumn="0" w:lastRowLastColumn="0"/>
              <w:rPr>
                <w:rFonts w:cs="Calibri"/>
                <w:sz w:val="20"/>
                <w:szCs w:val="20"/>
              </w:rPr>
            </w:pPr>
            <w:r>
              <w:rPr>
                <w:rFonts w:cs="Calibri"/>
                <w:color w:val="000000"/>
                <w:sz w:val="20"/>
                <w:szCs w:val="20"/>
              </w:rPr>
              <w:t>41</w:t>
            </w:r>
          </w:p>
        </w:tc>
      </w:tr>
      <w:tr w:rsidR="00321731" w:rsidRPr="0092283F" w14:paraId="554493FA" w14:textId="77777777" w:rsidTr="005F548E">
        <w:trPr>
          <w:trHeight w:val="240"/>
        </w:trPr>
        <w:tc>
          <w:tcPr>
            <w:cnfStyle w:val="001000000000" w:firstRow="0" w:lastRow="0" w:firstColumn="1" w:lastColumn="0" w:oddVBand="0" w:evenVBand="0" w:oddHBand="0" w:evenHBand="0" w:firstRowFirstColumn="0" w:firstRowLastColumn="0" w:lastRowFirstColumn="0" w:lastRowLastColumn="0"/>
            <w:tcW w:w="6095" w:type="dxa"/>
          </w:tcPr>
          <w:p w14:paraId="715E1B3B" w14:textId="77777777" w:rsidR="00321731" w:rsidRPr="005B2F15" w:rsidRDefault="00321731" w:rsidP="00420659">
            <w:pPr>
              <w:pStyle w:val="TableText"/>
              <w:rPr>
                <w:b w:val="0"/>
              </w:rPr>
            </w:pPr>
            <w:r w:rsidRPr="005B2F15">
              <w:rPr>
                <w:b w:val="0"/>
              </w:rPr>
              <w:t>Department of Premier and Cabinet</w:t>
            </w:r>
          </w:p>
        </w:tc>
        <w:tc>
          <w:tcPr>
            <w:tcW w:w="992" w:type="dxa"/>
          </w:tcPr>
          <w:p w14:paraId="50DF17D3" w14:textId="576BAFF8" w:rsidR="00321731" w:rsidRPr="0092283F" w:rsidRDefault="00970A74" w:rsidP="00420659">
            <w:pPr>
              <w:jc w:val="right"/>
              <w:cnfStyle w:val="000000000000" w:firstRow="0" w:lastRow="0" w:firstColumn="0" w:lastColumn="0" w:oddVBand="0" w:evenVBand="0" w:oddHBand="0" w:evenHBand="0" w:firstRowFirstColumn="0" w:firstRowLastColumn="0" w:lastRowFirstColumn="0" w:lastRowLastColumn="0"/>
              <w:rPr>
                <w:color w:val="000000"/>
                <w:sz w:val="20"/>
                <w:szCs w:val="20"/>
              </w:rPr>
            </w:pPr>
            <w:r>
              <w:rPr>
                <w:color w:val="000000"/>
                <w:sz w:val="20"/>
                <w:szCs w:val="20"/>
              </w:rPr>
              <w:t>27</w:t>
            </w:r>
          </w:p>
        </w:tc>
        <w:tc>
          <w:tcPr>
            <w:tcW w:w="992" w:type="dxa"/>
          </w:tcPr>
          <w:p w14:paraId="19A1DAE9" w14:textId="594AB0B5" w:rsidR="00321731" w:rsidRPr="0092283F" w:rsidRDefault="00970A74" w:rsidP="00420659">
            <w:pPr>
              <w:jc w:val="right"/>
              <w:cnfStyle w:val="000000000000" w:firstRow="0" w:lastRow="0" w:firstColumn="0" w:lastColumn="0" w:oddVBand="0" w:evenVBand="0" w:oddHBand="0" w:evenHBand="0" w:firstRowFirstColumn="0" w:firstRowLastColumn="0" w:lastRowFirstColumn="0" w:lastRowLastColumn="0"/>
              <w:rPr>
                <w:rFonts w:cs="Calibri"/>
                <w:sz w:val="20"/>
                <w:szCs w:val="20"/>
              </w:rPr>
            </w:pPr>
            <w:r>
              <w:rPr>
                <w:rFonts w:cs="Calibri"/>
                <w:sz w:val="20"/>
                <w:szCs w:val="20"/>
              </w:rPr>
              <w:t>80</w:t>
            </w:r>
          </w:p>
        </w:tc>
        <w:tc>
          <w:tcPr>
            <w:tcW w:w="992" w:type="dxa"/>
          </w:tcPr>
          <w:p w14:paraId="7157EDA4" w14:textId="77777777" w:rsidR="00321731" w:rsidRPr="0092283F" w:rsidRDefault="00321731" w:rsidP="00420659">
            <w:pPr>
              <w:jc w:val="right"/>
              <w:cnfStyle w:val="000000000000" w:firstRow="0" w:lastRow="0" w:firstColumn="0" w:lastColumn="0" w:oddVBand="0" w:evenVBand="0" w:oddHBand="0" w:evenHBand="0" w:firstRowFirstColumn="0" w:firstRowLastColumn="0" w:lastRowFirstColumn="0" w:lastRowLastColumn="0"/>
              <w:rPr>
                <w:rFonts w:cs="Calibri"/>
                <w:sz w:val="20"/>
                <w:szCs w:val="20"/>
              </w:rPr>
            </w:pPr>
            <w:r>
              <w:rPr>
                <w:rFonts w:cs="Calibri"/>
                <w:color w:val="000000"/>
                <w:sz w:val="20"/>
                <w:szCs w:val="20"/>
              </w:rPr>
              <w:t>92</w:t>
            </w:r>
          </w:p>
        </w:tc>
      </w:tr>
      <w:tr w:rsidR="00321731" w:rsidRPr="0092283F" w14:paraId="4BFDF4A7" w14:textId="77777777" w:rsidTr="005F548E">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6095" w:type="dxa"/>
          </w:tcPr>
          <w:p w14:paraId="42EDD123" w14:textId="77777777" w:rsidR="00321731" w:rsidRPr="005B2F15" w:rsidRDefault="00321731" w:rsidP="00420659">
            <w:pPr>
              <w:pStyle w:val="TableText"/>
              <w:rPr>
                <w:b w:val="0"/>
              </w:rPr>
            </w:pPr>
            <w:r w:rsidRPr="005B2F15">
              <w:rPr>
                <w:b w:val="0"/>
              </w:rPr>
              <w:t>Department of Treasury and Finance</w:t>
            </w:r>
          </w:p>
        </w:tc>
        <w:tc>
          <w:tcPr>
            <w:tcW w:w="992" w:type="dxa"/>
          </w:tcPr>
          <w:p w14:paraId="2CAD2864" w14:textId="2169F403" w:rsidR="00321731" w:rsidRPr="0092283F" w:rsidRDefault="00321731" w:rsidP="0042065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92283F">
              <w:rPr>
                <w:color w:val="000000"/>
                <w:sz w:val="20"/>
                <w:szCs w:val="20"/>
              </w:rPr>
              <w:t>2</w:t>
            </w:r>
            <w:r w:rsidR="00970A74">
              <w:rPr>
                <w:color w:val="000000"/>
                <w:sz w:val="20"/>
                <w:szCs w:val="20"/>
              </w:rPr>
              <w:t>5</w:t>
            </w:r>
          </w:p>
        </w:tc>
        <w:tc>
          <w:tcPr>
            <w:tcW w:w="992" w:type="dxa"/>
          </w:tcPr>
          <w:p w14:paraId="09F35ED8" w14:textId="78C2CBE9" w:rsidR="00321731" w:rsidRPr="0092283F" w:rsidRDefault="00970A74" w:rsidP="0042065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Pr>
                <w:rFonts w:cs="Calibri"/>
                <w:sz w:val="20"/>
                <w:szCs w:val="20"/>
              </w:rPr>
              <w:t>28</w:t>
            </w:r>
          </w:p>
        </w:tc>
        <w:tc>
          <w:tcPr>
            <w:tcW w:w="992" w:type="dxa"/>
          </w:tcPr>
          <w:p w14:paraId="588A4821" w14:textId="77777777" w:rsidR="00321731" w:rsidRPr="0092283F" w:rsidRDefault="00321731" w:rsidP="00420659">
            <w:pPr>
              <w:jc w:val="right"/>
              <w:cnfStyle w:val="000000100000" w:firstRow="0" w:lastRow="0" w:firstColumn="0" w:lastColumn="0" w:oddVBand="0" w:evenVBand="0" w:oddHBand="1" w:evenHBand="0" w:firstRowFirstColumn="0" w:firstRowLastColumn="0" w:lastRowFirstColumn="0" w:lastRowLastColumn="0"/>
              <w:rPr>
                <w:rFonts w:cs="Calibri"/>
                <w:sz w:val="20"/>
                <w:szCs w:val="20"/>
              </w:rPr>
            </w:pPr>
            <w:r>
              <w:rPr>
                <w:rFonts w:cs="Calibri"/>
                <w:color w:val="000000"/>
                <w:sz w:val="20"/>
                <w:szCs w:val="20"/>
              </w:rPr>
              <w:t>32</w:t>
            </w:r>
          </w:p>
        </w:tc>
      </w:tr>
      <w:tr w:rsidR="00DA5821" w:rsidRPr="0092283F" w14:paraId="6B1DCBB1" w14:textId="77777777" w:rsidTr="00DB6154">
        <w:trPr>
          <w:trHeight w:val="260"/>
        </w:trPr>
        <w:tc>
          <w:tcPr>
            <w:cnfStyle w:val="001000000000" w:firstRow="0" w:lastRow="0" w:firstColumn="1" w:lastColumn="0" w:oddVBand="0" w:evenVBand="0" w:oddHBand="0" w:evenHBand="0" w:firstRowFirstColumn="0" w:firstRowLastColumn="0" w:lastRowFirstColumn="0" w:lastRowLastColumn="0"/>
            <w:tcW w:w="6095" w:type="dxa"/>
          </w:tcPr>
          <w:p w14:paraId="5D950990" w14:textId="06EAEF4F" w:rsidR="00DA5821" w:rsidRPr="005B2F15" w:rsidRDefault="00820DB7" w:rsidP="00DB6154">
            <w:pPr>
              <w:pStyle w:val="TableText"/>
              <w:rPr>
                <w:b w:val="0"/>
              </w:rPr>
            </w:pPr>
            <w:r>
              <w:rPr>
                <w:b w:val="0"/>
              </w:rPr>
              <w:t>CenITex</w:t>
            </w:r>
          </w:p>
        </w:tc>
        <w:tc>
          <w:tcPr>
            <w:tcW w:w="992" w:type="dxa"/>
          </w:tcPr>
          <w:p w14:paraId="399CBC25" w14:textId="77777777" w:rsidR="00DA5821" w:rsidRPr="0092283F" w:rsidRDefault="00DA5821" w:rsidP="00DB6154">
            <w:pPr>
              <w:jc w:val="right"/>
              <w:cnfStyle w:val="000000000000" w:firstRow="0" w:lastRow="0" w:firstColumn="0" w:lastColumn="0" w:oddVBand="0" w:evenVBand="0" w:oddHBand="0" w:evenHBand="0" w:firstRowFirstColumn="0" w:firstRowLastColumn="0" w:lastRowFirstColumn="0" w:lastRowLastColumn="0"/>
              <w:rPr>
                <w:color w:val="000000"/>
                <w:sz w:val="20"/>
                <w:szCs w:val="20"/>
              </w:rPr>
            </w:pPr>
            <w:r>
              <w:rPr>
                <w:color w:val="000000"/>
                <w:sz w:val="20"/>
                <w:szCs w:val="20"/>
              </w:rPr>
              <w:t>n/a</w:t>
            </w:r>
          </w:p>
        </w:tc>
        <w:tc>
          <w:tcPr>
            <w:tcW w:w="992" w:type="dxa"/>
          </w:tcPr>
          <w:p w14:paraId="4CEAA152" w14:textId="77777777" w:rsidR="00DA5821" w:rsidRPr="0092283F" w:rsidRDefault="00DA5821" w:rsidP="00DB6154">
            <w:pPr>
              <w:jc w:val="right"/>
              <w:cnfStyle w:val="000000000000" w:firstRow="0" w:lastRow="0" w:firstColumn="0" w:lastColumn="0" w:oddVBand="0" w:evenVBand="0" w:oddHBand="0" w:evenHBand="0" w:firstRowFirstColumn="0" w:firstRowLastColumn="0" w:lastRowFirstColumn="0" w:lastRowLastColumn="0"/>
              <w:rPr>
                <w:color w:val="000000"/>
                <w:sz w:val="20"/>
                <w:szCs w:val="20"/>
              </w:rPr>
            </w:pPr>
            <w:r>
              <w:rPr>
                <w:color w:val="000000"/>
                <w:sz w:val="20"/>
                <w:szCs w:val="20"/>
              </w:rPr>
              <w:t>n/a</w:t>
            </w:r>
          </w:p>
        </w:tc>
        <w:tc>
          <w:tcPr>
            <w:tcW w:w="992" w:type="dxa"/>
          </w:tcPr>
          <w:p w14:paraId="603BA45F" w14:textId="77777777" w:rsidR="00DA5821" w:rsidRPr="0092283F" w:rsidRDefault="00DA5821" w:rsidP="00DB6154">
            <w:pPr>
              <w:jc w:val="right"/>
              <w:cnfStyle w:val="000000000000" w:firstRow="0" w:lastRow="0" w:firstColumn="0" w:lastColumn="0" w:oddVBand="0" w:evenVBand="0" w:oddHBand="0" w:evenHBand="0" w:firstRowFirstColumn="0" w:firstRowLastColumn="0" w:lastRowFirstColumn="0" w:lastRowLastColumn="0"/>
              <w:rPr>
                <w:rFonts w:cs="Calibri"/>
                <w:sz w:val="20"/>
                <w:szCs w:val="20"/>
              </w:rPr>
            </w:pPr>
            <w:r>
              <w:rPr>
                <w:rFonts w:cs="Calibri"/>
                <w:color w:val="000000"/>
                <w:sz w:val="20"/>
                <w:szCs w:val="20"/>
              </w:rPr>
              <w:t>13</w:t>
            </w:r>
          </w:p>
        </w:tc>
      </w:tr>
      <w:tr w:rsidR="00321731" w:rsidRPr="0092283F" w14:paraId="728C7921" w14:textId="77777777" w:rsidTr="005F548E">
        <w:trPr>
          <w:cnfStyle w:val="000000100000" w:firstRow="0" w:lastRow="0" w:firstColumn="0" w:lastColumn="0" w:oddVBand="0" w:evenVBand="0" w:oddHBand="1" w:evenHBand="0" w:firstRowFirstColumn="0" w:firstRowLastColumn="0" w:lastRowFirstColumn="0" w:lastRowLastColumn="0"/>
          <w:trHeight w:val="335"/>
        </w:trPr>
        <w:tc>
          <w:tcPr>
            <w:cnfStyle w:val="001000000000" w:firstRow="0" w:lastRow="0" w:firstColumn="1" w:lastColumn="0" w:oddVBand="0" w:evenVBand="0" w:oddHBand="0" w:evenHBand="0" w:firstRowFirstColumn="0" w:firstRowLastColumn="0" w:lastRowFirstColumn="0" w:lastRowLastColumn="0"/>
            <w:tcW w:w="6095" w:type="dxa"/>
          </w:tcPr>
          <w:p w14:paraId="0BB007F4" w14:textId="77777777" w:rsidR="00321731" w:rsidRPr="005B2F15" w:rsidRDefault="00321731" w:rsidP="00420659">
            <w:pPr>
              <w:pStyle w:val="TableText"/>
              <w:rPr>
                <w:b w:val="0"/>
              </w:rPr>
            </w:pPr>
            <w:r w:rsidRPr="005B2F15">
              <w:rPr>
                <w:b w:val="0"/>
              </w:rPr>
              <w:t>Public Transport Victoria</w:t>
            </w:r>
          </w:p>
        </w:tc>
        <w:tc>
          <w:tcPr>
            <w:tcW w:w="992" w:type="dxa"/>
          </w:tcPr>
          <w:p w14:paraId="29720C6C" w14:textId="2E7517C1" w:rsidR="00321731" w:rsidRPr="0092283F" w:rsidRDefault="00970A74" w:rsidP="0042065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Pr>
                <w:color w:val="000000"/>
                <w:sz w:val="20"/>
                <w:szCs w:val="20"/>
              </w:rPr>
              <w:t>n/a</w:t>
            </w:r>
          </w:p>
        </w:tc>
        <w:tc>
          <w:tcPr>
            <w:tcW w:w="992" w:type="dxa"/>
          </w:tcPr>
          <w:p w14:paraId="17535BEF" w14:textId="5D1D1C15" w:rsidR="00321731" w:rsidRPr="0092283F" w:rsidRDefault="00970A74" w:rsidP="0042065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Pr>
                <w:rFonts w:cs="Calibri"/>
                <w:sz w:val="20"/>
                <w:szCs w:val="20"/>
              </w:rPr>
              <w:t>3</w:t>
            </w:r>
          </w:p>
        </w:tc>
        <w:tc>
          <w:tcPr>
            <w:tcW w:w="992" w:type="dxa"/>
          </w:tcPr>
          <w:p w14:paraId="73FAAB59" w14:textId="77777777" w:rsidR="00321731" w:rsidRPr="0092283F" w:rsidRDefault="00321731" w:rsidP="00420659">
            <w:pPr>
              <w:jc w:val="right"/>
              <w:cnfStyle w:val="000000100000" w:firstRow="0" w:lastRow="0" w:firstColumn="0" w:lastColumn="0" w:oddVBand="0" w:evenVBand="0" w:oddHBand="1" w:evenHBand="0" w:firstRowFirstColumn="0" w:firstRowLastColumn="0" w:lastRowFirstColumn="0" w:lastRowLastColumn="0"/>
              <w:rPr>
                <w:rFonts w:cs="Calibri"/>
                <w:sz w:val="20"/>
                <w:szCs w:val="20"/>
              </w:rPr>
            </w:pPr>
            <w:r>
              <w:rPr>
                <w:rFonts w:cs="Calibri"/>
                <w:color w:val="000000"/>
                <w:sz w:val="20"/>
                <w:szCs w:val="20"/>
              </w:rPr>
              <w:t>2</w:t>
            </w:r>
          </w:p>
        </w:tc>
      </w:tr>
      <w:tr w:rsidR="00321731" w:rsidRPr="0092283F" w14:paraId="1A21F451" w14:textId="77777777" w:rsidTr="005F548E">
        <w:trPr>
          <w:trHeight w:val="255"/>
        </w:trPr>
        <w:tc>
          <w:tcPr>
            <w:cnfStyle w:val="001000000000" w:firstRow="0" w:lastRow="0" w:firstColumn="1" w:lastColumn="0" w:oddVBand="0" w:evenVBand="0" w:oddHBand="0" w:evenHBand="0" w:firstRowFirstColumn="0" w:firstRowLastColumn="0" w:lastRowFirstColumn="0" w:lastRowLastColumn="0"/>
            <w:tcW w:w="6095" w:type="dxa"/>
          </w:tcPr>
          <w:p w14:paraId="120FD450" w14:textId="77777777" w:rsidR="00321731" w:rsidRPr="005B2F15" w:rsidRDefault="00321731" w:rsidP="00420659">
            <w:pPr>
              <w:pStyle w:val="TableText"/>
              <w:rPr>
                <w:b w:val="0"/>
              </w:rPr>
            </w:pPr>
            <w:r w:rsidRPr="005B2F15">
              <w:rPr>
                <w:b w:val="0"/>
              </w:rPr>
              <w:t>VicRoads</w:t>
            </w:r>
          </w:p>
        </w:tc>
        <w:tc>
          <w:tcPr>
            <w:tcW w:w="992" w:type="dxa"/>
          </w:tcPr>
          <w:p w14:paraId="2741E2C6" w14:textId="77777777" w:rsidR="00321731" w:rsidRPr="0092283F" w:rsidRDefault="00321731" w:rsidP="00420659">
            <w:pPr>
              <w:jc w:val="right"/>
              <w:cnfStyle w:val="000000000000" w:firstRow="0" w:lastRow="0" w:firstColumn="0" w:lastColumn="0" w:oddVBand="0" w:evenVBand="0" w:oddHBand="0" w:evenHBand="0" w:firstRowFirstColumn="0" w:firstRowLastColumn="0" w:lastRowFirstColumn="0" w:lastRowLastColumn="0"/>
              <w:rPr>
                <w:color w:val="000000"/>
                <w:sz w:val="20"/>
                <w:szCs w:val="20"/>
              </w:rPr>
            </w:pPr>
            <w:r w:rsidRPr="0092283F">
              <w:rPr>
                <w:color w:val="000000"/>
                <w:sz w:val="20"/>
                <w:szCs w:val="20"/>
              </w:rPr>
              <w:t>20</w:t>
            </w:r>
          </w:p>
        </w:tc>
        <w:tc>
          <w:tcPr>
            <w:tcW w:w="992" w:type="dxa"/>
          </w:tcPr>
          <w:p w14:paraId="25A57E5A" w14:textId="77777777" w:rsidR="00321731" w:rsidRPr="0092283F" w:rsidRDefault="00321731" w:rsidP="00420659">
            <w:pPr>
              <w:jc w:val="right"/>
              <w:cnfStyle w:val="000000000000" w:firstRow="0" w:lastRow="0" w:firstColumn="0" w:lastColumn="0" w:oddVBand="0" w:evenVBand="0" w:oddHBand="0" w:evenHBand="0" w:firstRowFirstColumn="0" w:firstRowLastColumn="0" w:lastRowFirstColumn="0" w:lastRowLastColumn="0"/>
              <w:rPr>
                <w:color w:val="000000"/>
                <w:sz w:val="20"/>
                <w:szCs w:val="20"/>
              </w:rPr>
            </w:pPr>
            <w:r w:rsidRPr="0092283F">
              <w:rPr>
                <w:rFonts w:cs="Calibri"/>
                <w:sz w:val="20"/>
                <w:szCs w:val="20"/>
              </w:rPr>
              <w:t>12</w:t>
            </w:r>
          </w:p>
        </w:tc>
        <w:tc>
          <w:tcPr>
            <w:tcW w:w="992" w:type="dxa"/>
          </w:tcPr>
          <w:p w14:paraId="58ED13EB" w14:textId="77777777" w:rsidR="00321731" w:rsidRPr="0092283F" w:rsidRDefault="00321731" w:rsidP="00420659">
            <w:pPr>
              <w:jc w:val="right"/>
              <w:cnfStyle w:val="000000000000" w:firstRow="0" w:lastRow="0" w:firstColumn="0" w:lastColumn="0" w:oddVBand="0" w:evenVBand="0" w:oddHBand="0" w:evenHBand="0" w:firstRowFirstColumn="0" w:firstRowLastColumn="0" w:lastRowFirstColumn="0" w:lastRowLastColumn="0"/>
              <w:rPr>
                <w:rFonts w:cs="Calibri"/>
                <w:sz w:val="20"/>
                <w:szCs w:val="20"/>
              </w:rPr>
            </w:pPr>
            <w:r>
              <w:rPr>
                <w:rFonts w:cs="Calibri"/>
                <w:color w:val="000000"/>
                <w:sz w:val="20"/>
                <w:szCs w:val="20"/>
              </w:rPr>
              <w:t>28</w:t>
            </w:r>
          </w:p>
        </w:tc>
      </w:tr>
      <w:tr w:rsidR="00321731" w:rsidRPr="00CD6245" w14:paraId="4EA71DA3" w14:textId="77777777" w:rsidTr="005F548E">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6095" w:type="dxa"/>
          </w:tcPr>
          <w:p w14:paraId="23A68804" w14:textId="77777777" w:rsidR="00321731" w:rsidRPr="005B2F15" w:rsidRDefault="00321731" w:rsidP="00420659">
            <w:pPr>
              <w:pStyle w:val="TableText"/>
              <w:rPr>
                <w:b w:val="0"/>
              </w:rPr>
            </w:pPr>
            <w:r w:rsidRPr="005B2F15">
              <w:rPr>
                <w:b w:val="0"/>
              </w:rPr>
              <w:t>Victoria Police</w:t>
            </w:r>
          </w:p>
        </w:tc>
        <w:tc>
          <w:tcPr>
            <w:tcW w:w="992" w:type="dxa"/>
          </w:tcPr>
          <w:p w14:paraId="53C2FA1C" w14:textId="77777777" w:rsidR="00321731" w:rsidRPr="0092283F" w:rsidRDefault="00321731" w:rsidP="0042065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92283F">
              <w:rPr>
                <w:color w:val="000000"/>
                <w:sz w:val="20"/>
                <w:szCs w:val="20"/>
              </w:rPr>
              <w:t>36</w:t>
            </w:r>
          </w:p>
        </w:tc>
        <w:tc>
          <w:tcPr>
            <w:tcW w:w="992" w:type="dxa"/>
          </w:tcPr>
          <w:p w14:paraId="7A01ED98" w14:textId="77777777" w:rsidR="00321731" w:rsidRPr="0092283F" w:rsidRDefault="00321731" w:rsidP="0042065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92283F">
              <w:rPr>
                <w:rFonts w:cs="Calibri"/>
                <w:sz w:val="20"/>
                <w:szCs w:val="20"/>
              </w:rPr>
              <w:t>29</w:t>
            </w:r>
          </w:p>
        </w:tc>
        <w:tc>
          <w:tcPr>
            <w:tcW w:w="992" w:type="dxa"/>
          </w:tcPr>
          <w:p w14:paraId="3704CFDD" w14:textId="77777777" w:rsidR="00321731" w:rsidRPr="0092283F" w:rsidRDefault="00321731" w:rsidP="00420659">
            <w:pPr>
              <w:jc w:val="right"/>
              <w:cnfStyle w:val="000000100000" w:firstRow="0" w:lastRow="0" w:firstColumn="0" w:lastColumn="0" w:oddVBand="0" w:evenVBand="0" w:oddHBand="1" w:evenHBand="0" w:firstRowFirstColumn="0" w:firstRowLastColumn="0" w:lastRowFirstColumn="0" w:lastRowLastColumn="0"/>
              <w:rPr>
                <w:rFonts w:cs="Calibri"/>
                <w:sz w:val="20"/>
                <w:szCs w:val="20"/>
              </w:rPr>
            </w:pPr>
            <w:r>
              <w:rPr>
                <w:rFonts w:cs="Calibri"/>
                <w:color w:val="000000"/>
                <w:sz w:val="20"/>
                <w:szCs w:val="20"/>
              </w:rPr>
              <w:t>24</w:t>
            </w:r>
          </w:p>
        </w:tc>
      </w:tr>
      <w:tr w:rsidR="00321731" w:rsidRPr="005B2F15" w14:paraId="0D8572C6" w14:textId="77777777" w:rsidTr="005F548E">
        <w:trPr>
          <w:trHeight w:val="255"/>
        </w:trPr>
        <w:tc>
          <w:tcPr>
            <w:cnfStyle w:val="001000000000" w:firstRow="0" w:lastRow="0" w:firstColumn="1" w:lastColumn="0" w:oddVBand="0" w:evenVBand="0" w:oddHBand="0" w:evenHBand="0" w:firstRowFirstColumn="0" w:firstRowLastColumn="0" w:lastRowFirstColumn="0" w:lastRowLastColumn="0"/>
            <w:tcW w:w="6095" w:type="dxa"/>
            <w:noWrap/>
          </w:tcPr>
          <w:p w14:paraId="7C28D392" w14:textId="77777777" w:rsidR="00321731" w:rsidRPr="005B2F15" w:rsidRDefault="00321731" w:rsidP="00420659">
            <w:pPr>
              <w:rPr>
                <w:rFonts w:cs="Calibri"/>
                <w:bCs w:val="0"/>
                <w:sz w:val="20"/>
                <w:szCs w:val="20"/>
              </w:rPr>
            </w:pPr>
            <w:r w:rsidRPr="005B2F15">
              <w:rPr>
                <w:rFonts w:cs="Calibri"/>
                <w:bCs w:val="0"/>
                <w:sz w:val="20"/>
                <w:szCs w:val="20"/>
              </w:rPr>
              <w:t>Totals</w:t>
            </w:r>
          </w:p>
        </w:tc>
        <w:tc>
          <w:tcPr>
            <w:tcW w:w="992" w:type="dxa"/>
            <w:noWrap/>
          </w:tcPr>
          <w:p w14:paraId="32D9AECE" w14:textId="77777777" w:rsidR="00321731" w:rsidRPr="005B2F15" w:rsidRDefault="00321731" w:rsidP="00420659">
            <w:pPr>
              <w:jc w:val="right"/>
              <w:cnfStyle w:val="000000000000" w:firstRow="0" w:lastRow="0" w:firstColumn="0" w:lastColumn="0" w:oddVBand="0" w:evenVBand="0" w:oddHBand="0" w:evenHBand="0" w:firstRowFirstColumn="0" w:firstRowLastColumn="0" w:lastRowFirstColumn="0" w:lastRowLastColumn="0"/>
              <w:rPr>
                <w:b/>
                <w:color w:val="000000"/>
                <w:sz w:val="20"/>
                <w:szCs w:val="20"/>
              </w:rPr>
            </w:pPr>
            <w:r w:rsidRPr="005B2F15">
              <w:rPr>
                <w:b/>
                <w:color w:val="000000"/>
                <w:sz w:val="20"/>
                <w:szCs w:val="20"/>
              </w:rPr>
              <w:t>241</w:t>
            </w:r>
          </w:p>
        </w:tc>
        <w:tc>
          <w:tcPr>
            <w:tcW w:w="992" w:type="dxa"/>
          </w:tcPr>
          <w:p w14:paraId="6413D546" w14:textId="77777777" w:rsidR="00321731" w:rsidRPr="005B2F15" w:rsidRDefault="00321731" w:rsidP="00420659">
            <w:pPr>
              <w:jc w:val="right"/>
              <w:cnfStyle w:val="000000000000" w:firstRow="0" w:lastRow="0" w:firstColumn="0" w:lastColumn="0" w:oddVBand="0" w:evenVBand="0" w:oddHBand="0" w:evenHBand="0" w:firstRowFirstColumn="0" w:firstRowLastColumn="0" w:lastRowFirstColumn="0" w:lastRowLastColumn="0"/>
              <w:rPr>
                <w:b/>
                <w:color w:val="000000"/>
                <w:sz w:val="20"/>
                <w:szCs w:val="20"/>
              </w:rPr>
            </w:pPr>
            <w:r w:rsidRPr="005B2F15">
              <w:rPr>
                <w:rFonts w:cs="Calibri"/>
                <w:b/>
                <w:sz w:val="20"/>
                <w:szCs w:val="20"/>
              </w:rPr>
              <w:t>463</w:t>
            </w:r>
          </w:p>
        </w:tc>
        <w:tc>
          <w:tcPr>
            <w:tcW w:w="992" w:type="dxa"/>
          </w:tcPr>
          <w:p w14:paraId="67E9C05C" w14:textId="77777777" w:rsidR="00321731" w:rsidRPr="005B2F15" w:rsidRDefault="00321731" w:rsidP="00420659">
            <w:pPr>
              <w:jc w:val="right"/>
              <w:cnfStyle w:val="000000000000" w:firstRow="0" w:lastRow="0" w:firstColumn="0" w:lastColumn="0" w:oddVBand="0" w:evenVBand="0" w:oddHBand="0" w:evenHBand="0" w:firstRowFirstColumn="0" w:firstRowLastColumn="0" w:lastRowFirstColumn="0" w:lastRowLastColumn="0"/>
              <w:rPr>
                <w:rFonts w:cs="Calibri"/>
                <w:b/>
                <w:sz w:val="20"/>
                <w:szCs w:val="20"/>
              </w:rPr>
            </w:pPr>
            <w:r w:rsidRPr="005B2F15">
              <w:rPr>
                <w:rFonts w:cs="Calibri"/>
                <w:b/>
                <w:color w:val="000000"/>
                <w:sz w:val="20"/>
                <w:szCs w:val="20"/>
              </w:rPr>
              <w:t>578</w:t>
            </w:r>
          </w:p>
        </w:tc>
      </w:tr>
    </w:tbl>
    <w:p w14:paraId="5390D83E" w14:textId="15938A3B" w:rsidR="00420659" w:rsidRPr="0092283F" w:rsidRDefault="00420659" w:rsidP="00420659">
      <w:pPr>
        <w:pStyle w:val="Caption"/>
        <w:rPr>
          <w:lang w:eastAsia="en-US"/>
        </w:rPr>
      </w:pPr>
      <w:bookmarkStart w:id="91" w:name="_Toc524354004"/>
      <w:r w:rsidRPr="0092283F">
        <w:lastRenderedPageBreak/>
        <w:t xml:space="preserve">Table </w:t>
      </w:r>
      <w:r>
        <w:rPr>
          <w:noProof/>
        </w:rPr>
        <w:fldChar w:fldCharType="begin"/>
      </w:r>
      <w:r>
        <w:rPr>
          <w:noProof/>
        </w:rPr>
        <w:instrText xml:space="preserve"> SEQ Table \* ARABIC </w:instrText>
      </w:r>
      <w:r>
        <w:rPr>
          <w:noProof/>
        </w:rPr>
        <w:fldChar w:fldCharType="separate"/>
      </w:r>
      <w:r w:rsidR="00A07703">
        <w:rPr>
          <w:noProof/>
        </w:rPr>
        <w:t>11</w:t>
      </w:r>
      <w:r>
        <w:rPr>
          <w:noProof/>
        </w:rPr>
        <w:fldChar w:fldCharType="end"/>
      </w:r>
      <w:r w:rsidRPr="0092283F">
        <w:t xml:space="preserve">: </w:t>
      </w:r>
      <w:r w:rsidR="00321731">
        <w:t>Trends in</w:t>
      </w:r>
      <w:r w:rsidR="00321731" w:rsidRPr="00321731">
        <w:t xml:space="preserve"> </w:t>
      </w:r>
      <w:r w:rsidR="00321731">
        <w:t>number of</w:t>
      </w:r>
      <w:r>
        <w:t xml:space="preserve"> leveraged procurements </w:t>
      </w:r>
      <w:r w:rsidRPr="0092283F">
        <w:t>by organisation</w:t>
      </w:r>
      <w:bookmarkEnd w:id="91"/>
    </w:p>
    <w:tbl>
      <w:tblPr>
        <w:tblStyle w:val="ListTable31"/>
        <w:tblW w:w="8362" w:type="dxa"/>
        <w:tblInd w:w="846" w:type="dxa"/>
        <w:tblLayout w:type="fixed"/>
        <w:tblLook w:val="04A0" w:firstRow="1" w:lastRow="0" w:firstColumn="1" w:lastColumn="0" w:noHBand="0" w:noVBand="1"/>
      </w:tblPr>
      <w:tblGrid>
        <w:gridCol w:w="5386"/>
        <w:gridCol w:w="992"/>
        <w:gridCol w:w="992"/>
        <w:gridCol w:w="992"/>
      </w:tblGrid>
      <w:tr w:rsidR="00321731" w:rsidRPr="0092283F" w14:paraId="1F42A315" w14:textId="77777777" w:rsidTr="005F548E">
        <w:trPr>
          <w:cnfStyle w:val="100000000000" w:firstRow="1" w:lastRow="0" w:firstColumn="0" w:lastColumn="0" w:oddVBand="0" w:evenVBand="0" w:oddHBand="0" w:evenHBand="0" w:firstRowFirstColumn="0" w:firstRowLastColumn="0" w:lastRowFirstColumn="0" w:lastRowLastColumn="0"/>
          <w:trHeight w:val="115"/>
        </w:trPr>
        <w:tc>
          <w:tcPr>
            <w:cnfStyle w:val="001000000100" w:firstRow="0" w:lastRow="0" w:firstColumn="1" w:lastColumn="0" w:oddVBand="0" w:evenVBand="0" w:oddHBand="0" w:evenHBand="0" w:firstRowFirstColumn="1" w:firstRowLastColumn="0" w:lastRowFirstColumn="0" w:lastRowLastColumn="0"/>
            <w:tcW w:w="5386" w:type="dxa"/>
          </w:tcPr>
          <w:p w14:paraId="76C492D8" w14:textId="77777777" w:rsidR="00321731" w:rsidRPr="0092283F" w:rsidRDefault="00321731" w:rsidP="00420659">
            <w:pPr>
              <w:pStyle w:val="TableHeader"/>
              <w:rPr>
                <w:b/>
                <w:sz w:val="20"/>
                <w:szCs w:val="20"/>
              </w:rPr>
            </w:pPr>
            <w:r>
              <w:rPr>
                <w:b/>
                <w:sz w:val="20"/>
                <w:szCs w:val="20"/>
              </w:rPr>
              <w:t>Organisation</w:t>
            </w:r>
          </w:p>
        </w:tc>
        <w:tc>
          <w:tcPr>
            <w:tcW w:w="992" w:type="dxa"/>
          </w:tcPr>
          <w:p w14:paraId="031872DC" w14:textId="77777777" w:rsidR="00321731" w:rsidRPr="0092283F" w:rsidRDefault="00321731" w:rsidP="00420659">
            <w:pPr>
              <w:pStyle w:val="TableHeader"/>
              <w:jc w:val="center"/>
              <w:cnfStyle w:val="100000000000" w:firstRow="1" w:lastRow="0" w:firstColumn="0" w:lastColumn="0" w:oddVBand="0" w:evenVBand="0" w:oddHBand="0" w:evenHBand="0" w:firstRowFirstColumn="0" w:firstRowLastColumn="0" w:lastRowFirstColumn="0" w:lastRowLastColumn="0"/>
              <w:rPr>
                <w:b/>
                <w:sz w:val="20"/>
                <w:szCs w:val="20"/>
              </w:rPr>
            </w:pPr>
            <w:r w:rsidRPr="0092283F">
              <w:rPr>
                <w:b/>
                <w:sz w:val="20"/>
                <w:szCs w:val="20"/>
              </w:rPr>
              <w:t>2015–16</w:t>
            </w:r>
          </w:p>
        </w:tc>
        <w:tc>
          <w:tcPr>
            <w:tcW w:w="992" w:type="dxa"/>
          </w:tcPr>
          <w:p w14:paraId="5BFB079C" w14:textId="77777777" w:rsidR="00321731" w:rsidRPr="0092283F" w:rsidRDefault="00321731" w:rsidP="00420659">
            <w:pPr>
              <w:pStyle w:val="TableHeader"/>
              <w:jc w:val="center"/>
              <w:cnfStyle w:val="100000000000" w:firstRow="1" w:lastRow="0" w:firstColumn="0" w:lastColumn="0" w:oddVBand="0" w:evenVBand="0" w:oddHBand="0" w:evenHBand="0" w:firstRowFirstColumn="0" w:firstRowLastColumn="0" w:lastRowFirstColumn="0" w:lastRowLastColumn="0"/>
              <w:rPr>
                <w:b/>
                <w:sz w:val="20"/>
                <w:szCs w:val="20"/>
              </w:rPr>
            </w:pPr>
            <w:r w:rsidRPr="0092283F">
              <w:rPr>
                <w:b/>
                <w:sz w:val="20"/>
                <w:szCs w:val="20"/>
              </w:rPr>
              <w:t>2016–17</w:t>
            </w:r>
          </w:p>
        </w:tc>
        <w:tc>
          <w:tcPr>
            <w:tcW w:w="992" w:type="dxa"/>
          </w:tcPr>
          <w:p w14:paraId="485FD386" w14:textId="77777777" w:rsidR="00321731" w:rsidRPr="0092283F" w:rsidRDefault="00321731" w:rsidP="00420659">
            <w:pPr>
              <w:pStyle w:val="TableHeader"/>
              <w:jc w:val="center"/>
              <w:cnfStyle w:val="100000000000" w:firstRow="1" w:lastRow="0" w:firstColumn="0" w:lastColumn="0" w:oddVBand="0" w:evenVBand="0" w:oddHBand="0" w:evenHBand="0" w:firstRowFirstColumn="0" w:firstRowLastColumn="0" w:lastRowFirstColumn="0" w:lastRowLastColumn="0"/>
              <w:rPr>
                <w:b/>
                <w:sz w:val="20"/>
                <w:szCs w:val="20"/>
              </w:rPr>
            </w:pPr>
            <w:r>
              <w:rPr>
                <w:b/>
                <w:sz w:val="20"/>
                <w:szCs w:val="20"/>
              </w:rPr>
              <w:t>2017–18</w:t>
            </w:r>
          </w:p>
        </w:tc>
      </w:tr>
      <w:tr w:rsidR="00321731" w:rsidRPr="0092283F" w14:paraId="376FBD74" w14:textId="77777777" w:rsidTr="005F548E">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5386" w:type="dxa"/>
          </w:tcPr>
          <w:p w14:paraId="181FBF67" w14:textId="77777777" w:rsidR="00321731" w:rsidRPr="00FF410A" w:rsidRDefault="00321731" w:rsidP="00420659">
            <w:pPr>
              <w:pStyle w:val="TableText"/>
              <w:rPr>
                <w:b w:val="0"/>
              </w:rPr>
            </w:pPr>
            <w:r w:rsidRPr="00FF410A">
              <w:rPr>
                <w:b w:val="0"/>
              </w:rPr>
              <w:t>Department of Economic Development, Jobs, Transport and Resources</w:t>
            </w:r>
          </w:p>
        </w:tc>
        <w:tc>
          <w:tcPr>
            <w:tcW w:w="992" w:type="dxa"/>
          </w:tcPr>
          <w:p w14:paraId="0246F7AC" w14:textId="77777777" w:rsidR="00321731" w:rsidRPr="00FF410A" w:rsidRDefault="00321731" w:rsidP="0042065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FF410A">
              <w:rPr>
                <w:color w:val="000000"/>
                <w:sz w:val="20"/>
                <w:szCs w:val="20"/>
              </w:rPr>
              <w:t>1</w:t>
            </w:r>
          </w:p>
        </w:tc>
        <w:tc>
          <w:tcPr>
            <w:tcW w:w="992" w:type="dxa"/>
          </w:tcPr>
          <w:p w14:paraId="779843CB" w14:textId="77777777" w:rsidR="00321731" w:rsidRPr="00FF410A" w:rsidRDefault="00321731" w:rsidP="0042065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FF410A">
              <w:rPr>
                <w:rFonts w:cs="Calibri"/>
                <w:sz w:val="20"/>
                <w:szCs w:val="20"/>
              </w:rPr>
              <w:t>28</w:t>
            </w:r>
          </w:p>
        </w:tc>
        <w:tc>
          <w:tcPr>
            <w:tcW w:w="992" w:type="dxa"/>
          </w:tcPr>
          <w:p w14:paraId="276DB970" w14:textId="472EACD8" w:rsidR="00321731" w:rsidRPr="0092283F" w:rsidRDefault="00321731" w:rsidP="00420659">
            <w:pPr>
              <w:jc w:val="right"/>
              <w:cnfStyle w:val="000000100000" w:firstRow="0" w:lastRow="0" w:firstColumn="0" w:lastColumn="0" w:oddVBand="0" w:evenVBand="0" w:oddHBand="1" w:evenHBand="0" w:firstRowFirstColumn="0" w:firstRowLastColumn="0" w:lastRowFirstColumn="0" w:lastRowLastColumn="0"/>
              <w:rPr>
                <w:rFonts w:cs="Calibri"/>
                <w:sz w:val="20"/>
                <w:szCs w:val="20"/>
              </w:rPr>
            </w:pPr>
            <w:r w:rsidRPr="00FF410A">
              <w:rPr>
                <w:rFonts w:cs="Calibri"/>
                <w:color w:val="000000"/>
                <w:sz w:val="20"/>
                <w:szCs w:val="20"/>
              </w:rPr>
              <w:t>1</w:t>
            </w:r>
            <w:r w:rsidR="000E55C0">
              <w:rPr>
                <w:rFonts w:cs="Calibri"/>
                <w:color w:val="000000"/>
                <w:sz w:val="20"/>
                <w:szCs w:val="20"/>
              </w:rPr>
              <w:t>8</w:t>
            </w:r>
          </w:p>
        </w:tc>
      </w:tr>
      <w:tr w:rsidR="00321731" w:rsidRPr="0092283F" w14:paraId="31CA8EAE" w14:textId="77777777" w:rsidTr="005F548E">
        <w:trPr>
          <w:trHeight w:val="269"/>
        </w:trPr>
        <w:tc>
          <w:tcPr>
            <w:cnfStyle w:val="001000000000" w:firstRow="0" w:lastRow="0" w:firstColumn="1" w:lastColumn="0" w:oddVBand="0" w:evenVBand="0" w:oddHBand="0" w:evenHBand="0" w:firstRowFirstColumn="0" w:firstRowLastColumn="0" w:lastRowFirstColumn="0" w:lastRowLastColumn="0"/>
            <w:tcW w:w="5386" w:type="dxa"/>
          </w:tcPr>
          <w:p w14:paraId="54C3D4B8" w14:textId="77777777" w:rsidR="00321731" w:rsidRPr="005B2F15" w:rsidRDefault="00321731" w:rsidP="00420659">
            <w:pPr>
              <w:pStyle w:val="TableText"/>
              <w:rPr>
                <w:b w:val="0"/>
              </w:rPr>
            </w:pPr>
            <w:r w:rsidRPr="005B2F15">
              <w:rPr>
                <w:b w:val="0"/>
              </w:rPr>
              <w:t>Department of Education and Training</w:t>
            </w:r>
          </w:p>
        </w:tc>
        <w:tc>
          <w:tcPr>
            <w:tcW w:w="992" w:type="dxa"/>
          </w:tcPr>
          <w:p w14:paraId="4845E2AD" w14:textId="77777777" w:rsidR="00321731" w:rsidRPr="0092283F" w:rsidRDefault="00321731" w:rsidP="00420659">
            <w:pPr>
              <w:jc w:val="right"/>
              <w:cnfStyle w:val="000000000000" w:firstRow="0" w:lastRow="0" w:firstColumn="0" w:lastColumn="0" w:oddVBand="0" w:evenVBand="0" w:oddHBand="0" w:evenHBand="0" w:firstRowFirstColumn="0" w:firstRowLastColumn="0" w:lastRowFirstColumn="0" w:lastRowLastColumn="0"/>
              <w:rPr>
                <w:color w:val="000000"/>
                <w:sz w:val="20"/>
                <w:szCs w:val="20"/>
              </w:rPr>
            </w:pPr>
            <w:r w:rsidRPr="0092283F">
              <w:rPr>
                <w:color w:val="000000"/>
                <w:sz w:val="20"/>
                <w:szCs w:val="20"/>
              </w:rPr>
              <w:t>217</w:t>
            </w:r>
          </w:p>
        </w:tc>
        <w:tc>
          <w:tcPr>
            <w:tcW w:w="992" w:type="dxa"/>
          </w:tcPr>
          <w:p w14:paraId="3C15D081" w14:textId="77777777" w:rsidR="00321731" w:rsidRPr="0092283F" w:rsidRDefault="00321731" w:rsidP="00420659">
            <w:pPr>
              <w:jc w:val="right"/>
              <w:cnfStyle w:val="000000000000" w:firstRow="0" w:lastRow="0" w:firstColumn="0" w:lastColumn="0" w:oddVBand="0" w:evenVBand="0" w:oddHBand="0" w:evenHBand="0" w:firstRowFirstColumn="0" w:firstRowLastColumn="0" w:lastRowFirstColumn="0" w:lastRowLastColumn="0"/>
              <w:rPr>
                <w:color w:val="000000"/>
                <w:sz w:val="20"/>
                <w:szCs w:val="20"/>
              </w:rPr>
            </w:pPr>
            <w:r w:rsidRPr="0092283F">
              <w:rPr>
                <w:rFonts w:cs="Calibri"/>
                <w:sz w:val="20"/>
                <w:szCs w:val="20"/>
              </w:rPr>
              <w:t>118</w:t>
            </w:r>
          </w:p>
        </w:tc>
        <w:tc>
          <w:tcPr>
            <w:tcW w:w="992" w:type="dxa"/>
          </w:tcPr>
          <w:p w14:paraId="2BECAD8C" w14:textId="77777777" w:rsidR="00321731" w:rsidRPr="0092283F" w:rsidRDefault="00321731" w:rsidP="00420659">
            <w:pPr>
              <w:jc w:val="right"/>
              <w:cnfStyle w:val="000000000000" w:firstRow="0" w:lastRow="0" w:firstColumn="0" w:lastColumn="0" w:oddVBand="0" w:evenVBand="0" w:oddHBand="0" w:evenHBand="0" w:firstRowFirstColumn="0" w:firstRowLastColumn="0" w:lastRowFirstColumn="0" w:lastRowLastColumn="0"/>
              <w:rPr>
                <w:rFonts w:cs="Calibri"/>
                <w:sz w:val="20"/>
                <w:szCs w:val="20"/>
              </w:rPr>
            </w:pPr>
            <w:r>
              <w:rPr>
                <w:rFonts w:cs="Calibri"/>
                <w:color w:val="000000"/>
                <w:sz w:val="20"/>
                <w:szCs w:val="20"/>
              </w:rPr>
              <w:t>80</w:t>
            </w:r>
          </w:p>
        </w:tc>
      </w:tr>
      <w:tr w:rsidR="00321731" w:rsidRPr="0092283F" w14:paraId="0C2FAEC9" w14:textId="77777777" w:rsidTr="005F548E">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5386" w:type="dxa"/>
          </w:tcPr>
          <w:p w14:paraId="42D0733E" w14:textId="77777777" w:rsidR="00321731" w:rsidRPr="005B2F15" w:rsidRDefault="00321731" w:rsidP="00420659">
            <w:pPr>
              <w:pStyle w:val="TableText"/>
              <w:rPr>
                <w:b w:val="0"/>
              </w:rPr>
            </w:pPr>
            <w:r w:rsidRPr="005B2F15">
              <w:rPr>
                <w:b w:val="0"/>
              </w:rPr>
              <w:t>Department of Environment, Land, Water and Planning</w:t>
            </w:r>
          </w:p>
        </w:tc>
        <w:tc>
          <w:tcPr>
            <w:tcW w:w="992" w:type="dxa"/>
          </w:tcPr>
          <w:p w14:paraId="5FF5C426" w14:textId="77777777" w:rsidR="00321731" w:rsidRPr="0092283F" w:rsidRDefault="00321731" w:rsidP="0042065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92283F">
              <w:rPr>
                <w:color w:val="000000"/>
                <w:sz w:val="20"/>
                <w:szCs w:val="20"/>
              </w:rPr>
              <w:t>5</w:t>
            </w:r>
          </w:p>
        </w:tc>
        <w:tc>
          <w:tcPr>
            <w:tcW w:w="992" w:type="dxa"/>
          </w:tcPr>
          <w:p w14:paraId="7272D811" w14:textId="2A8295E1" w:rsidR="00321731" w:rsidRPr="0092283F" w:rsidRDefault="00321731" w:rsidP="0042065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Pr>
                <w:color w:val="000000"/>
                <w:sz w:val="20"/>
                <w:szCs w:val="20"/>
              </w:rPr>
              <w:t>0</w:t>
            </w:r>
          </w:p>
        </w:tc>
        <w:tc>
          <w:tcPr>
            <w:tcW w:w="992" w:type="dxa"/>
          </w:tcPr>
          <w:p w14:paraId="3AD80474" w14:textId="77777777" w:rsidR="00321731" w:rsidRDefault="00321731" w:rsidP="0042065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Pr>
                <w:rFonts w:cs="Calibri"/>
                <w:color w:val="000000"/>
                <w:sz w:val="20"/>
                <w:szCs w:val="20"/>
              </w:rPr>
              <w:t>3</w:t>
            </w:r>
          </w:p>
        </w:tc>
      </w:tr>
      <w:tr w:rsidR="00321731" w:rsidRPr="0092283F" w14:paraId="5B950528" w14:textId="77777777" w:rsidTr="005F548E">
        <w:trPr>
          <w:trHeight w:val="255"/>
        </w:trPr>
        <w:tc>
          <w:tcPr>
            <w:cnfStyle w:val="001000000000" w:firstRow="0" w:lastRow="0" w:firstColumn="1" w:lastColumn="0" w:oddVBand="0" w:evenVBand="0" w:oddHBand="0" w:evenHBand="0" w:firstRowFirstColumn="0" w:firstRowLastColumn="0" w:lastRowFirstColumn="0" w:lastRowLastColumn="0"/>
            <w:tcW w:w="5386" w:type="dxa"/>
          </w:tcPr>
          <w:p w14:paraId="1C5103ED" w14:textId="77777777" w:rsidR="00321731" w:rsidRPr="005B2F15" w:rsidRDefault="00321731" w:rsidP="00420659">
            <w:pPr>
              <w:pStyle w:val="TableText"/>
              <w:rPr>
                <w:b w:val="0"/>
              </w:rPr>
            </w:pPr>
            <w:r w:rsidRPr="005B2F15">
              <w:rPr>
                <w:b w:val="0"/>
              </w:rPr>
              <w:t>Department of Health and Human Services</w:t>
            </w:r>
          </w:p>
        </w:tc>
        <w:tc>
          <w:tcPr>
            <w:tcW w:w="992" w:type="dxa"/>
          </w:tcPr>
          <w:p w14:paraId="6FB3C041" w14:textId="77777777" w:rsidR="00321731" w:rsidRPr="0092283F" w:rsidRDefault="00321731" w:rsidP="00420659">
            <w:pPr>
              <w:jc w:val="right"/>
              <w:cnfStyle w:val="000000000000" w:firstRow="0" w:lastRow="0" w:firstColumn="0" w:lastColumn="0" w:oddVBand="0" w:evenVBand="0" w:oddHBand="0" w:evenHBand="0" w:firstRowFirstColumn="0" w:firstRowLastColumn="0" w:lastRowFirstColumn="0" w:lastRowLastColumn="0"/>
              <w:rPr>
                <w:color w:val="000000"/>
                <w:sz w:val="20"/>
                <w:szCs w:val="20"/>
              </w:rPr>
            </w:pPr>
            <w:r w:rsidRPr="0092283F">
              <w:rPr>
                <w:color w:val="000000"/>
                <w:sz w:val="20"/>
                <w:szCs w:val="20"/>
              </w:rPr>
              <w:t>10</w:t>
            </w:r>
          </w:p>
        </w:tc>
        <w:tc>
          <w:tcPr>
            <w:tcW w:w="992" w:type="dxa"/>
          </w:tcPr>
          <w:p w14:paraId="5DE381B6" w14:textId="77777777" w:rsidR="00321731" w:rsidRPr="0092283F" w:rsidRDefault="00321731" w:rsidP="00420659">
            <w:pPr>
              <w:jc w:val="right"/>
              <w:cnfStyle w:val="000000000000" w:firstRow="0" w:lastRow="0" w:firstColumn="0" w:lastColumn="0" w:oddVBand="0" w:evenVBand="0" w:oddHBand="0" w:evenHBand="0" w:firstRowFirstColumn="0" w:firstRowLastColumn="0" w:lastRowFirstColumn="0" w:lastRowLastColumn="0"/>
              <w:rPr>
                <w:color w:val="000000"/>
                <w:sz w:val="20"/>
                <w:szCs w:val="20"/>
              </w:rPr>
            </w:pPr>
            <w:r w:rsidRPr="0092283F">
              <w:rPr>
                <w:rFonts w:cs="Calibri"/>
                <w:sz w:val="20"/>
                <w:szCs w:val="20"/>
              </w:rPr>
              <w:t>27</w:t>
            </w:r>
          </w:p>
        </w:tc>
        <w:tc>
          <w:tcPr>
            <w:tcW w:w="992" w:type="dxa"/>
          </w:tcPr>
          <w:p w14:paraId="7BF405F2" w14:textId="77777777" w:rsidR="00321731" w:rsidRPr="0092283F" w:rsidRDefault="00321731" w:rsidP="00420659">
            <w:pPr>
              <w:jc w:val="right"/>
              <w:cnfStyle w:val="000000000000" w:firstRow="0" w:lastRow="0" w:firstColumn="0" w:lastColumn="0" w:oddVBand="0" w:evenVBand="0" w:oddHBand="0" w:evenHBand="0" w:firstRowFirstColumn="0" w:firstRowLastColumn="0" w:lastRowFirstColumn="0" w:lastRowLastColumn="0"/>
              <w:rPr>
                <w:rFonts w:cs="Calibri"/>
                <w:sz w:val="20"/>
                <w:szCs w:val="20"/>
              </w:rPr>
            </w:pPr>
            <w:r>
              <w:rPr>
                <w:rFonts w:cs="Calibri"/>
                <w:color w:val="000000"/>
                <w:sz w:val="20"/>
                <w:szCs w:val="20"/>
              </w:rPr>
              <w:t>27</w:t>
            </w:r>
          </w:p>
        </w:tc>
      </w:tr>
      <w:tr w:rsidR="00321731" w:rsidRPr="0092283F" w14:paraId="4E41BD7E" w14:textId="77777777" w:rsidTr="005F548E">
        <w:trPr>
          <w:cnfStyle w:val="000000100000" w:firstRow="0" w:lastRow="0" w:firstColumn="0" w:lastColumn="0" w:oddVBand="0" w:evenVBand="0" w:oddHBand="1" w:evenHBand="0" w:firstRowFirstColumn="0" w:firstRowLastColumn="0" w:lastRowFirstColumn="0" w:lastRowLastColumn="0"/>
          <w:trHeight w:val="275"/>
        </w:trPr>
        <w:tc>
          <w:tcPr>
            <w:cnfStyle w:val="001000000000" w:firstRow="0" w:lastRow="0" w:firstColumn="1" w:lastColumn="0" w:oddVBand="0" w:evenVBand="0" w:oddHBand="0" w:evenHBand="0" w:firstRowFirstColumn="0" w:firstRowLastColumn="0" w:lastRowFirstColumn="0" w:lastRowLastColumn="0"/>
            <w:tcW w:w="5386" w:type="dxa"/>
          </w:tcPr>
          <w:p w14:paraId="7EF3AD43" w14:textId="77777777" w:rsidR="00321731" w:rsidRPr="005B2F15" w:rsidRDefault="00321731" w:rsidP="00420659">
            <w:pPr>
              <w:pStyle w:val="TableText"/>
              <w:rPr>
                <w:b w:val="0"/>
              </w:rPr>
            </w:pPr>
            <w:r w:rsidRPr="005B2F15">
              <w:rPr>
                <w:b w:val="0"/>
              </w:rPr>
              <w:t>Department of Justice and Regulation</w:t>
            </w:r>
          </w:p>
        </w:tc>
        <w:tc>
          <w:tcPr>
            <w:tcW w:w="992" w:type="dxa"/>
          </w:tcPr>
          <w:p w14:paraId="065E2DEF" w14:textId="77777777" w:rsidR="00321731" w:rsidRPr="0092283F" w:rsidRDefault="00321731" w:rsidP="0042065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92283F">
              <w:rPr>
                <w:color w:val="000000"/>
                <w:sz w:val="20"/>
                <w:szCs w:val="20"/>
              </w:rPr>
              <w:t>15</w:t>
            </w:r>
          </w:p>
        </w:tc>
        <w:tc>
          <w:tcPr>
            <w:tcW w:w="992" w:type="dxa"/>
          </w:tcPr>
          <w:p w14:paraId="6614CCBD" w14:textId="77777777" w:rsidR="00321731" w:rsidRPr="0092283F" w:rsidRDefault="00321731" w:rsidP="0042065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92283F">
              <w:rPr>
                <w:rFonts w:cs="Calibri"/>
                <w:sz w:val="20"/>
                <w:szCs w:val="20"/>
              </w:rPr>
              <w:t>23</w:t>
            </w:r>
          </w:p>
        </w:tc>
        <w:tc>
          <w:tcPr>
            <w:tcW w:w="992" w:type="dxa"/>
          </w:tcPr>
          <w:p w14:paraId="46FF613A" w14:textId="77777777" w:rsidR="00321731" w:rsidRPr="0092283F" w:rsidRDefault="00321731" w:rsidP="00420659">
            <w:pPr>
              <w:jc w:val="right"/>
              <w:cnfStyle w:val="000000100000" w:firstRow="0" w:lastRow="0" w:firstColumn="0" w:lastColumn="0" w:oddVBand="0" w:evenVBand="0" w:oddHBand="1" w:evenHBand="0" w:firstRowFirstColumn="0" w:firstRowLastColumn="0" w:lastRowFirstColumn="0" w:lastRowLastColumn="0"/>
              <w:rPr>
                <w:rFonts w:cs="Calibri"/>
                <w:sz w:val="20"/>
                <w:szCs w:val="20"/>
              </w:rPr>
            </w:pPr>
            <w:r>
              <w:rPr>
                <w:rFonts w:cs="Calibri"/>
                <w:color w:val="000000"/>
                <w:sz w:val="20"/>
                <w:szCs w:val="20"/>
              </w:rPr>
              <w:t>19</w:t>
            </w:r>
          </w:p>
        </w:tc>
      </w:tr>
      <w:tr w:rsidR="00321731" w:rsidRPr="0092283F" w14:paraId="76758887" w14:textId="77777777" w:rsidTr="005F548E">
        <w:trPr>
          <w:trHeight w:val="240"/>
        </w:trPr>
        <w:tc>
          <w:tcPr>
            <w:cnfStyle w:val="001000000000" w:firstRow="0" w:lastRow="0" w:firstColumn="1" w:lastColumn="0" w:oddVBand="0" w:evenVBand="0" w:oddHBand="0" w:evenHBand="0" w:firstRowFirstColumn="0" w:firstRowLastColumn="0" w:lastRowFirstColumn="0" w:lastRowLastColumn="0"/>
            <w:tcW w:w="5386" w:type="dxa"/>
          </w:tcPr>
          <w:p w14:paraId="4B0F794B" w14:textId="77777777" w:rsidR="00321731" w:rsidRPr="005B2F15" w:rsidRDefault="00321731" w:rsidP="00420659">
            <w:pPr>
              <w:pStyle w:val="TableText"/>
              <w:rPr>
                <w:b w:val="0"/>
              </w:rPr>
            </w:pPr>
            <w:r w:rsidRPr="005B2F15">
              <w:rPr>
                <w:b w:val="0"/>
              </w:rPr>
              <w:t>Department of Premier and Cabinet</w:t>
            </w:r>
          </w:p>
        </w:tc>
        <w:tc>
          <w:tcPr>
            <w:tcW w:w="992" w:type="dxa"/>
          </w:tcPr>
          <w:p w14:paraId="283F9EF8" w14:textId="40CB2AB8" w:rsidR="00321731" w:rsidRPr="0092283F" w:rsidRDefault="00970A74" w:rsidP="00420659">
            <w:pPr>
              <w:jc w:val="right"/>
              <w:cnfStyle w:val="000000000000" w:firstRow="0" w:lastRow="0" w:firstColumn="0" w:lastColumn="0" w:oddVBand="0" w:evenVBand="0" w:oddHBand="0" w:evenHBand="0" w:firstRowFirstColumn="0" w:firstRowLastColumn="0" w:lastRowFirstColumn="0" w:lastRowLastColumn="0"/>
              <w:rPr>
                <w:color w:val="000000"/>
                <w:sz w:val="20"/>
                <w:szCs w:val="20"/>
              </w:rPr>
            </w:pPr>
            <w:r>
              <w:rPr>
                <w:color w:val="000000"/>
                <w:sz w:val="20"/>
                <w:szCs w:val="20"/>
              </w:rPr>
              <w:t>4</w:t>
            </w:r>
          </w:p>
        </w:tc>
        <w:tc>
          <w:tcPr>
            <w:tcW w:w="992" w:type="dxa"/>
          </w:tcPr>
          <w:p w14:paraId="2BC252A2" w14:textId="4D32AD8F" w:rsidR="00321731" w:rsidRPr="0092283F" w:rsidRDefault="00970A74" w:rsidP="00420659">
            <w:pPr>
              <w:jc w:val="right"/>
              <w:cnfStyle w:val="000000000000" w:firstRow="0" w:lastRow="0" w:firstColumn="0" w:lastColumn="0" w:oddVBand="0" w:evenVBand="0" w:oddHBand="0" w:evenHBand="0" w:firstRowFirstColumn="0" w:firstRowLastColumn="0" w:lastRowFirstColumn="0" w:lastRowLastColumn="0"/>
              <w:rPr>
                <w:rFonts w:cs="Calibri"/>
                <w:sz w:val="20"/>
                <w:szCs w:val="20"/>
              </w:rPr>
            </w:pPr>
            <w:r>
              <w:rPr>
                <w:rFonts w:cs="Calibri"/>
                <w:sz w:val="20"/>
                <w:szCs w:val="20"/>
              </w:rPr>
              <w:t>3</w:t>
            </w:r>
          </w:p>
        </w:tc>
        <w:tc>
          <w:tcPr>
            <w:tcW w:w="992" w:type="dxa"/>
          </w:tcPr>
          <w:p w14:paraId="58E8CFB7" w14:textId="77777777" w:rsidR="00321731" w:rsidRPr="0092283F" w:rsidRDefault="00321731" w:rsidP="00420659">
            <w:pPr>
              <w:jc w:val="right"/>
              <w:cnfStyle w:val="000000000000" w:firstRow="0" w:lastRow="0" w:firstColumn="0" w:lastColumn="0" w:oddVBand="0" w:evenVBand="0" w:oddHBand="0" w:evenHBand="0" w:firstRowFirstColumn="0" w:firstRowLastColumn="0" w:lastRowFirstColumn="0" w:lastRowLastColumn="0"/>
              <w:rPr>
                <w:rFonts w:cs="Calibri"/>
                <w:sz w:val="20"/>
                <w:szCs w:val="20"/>
              </w:rPr>
            </w:pPr>
            <w:r>
              <w:rPr>
                <w:rFonts w:cs="Calibri"/>
                <w:color w:val="000000"/>
                <w:sz w:val="20"/>
                <w:szCs w:val="20"/>
              </w:rPr>
              <w:t>2</w:t>
            </w:r>
          </w:p>
        </w:tc>
      </w:tr>
      <w:tr w:rsidR="00321731" w:rsidRPr="0092283F" w14:paraId="2F8DB7FA" w14:textId="77777777" w:rsidTr="005F548E">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5386" w:type="dxa"/>
          </w:tcPr>
          <w:p w14:paraId="16039636" w14:textId="77777777" w:rsidR="00321731" w:rsidRPr="005B2F15" w:rsidRDefault="00321731" w:rsidP="00420659">
            <w:pPr>
              <w:pStyle w:val="TableText"/>
              <w:rPr>
                <w:b w:val="0"/>
              </w:rPr>
            </w:pPr>
            <w:r w:rsidRPr="005B2F15">
              <w:rPr>
                <w:b w:val="0"/>
              </w:rPr>
              <w:t>Department of Treasury and Finance</w:t>
            </w:r>
          </w:p>
        </w:tc>
        <w:tc>
          <w:tcPr>
            <w:tcW w:w="992" w:type="dxa"/>
          </w:tcPr>
          <w:p w14:paraId="615D233B" w14:textId="2C392330" w:rsidR="00321731" w:rsidRPr="0092283F" w:rsidRDefault="00970A74" w:rsidP="0042065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Pr>
                <w:color w:val="000000"/>
                <w:sz w:val="20"/>
                <w:szCs w:val="20"/>
              </w:rPr>
              <w:t>1</w:t>
            </w:r>
          </w:p>
        </w:tc>
        <w:tc>
          <w:tcPr>
            <w:tcW w:w="992" w:type="dxa"/>
          </w:tcPr>
          <w:p w14:paraId="4D1D8A70" w14:textId="2707B2EB" w:rsidR="00321731" w:rsidRPr="0092283F" w:rsidRDefault="00970A74" w:rsidP="0042065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Pr>
                <w:rFonts w:cs="Calibri"/>
                <w:sz w:val="20"/>
                <w:szCs w:val="20"/>
              </w:rPr>
              <w:t>1</w:t>
            </w:r>
          </w:p>
        </w:tc>
        <w:tc>
          <w:tcPr>
            <w:tcW w:w="992" w:type="dxa"/>
          </w:tcPr>
          <w:p w14:paraId="0154DC22" w14:textId="77777777" w:rsidR="00321731" w:rsidRPr="0092283F" w:rsidRDefault="00321731" w:rsidP="00420659">
            <w:pPr>
              <w:jc w:val="right"/>
              <w:cnfStyle w:val="000000100000" w:firstRow="0" w:lastRow="0" w:firstColumn="0" w:lastColumn="0" w:oddVBand="0" w:evenVBand="0" w:oddHBand="1" w:evenHBand="0" w:firstRowFirstColumn="0" w:firstRowLastColumn="0" w:lastRowFirstColumn="0" w:lastRowLastColumn="0"/>
              <w:rPr>
                <w:rFonts w:cs="Calibri"/>
                <w:sz w:val="20"/>
                <w:szCs w:val="20"/>
              </w:rPr>
            </w:pPr>
            <w:r>
              <w:rPr>
                <w:rFonts w:cs="Calibri"/>
                <w:color w:val="000000"/>
                <w:sz w:val="20"/>
                <w:szCs w:val="20"/>
              </w:rPr>
              <w:t>0</w:t>
            </w:r>
          </w:p>
        </w:tc>
      </w:tr>
      <w:tr w:rsidR="00DA5821" w:rsidRPr="005B2F15" w14:paraId="76B2D1E8" w14:textId="77777777" w:rsidTr="00DB6154">
        <w:trPr>
          <w:trHeight w:val="260"/>
        </w:trPr>
        <w:tc>
          <w:tcPr>
            <w:cnfStyle w:val="001000000000" w:firstRow="0" w:lastRow="0" w:firstColumn="1" w:lastColumn="0" w:oddVBand="0" w:evenVBand="0" w:oddHBand="0" w:evenHBand="0" w:firstRowFirstColumn="0" w:firstRowLastColumn="0" w:lastRowFirstColumn="0" w:lastRowLastColumn="0"/>
            <w:tcW w:w="5386" w:type="dxa"/>
          </w:tcPr>
          <w:p w14:paraId="71E8B714" w14:textId="4B17455D" w:rsidR="00DA5821" w:rsidRPr="005B2F15" w:rsidRDefault="00820DB7" w:rsidP="00DB6154">
            <w:pPr>
              <w:pStyle w:val="TableText"/>
              <w:rPr>
                <w:b w:val="0"/>
              </w:rPr>
            </w:pPr>
            <w:r>
              <w:rPr>
                <w:b w:val="0"/>
              </w:rPr>
              <w:t>CenITex</w:t>
            </w:r>
          </w:p>
        </w:tc>
        <w:tc>
          <w:tcPr>
            <w:tcW w:w="992" w:type="dxa"/>
          </w:tcPr>
          <w:p w14:paraId="07C471A1" w14:textId="77777777" w:rsidR="00DA5821" w:rsidRPr="005B2F15" w:rsidRDefault="00DA5821" w:rsidP="00DB6154">
            <w:pPr>
              <w:jc w:val="right"/>
              <w:cnfStyle w:val="000000000000" w:firstRow="0" w:lastRow="0" w:firstColumn="0" w:lastColumn="0" w:oddVBand="0" w:evenVBand="0" w:oddHBand="0" w:evenHBand="0" w:firstRowFirstColumn="0" w:firstRowLastColumn="0" w:lastRowFirstColumn="0" w:lastRowLastColumn="0"/>
              <w:rPr>
                <w:sz w:val="20"/>
                <w:szCs w:val="20"/>
              </w:rPr>
            </w:pPr>
            <w:r w:rsidRPr="005B2F15">
              <w:rPr>
                <w:sz w:val="20"/>
                <w:szCs w:val="20"/>
              </w:rPr>
              <w:t>n/a</w:t>
            </w:r>
          </w:p>
        </w:tc>
        <w:tc>
          <w:tcPr>
            <w:tcW w:w="992" w:type="dxa"/>
          </w:tcPr>
          <w:p w14:paraId="1647EE9B" w14:textId="77777777" w:rsidR="00DA5821" w:rsidRPr="005B2F15" w:rsidRDefault="00DA5821" w:rsidP="00DB6154">
            <w:pPr>
              <w:jc w:val="right"/>
              <w:cnfStyle w:val="000000000000" w:firstRow="0" w:lastRow="0" w:firstColumn="0" w:lastColumn="0" w:oddVBand="0" w:evenVBand="0" w:oddHBand="0" w:evenHBand="0" w:firstRowFirstColumn="0" w:firstRowLastColumn="0" w:lastRowFirstColumn="0" w:lastRowLastColumn="0"/>
              <w:rPr>
                <w:sz w:val="20"/>
                <w:szCs w:val="20"/>
              </w:rPr>
            </w:pPr>
            <w:r w:rsidRPr="005B2F15">
              <w:rPr>
                <w:sz w:val="20"/>
                <w:szCs w:val="20"/>
              </w:rPr>
              <w:t>n/a</w:t>
            </w:r>
          </w:p>
        </w:tc>
        <w:tc>
          <w:tcPr>
            <w:tcW w:w="992" w:type="dxa"/>
          </w:tcPr>
          <w:p w14:paraId="60995DDD" w14:textId="77777777" w:rsidR="00DA5821" w:rsidRPr="005B2F15" w:rsidRDefault="00DA5821" w:rsidP="00DB6154">
            <w:pPr>
              <w:jc w:val="right"/>
              <w:cnfStyle w:val="000000000000" w:firstRow="0" w:lastRow="0" w:firstColumn="0" w:lastColumn="0" w:oddVBand="0" w:evenVBand="0" w:oddHBand="0" w:evenHBand="0" w:firstRowFirstColumn="0" w:firstRowLastColumn="0" w:lastRowFirstColumn="0" w:lastRowLastColumn="0"/>
              <w:rPr>
                <w:rFonts w:cs="Calibri"/>
                <w:sz w:val="20"/>
                <w:szCs w:val="20"/>
              </w:rPr>
            </w:pPr>
            <w:r w:rsidRPr="005B2F15">
              <w:rPr>
                <w:rFonts w:cs="Calibri"/>
                <w:sz w:val="20"/>
                <w:szCs w:val="20"/>
              </w:rPr>
              <w:t>9</w:t>
            </w:r>
          </w:p>
        </w:tc>
      </w:tr>
      <w:tr w:rsidR="00321731" w:rsidRPr="0092283F" w14:paraId="20FB8120" w14:textId="77777777" w:rsidTr="005F548E">
        <w:trPr>
          <w:cnfStyle w:val="000000100000" w:firstRow="0" w:lastRow="0" w:firstColumn="0" w:lastColumn="0" w:oddVBand="0" w:evenVBand="0" w:oddHBand="1" w:evenHBand="0" w:firstRowFirstColumn="0" w:firstRowLastColumn="0" w:lastRowFirstColumn="0" w:lastRowLastColumn="0"/>
          <w:trHeight w:val="335"/>
        </w:trPr>
        <w:tc>
          <w:tcPr>
            <w:cnfStyle w:val="001000000000" w:firstRow="0" w:lastRow="0" w:firstColumn="1" w:lastColumn="0" w:oddVBand="0" w:evenVBand="0" w:oddHBand="0" w:evenHBand="0" w:firstRowFirstColumn="0" w:firstRowLastColumn="0" w:lastRowFirstColumn="0" w:lastRowLastColumn="0"/>
            <w:tcW w:w="5386" w:type="dxa"/>
          </w:tcPr>
          <w:p w14:paraId="553F22ED" w14:textId="77777777" w:rsidR="00321731" w:rsidRPr="005B2F15" w:rsidRDefault="00321731" w:rsidP="00420659">
            <w:pPr>
              <w:pStyle w:val="TableText"/>
              <w:rPr>
                <w:b w:val="0"/>
              </w:rPr>
            </w:pPr>
            <w:r w:rsidRPr="005B2F15">
              <w:rPr>
                <w:b w:val="0"/>
              </w:rPr>
              <w:t>Public Transport Victoria</w:t>
            </w:r>
          </w:p>
        </w:tc>
        <w:tc>
          <w:tcPr>
            <w:tcW w:w="992" w:type="dxa"/>
          </w:tcPr>
          <w:p w14:paraId="15D6FA59" w14:textId="3CF0B609" w:rsidR="00321731" w:rsidRPr="0092283F" w:rsidRDefault="00970A74" w:rsidP="0042065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Pr>
                <w:color w:val="000000"/>
                <w:sz w:val="20"/>
                <w:szCs w:val="20"/>
              </w:rPr>
              <w:t>n/a</w:t>
            </w:r>
          </w:p>
        </w:tc>
        <w:tc>
          <w:tcPr>
            <w:tcW w:w="992" w:type="dxa"/>
          </w:tcPr>
          <w:p w14:paraId="734EEF49" w14:textId="77777777" w:rsidR="00321731" w:rsidRPr="0092283F" w:rsidRDefault="00321731" w:rsidP="0042065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92283F">
              <w:rPr>
                <w:rFonts w:cs="Calibri"/>
                <w:sz w:val="20"/>
                <w:szCs w:val="20"/>
              </w:rPr>
              <w:t>1</w:t>
            </w:r>
          </w:p>
        </w:tc>
        <w:tc>
          <w:tcPr>
            <w:tcW w:w="992" w:type="dxa"/>
          </w:tcPr>
          <w:p w14:paraId="363EC43F" w14:textId="77777777" w:rsidR="00321731" w:rsidRPr="0092283F" w:rsidRDefault="00321731" w:rsidP="00420659">
            <w:pPr>
              <w:jc w:val="right"/>
              <w:cnfStyle w:val="000000100000" w:firstRow="0" w:lastRow="0" w:firstColumn="0" w:lastColumn="0" w:oddVBand="0" w:evenVBand="0" w:oddHBand="1" w:evenHBand="0" w:firstRowFirstColumn="0" w:firstRowLastColumn="0" w:lastRowFirstColumn="0" w:lastRowLastColumn="0"/>
              <w:rPr>
                <w:rFonts w:cs="Calibri"/>
                <w:sz w:val="20"/>
                <w:szCs w:val="20"/>
              </w:rPr>
            </w:pPr>
            <w:r>
              <w:rPr>
                <w:rFonts w:cs="Calibri"/>
                <w:color w:val="000000"/>
                <w:sz w:val="20"/>
                <w:szCs w:val="20"/>
              </w:rPr>
              <w:t>1</w:t>
            </w:r>
          </w:p>
        </w:tc>
      </w:tr>
      <w:tr w:rsidR="00321731" w:rsidRPr="0092283F" w14:paraId="2FDFDD8E" w14:textId="77777777" w:rsidTr="005F548E">
        <w:trPr>
          <w:trHeight w:val="255"/>
        </w:trPr>
        <w:tc>
          <w:tcPr>
            <w:cnfStyle w:val="001000000000" w:firstRow="0" w:lastRow="0" w:firstColumn="1" w:lastColumn="0" w:oddVBand="0" w:evenVBand="0" w:oddHBand="0" w:evenHBand="0" w:firstRowFirstColumn="0" w:firstRowLastColumn="0" w:lastRowFirstColumn="0" w:lastRowLastColumn="0"/>
            <w:tcW w:w="5386" w:type="dxa"/>
          </w:tcPr>
          <w:p w14:paraId="6B95731A" w14:textId="77777777" w:rsidR="00321731" w:rsidRPr="005B2F15" w:rsidRDefault="00321731" w:rsidP="00420659">
            <w:pPr>
              <w:pStyle w:val="TableText"/>
              <w:rPr>
                <w:b w:val="0"/>
              </w:rPr>
            </w:pPr>
            <w:r w:rsidRPr="005B2F15">
              <w:rPr>
                <w:b w:val="0"/>
              </w:rPr>
              <w:t>VicRoads</w:t>
            </w:r>
          </w:p>
        </w:tc>
        <w:tc>
          <w:tcPr>
            <w:tcW w:w="992" w:type="dxa"/>
          </w:tcPr>
          <w:p w14:paraId="0AF00BCD" w14:textId="77777777" w:rsidR="00321731" w:rsidRPr="0092283F" w:rsidRDefault="00321731" w:rsidP="00420659">
            <w:pPr>
              <w:jc w:val="right"/>
              <w:cnfStyle w:val="000000000000" w:firstRow="0" w:lastRow="0" w:firstColumn="0" w:lastColumn="0" w:oddVBand="0" w:evenVBand="0" w:oddHBand="0" w:evenHBand="0" w:firstRowFirstColumn="0" w:firstRowLastColumn="0" w:lastRowFirstColumn="0" w:lastRowLastColumn="0"/>
              <w:rPr>
                <w:color w:val="000000"/>
                <w:sz w:val="20"/>
                <w:szCs w:val="20"/>
              </w:rPr>
            </w:pPr>
            <w:r w:rsidRPr="0092283F">
              <w:rPr>
                <w:color w:val="000000"/>
                <w:sz w:val="20"/>
                <w:szCs w:val="20"/>
              </w:rPr>
              <w:t>57</w:t>
            </w:r>
          </w:p>
        </w:tc>
        <w:tc>
          <w:tcPr>
            <w:tcW w:w="992" w:type="dxa"/>
          </w:tcPr>
          <w:p w14:paraId="3601663B" w14:textId="77777777" w:rsidR="00321731" w:rsidRPr="0092283F" w:rsidRDefault="00321731" w:rsidP="00420659">
            <w:pPr>
              <w:jc w:val="right"/>
              <w:cnfStyle w:val="000000000000" w:firstRow="0" w:lastRow="0" w:firstColumn="0" w:lastColumn="0" w:oddVBand="0" w:evenVBand="0" w:oddHBand="0" w:evenHBand="0" w:firstRowFirstColumn="0" w:firstRowLastColumn="0" w:lastRowFirstColumn="0" w:lastRowLastColumn="0"/>
              <w:rPr>
                <w:color w:val="000000"/>
                <w:sz w:val="20"/>
                <w:szCs w:val="20"/>
              </w:rPr>
            </w:pPr>
            <w:r w:rsidRPr="0092283F">
              <w:rPr>
                <w:rFonts w:cs="Calibri"/>
                <w:sz w:val="20"/>
                <w:szCs w:val="20"/>
              </w:rPr>
              <w:t>42</w:t>
            </w:r>
          </w:p>
        </w:tc>
        <w:tc>
          <w:tcPr>
            <w:tcW w:w="992" w:type="dxa"/>
          </w:tcPr>
          <w:p w14:paraId="6EBBA618" w14:textId="77777777" w:rsidR="00321731" w:rsidRPr="0092283F" w:rsidRDefault="00321731" w:rsidP="00420659">
            <w:pPr>
              <w:jc w:val="right"/>
              <w:cnfStyle w:val="000000000000" w:firstRow="0" w:lastRow="0" w:firstColumn="0" w:lastColumn="0" w:oddVBand="0" w:evenVBand="0" w:oddHBand="0" w:evenHBand="0" w:firstRowFirstColumn="0" w:firstRowLastColumn="0" w:lastRowFirstColumn="0" w:lastRowLastColumn="0"/>
              <w:rPr>
                <w:rFonts w:cs="Calibri"/>
                <w:sz w:val="20"/>
                <w:szCs w:val="20"/>
              </w:rPr>
            </w:pPr>
            <w:r>
              <w:rPr>
                <w:rFonts w:cs="Calibri"/>
                <w:color w:val="000000"/>
                <w:sz w:val="20"/>
                <w:szCs w:val="20"/>
              </w:rPr>
              <w:t>155</w:t>
            </w:r>
          </w:p>
        </w:tc>
      </w:tr>
      <w:tr w:rsidR="00321731" w:rsidRPr="00CD6245" w14:paraId="449707CC" w14:textId="77777777" w:rsidTr="005F548E">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5386" w:type="dxa"/>
          </w:tcPr>
          <w:p w14:paraId="3A436DB9" w14:textId="77777777" w:rsidR="00321731" w:rsidRPr="005B2F15" w:rsidRDefault="00321731" w:rsidP="00420659">
            <w:pPr>
              <w:pStyle w:val="TableText"/>
              <w:rPr>
                <w:b w:val="0"/>
              </w:rPr>
            </w:pPr>
            <w:r w:rsidRPr="005B2F15">
              <w:rPr>
                <w:b w:val="0"/>
              </w:rPr>
              <w:t>Victoria Police</w:t>
            </w:r>
          </w:p>
        </w:tc>
        <w:tc>
          <w:tcPr>
            <w:tcW w:w="992" w:type="dxa"/>
          </w:tcPr>
          <w:p w14:paraId="56C2C8A5" w14:textId="77777777" w:rsidR="00321731" w:rsidRPr="0092283F" w:rsidRDefault="00321731" w:rsidP="0042065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92283F">
              <w:rPr>
                <w:color w:val="000000"/>
                <w:sz w:val="20"/>
                <w:szCs w:val="20"/>
              </w:rPr>
              <w:t>2</w:t>
            </w:r>
          </w:p>
        </w:tc>
        <w:tc>
          <w:tcPr>
            <w:tcW w:w="992" w:type="dxa"/>
          </w:tcPr>
          <w:p w14:paraId="099840A8" w14:textId="77777777" w:rsidR="00321731" w:rsidRPr="0092283F" w:rsidRDefault="00321731" w:rsidP="0042065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92283F">
              <w:rPr>
                <w:rFonts w:cs="Calibri"/>
                <w:sz w:val="20"/>
                <w:szCs w:val="20"/>
              </w:rPr>
              <w:t>2</w:t>
            </w:r>
          </w:p>
        </w:tc>
        <w:tc>
          <w:tcPr>
            <w:tcW w:w="992" w:type="dxa"/>
          </w:tcPr>
          <w:p w14:paraId="30F510EC" w14:textId="77777777" w:rsidR="00321731" w:rsidRPr="0092283F" w:rsidRDefault="00321731" w:rsidP="00420659">
            <w:pPr>
              <w:jc w:val="right"/>
              <w:cnfStyle w:val="000000100000" w:firstRow="0" w:lastRow="0" w:firstColumn="0" w:lastColumn="0" w:oddVBand="0" w:evenVBand="0" w:oddHBand="1" w:evenHBand="0" w:firstRowFirstColumn="0" w:firstRowLastColumn="0" w:lastRowFirstColumn="0" w:lastRowLastColumn="0"/>
              <w:rPr>
                <w:rFonts w:cs="Calibri"/>
                <w:sz w:val="20"/>
                <w:szCs w:val="20"/>
              </w:rPr>
            </w:pPr>
            <w:r>
              <w:rPr>
                <w:rFonts w:cs="Calibri"/>
                <w:color w:val="000000"/>
                <w:sz w:val="20"/>
                <w:szCs w:val="20"/>
              </w:rPr>
              <w:t>2</w:t>
            </w:r>
          </w:p>
        </w:tc>
      </w:tr>
      <w:tr w:rsidR="00321731" w:rsidRPr="005B2F15" w14:paraId="1B0F426E" w14:textId="77777777" w:rsidTr="005F548E">
        <w:trPr>
          <w:trHeight w:val="255"/>
        </w:trPr>
        <w:tc>
          <w:tcPr>
            <w:cnfStyle w:val="001000000000" w:firstRow="0" w:lastRow="0" w:firstColumn="1" w:lastColumn="0" w:oddVBand="0" w:evenVBand="0" w:oddHBand="0" w:evenHBand="0" w:firstRowFirstColumn="0" w:firstRowLastColumn="0" w:lastRowFirstColumn="0" w:lastRowLastColumn="0"/>
            <w:tcW w:w="5386" w:type="dxa"/>
            <w:noWrap/>
          </w:tcPr>
          <w:p w14:paraId="711303AF" w14:textId="77777777" w:rsidR="00321731" w:rsidRPr="005B2F15" w:rsidRDefault="00321731" w:rsidP="00420659">
            <w:pPr>
              <w:rPr>
                <w:rFonts w:cs="Calibri"/>
                <w:bCs w:val="0"/>
                <w:sz w:val="20"/>
                <w:szCs w:val="20"/>
              </w:rPr>
            </w:pPr>
            <w:r w:rsidRPr="005B2F15">
              <w:rPr>
                <w:rFonts w:cs="Calibri"/>
                <w:bCs w:val="0"/>
                <w:sz w:val="20"/>
                <w:szCs w:val="20"/>
              </w:rPr>
              <w:t>Totals</w:t>
            </w:r>
          </w:p>
        </w:tc>
        <w:tc>
          <w:tcPr>
            <w:tcW w:w="992" w:type="dxa"/>
            <w:noWrap/>
          </w:tcPr>
          <w:p w14:paraId="57192A14" w14:textId="77777777" w:rsidR="00321731" w:rsidRPr="005B2F15" w:rsidRDefault="00321731" w:rsidP="00420659">
            <w:pPr>
              <w:jc w:val="right"/>
              <w:cnfStyle w:val="000000000000" w:firstRow="0" w:lastRow="0" w:firstColumn="0" w:lastColumn="0" w:oddVBand="0" w:evenVBand="0" w:oddHBand="0" w:evenHBand="0" w:firstRowFirstColumn="0" w:firstRowLastColumn="0" w:lastRowFirstColumn="0" w:lastRowLastColumn="0"/>
              <w:rPr>
                <w:b/>
                <w:color w:val="000000"/>
                <w:sz w:val="20"/>
                <w:szCs w:val="20"/>
              </w:rPr>
            </w:pPr>
            <w:r w:rsidRPr="005B2F15">
              <w:rPr>
                <w:b/>
                <w:color w:val="000000"/>
                <w:sz w:val="20"/>
                <w:szCs w:val="20"/>
              </w:rPr>
              <w:t>312</w:t>
            </w:r>
          </w:p>
        </w:tc>
        <w:tc>
          <w:tcPr>
            <w:tcW w:w="992" w:type="dxa"/>
          </w:tcPr>
          <w:p w14:paraId="7B7028D0" w14:textId="77777777" w:rsidR="00321731" w:rsidRPr="005B2F15" w:rsidRDefault="00321731" w:rsidP="00420659">
            <w:pPr>
              <w:jc w:val="right"/>
              <w:cnfStyle w:val="000000000000" w:firstRow="0" w:lastRow="0" w:firstColumn="0" w:lastColumn="0" w:oddVBand="0" w:evenVBand="0" w:oddHBand="0" w:evenHBand="0" w:firstRowFirstColumn="0" w:firstRowLastColumn="0" w:lastRowFirstColumn="0" w:lastRowLastColumn="0"/>
              <w:rPr>
                <w:b/>
                <w:color w:val="000000"/>
                <w:sz w:val="20"/>
                <w:szCs w:val="20"/>
              </w:rPr>
            </w:pPr>
            <w:r w:rsidRPr="005B2F15">
              <w:rPr>
                <w:rFonts w:cs="Calibri"/>
                <w:b/>
                <w:sz w:val="20"/>
                <w:szCs w:val="20"/>
              </w:rPr>
              <w:t>245</w:t>
            </w:r>
          </w:p>
        </w:tc>
        <w:tc>
          <w:tcPr>
            <w:tcW w:w="992" w:type="dxa"/>
          </w:tcPr>
          <w:p w14:paraId="18DAC048" w14:textId="77777777" w:rsidR="00321731" w:rsidRPr="005B2F15" w:rsidRDefault="00321731" w:rsidP="00420659">
            <w:pPr>
              <w:jc w:val="right"/>
              <w:cnfStyle w:val="000000000000" w:firstRow="0" w:lastRow="0" w:firstColumn="0" w:lastColumn="0" w:oddVBand="0" w:evenVBand="0" w:oddHBand="0" w:evenHBand="0" w:firstRowFirstColumn="0" w:firstRowLastColumn="0" w:lastRowFirstColumn="0" w:lastRowLastColumn="0"/>
              <w:rPr>
                <w:rFonts w:cs="Calibri"/>
                <w:b/>
                <w:sz w:val="20"/>
                <w:szCs w:val="20"/>
              </w:rPr>
            </w:pPr>
            <w:r w:rsidRPr="005B2F15">
              <w:rPr>
                <w:rFonts w:cs="Calibri"/>
                <w:b/>
                <w:color w:val="000000"/>
                <w:sz w:val="20"/>
                <w:szCs w:val="20"/>
              </w:rPr>
              <w:t>316</w:t>
            </w:r>
          </w:p>
        </w:tc>
      </w:tr>
    </w:tbl>
    <w:p w14:paraId="3374393F" w14:textId="502B3BCD" w:rsidR="00420659" w:rsidRPr="0092283F" w:rsidRDefault="00420659" w:rsidP="00420659">
      <w:pPr>
        <w:pStyle w:val="Caption"/>
        <w:rPr>
          <w:lang w:eastAsia="en-US"/>
        </w:rPr>
      </w:pPr>
      <w:bookmarkStart w:id="92" w:name="_Toc524354005"/>
      <w:r w:rsidRPr="0092283F">
        <w:t xml:space="preserve">Table </w:t>
      </w:r>
      <w:r>
        <w:rPr>
          <w:noProof/>
        </w:rPr>
        <w:fldChar w:fldCharType="begin"/>
      </w:r>
      <w:r>
        <w:rPr>
          <w:noProof/>
        </w:rPr>
        <w:instrText xml:space="preserve"> SEQ Table \* ARABIC </w:instrText>
      </w:r>
      <w:r>
        <w:rPr>
          <w:noProof/>
        </w:rPr>
        <w:fldChar w:fldCharType="separate"/>
      </w:r>
      <w:r w:rsidR="00A07703">
        <w:rPr>
          <w:noProof/>
        </w:rPr>
        <w:t>12</w:t>
      </w:r>
      <w:r>
        <w:rPr>
          <w:noProof/>
        </w:rPr>
        <w:fldChar w:fldCharType="end"/>
      </w:r>
      <w:r w:rsidRPr="0092283F">
        <w:t xml:space="preserve">: </w:t>
      </w:r>
      <w:r w:rsidR="00321731">
        <w:t>Trends in n</w:t>
      </w:r>
      <w:r>
        <w:t xml:space="preserve">umber of focused procurements </w:t>
      </w:r>
      <w:r w:rsidRPr="0092283F">
        <w:t>by organisation</w:t>
      </w:r>
      <w:bookmarkEnd w:id="92"/>
    </w:p>
    <w:tbl>
      <w:tblPr>
        <w:tblStyle w:val="ListTable31"/>
        <w:tblW w:w="8362" w:type="dxa"/>
        <w:tblInd w:w="846" w:type="dxa"/>
        <w:tblLayout w:type="fixed"/>
        <w:tblLook w:val="04A0" w:firstRow="1" w:lastRow="0" w:firstColumn="1" w:lastColumn="0" w:noHBand="0" w:noVBand="1"/>
      </w:tblPr>
      <w:tblGrid>
        <w:gridCol w:w="5386"/>
        <w:gridCol w:w="992"/>
        <w:gridCol w:w="992"/>
        <w:gridCol w:w="992"/>
      </w:tblGrid>
      <w:tr w:rsidR="00321731" w:rsidRPr="0092283F" w14:paraId="3B66DEAA" w14:textId="77777777" w:rsidTr="00924D6D">
        <w:trPr>
          <w:cnfStyle w:val="100000000000" w:firstRow="1" w:lastRow="0" w:firstColumn="0" w:lastColumn="0" w:oddVBand="0" w:evenVBand="0" w:oddHBand="0" w:evenHBand="0" w:firstRowFirstColumn="0" w:firstRowLastColumn="0" w:lastRowFirstColumn="0" w:lastRowLastColumn="0"/>
          <w:trHeight w:val="115"/>
        </w:trPr>
        <w:tc>
          <w:tcPr>
            <w:cnfStyle w:val="001000000100" w:firstRow="0" w:lastRow="0" w:firstColumn="1" w:lastColumn="0" w:oddVBand="0" w:evenVBand="0" w:oddHBand="0" w:evenHBand="0" w:firstRowFirstColumn="1" w:firstRowLastColumn="0" w:lastRowFirstColumn="0" w:lastRowLastColumn="0"/>
            <w:tcW w:w="5386" w:type="dxa"/>
          </w:tcPr>
          <w:p w14:paraId="0CC50413" w14:textId="77777777" w:rsidR="00321731" w:rsidRPr="0092283F" w:rsidRDefault="00321731" w:rsidP="00420659">
            <w:pPr>
              <w:pStyle w:val="TableHeader"/>
              <w:rPr>
                <w:b/>
                <w:sz w:val="20"/>
                <w:szCs w:val="20"/>
              </w:rPr>
            </w:pPr>
            <w:r>
              <w:rPr>
                <w:b/>
                <w:sz w:val="20"/>
                <w:szCs w:val="20"/>
              </w:rPr>
              <w:t>Organisation</w:t>
            </w:r>
          </w:p>
        </w:tc>
        <w:tc>
          <w:tcPr>
            <w:tcW w:w="992" w:type="dxa"/>
          </w:tcPr>
          <w:p w14:paraId="3707A592" w14:textId="77777777" w:rsidR="00321731" w:rsidRPr="0092283F" w:rsidRDefault="00321731" w:rsidP="00420659">
            <w:pPr>
              <w:pStyle w:val="TableHeader"/>
              <w:jc w:val="center"/>
              <w:cnfStyle w:val="100000000000" w:firstRow="1" w:lastRow="0" w:firstColumn="0" w:lastColumn="0" w:oddVBand="0" w:evenVBand="0" w:oddHBand="0" w:evenHBand="0" w:firstRowFirstColumn="0" w:firstRowLastColumn="0" w:lastRowFirstColumn="0" w:lastRowLastColumn="0"/>
              <w:rPr>
                <w:b/>
                <w:sz w:val="20"/>
                <w:szCs w:val="20"/>
              </w:rPr>
            </w:pPr>
            <w:r w:rsidRPr="0092283F">
              <w:rPr>
                <w:b/>
                <w:sz w:val="20"/>
                <w:szCs w:val="20"/>
              </w:rPr>
              <w:t>2015–16</w:t>
            </w:r>
          </w:p>
        </w:tc>
        <w:tc>
          <w:tcPr>
            <w:tcW w:w="992" w:type="dxa"/>
          </w:tcPr>
          <w:p w14:paraId="3B67B612" w14:textId="77777777" w:rsidR="00321731" w:rsidRPr="0092283F" w:rsidRDefault="00321731" w:rsidP="00420659">
            <w:pPr>
              <w:pStyle w:val="TableHeader"/>
              <w:jc w:val="center"/>
              <w:cnfStyle w:val="100000000000" w:firstRow="1" w:lastRow="0" w:firstColumn="0" w:lastColumn="0" w:oddVBand="0" w:evenVBand="0" w:oddHBand="0" w:evenHBand="0" w:firstRowFirstColumn="0" w:firstRowLastColumn="0" w:lastRowFirstColumn="0" w:lastRowLastColumn="0"/>
              <w:rPr>
                <w:b/>
                <w:sz w:val="20"/>
                <w:szCs w:val="20"/>
              </w:rPr>
            </w:pPr>
            <w:r w:rsidRPr="0092283F">
              <w:rPr>
                <w:b/>
                <w:sz w:val="20"/>
                <w:szCs w:val="20"/>
              </w:rPr>
              <w:t>2016–17</w:t>
            </w:r>
          </w:p>
        </w:tc>
        <w:tc>
          <w:tcPr>
            <w:tcW w:w="992" w:type="dxa"/>
          </w:tcPr>
          <w:p w14:paraId="14C096D3" w14:textId="77777777" w:rsidR="00321731" w:rsidRPr="0092283F" w:rsidRDefault="00321731" w:rsidP="00420659">
            <w:pPr>
              <w:pStyle w:val="TableHeader"/>
              <w:jc w:val="center"/>
              <w:cnfStyle w:val="100000000000" w:firstRow="1" w:lastRow="0" w:firstColumn="0" w:lastColumn="0" w:oddVBand="0" w:evenVBand="0" w:oddHBand="0" w:evenHBand="0" w:firstRowFirstColumn="0" w:firstRowLastColumn="0" w:lastRowFirstColumn="0" w:lastRowLastColumn="0"/>
              <w:rPr>
                <w:b/>
                <w:sz w:val="20"/>
                <w:szCs w:val="20"/>
              </w:rPr>
            </w:pPr>
            <w:r>
              <w:rPr>
                <w:b/>
                <w:sz w:val="20"/>
                <w:szCs w:val="20"/>
              </w:rPr>
              <w:t>2017–18</w:t>
            </w:r>
          </w:p>
        </w:tc>
      </w:tr>
      <w:tr w:rsidR="00321731" w:rsidRPr="0092283F" w14:paraId="4EBA2FDC" w14:textId="77777777" w:rsidTr="00924D6D">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5386" w:type="dxa"/>
          </w:tcPr>
          <w:p w14:paraId="2294E8DE" w14:textId="77777777" w:rsidR="00321731" w:rsidRPr="00FF410A" w:rsidRDefault="00321731" w:rsidP="00420659">
            <w:pPr>
              <w:pStyle w:val="TableText"/>
              <w:rPr>
                <w:b w:val="0"/>
              </w:rPr>
            </w:pPr>
            <w:r w:rsidRPr="00FF410A">
              <w:rPr>
                <w:b w:val="0"/>
              </w:rPr>
              <w:t>Department of Economic Development, Jobs, Transport and Resources</w:t>
            </w:r>
          </w:p>
        </w:tc>
        <w:tc>
          <w:tcPr>
            <w:tcW w:w="992" w:type="dxa"/>
          </w:tcPr>
          <w:p w14:paraId="7BEF1B7C" w14:textId="77777777" w:rsidR="00321731" w:rsidRPr="00FF410A" w:rsidRDefault="00321731" w:rsidP="0042065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FF410A">
              <w:rPr>
                <w:color w:val="000000"/>
                <w:sz w:val="20"/>
                <w:szCs w:val="20"/>
              </w:rPr>
              <w:t>40</w:t>
            </w:r>
          </w:p>
        </w:tc>
        <w:tc>
          <w:tcPr>
            <w:tcW w:w="992" w:type="dxa"/>
          </w:tcPr>
          <w:p w14:paraId="1EFE5078" w14:textId="77777777" w:rsidR="00321731" w:rsidRPr="00FF410A" w:rsidRDefault="00321731" w:rsidP="0042065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FF410A">
              <w:rPr>
                <w:rFonts w:cs="Calibri"/>
                <w:sz w:val="20"/>
                <w:szCs w:val="20"/>
              </w:rPr>
              <w:t>34</w:t>
            </w:r>
          </w:p>
        </w:tc>
        <w:tc>
          <w:tcPr>
            <w:tcW w:w="992" w:type="dxa"/>
          </w:tcPr>
          <w:p w14:paraId="1D61DF24" w14:textId="4A6B331C" w:rsidR="00321731" w:rsidRPr="0092283F" w:rsidRDefault="00924D6D" w:rsidP="00420659">
            <w:pPr>
              <w:jc w:val="right"/>
              <w:cnfStyle w:val="000000100000" w:firstRow="0" w:lastRow="0" w:firstColumn="0" w:lastColumn="0" w:oddVBand="0" w:evenVBand="0" w:oddHBand="1" w:evenHBand="0" w:firstRowFirstColumn="0" w:firstRowLastColumn="0" w:lastRowFirstColumn="0" w:lastRowLastColumn="0"/>
              <w:rPr>
                <w:rFonts w:cs="Calibri"/>
                <w:sz w:val="20"/>
                <w:szCs w:val="20"/>
              </w:rPr>
            </w:pPr>
            <w:r w:rsidRPr="00FF410A">
              <w:rPr>
                <w:rFonts w:cs="Calibri"/>
                <w:color w:val="000000"/>
                <w:sz w:val="20"/>
                <w:szCs w:val="20"/>
              </w:rPr>
              <w:t>60</w:t>
            </w:r>
          </w:p>
        </w:tc>
      </w:tr>
      <w:tr w:rsidR="00321731" w:rsidRPr="0092283F" w14:paraId="562082F8" w14:textId="77777777" w:rsidTr="00924D6D">
        <w:trPr>
          <w:trHeight w:val="269"/>
        </w:trPr>
        <w:tc>
          <w:tcPr>
            <w:cnfStyle w:val="001000000000" w:firstRow="0" w:lastRow="0" w:firstColumn="1" w:lastColumn="0" w:oddVBand="0" w:evenVBand="0" w:oddHBand="0" w:evenHBand="0" w:firstRowFirstColumn="0" w:firstRowLastColumn="0" w:lastRowFirstColumn="0" w:lastRowLastColumn="0"/>
            <w:tcW w:w="5386" w:type="dxa"/>
          </w:tcPr>
          <w:p w14:paraId="57CAE536" w14:textId="77777777" w:rsidR="00321731" w:rsidRPr="005B2F15" w:rsidRDefault="00321731" w:rsidP="00420659">
            <w:pPr>
              <w:pStyle w:val="TableText"/>
              <w:rPr>
                <w:b w:val="0"/>
              </w:rPr>
            </w:pPr>
            <w:r w:rsidRPr="005B2F15">
              <w:rPr>
                <w:b w:val="0"/>
              </w:rPr>
              <w:t>Department of Education and Training</w:t>
            </w:r>
          </w:p>
        </w:tc>
        <w:tc>
          <w:tcPr>
            <w:tcW w:w="992" w:type="dxa"/>
          </w:tcPr>
          <w:p w14:paraId="21299C53" w14:textId="77777777" w:rsidR="00321731" w:rsidRPr="0092283F" w:rsidRDefault="00321731" w:rsidP="00420659">
            <w:pPr>
              <w:jc w:val="right"/>
              <w:cnfStyle w:val="000000000000" w:firstRow="0" w:lastRow="0" w:firstColumn="0" w:lastColumn="0" w:oddVBand="0" w:evenVBand="0" w:oddHBand="0" w:evenHBand="0" w:firstRowFirstColumn="0" w:firstRowLastColumn="0" w:lastRowFirstColumn="0" w:lastRowLastColumn="0"/>
              <w:rPr>
                <w:color w:val="000000"/>
                <w:sz w:val="20"/>
                <w:szCs w:val="20"/>
              </w:rPr>
            </w:pPr>
            <w:r w:rsidRPr="0092283F">
              <w:rPr>
                <w:color w:val="000000"/>
                <w:sz w:val="20"/>
                <w:szCs w:val="20"/>
              </w:rPr>
              <w:t>30</w:t>
            </w:r>
          </w:p>
        </w:tc>
        <w:tc>
          <w:tcPr>
            <w:tcW w:w="992" w:type="dxa"/>
          </w:tcPr>
          <w:p w14:paraId="545EECA0" w14:textId="77777777" w:rsidR="00321731" w:rsidRPr="0092283F" w:rsidRDefault="00321731" w:rsidP="00420659">
            <w:pPr>
              <w:jc w:val="right"/>
              <w:cnfStyle w:val="000000000000" w:firstRow="0" w:lastRow="0" w:firstColumn="0" w:lastColumn="0" w:oddVBand="0" w:evenVBand="0" w:oddHBand="0" w:evenHBand="0" w:firstRowFirstColumn="0" w:firstRowLastColumn="0" w:lastRowFirstColumn="0" w:lastRowLastColumn="0"/>
              <w:rPr>
                <w:color w:val="000000"/>
                <w:sz w:val="20"/>
                <w:szCs w:val="20"/>
              </w:rPr>
            </w:pPr>
            <w:r w:rsidRPr="0092283F">
              <w:rPr>
                <w:rFonts w:cs="Calibri"/>
                <w:sz w:val="20"/>
                <w:szCs w:val="20"/>
              </w:rPr>
              <w:t>14</w:t>
            </w:r>
          </w:p>
        </w:tc>
        <w:tc>
          <w:tcPr>
            <w:tcW w:w="992" w:type="dxa"/>
          </w:tcPr>
          <w:p w14:paraId="58A8931C" w14:textId="77777777" w:rsidR="00321731" w:rsidRPr="0092283F" w:rsidRDefault="00321731" w:rsidP="00420659">
            <w:pPr>
              <w:jc w:val="right"/>
              <w:cnfStyle w:val="000000000000" w:firstRow="0" w:lastRow="0" w:firstColumn="0" w:lastColumn="0" w:oddVBand="0" w:evenVBand="0" w:oddHBand="0" w:evenHBand="0" w:firstRowFirstColumn="0" w:firstRowLastColumn="0" w:lastRowFirstColumn="0" w:lastRowLastColumn="0"/>
              <w:rPr>
                <w:rFonts w:cs="Calibri"/>
                <w:sz w:val="20"/>
                <w:szCs w:val="20"/>
              </w:rPr>
            </w:pPr>
            <w:r>
              <w:rPr>
                <w:rFonts w:cs="Calibri"/>
                <w:color w:val="000000"/>
                <w:sz w:val="20"/>
                <w:szCs w:val="20"/>
              </w:rPr>
              <w:t>10</w:t>
            </w:r>
          </w:p>
        </w:tc>
      </w:tr>
      <w:tr w:rsidR="00321731" w:rsidRPr="0092283F" w14:paraId="7F43946F" w14:textId="77777777" w:rsidTr="00924D6D">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5386" w:type="dxa"/>
          </w:tcPr>
          <w:p w14:paraId="384D5037" w14:textId="77777777" w:rsidR="00321731" w:rsidRPr="005B2F15" w:rsidRDefault="00321731" w:rsidP="00420659">
            <w:pPr>
              <w:pStyle w:val="TableText"/>
              <w:rPr>
                <w:b w:val="0"/>
              </w:rPr>
            </w:pPr>
            <w:r w:rsidRPr="005B2F15">
              <w:rPr>
                <w:b w:val="0"/>
              </w:rPr>
              <w:t>Department of Environment, Land, Water and Planning</w:t>
            </w:r>
          </w:p>
        </w:tc>
        <w:tc>
          <w:tcPr>
            <w:tcW w:w="992" w:type="dxa"/>
          </w:tcPr>
          <w:p w14:paraId="0CA18DDA" w14:textId="77777777" w:rsidR="00321731" w:rsidRPr="0092283F" w:rsidRDefault="00321731" w:rsidP="0042065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92283F">
              <w:rPr>
                <w:color w:val="000000"/>
                <w:sz w:val="20"/>
                <w:szCs w:val="20"/>
              </w:rPr>
              <w:t>28</w:t>
            </w:r>
          </w:p>
        </w:tc>
        <w:tc>
          <w:tcPr>
            <w:tcW w:w="992" w:type="dxa"/>
          </w:tcPr>
          <w:p w14:paraId="2CCB9ABF" w14:textId="77777777" w:rsidR="00321731" w:rsidRPr="0092283F" w:rsidRDefault="00321731" w:rsidP="0042065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92283F">
              <w:rPr>
                <w:rFonts w:cs="Calibri"/>
                <w:sz w:val="20"/>
                <w:szCs w:val="20"/>
              </w:rPr>
              <w:t>24</w:t>
            </w:r>
          </w:p>
        </w:tc>
        <w:tc>
          <w:tcPr>
            <w:tcW w:w="992" w:type="dxa"/>
          </w:tcPr>
          <w:p w14:paraId="19FC4DDB" w14:textId="77777777" w:rsidR="00321731" w:rsidRPr="0092283F" w:rsidRDefault="00321731" w:rsidP="00420659">
            <w:pPr>
              <w:jc w:val="right"/>
              <w:cnfStyle w:val="000000100000" w:firstRow="0" w:lastRow="0" w:firstColumn="0" w:lastColumn="0" w:oddVBand="0" w:evenVBand="0" w:oddHBand="1" w:evenHBand="0" w:firstRowFirstColumn="0" w:firstRowLastColumn="0" w:lastRowFirstColumn="0" w:lastRowLastColumn="0"/>
              <w:rPr>
                <w:rFonts w:cs="Calibri"/>
                <w:sz w:val="20"/>
                <w:szCs w:val="20"/>
              </w:rPr>
            </w:pPr>
            <w:r>
              <w:rPr>
                <w:rFonts w:cs="Calibri"/>
                <w:color w:val="000000"/>
                <w:sz w:val="20"/>
                <w:szCs w:val="20"/>
              </w:rPr>
              <w:t>24</w:t>
            </w:r>
          </w:p>
        </w:tc>
      </w:tr>
      <w:tr w:rsidR="00321731" w:rsidRPr="0092283F" w14:paraId="5E5BECD3" w14:textId="77777777" w:rsidTr="00924D6D">
        <w:trPr>
          <w:trHeight w:val="255"/>
        </w:trPr>
        <w:tc>
          <w:tcPr>
            <w:cnfStyle w:val="001000000000" w:firstRow="0" w:lastRow="0" w:firstColumn="1" w:lastColumn="0" w:oddVBand="0" w:evenVBand="0" w:oddHBand="0" w:evenHBand="0" w:firstRowFirstColumn="0" w:firstRowLastColumn="0" w:lastRowFirstColumn="0" w:lastRowLastColumn="0"/>
            <w:tcW w:w="5386" w:type="dxa"/>
          </w:tcPr>
          <w:p w14:paraId="5EA26A45" w14:textId="77777777" w:rsidR="00321731" w:rsidRPr="005B2F15" w:rsidRDefault="00321731" w:rsidP="00420659">
            <w:pPr>
              <w:pStyle w:val="TableText"/>
              <w:rPr>
                <w:b w:val="0"/>
              </w:rPr>
            </w:pPr>
            <w:r w:rsidRPr="005B2F15">
              <w:rPr>
                <w:b w:val="0"/>
              </w:rPr>
              <w:t>Department of Health and Human Services</w:t>
            </w:r>
          </w:p>
        </w:tc>
        <w:tc>
          <w:tcPr>
            <w:tcW w:w="992" w:type="dxa"/>
          </w:tcPr>
          <w:p w14:paraId="34854646" w14:textId="77777777" w:rsidR="00321731" w:rsidRPr="0092283F" w:rsidRDefault="00321731" w:rsidP="00420659">
            <w:pPr>
              <w:jc w:val="right"/>
              <w:cnfStyle w:val="000000000000" w:firstRow="0" w:lastRow="0" w:firstColumn="0" w:lastColumn="0" w:oddVBand="0" w:evenVBand="0" w:oddHBand="0" w:evenHBand="0" w:firstRowFirstColumn="0" w:firstRowLastColumn="0" w:lastRowFirstColumn="0" w:lastRowLastColumn="0"/>
              <w:rPr>
                <w:color w:val="000000"/>
                <w:sz w:val="20"/>
                <w:szCs w:val="20"/>
              </w:rPr>
            </w:pPr>
            <w:r w:rsidRPr="0092283F">
              <w:rPr>
                <w:color w:val="000000"/>
                <w:sz w:val="20"/>
                <w:szCs w:val="20"/>
              </w:rPr>
              <w:t>2</w:t>
            </w:r>
          </w:p>
        </w:tc>
        <w:tc>
          <w:tcPr>
            <w:tcW w:w="992" w:type="dxa"/>
          </w:tcPr>
          <w:p w14:paraId="77E5C843" w14:textId="77777777" w:rsidR="00321731" w:rsidRPr="0092283F" w:rsidRDefault="00321731" w:rsidP="00420659">
            <w:pPr>
              <w:jc w:val="right"/>
              <w:cnfStyle w:val="000000000000" w:firstRow="0" w:lastRow="0" w:firstColumn="0" w:lastColumn="0" w:oddVBand="0" w:evenVBand="0" w:oddHBand="0" w:evenHBand="0" w:firstRowFirstColumn="0" w:firstRowLastColumn="0" w:lastRowFirstColumn="0" w:lastRowLastColumn="0"/>
              <w:rPr>
                <w:color w:val="000000"/>
                <w:sz w:val="20"/>
                <w:szCs w:val="20"/>
              </w:rPr>
            </w:pPr>
            <w:r w:rsidRPr="0092283F">
              <w:rPr>
                <w:rFonts w:cs="Calibri"/>
                <w:sz w:val="20"/>
                <w:szCs w:val="20"/>
              </w:rPr>
              <w:t>1</w:t>
            </w:r>
          </w:p>
        </w:tc>
        <w:tc>
          <w:tcPr>
            <w:tcW w:w="992" w:type="dxa"/>
          </w:tcPr>
          <w:p w14:paraId="4540B491" w14:textId="77777777" w:rsidR="00321731" w:rsidRPr="0092283F" w:rsidRDefault="00321731" w:rsidP="00420659">
            <w:pPr>
              <w:jc w:val="right"/>
              <w:cnfStyle w:val="000000000000" w:firstRow="0" w:lastRow="0" w:firstColumn="0" w:lastColumn="0" w:oddVBand="0" w:evenVBand="0" w:oddHBand="0" w:evenHBand="0" w:firstRowFirstColumn="0" w:firstRowLastColumn="0" w:lastRowFirstColumn="0" w:lastRowLastColumn="0"/>
              <w:rPr>
                <w:rFonts w:cs="Calibri"/>
                <w:sz w:val="20"/>
                <w:szCs w:val="20"/>
              </w:rPr>
            </w:pPr>
            <w:r>
              <w:rPr>
                <w:rFonts w:cs="Calibri"/>
                <w:color w:val="000000"/>
                <w:sz w:val="20"/>
                <w:szCs w:val="20"/>
              </w:rPr>
              <w:t>3</w:t>
            </w:r>
          </w:p>
        </w:tc>
      </w:tr>
      <w:tr w:rsidR="00321731" w:rsidRPr="0092283F" w14:paraId="68A8750A" w14:textId="77777777" w:rsidTr="00924D6D">
        <w:trPr>
          <w:cnfStyle w:val="000000100000" w:firstRow="0" w:lastRow="0" w:firstColumn="0" w:lastColumn="0" w:oddVBand="0" w:evenVBand="0" w:oddHBand="1" w:evenHBand="0" w:firstRowFirstColumn="0" w:firstRowLastColumn="0" w:lastRowFirstColumn="0" w:lastRowLastColumn="0"/>
          <w:trHeight w:val="275"/>
        </w:trPr>
        <w:tc>
          <w:tcPr>
            <w:cnfStyle w:val="001000000000" w:firstRow="0" w:lastRow="0" w:firstColumn="1" w:lastColumn="0" w:oddVBand="0" w:evenVBand="0" w:oddHBand="0" w:evenHBand="0" w:firstRowFirstColumn="0" w:firstRowLastColumn="0" w:lastRowFirstColumn="0" w:lastRowLastColumn="0"/>
            <w:tcW w:w="5386" w:type="dxa"/>
          </w:tcPr>
          <w:p w14:paraId="079945CE" w14:textId="77777777" w:rsidR="00321731" w:rsidRPr="005B2F15" w:rsidRDefault="00321731" w:rsidP="00420659">
            <w:pPr>
              <w:pStyle w:val="TableText"/>
              <w:rPr>
                <w:b w:val="0"/>
              </w:rPr>
            </w:pPr>
            <w:r w:rsidRPr="005B2F15">
              <w:rPr>
                <w:b w:val="0"/>
              </w:rPr>
              <w:t>Department of Justice and Regulation</w:t>
            </w:r>
          </w:p>
        </w:tc>
        <w:tc>
          <w:tcPr>
            <w:tcW w:w="992" w:type="dxa"/>
          </w:tcPr>
          <w:p w14:paraId="0A6B568D" w14:textId="77777777" w:rsidR="00321731" w:rsidRPr="0092283F" w:rsidRDefault="00321731" w:rsidP="0042065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92283F">
              <w:rPr>
                <w:color w:val="000000"/>
                <w:sz w:val="20"/>
                <w:szCs w:val="20"/>
              </w:rPr>
              <w:t>24</w:t>
            </w:r>
          </w:p>
        </w:tc>
        <w:tc>
          <w:tcPr>
            <w:tcW w:w="992" w:type="dxa"/>
          </w:tcPr>
          <w:p w14:paraId="52E410E6" w14:textId="77777777" w:rsidR="00321731" w:rsidRPr="0092283F" w:rsidRDefault="00321731" w:rsidP="0042065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92283F">
              <w:rPr>
                <w:rFonts w:cs="Calibri"/>
                <w:sz w:val="20"/>
                <w:szCs w:val="20"/>
              </w:rPr>
              <w:t>36</w:t>
            </w:r>
          </w:p>
        </w:tc>
        <w:tc>
          <w:tcPr>
            <w:tcW w:w="992" w:type="dxa"/>
          </w:tcPr>
          <w:p w14:paraId="126931CE" w14:textId="77777777" w:rsidR="00321731" w:rsidRPr="0092283F" w:rsidRDefault="00321731" w:rsidP="00420659">
            <w:pPr>
              <w:jc w:val="right"/>
              <w:cnfStyle w:val="000000100000" w:firstRow="0" w:lastRow="0" w:firstColumn="0" w:lastColumn="0" w:oddVBand="0" w:evenVBand="0" w:oddHBand="1" w:evenHBand="0" w:firstRowFirstColumn="0" w:firstRowLastColumn="0" w:lastRowFirstColumn="0" w:lastRowLastColumn="0"/>
              <w:rPr>
                <w:rFonts w:cs="Calibri"/>
                <w:sz w:val="20"/>
                <w:szCs w:val="20"/>
              </w:rPr>
            </w:pPr>
            <w:r>
              <w:rPr>
                <w:rFonts w:cs="Calibri"/>
                <w:color w:val="000000"/>
                <w:sz w:val="20"/>
                <w:szCs w:val="20"/>
              </w:rPr>
              <w:t>26</w:t>
            </w:r>
          </w:p>
        </w:tc>
      </w:tr>
      <w:tr w:rsidR="00321731" w:rsidRPr="0092283F" w14:paraId="63C9E3B8" w14:textId="77777777" w:rsidTr="00924D6D">
        <w:trPr>
          <w:trHeight w:val="240"/>
        </w:trPr>
        <w:tc>
          <w:tcPr>
            <w:cnfStyle w:val="001000000000" w:firstRow="0" w:lastRow="0" w:firstColumn="1" w:lastColumn="0" w:oddVBand="0" w:evenVBand="0" w:oddHBand="0" w:evenHBand="0" w:firstRowFirstColumn="0" w:firstRowLastColumn="0" w:lastRowFirstColumn="0" w:lastRowLastColumn="0"/>
            <w:tcW w:w="5386" w:type="dxa"/>
          </w:tcPr>
          <w:p w14:paraId="219EEC3B" w14:textId="77777777" w:rsidR="00321731" w:rsidRPr="005B2F15" w:rsidRDefault="00321731" w:rsidP="00420659">
            <w:pPr>
              <w:pStyle w:val="TableText"/>
              <w:rPr>
                <w:b w:val="0"/>
              </w:rPr>
            </w:pPr>
            <w:r w:rsidRPr="005B2F15">
              <w:rPr>
                <w:b w:val="0"/>
              </w:rPr>
              <w:t>Department of Premier and Cabinet</w:t>
            </w:r>
          </w:p>
        </w:tc>
        <w:tc>
          <w:tcPr>
            <w:tcW w:w="992" w:type="dxa"/>
          </w:tcPr>
          <w:p w14:paraId="775072F6" w14:textId="7984456B" w:rsidR="00321731" w:rsidRPr="0092283F" w:rsidRDefault="00970A74" w:rsidP="00420659">
            <w:pPr>
              <w:jc w:val="right"/>
              <w:cnfStyle w:val="000000000000" w:firstRow="0" w:lastRow="0" w:firstColumn="0" w:lastColumn="0" w:oddVBand="0" w:evenVBand="0" w:oddHBand="0" w:evenHBand="0" w:firstRowFirstColumn="0" w:firstRowLastColumn="0" w:lastRowFirstColumn="0" w:lastRowLastColumn="0"/>
              <w:rPr>
                <w:color w:val="000000"/>
                <w:sz w:val="20"/>
                <w:szCs w:val="20"/>
              </w:rPr>
            </w:pPr>
            <w:r>
              <w:rPr>
                <w:color w:val="000000"/>
                <w:sz w:val="20"/>
                <w:szCs w:val="20"/>
              </w:rPr>
              <w:t>1</w:t>
            </w:r>
          </w:p>
        </w:tc>
        <w:tc>
          <w:tcPr>
            <w:tcW w:w="992" w:type="dxa"/>
          </w:tcPr>
          <w:p w14:paraId="64574804" w14:textId="62680504" w:rsidR="00321731" w:rsidRPr="0092283F" w:rsidRDefault="00970A74" w:rsidP="00420659">
            <w:pPr>
              <w:jc w:val="right"/>
              <w:cnfStyle w:val="000000000000" w:firstRow="0" w:lastRow="0" w:firstColumn="0" w:lastColumn="0" w:oddVBand="0" w:evenVBand="0" w:oddHBand="0" w:evenHBand="0" w:firstRowFirstColumn="0" w:firstRowLastColumn="0" w:lastRowFirstColumn="0" w:lastRowLastColumn="0"/>
              <w:rPr>
                <w:rFonts w:cs="Calibri"/>
                <w:sz w:val="20"/>
                <w:szCs w:val="20"/>
              </w:rPr>
            </w:pPr>
            <w:r>
              <w:rPr>
                <w:rFonts w:cs="Calibri"/>
                <w:sz w:val="20"/>
                <w:szCs w:val="20"/>
              </w:rPr>
              <w:t>2</w:t>
            </w:r>
          </w:p>
        </w:tc>
        <w:tc>
          <w:tcPr>
            <w:tcW w:w="992" w:type="dxa"/>
          </w:tcPr>
          <w:p w14:paraId="0372BD04" w14:textId="77777777" w:rsidR="00321731" w:rsidRPr="0092283F" w:rsidRDefault="00321731" w:rsidP="00420659">
            <w:pPr>
              <w:jc w:val="right"/>
              <w:cnfStyle w:val="000000000000" w:firstRow="0" w:lastRow="0" w:firstColumn="0" w:lastColumn="0" w:oddVBand="0" w:evenVBand="0" w:oddHBand="0" w:evenHBand="0" w:firstRowFirstColumn="0" w:firstRowLastColumn="0" w:lastRowFirstColumn="0" w:lastRowLastColumn="0"/>
              <w:rPr>
                <w:rFonts w:cs="Calibri"/>
                <w:sz w:val="20"/>
                <w:szCs w:val="20"/>
              </w:rPr>
            </w:pPr>
            <w:r>
              <w:rPr>
                <w:rFonts w:cs="Calibri"/>
                <w:color w:val="000000"/>
                <w:sz w:val="20"/>
                <w:szCs w:val="20"/>
              </w:rPr>
              <w:t>1</w:t>
            </w:r>
          </w:p>
        </w:tc>
      </w:tr>
      <w:tr w:rsidR="00321731" w:rsidRPr="0092283F" w14:paraId="1A5106F5" w14:textId="77777777" w:rsidTr="00924D6D">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5386" w:type="dxa"/>
          </w:tcPr>
          <w:p w14:paraId="5331FC8F" w14:textId="77777777" w:rsidR="00321731" w:rsidRPr="005B2F15" w:rsidRDefault="00321731" w:rsidP="00420659">
            <w:pPr>
              <w:pStyle w:val="TableText"/>
              <w:rPr>
                <w:b w:val="0"/>
              </w:rPr>
            </w:pPr>
            <w:r w:rsidRPr="005B2F15">
              <w:rPr>
                <w:b w:val="0"/>
              </w:rPr>
              <w:t>Department of Treasury and Finance</w:t>
            </w:r>
          </w:p>
        </w:tc>
        <w:tc>
          <w:tcPr>
            <w:tcW w:w="992" w:type="dxa"/>
          </w:tcPr>
          <w:p w14:paraId="4AFAD7FA" w14:textId="4B956110" w:rsidR="00321731" w:rsidRPr="0092283F" w:rsidRDefault="00970A74" w:rsidP="0042065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Pr>
                <w:color w:val="000000"/>
                <w:sz w:val="20"/>
                <w:szCs w:val="20"/>
              </w:rPr>
              <w:t>0</w:t>
            </w:r>
          </w:p>
        </w:tc>
        <w:tc>
          <w:tcPr>
            <w:tcW w:w="992" w:type="dxa"/>
          </w:tcPr>
          <w:p w14:paraId="143C6957" w14:textId="3CB99142" w:rsidR="00321731" w:rsidRPr="0092283F" w:rsidRDefault="00970A74" w:rsidP="0042065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Pr>
                <w:rFonts w:cs="Calibri"/>
                <w:sz w:val="20"/>
                <w:szCs w:val="20"/>
              </w:rPr>
              <w:t>0</w:t>
            </w:r>
          </w:p>
        </w:tc>
        <w:tc>
          <w:tcPr>
            <w:tcW w:w="992" w:type="dxa"/>
          </w:tcPr>
          <w:p w14:paraId="6CA1E813" w14:textId="77777777" w:rsidR="00321731" w:rsidRPr="0092283F" w:rsidRDefault="00321731" w:rsidP="00420659">
            <w:pPr>
              <w:jc w:val="right"/>
              <w:cnfStyle w:val="000000100000" w:firstRow="0" w:lastRow="0" w:firstColumn="0" w:lastColumn="0" w:oddVBand="0" w:evenVBand="0" w:oddHBand="1" w:evenHBand="0" w:firstRowFirstColumn="0" w:firstRowLastColumn="0" w:lastRowFirstColumn="0" w:lastRowLastColumn="0"/>
              <w:rPr>
                <w:rFonts w:cs="Calibri"/>
                <w:sz w:val="20"/>
                <w:szCs w:val="20"/>
              </w:rPr>
            </w:pPr>
            <w:r>
              <w:rPr>
                <w:rFonts w:cs="Calibri"/>
                <w:color w:val="000000"/>
                <w:sz w:val="20"/>
                <w:szCs w:val="20"/>
              </w:rPr>
              <w:t>4</w:t>
            </w:r>
          </w:p>
        </w:tc>
      </w:tr>
      <w:tr w:rsidR="00DA5821" w:rsidRPr="005B2F15" w14:paraId="41ED8DEF" w14:textId="77777777" w:rsidTr="00924D6D">
        <w:trPr>
          <w:trHeight w:val="260"/>
        </w:trPr>
        <w:tc>
          <w:tcPr>
            <w:cnfStyle w:val="001000000000" w:firstRow="0" w:lastRow="0" w:firstColumn="1" w:lastColumn="0" w:oddVBand="0" w:evenVBand="0" w:oddHBand="0" w:evenHBand="0" w:firstRowFirstColumn="0" w:firstRowLastColumn="0" w:lastRowFirstColumn="0" w:lastRowLastColumn="0"/>
            <w:tcW w:w="5386" w:type="dxa"/>
          </w:tcPr>
          <w:p w14:paraId="153BB5B6" w14:textId="09FD940B" w:rsidR="00DA5821" w:rsidRPr="005B2F15" w:rsidRDefault="00820DB7" w:rsidP="00DB6154">
            <w:pPr>
              <w:pStyle w:val="TableText"/>
              <w:rPr>
                <w:b w:val="0"/>
              </w:rPr>
            </w:pPr>
            <w:r>
              <w:rPr>
                <w:b w:val="0"/>
              </w:rPr>
              <w:t>CenITex</w:t>
            </w:r>
          </w:p>
        </w:tc>
        <w:tc>
          <w:tcPr>
            <w:tcW w:w="992" w:type="dxa"/>
          </w:tcPr>
          <w:p w14:paraId="2EB6B99F" w14:textId="77777777" w:rsidR="00DA5821" w:rsidRPr="005B2F15" w:rsidRDefault="00DA5821" w:rsidP="00DB6154">
            <w:pPr>
              <w:jc w:val="right"/>
              <w:cnfStyle w:val="000000000000" w:firstRow="0" w:lastRow="0" w:firstColumn="0" w:lastColumn="0" w:oddVBand="0" w:evenVBand="0" w:oddHBand="0" w:evenHBand="0" w:firstRowFirstColumn="0" w:firstRowLastColumn="0" w:lastRowFirstColumn="0" w:lastRowLastColumn="0"/>
              <w:rPr>
                <w:sz w:val="20"/>
                <w:szCs w:val="20"/>
              </w:rPr>
            </w:pPr>
            <w:r w:rsidRPr="005B2F15">
              <w:rPr>
                <w:sz w:val="20"/>
                <w:szCs w:val="20"/>
              </w:rPr>
              <w:t>n/a</w:t>
            </w:r>
          </w:p>
        </w:tc>
        <w:tc>
          <w:tcPr>
            <w:tcW w:w="992" w:type="dxa"/>
          </w:tcPr>
          <w:p w14:paraId="32FBCC93" w14:textId="77777777" w:rsidR="00DA5821" w:rsidRPr="005B2F15" w:rsidRDefault="00DA5821" w:rsidP="00DB6154">
            <w:pPr>
              <w:jc w:val="right"/>
              <w:cnfStyle w:val="000000000000" w:firstRow="0" w:lastRow="0" w:firstColumn="0" w:lastColumn="0" w:oddVBand="0" w:evenVBand="0" w:oddHBand="0" w:evenHBand="0" w:firstRowFirstColumn="0" w:firstRowLastColumn="0" w:lastRowFirstColumn="0" w:lastRowLastColumn="0"/>
              <w:rPr>
                <w:sz w:val="20"/>
                <w:szCs w:val="20"/>
              </w:rPr>
            </w:pPr>
            <w:r w:rsidRPr="005B2F15">
              <w:rPr>
                <w:sz w:val="20"/>
                <w:szCs w:val="20"/>
              </w:rPr>
              <w:t>n/a</w:t>
            </w:r>
          </w:p>
        </w:tc>
        <w:tc>
          <w:tcPr>
            <w:tcW w:w="992" w:type="dxa"/>
          </w:tcPr>
          <w:p w14:paraId="00E3E5A5" w14:textId="77777777" w:rsidR="00DA5821" w:rsidRPr="005B2F15" w:rsidRDefault="00DA5821" w:rsidP="00DB6154">
            <w:pPr>
              <w:jc w:val="right"/>
              <w:cnfStyle w:val="000000000000" w:firstRow="0" w:lastRow="0" w:firstColumn="0" w:lastColumn="0" w:oddVBand="0" w:evenVBand="0" w:oddHBand="0" w:evenHBand="0" w:firstRowFirstColumn="0" w:firstRowLastColumn="0" w:lastRowFirstColumn="0" w:lastRowLastColumn="0"/>
              <w:rPr>
                <w:rFonts w:cs="Calibri"/>
                <w:sz w:val="20"/>
                <w:szCs w:val="20"/>
              </w:rPr>
            </w:pPr>
            <w:r w:rsidRPr="005B2F15">
              <w:rPr>
                <w:rFonts w:cs="Calibri"/>
                <w:sz w:val="20"/>
                <w:szCs w:val="20"/>
              </w:rPr>
              <w:t>0</w:t>
            </w:r>
          </w:p>
        </w:tc>
      </w:tr>
      <w:tr w:rsidR="00321731" w:rsidRPr="0092283F" w14:paraId="3898DB28" w14:textId="77777777" w:rsidTr="00924D6D">
        <w:trPr>
          <w:cnfStyle w:val="000000100000" w:firstRow="0" w:lastRow="0" w:firstColumn="0" w:lastColumn="0" w:oddVBand="0" w:evenVBand="0" w:oddHBand="1" w:evenHBand="0" w:firstRowFirstColumn="0" w:firstRowLastColumn="0" w:lastRowFirstColumn="0" w:lastRowLastColumn="0"/>
          <w:trHeight w:val="335"/>
        </w:trPr>
        <w:tc>
          <w:tcPr>
            <w:cnfStyle w:val="001000000000" w:firstRow="0" w:lastRow="0" w:firstColumn="1" w:lastColumn="0" w:oddVBand="0" w:evenVBand="0" w:oddHBand="0" w:evenHBand="0" w:firstRowFirstColumn="0" w:firstRowLastColumn="0" w:lastRowFirstColumn="0" w:lastRowLastColumn="0"/>
            <w:tcW w:w="5386" w:type="dxa"/>
          </w:tcPr>
          <w:p w14:paraId="0E1CDBA4" w14:textId="77777777" w:rsidR="00321731" w:rsidRPr="005B2F15" w:rsidRDefault="00321731" w:rsidP="00420659">
            <w:pPr>
              <w:pStyle w:val="TableText"/>
              <w:rPr>
                <w:b w:val="0"/>
              </w:rPr>
            </w:pPr>
            <w:r w:rsidRPr="005B2F15">
              <w:rPr>
                <w:b w:val="0"/>
              </w:rPr>
              <w:t>Public Transport Victoria</w:t>
            </w:r>
          </w:p>
        </w:tc>
        <w:tc>
          <w:tcPr>
            <w:tcW w:w="992" w:type="dxa"/>
          </w:tcPr>
          <w:p w14:paraId="482CE0BD" w14:textId="2DBB76EE" w:rsidR="00321731" w:rsidRPr="0092283F" w:rsidRDefault="00970A74" w:rsidP="0042065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Pr>
                <w:color w:val="000000"/>
                <w:sz w:val="20"/>
                <w:szCs w:val="20"/>
              </w:rPr>
              <w:t>n/a</w:t>
            </w:r>
          </w:p>
        </w:tc>
        <w:tc>
          <w:tcPr>
            <w:tcW w:w="992" w:type="dxa"/>
          </w:tcPr>
          <w:p w14:paraId="7CB69915" w14:textId="0BCE4AA0" w:rsidR="00321731" w:rsidRPr="0092283F" w:rsidRDefault="00970A74" w:rsidP="0042065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Pr>
                <w:color w:val="000000"/>
                <w:sz w:val="20"/>
                <w:szCs w:val="20"/>
              </w:rPr>
              <w:t>4</w:t>
            </w:r>
          </w:p>
        </w:tc>
        <w:tc>
          <w:tcPr>
            <w:tcW w:w="992" w:type="dxa"/>
          </w:tcPr>
          <w:p w14:paraId="041BC673" w14:textId="77777777" w:rsidR="00321731" w:rsidRPr="001A7C0F" w:rsidRDefault="00321731" w:rsidP="0042065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Pr>
                <w:rFonts w:cs="Calibri"/>
                <w:color w:val="000000"/>
                <w:sz w:val="20"/>
                <w:szCs w:val="20"/>
              </w:rPr>
              <w:t>1</w:t>
            </w:r>
          </w:p>
        </w:tc>
      </w:tr>
      <w:tr w:rsidR="00321731" w:rsidRPr="0092283F" w14:paraId="2F056F6B" w14:textId="77777777" w:rsidTr="00924D6D">
        <w:trPr>
          <w:trHeight w:val="255"/>
        </w:trPr>
        <w:tc>
          <w:tcPr>
            <w:cnfStyle w:val="001000000000" w:firstRow="0" w:lastRow="0" w:firstColumn="1" w:lastColumn="0" w:oddVBand="0" w:evenVBand="0" w:oddHBand="0" w:evenHBand="0" w:firstRowFirstColumn="0" w:firstRowLastColumn="0" w:lastRowFirstColumn="0" w:lastRowLastColumn="0"/>
            <w:tcW w:w="5386" w:type="dxa"/>
          </w:tcPr>
          <w:p w14:paraId="5B1C5BE8" w14:textId="77777777" w:rsidR="00321731" w:rsidRPr="005B2F15" w:rsidRDefault="00321731" w:rsidP="00420659">
            <w:pPr>
              <w:pStyle w:val="TableText"/>
              <w:rPr>
                <w:b w:val="0"/>
              </w:rPr>
            </w:pPr>
            <w:r w:rsidRPr="005B2F15">
              <w:rPr>
                <w:b w:val="0"/>
              </w:rPr>
              <w:t>VicRoads</w:t>
            </w:r>
          </w:p>
        </w:tc>
        <w:tc>
          <w:tcPr>
            <w:tcW w:w="992" w:type="dxa"/>
          </w:tcPr>
          <w:p w14:paraId="6A3E9031" w14:textId="2A321598" w:rsidR="00321731" w:rsidRPr="0092283F" w:rsidRDefault="00321731" w:rsidP="00420659">
            <w:pPr>
              <w:jc w:val="right"/>
              <w:cnfStyle w:val="000000000000" w:firstRow="0" w:lastRow="0" w:firstColumn="0" w:lastColumn="0" w:oddVBand="0" w:evenVBand="0" w:oddHBand="0" w:evenHBand="0" w:firstRowFirstColumn="0" w:firstRowLastColumn="0" w:lastRowFirstColumn="0" w:lastRowLastColumn="0"/>
              <w:rPr>
                <w:color w:val="000000"/>
                <w:sz w:val="20"/>
                <w:szCs w:val="20"/>
              </w:rPr>
            </w:pPr>
            <w:r>
              <w:rPr>
                <w:color w:val="000000"/>
                <w:sz w:val="20"/>
                <w:szCs w:val="20"/>
              </w:rPr>
              <w:t>0</w:t>
            </w:r>
          </w:p>
        </w:tc>
        <w:tc>
          <w:tcPr>
            <w:tcW w:w="992" w:type="dxa"/>
          </w:tcPr>
          <w:p w14:paraId="7D2E896E" w14:textId="7F629430" w:rsidR="00321731" w:rsidRPr="0092283F" w:rsidRDefault="00321731" w:rsidP="00420659">
            <w:pPr>
              <w:jc w:val="right"/>
              <w:cnfStyle w:val="000000000000" w:firstRow="0" w:lastRow="0" w:firstColumn="0" w:lastColumn="0" w:oddVBand="0" w:evenVBand="0" w:oddHBand="0" w:evenHBand="0" w:firstRowFirstColumn="0" w:firstRowLastColumn="0" w:lastRowFirstColumn="0" w:lastRowLastColumn="0"/>
              <w:rPr>
                <w:color w:val="000000"/>
                <w:sz w:val="20"/>
                <w:szCs w:val="20"/>
              </w:rPr>
            </w:pPr>
            <w:r>
              <w:rPr>
                <w:color w:val="000000"/>
                <w:sz w:val="20"/>
                <w:szCs w:val="20"/>
              </w:rPr>
              <w:t>0</w:t>
            </w:r>
          </w:p>
        </w:tc>
        <w:tc>
          <w:tcPr>
            <w:tcW w:w="992" w:type="dxa"/>
          </w:tcPr>
          <w:p w14:paraId="7D5B34CC" w14:textId="77777777" w:rsidR="00321731" w:rsidRPr="001A7C0F" w:rsidRDefault="00321731" w:rsidP="00420659">
            <w:pPr>
              <w:jc w:val="right"/>
              <w:cnfStyle w:val="000000000000" w:firstRow="0" w:lastRow="0" w:firstColumn="0" w:lastColumn="0" w:oddVBand="0" w:evenVBand="0" w:oddHBand="0" w:evenHBand="0" w:firstRowFirstColumn="0" w:firstRowLastColumn="0" w:lastRowFirstColumn="0" w:lastRowLastColumn="0"/>
              <w:rPr>
                <w:color w:val="000000"/>
                <w:sz w:val="20"/>
                <w:szCs w:val="20"/>
              </w:rPr>
            </w:pPr>
            <w:r>
              <w:rPr>
                <w:rFonts w:cs="Calibri"/>
                <w:color w:val="000000"/>
                <w:sz w:val="20"/>
                <w:szCs w:val="20"/>
              </w:rPr>
              <w:t>0</w:t>
            </w:r>
          </w:p>
        </w:tc>
      </w:tr>
      <w:tr w:rsidR="00321731" w:rsidRPr="00CD6245" w14:paraId="6CDCD50C" w14:textId="77777777" w:rsidTr="00924D6D">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5386" w:type="dxa"/>
          </w:tcPr>
          <w:p w14:paraId="7E9038B4" w14:textId="77777777" w:rsidR="00321731" w:rsidRPr="005B2F15" w:rsidRDefault="00321731" w:rsidP="00420659">
            <w:pPr>
              <w:pStyle w:val="TableText"/>
              <w:rPr>
                <w:b w:val="0"/>
              </w:rPr>
            </w:pPr>
            <w:r w:rsidRPr="005B2F15">
              <w:rPr>
                <w:b w:val="0"/>
              </w:rPr>
              <w:t>Victoria Police</w:t>
            </w:r>
          </w:p>
        </w:tc>
        <w:tc>
          <w:tcPr>
            <w:tcW w:w="992" w:type="dxa"/>
          </w:tcPr>
          <w:p w14:paraId="0880A28D" w14:textId="77777777" w:rsidR="00321731" w:rsidRPr="0092283F" w:rsidRDefault="00321731" w:rsidP="0042065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92283F">
              <w:rPr>
                <w:color w:val="000000"/>
                <w:sz w:val="20"/>
                <w:szCs w:val="20"/>
              </w:rPr>
              <w:t>10</w:t>
            </w:r>
          </w:p>
        </w:tc>
        <w:tc>
          <w:tcPr>
            <w:tcW w:w="992" w:type="dxa"/>
          </w:tcPr>
          <w:p w14:paraId="49E8C015" w14:textId="77777777" w:rsidR="00321731" w:rsidRPr="0092283F" w:rsidRDefault="00321731" w:rsidP="0042065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92283F">
              <w:rPr>
                <w:rFonts w:cs="Calibri"/>
                <w:sz w:val="20"/>
                <w:szCs w:val="20"/>
              </w:rPr>
              <w:t>10</w:t>
            </w:r>
          </w:p>
        </w:tc>
        <w:tc>
          <w:tcPr>
            <w:tcW w:w="992" w:type="dxa"/>
          </w:tcPr>
          <w:p w14:paraId="011DBCB3" w14:textId="77777777" w:rsidR="00321731" w:rsidRPr="0092283F" w:rsidRDefault="00321731" w:rsidP="00420659">
            <w:pPr>
              <w:jc w:val="right"/>
              <w:cnfStyle w:val="000000100000" w:firstRow="0" w:lastRow="0" w:firstColumn="0" w:lastColumn="0" w:oddVBand="0" w:evenVBand="0" w:oddHBand="1" w:evenHBand="0" w:firstRowFirstColumn="0" w:firstRowLastColumn="0" w:lastRowFirstColumn="0" w:lastRowLastColumn="0"/>
              <w:rPr>
                <w:rFonts w:cs="Calibri"/>
                <w:sz w:val="20"/>
                <w:szCs w:val="20"/>
              </w:rPr>
            </w:pPr>
            <w:r>
              <w:rPr>
                <w:rFonts w:cs="Calibri"/>
                <w:color w:val="000000"/>
                <w:sz w:val="20"/>
                <w:szCs w:val="20"/>
              </w:rPr>
              <w:t>3</w:t>
            </w:r>
          </w:p>
        </w:tc>
      </w:tr>
      <w:tr w:rsidR="00321731" w:rsidRPr="005B2F15" w14:paraId="3A40CB20" w14:textId="77777777" w:rsidTr="00924D6D">
        <w:trPr>
          <w:trHeight w:val="255"/>
        </w:trPr>
        <w:tc>
          <w:tcPr>
            <w:cnfStyle w:val="001000000000" w:firstRow="0" w:lastRow="0" w:firstColumn="1" w:lastColumn="0" w:oddVBand="0" w:evenVBand="0" w:oddHBand="0" w:evenHBand="0" w:firstRowFirstColumn="0" w:firstRowLastColumn="0" w:lastRowFirstColumn="0" w:lastRowLastColumn="0"/>
            <w:tcW w:w="5386" w:type="dxa"/>
            <w:noWrap/>
          </w:tcPr>
          <w:p w14:paraId="6EE62C23" w14:textId="77777777" w:rsidR="00321731" w:rsidRPr="005B2F15" w:rsidRDefault="00321731" w:rsidP="00420659">
            <w:pPr>
              <w:rPr>
                <w:rFonts w:cs="Calibri"/>
                <w:bCs w:val="0"/>
                <w:sz w:val="20"/>
                <w:szCs w:val="20"/>
              </w:rPr>
            </w:pPr>
            <w:r w:rsidRPr="005B2F15">
              <w:rPr>
                <w:rFonts w:cs="Calibri"/>
                <w:bCs w:val="0"/>
                <w:sz w:val="20"/>
                <w:szCs w:val="20"/>
              </w:rPr>
              <w:t>Totals</w:t>
            </w:r>
          </w:p>
        </w:tc>
        <w:tc>
          <w:tcPr>
            <w:tcW w:w="992" w:type="dxa"/>
            <w:noWrap/>
          </w:tcPr>
          <w:p w14:paraId="7922732B" w14:textId="77777777" w:rsidR="00321731" w:rsidRPr="005B2F15" w:rsidRDefault="00321731" w:rsidP="00420659">
            <w:pPr>
              <w:jc w:val="right"/>
              <w:cnfStyle w:val="000000000000" w:firstRow="0" w:lastRow="0" w:firstColumn="0" w:lastColumn="0" w:oddVBand="0" w:evenVBand="0" w:oddHBand="0" w:evenHBand="0" w:firstRowFirstColumn="0" w:firstRowLastColumn="0" w:lastRowFirstColumn="0" w:lastRowLastColumn="0"/>
              <w:rPr>
                <w:b/>
                <w:color w:val="000000"/>
                <w:sz w:val="20"/>
                <w:szCs w:val="20"/>
              </w:rPr>
            </w:pPr>
            <w:r w:rsidRPr="005B2F15">
              <w:rPr>
                <w:b/>
                <w:color w:val="000000"/>
                <w:sz w:val="20"/>
                <w:szCs w:val="20"/>
              </w:rPr>
              <w:t>135</w:t>
            </w:r>
          </w:p>
        </w:tc>
        <w:tc>
          <w:tcPr>
            <w:tcW w:w="992" w:type="dxa"/>
          </w:tcPr>
          <w:p w14:paraId="39A93E98" w14:textId="77777777" w:rsidR="00321731" w:rsidRPr="005B2F15" w:rsidRDefault="00321731" w:rsidP="00420659">
            <w:pPr>
              <w:jc w:val="right"/>
              <w:cnfStyle w:val="000000000000" w:firstRow="0" w:lastRow="0" w:firstColumn="0" w:lastColumn="0" w:oddVBand="0" w:evenVBand="0" w:oddHBand="0" w:evenHBand="0" w:firstRowFirstColumn="0" w:firstRowLastColumn="0" w:lastRowFirstColumn="0" w:lastRowLastColumn="0"/>
              <w:rPr>
                <w:b/>
                <w:color w:val="000000"/>
                <w:sz w:val="20"/>
                <w:szCs w:val="20"/>
              </w:rPr>
            </w:pPr>
            <w:r w:rsidRPr="005B2F15">
              <w:rPr>
                <w:rFonts w:cs="Calibri"/>
                <w:b/>
                <w:sz w:val="20"/>
                <w:szCs w:val="20"/>
              </w:rPr>
              <w:t>125</w:t>
            </w:r>
          </w:p>
        </w:tc>
        <w:tc>
          <w:tcPr>
            <w:tcW w:w="992" w:type="dxa"/>
          </w:tcPr>
          <w:p w14:paraId="2CD31E5E" w14:textId="77777777" w:rsidR="00321731" w:rsidRPr="005B2F15" w:rsidRDefault="00321731" w:rsidP="00420659">
            <w:pPr>
              <w:jc w:val="right"/>
              <w:cnfStyle w:val="000000000000" w:firstRow="0" w:lastRow="0" w:firstColumn="0" w:lastColumn="0" w:oddVBand="0" w:evenVBand="0" w:oddHBand="0" w:evenHBand="0" w:firstRowFirstColumn="0" w:firstRowLastColumn="0" w:lastRowFirstColumn="0" w:lastRowLastColumn="0"/>
              <w:rPr>
                <w:rFonts w:cs="Calibri"/>
                <w:b/>
                <w:sz w:val="20"/>
                <w:szCs w:val="20"/>
              </w:rPr>
            </w:pPr>
            <w:r w:rsidRPr="005B2F15">
              <w:rPr>
                <w:rFonts w:cs="Calibri"/>
                <w:b/>
                <w:color w:val="000000"/>
                <w:sz w:val="20"/>
                <w:szCs w:val="20"/>
              </w:rPr>
              <w:t>132</w:t>
            </w:r>
          </w:p>
        </w:tc>
      </w:tr>
    </w:tbl>
    <w:p w14:paraId="62BD4F55" w14:textId="6CD1F069" w:rsidR="00420659" w:rsidRPr="0092283F" w:rsidRDefault="00420659" w:rsidP="00420659">
      <w:pPr>
        <w:pStyle w:val="Caption"/>
        <w:rPr>
          <w:lang w:eastAsia="en-US"/>
        </w:rPr>
      </w:pPr>
      <w:bookmarkStart w:id="93" w:name="_Ref489538932"/>
      <w:bookmarkStart w:id="94" w:name="_Toc524354006"/>
      <w:r w:rsidRPr="0092283F">
        <w:t xml:space="preserve">Table </w:t>
      </w:r>
      <w:r>
        <w:rPr>
          <w:noProof/>
        </w:rPr>
        <w:fldChar w:fldCharType="begin"/>
      </w:r>
      <w:r>
        <w:rPr>
          <w:noProof/>
        </w:rPr>
        <w:instrText xml:space="preserve"> SEQ Table \* ARABIC </w:instrText>
      </w:r>
      <w:r>
        <w:rPr>
          <w:noProof/>
        </w:rPr>
        <w:fldChar w:fldCharType="separate"/>
      </w:r>
      <w:r w:rsidR="00A07703">
        <w:rPr>
          <w:noProof/>
        </w:rPr>
        <w:t>13</w:t>
      </w:r>
      <w:r>
        <w:rPr>
          <w:noProof/>
        </w:rPr>
        <w:fldChar w:fldCharType="end"/>
      </w:r>
      <w:bookmarkEnd w:id="93"/>
      <w:r w:rsidRPr="0092283F">
        <w:t xml:space="preserve">: </w:t>
      </w:r>
      <w:r w:rsidR="00321731">
        <w:t xml:space="preserve">Trends in number of </w:t>
      </w:r>
      <w:r>
        <w:t xml:space="preserve">strategic procurements </w:t>
      </w:r>
      <w:r w:rsidRPr="0092283F">
        <w:t>by organisation</w:t>
      </w:r>
      <w:bookmarkEnd w:id="94"/>
    </w:p>
    <w:tbl>
      <w:tblPr>
        <w:tblStyle w:val="ListTable31"/>
        <w:tblW w:w="8362" w:type="dxa"/>
        <w:tblInd w:w="846" w:type="dxa"/>
        <w:tblLayout w:type="fixed"/>
        <w:tblLook w:val="04A0" w:firstRow="1" w:lastRow="0" w:firstColumn="1" w:lastColumn="0" w:noHBand="0" w:noVBand="1"/>
      </w:tblPr>
      <w:tblGrid>
        <w:gridCol w:w="5386"/>
        <w:gridCol w:w="992"/>
        <w:gridCol w:w="992"/>
        <w:gridCol w:w="992"/>
      </w:tblGrid>
      <w:tr w:rsidR="00321731" w:rsidRPr="0092283F" w14:paraId="7F798FF5" w14:textId="77777777" w:rsidTr="00924D6D">
        <w:trPr>
          <w:cnfStyle w:val="100000000000" w:firstRow="1" w:lastRow="0" w:firstColumn="0" w:lastColumn="0" w:oddVBand="0" w:evenVBand="0" w:oddHBand="0" w:evenHBand="0" w:firstRowFirstColumn="0" w:firstRowLastColumn="0" w:lastRowFirstColumn="0" w:lastRowLastColumn="0"/>
          <w:trHeight w:val="115"/>
        </w:trPr>
        <w:tc>
          <w:tcPr>
            <w:cnfStyle w:val="001000000100" w:firstRow="0" w:lastRow="0" w:firstColumn="1" w:lastColumn="0" w:oddVBand="0" w:evenVBand="0" w:oddHBand="0" w:evenHBand="0" w:firstRowFirstColumn="1" w:firstRowLastColumn="0" w:lastRowFirstColumn="0" w:lastRowLastColumn="0"/>
            <w:tcW w:w="5386" w:type="dxa"/>
          </w:tcPr>
          <w:p w14:paraId="13995F60" w14:textId="77777777" w:rsidR="00321731" w:rsidRPr="0092283F" w:rsidRDefault="00321731" w:rsidP="00420659">
            <w:pPr>
              <w:pStyle w:val="TableHeader"/>
              <w:rPr>
                <w:b/>
                <w:sz w:val="20"/>
                <w:szCs w:val="20"/>
              </w:rPr>
            </w:pPr>
            <w:r>
              <w:rPr>
                <w:b/>
                <w:sz w:val="20"/>
                <w:szCs w:val="20"/>
              </w:rPr>
              <w:t>Organisation</w:t>
            </w:r>
          </w:p>
        </w:tc>
        <w:tc>
          <w:tcPr>
            <w:tcW w:w="992" w:type="dxa"/>
          </w:tcPr>
          <w:p w14:paraId="7A61D0BE" w14:textId="77777777" w:rsidR="00321731" w:rsidRPr="0092283F" w:rsidRDefault="00321731" w:rsidP="00420659">
            <w:pPr>
              <w:pStyle w:val="TableHeader"/>
              <w:jc w:val="center"/>
              <w:cnfStyle w:val="100000000000" w:firstRow="1" w:lastRow="0" w:firstColumn="0" w:lastColumn="0" w:oddVBand="0" w:evenVBand="0" w:oddHBand="0" w:evenHBand="0" w:firstRowFirstColumn="0" w:firstRowLastColumn="0" w:lastRowFirstColumn="0" w:lastRowLastColumn="0"/>
              <w:rPr>
                <w:b/>
                <w:sz w:val="20"/>
                <w:szCs w:val="20"/>
              </w:rPr>
            </w:pPr>
            <w:r w:rsidRPr="0092283F">
              <w:rPr>
                <w:b/>
                <w:sz w:val="20"/>
                <w:szCs w:val="20"/>
              </w:rPr>
              <w:t>2015–16</w:t>
            </w:r>
          </w:p>
        </w:tc>
        <w:tc>
          <w:tcPr>
            <w:tcW w:w="992" w:type="dxa"/>
          </w:tcPr>
          <w:p w14:paraId="1591F6F2" w14:textId="77777777" w:rsidR="00321731" w:rsidRPr="0092283F" w:rsidRDefault="00321731" w:rsidP="00420659">
            <w:pPr>
              <w:pStyle w:val="TableHeader"/>
              <w:jc w:val="center"/>
              <w:cnfStyle w:val="100000000000" w:firstRow="1" w:lastRow="0" w:firstColumn="0" w:lastColumn="0" w:oddVBand="0" w:evenVBand="0" w:oddHBand="0" w:evenHBand="0" w:firstRowFirstColumn="0" w:firstRowLastColumn="0" w:lastRowFirstColumn="0" w:lastRowLastColumn="0"/>
              <w:rPr>
                <w:b/>
                <w:sz w:val="20"/>
                <w:szCs w:val="20"/>
              </w:rPr>
            </w:pPr>
            <w:r w:rsidRPr="0092283F">
              <w:rPr>
                <w:b/>
                <w:sz w:val="20"/>
                <w:szCs w:val="20"/>
              </w:rPr>
              <w:t>2016–17</w:t>
            </w:r>
          </w:p>
        </w:tc>
        <w:tc>
          <w:tcPr>
            <w:tcW w:w="992" w:type="dxa"/>
          </w:tcPr>
          <w:p w14:paraId="1BBB6760" w14:textId="77777777" w:rsidR="00321731" w:rsidRPr="0092283F" w:rsidRDefault="00321731" w:rsidP="00420659">
            <w:pPr>
              <w:pStyle w:val="TableHeader"/>
              <w:jc w:val="center"/>
              <w:cnfStyle w:val="100000000000" w:firstRow="1" w:lastRow="0" w:firstColumn="0" w:lastColumn="0" w:oddVBand="0" w:evenVBand="0" w:oddHBand="0" w:evenHBand="0" w:firstRowFirstColumn="0" w:firstRowLastColumn="0" w:lastRowFirstColumn="0" w:lastRowLastColumn="0"/>
              <w:rPr>
                <w:b/>
                <w:sz w:val="20"/>
                <w:szCs w:val="20"/>
              </w:rPr>
            </w:pPr>
            <w:r>
              <w:rPr>
                <w:b/>
                <w:sz w:val="20"/>
                <w:szCs w:val="20"/>
              </w:rPr>
              <w:t>2017–18</w:t>
            </w:r>
          </w:p>
        </w:tc>
      </w:tr>
      <w:tr w:rsidR="00321731" w:rsidRPr="0092283F" w14:paraId="0269E2F1" w14:textId="77777777" w:rsidTr="00924D6D">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5386" w:type="dxa"/>
          </w:tcPr>
          <w:p w14:paraId="60CA6238" w14:textId="77777777" w:rsidR="00321731" w:rsidRPr="00FF410A" w:rsidRDefault="00321731" w:rsidP="00420659">
            <w:pPr>
              <w:pStyle w:val="TableText"/>
              <w:rPr>
                <w:b w:val="0"/>
              </w:rPr>
            </w:pPr>
            <w:r w:rsidRPr="00FF410A">
              <w:rPr>
                <w:b w:val="0"/>
              </w:rPr>
              <w:t>Department of Economic Development, Jobs, Transport and Resources</w:t>
            </w:r>
          </w:p>
        </w:tc>
        <w:tc>
          <w:tcPr>
            <w:tcW w:w="992" w:type="dxa"/>
          </w:tcPr>
          <w:p w14:paraId="20BBEF30" w14:textId="77777777" w:rsidR="00321731" w:rsidRPr="00FF410A" w:rsidRDefault="00321731" w:rsidP="0042065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FF410A">
              <w:rPr>
                <w:color w:val="000000"/>
                <w:sz w:val="20"/>
                <w:szCs w:val="20"/>
              </w:rPr>
              <w:t>3</w:t>
            </w:r>
          </w:p>
        </w:tc>
        <w:tc>
          <w:tcPr>
            <w:tcW w:w="992" w:type="dxa"/>
          </w:tcPr>
          <w:p w14:paraId="64D3C613" w14:textId="77777777" w:rsidR="00321731" w:rsidRPr="00FF410A" w:rsidRDefault="00321731" w:rsidP="0042065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FF410A">
              <w:rPr>
                <w:rFonts w:cs="Calibri"/>
                <w:sz w:val="20"/>
                <w:szCs w:val="20"/>
              </w:rPr>
              <w:t>22</w:t>
            </w:r>
          </w:p>
        </w:tc>
        <w:tc>
          <w:tcPr>
            <w:tcW w:w="992" w:type="dxa"/>
          </w:tcPr>
          <w:p w14:paraId="2B62A53D" w14:textId="0D2310D3" w:rsidR="00321731" w:rsidRPr="0092283F" w:rsidRDefault="00321731" w:rsidP="00420659">
            <w:pPr>
              <w:jc w:val="right"/>
              <w:cnfStyle w:val="000000100000" w:firstRow="0" w:lastRow="0" w:firstColumn="0" w:lastColumn="0" w:oddVBand="0" w:evenVBand="0" w:oddHBand="1" w:evenHBand="0" w:firstRowFirstColumn="0" w:firstRowLastColumn="0" w:lastRowFirstColumn="0" w:lastRowLastColumn="0"/>
              <w:rPr>
                <w:rFonts w:cs="Calibri"/>
                <w:sz w:val="20"/>
                <w:szCs w:val="20"/>
              </w:rPr>
            </w:pPr>
            <w:r w:rsidRPr="00FF410A">
              <w:rPr>
                <w:rFonts w:cs="Calibri"/>
                <w:color w:val="000000"/>
                <w:sz w:val="20"/>
                <w:szCs w:val="20"/>
              </w:rPr>
              <w:t>1</w:t>
            </w:r>
            <w:r w:rsidR="00924D6D" w:rsidRPr="00FF410A">
              <w:rPr>
                <w:rFonts w:cs="Calibri"/>
                <w:color w:val="000000"/>
                <w:sz w:val="20"/>
                <w:szCs w:val="20"/>
              </w:rPr>
              <w:t>9</w:t>
            </w:r>
          </w:p>
        </w:tc>
      </w:tr>
      <w:tr w:rsidR="00321731" w:rsidRPr="0092283F" w14:paraId="31D2B4A1" w14:textId="77777777" w:rsidTr="00924D6D">
        <w:trPr>
          <w:trHeight w:val="269"/>
        </w:trPr>
        <w:tc>
          <w:tcPr>
            <w:cnfStyle w:val="001000000000" w:firstRow="0" w:lastRow="0" w:firstColumn="1" w:lastColumn="0" w:oddVBand="0" w:evenVBand="0" w:oddHBand="0" w:evenHBand="0" w:firstRowFirstColumn="0" w:firstRowLastColumn="0" w:lastRowFirstColumn="0" w:lastRowLastColumn="0"/>
            <w:tcW w:w="5386" w:type="dxa"/>
          </w:tcPr>
          <w:p w14:paraId="3333D97F" w14:textId="77777777" w:rsidR="00321731" w:rsidRPr="005B2F15" w:rsidRDefault="00321731" w:rsidP="00420659">
            <w:pPr>
              <w:pStyle w:val="TableText"/>
              <w:rPr>
                <w:b w:val="0"/>
              </w:rPr>
            </w:pPr>
            <w:r w:rsidRPr="005B2F15">
              <w:rPr>
                <w:b w:val="0"/>
              </w:rPr>
              <w:t>Department of Education and Training</w:t>
            </w:r>
          </w:p>
        </w:tc>
        <w:tc>
          <w:tcPr>
            <w:tcW w:w="992" w:type="dxa"/>
          </w:tcPr>
          <w:p w14:paraId="0EF88CF6" w14:textId="1BD2E7E9" w:rsidR="00321731" w:rsidRPr="0092283F" w:rsidRDefault="00321731" w:rsidP="00420659">
            <w:pPr>
              <w:jc w:val="right"/>
              <w:cnfStyle w:val="000000000000" w:firstRow="0" w:lastRow="0" w:firstColumn="0" w:lastColumn="0" w:oddVBand="0" w:evenVBand="0" w:oddHBand="0" w:evenHBand="0" w:firstRowFirstColumn="0" w:firstRowLastColumn="0" w:lastRowFirstColumn="0" w:lastRowLastColumn="0"/>
              <w:rPr>
                <w:color w:val="000000"/>
                <w:sz w:val="20"/>
                <w:szCs w:val="20"/>
              </w:rPr>
            </w:pPr>
            <w:r>
              <w:rPr>
                <w:color w:val="000000"/>
                <w:sz w:val="20"/>
                <w:szCs w:val="20"/>
              </w:rPr>
              <w:t>0</w:t>
            </w:r>
          </w:p>
        </w:tc>
        <w:tc>
          <w:tcPr>
            <w:tcW w:w="992" w:type="dxa"/>
          </w:tcPr>
          <w:p w14:paraId="70447395" w14:textId="77777777" w:rsidR="00321731" w:rsidRPr="0092283F" w:rsidRDefault="00321731" w:rsidP="00420659">
            <w:pPr>
              <w:jc w:val="right"/>
              <w:cnfStyle w:val="000000000000" w:firstRow="0" w:lastRow="0" w:firstColumn="0" w:lastColumn="0" w:oddVBand="0" w:evenVBand="0" w:oddHBand="0" w:evenHBand="0" w:firstRowFirstColumn="0" w:firstRowLastColumn="0" w:lastRowFirstColumn="0" w:lastRowLastColumn="0"/>
              <w:rPr>
                <w:color w:val="000000"/>
                <w:sz w:val="20"/>
                <w:szCs w:val="20"/>
              </w:rPr>
            </w:pPr>
            <w:r w:rsidRPr="0092283F">
              <w:rPr>
                <w:rFonts w:cs="Calibri"/>
                <w:sz w:val="20"/>
                <w:szCs w:val="20"/>
              </w:rPr>
              <w:t>7</w:t>
            </w:r>
          </w:p>
        </w:tc>
        <w:tc>
          <w:tcPr>
            <w:tcW w:w="992" w:type="dxa"/>
          </w:tcPr>
          <w:p w14:paraId="0D132081" w14:textId="77777777" w:rsidR="00321731" w:rsidRPr="0092283F" w:rsidRDefault="00321731" w:rsidP="00420659">
            <w:pPr>
              <w:jc w:val="right"/>
              <w:cnfStyle w:val="000000000000" w:firstRow="0" w:lastRow="0" w:firstColumn="0" w:lastColumn="0" w:oddVBand="0" w:evenVBand="0" w:oddHBand="0" w:evenHBand="0" w:firstRowFirstColumn="0" w:firstRowLastColumn="0" w:lastRowFirstColumn="0" w:lastRowLastColumn="0"/>
              <w:rPr>
                <w:rFonts w:cs="Calibri"/>
                <w:sz w:val="20"/>
                <w:szCs w:val="20"/>
              </w:rPr>
            </w:pPr>
            <w:r>
              <w:rPr>
                <w:rFonts w:cs="Calibri"/>
                <w:color w:val="000000"/>
                <w:sz w:val="20"/>
                <w:szCs w:val="20"/>
              </w:rPr>
              <w:t>1</w:t>
            </w:r>
          </w:p>
        </w:tc>
      </w:tr>
      <w:tr w:rsidR="00321731" w:rsidRPr="0092283F" w14:paraId="463CFC2A" w14:textId="77777777" w:rsidTr="00924D6D">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5386" w:type="dxa"/>
          </w:tcPr>
          <w:p w14:paraId="7B684E11" w14:textId="77777777" w:rsidR="00321731" w:rsidRPr="005B2F15" w:rsidRDefault="00321731" w:rsidP="00420659">
            <w:pPr>
              <w:pStyle w:val="TableText"/>
              <w:rPr>
                <w:b w:val="0"/>
              </w:rPr>
            </w:pPr>
            <w:r w:rsidRPr="005B2F15">
              <w:rPr>
                <w:b w:val="0"/>
              </w:rPr>
              <w:t>Department of Environment, Land, Water and Planning</w:t>
            </w:r>
          </w:p>
        </w:tc>
        <w:tc>
          <w:tcPr>
            <w:tcW w:w="992" w:type="dxa"/>
          </w:tcPr>
          <w:p w14:paraId="5366DEA1" w14:textId="77777777" w:rsidR="00321731" w:rsidRPr="0092283F" w:rsidRDefault="00321731" w:rsidP="0042065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92283F">
              <w:rPr>
                <w:color w:val="000000"/>
                <w:sz w:val="20"/>
                <w:szCs w:val="20"/>
              </w:rPr>
              <w:t>6</w:t>
            </w:r>
          </w:p>
        </w:tc>
        <w:tc>
          <w:tcPr>
            <w:tcW w:w="992" w:type="dxa"/>
          </w:tcPr>
          <w:p w14:paraId="2C779730" w14:textId="77777777" w:rsidR="00321731" w:rsidRPr="0092283F" w:rsidRDefault="00321731" w:rsidP="0042065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92283F">
              <w:rPr>
                <w:rFonts w:cs="Calibri"/>
                <w:sz w:val="20"/>
                <w:szCs w:val="20"/>
              </w:rPr>
              <w:t>14</w:t>
            </w:r>
          </w:p>
        </w:tc>
        <w:tc>
          <w:tcPr>
            <w:tcW w:w="992" w:type="dxa"/>
          </w:tcPr>
          <w:p w14:paraId="02EFD7F8" w14:textId="77777777" w:rsidR="00321731" w:rsidRPr="0092283F" w:rsidRDefault="00321731" w:rsidP="00420659">
            <w:pPr>
              <w:jc w:val="right"/>
              <w:cnfStyle w:val="000000100000" w:firstRow="0" w:lastRow="0" w:firstColumn="0" w:lastColumn="0" w:oddVBand="0" w:evenVBand="0" w:oddHBand="1" w:evenHBand="0" w:firstRowFirstColumn="0" w:firstRowLastColumn="0" w:lastRowFirstColumn="0" w:lastRowLastColumn="0"/>
              <w:rPr>
                <w:rFonts w:cs="Calibri"/>
                <w:sz w:val="20"/>
                <w:szCs w:val="20"/>
              </w:rPr>
            </w:pPr>
            <w:r>
              <w:rPr>
                <w:rFonts w:cs="Calibri"/>
                <w:color w:val="000000"/>
                <w:sz w:val="20"/>
                <w:szCs w:val="20"/>
              </w:rPr>
              <w:t>16</w:t>
            </w:r>
          </w:p>
        </w:tc>
      </w:tr>
      <w:tr w:rsidR="00321731" w:rsidRPr="0092283F" w14:paraId="02A4A618" w14:textId="77777777" w:rsidTr="00924D6D">
        <w:trPr>
          <w:trHeight w:val="255"/>
        </w:trPr>
        <w:tc>
          <w:tcPr>
            <w:cnfStyle w:val="001000000000" w:firstRow="0" w:lastRow="0" w:firstColumn="1" w:lastColumn="0" w:oddVBand="0" w:evenVBand="0" w:oddHBand="0" w:evenHBand="0" w:firstRowFirstColumn="0" w:firstRowLastColumn="0" w:lastRowFirstColumn="0" w:lastRowLastColumn="0"/>
            <w:tcW w:w="5386" w:type="dxa"/>
          </w:tcPr>
          <w:p w14:paraId="2CA2C482" w14:textId="77777777" w:rsidR="00321731" w:rsidRPr="005B2F15" w:rsidRDefault="00321731" w:rsidP="00420659">
            <w:pPr>
              <w:pStyle w:val="TableText"/>
              <w:rPr>
                <w:b w:val="0"/>
              </w:rPr>
            </w:pPr>
            <w:r w:rsidRPr="005B2F15">
              <w:rPr>
                <w:b w:val="0"/>
              </w:rPr>
              <w:t>Department of Health and Human Services</w:t>
            </w:r>
          </w:p>
        </w:tc>
        <w:tc>
          <w:tcPr>
            <w:tcW w:w="992" w:type="dxa"/>
          </w:tcPr>
          <w:p w14:paraId="31A7A87C" w14:textId="77777777" w:rsidR="00321731" w:rsidRPr="0092283F" w:rsidRDefault="00321731" w:rsidP="00420659">
            <w:pPr>
              <w:jc w:val="right"/>
              <w:cnfStyle w:val="000000000000" w:firstRow="0" w:lastRow="0" w:firstColumn="0" w:lastColumn="0" w:oddVBand="0" w:evenVBand="0" w:oddHBand="0" w:evenHBand="0" w:firstRowFirstColumn="0" w:firstRowLastColumn="0" w:lastRowFirstColumn="0" w:lastRowLastColumn="0"/>
              <w:rPr>
                <w:color w:val="000000"/>
                <w:sz w:val="20"/>
                <w:szCs w:val="20"/>
              </w:rPr>
            </w:pPr>
            <w:r w:rsidRPr="0092283F">
              <w:rPr>
                <w:color w:val="000000"/>
                <w:sz w:val="20"/>
                <w:szCs w:val="20"/>
              </w:rPr>
              <w:t>83</w:t>
            </w:r>
          </w:p>
        </w:tc>
        <w:tc>
          <w:tcPr>
            <w:tcW w:w="992" w:type="dxa"/>
          </w:tcPr>
          <w:p w14:paraId="07F75A1E" w14:textId="77777777" w:rsidR="00321731" w:rsidRPr="0092283F" w:rsidRDefault="00321731" w:rsidP="00420659">
            <w:pPr>
              <w:jc w:val="right"/>
              <w:cnfStyle w:val="000000000000" w:firstRow="0" w:lastRow="0" w:firstColumn="0" w:lastColumn="0" w:oddVBand="0" w:evenVBand="0" w:oddHBand="0" w:evenHBand="0" w:firstRowFirstColumn="0" w:firstRowLastColumn="0" w:lastRowFirstColumn="0" w:lastRowLastColumn="0"/>
              <w:rPr>
                <w:color w:val="000000"/>
                <w:sz w:val="20"/>
                <w:szCs w:val="20"/>
              </w:rPr>
            </w:pPr>
            <w:r w:rsidRPr="0092283F">
              <w:rPr>
                <w:rFonts w:cs="Calibri"/>
                <w:sz w:val="20"/>
                <w:szCs w:val="20"/>
              </w:rPr>
              <w:t>109</w:t>
            </w:r>
          </w:p>
        </w:tc>
        <w:tc>
          <w:tcPr>
            <w:tcW w:w="992" w:type="dxa"/>
          </w:tcPr>
          <w:p w14:paraId="3748E5CC" w14:textId="77777777" w:rsidR="00321731" w:rsidRPr="0092283F" w:rsidRDefault="00321731" w:rsidP="00420659">
            <w:pPr>
              <w:jc w:val="right"/>
              <w:cnfStyle w:val="000000000000" w:firstRow="0" w:lastRow="0" w:firstColumn="0" w:lastColumn="0" w:oddVBand="0" w:evenVBand="0" w:oddHBand="0" w:evenHBand="0" w:firstRowFirstColumn="0" w:firstRowLastColumn="0" w:lastRowFirstColumn="0" w:lastRowLastColumn="0"/>
              <w:rPr>
                <w:rFonts w:cs="Calibri"/>
                <w:sz w:val="20"/>
                <w:szCs w:val="20"/>
              </w:rPr>
            </w:pPr>
            <w:r>
              <w:rPr>
                <w:rFonts w:cs="Calibri"/>
                <w:color w:val="000000"/>
                <w:sz w:val="20"/>
                <w:szCs w:val="20"/>
              </w:rPr>
              <w:t>119</w:t>
            </w:r>
          </w:p>
        </w:tc>
      </w:tr>
      <w:tr w:rsidR="00321731" w:rsidRPr="0092283F" w14:paraId="131B4AEF" w14:textId="77777777" w:rsidTr="00924D6D">
        <w:trPr>
          <w:cnfStyle w:val="000000100000" w:firstRow="0" w:lastRow="0" w:firstColumn="0" w:lastColumn="0" w:oddVBand="0" w:evenVBand="0" w:oddHBand="1" w:evenHBand="0" w:firstRowFirstColumn="0" w:firstRowLastColumn="0" w:lastRowFirstColumn="0" w:lastRowLastColumn="0"/>
          <w:trHeight w:val="275"/>
        </w:trPr>
        <w:tc>
          <w:tcPr>
            <w:cnfStyle w:val="001000000000" w:firstRow="0" w:lastRow="0" w:firstColumn="1" w:lastColumn="0" w:oddVBand="0" w:evenVBand="0" w:oddHBand="0" w:evenHBand="0" w:firstRowFirstColumn="0" w:firstRowLastColumn="0" w:lastRowFirstColumn="0" w:lastRowLastColumn="0"/>
            <w:tcW w:w="5386" w:type="dxa"/>
          </w:tcPr>
          <w:p w14:paraId="0184982D" w14:textId="77777777" w:rsidR="00321731" w:rsidRPr="005B2F15" w:rsidRDefault="00321731" w:rsidP="00420659">
            <w:pPr>
              <w:pStyle w:val="TableText"/>
              <w:rPr>
                <w:b w:val="0"/>
              </w:rPr>
            </w:pPr>
            <w:r w:rsidRPr="005B2F15">
              <w:rPr>
                <w:b w:val="0"/>
              </w:rPr>
              <w:t>Department of Justice and Regulation</w:t>
            </w:r>
          </w:p>
        </w:tc>
        <w:tc>
          <w:tcPr>
            <w:tcW w:w="992" w:type="dxa"/>
          </w:tcPr>
          <w:p w14:paraId="50A97415" w14:textId="77777777" w:rsidR="00321731" w:rsidRPr="0092283F" w:rsidRDefault="00321731" w:rsidP="0042065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92283F">
              <w:rPr>
                <w:color w:val="000000"/>
                <w:sz w:val="20"/>
                <w:szCs w:val="20"/>
              </w:rPr>
              <w:t>6</w:t>
            </w:r>
          </w:p>
        </w:tc>
        <w:tc>
          <w:tcPr>
            <w:tcW w:w="992" w:type="dxa"/>
          </w:tcPr>
          <w:p w14:paraId="0FD717EF" w14:textId="77777777" w:rsidR="00321731" w:rsidRPr="0092283F" w:rsidRDefault="00321731" w:rsidP="0042065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92283F">
              <w:rPr>
                <w:rFonts w:cs="Calibri"/>
                <w:sz w:val="20"/>
                <w:szCs w:val="20"/>
              </w:rPr>
              <w:t>2</w:t>
            </w:r>
          </w:p>
        </w:tc>
        <w:tc>
          <w:tcPr>
            <w:tcW w:w="992" w:type="dxa"/>
          </w:tcPr>
          <w:p w14:paraId="49BDD82E" w14:textId="77777777" w:rsidR="00321731" w:rsidRPr="0092283F" w:rsidRDefault="00321731" w:rsidP="00420659">
            <w:pPr>
              <w:jc w:val="right"/>
              <w:cnfStyle w:val="000000100000" w:firstRow="0" w:lastRow="0" w:firstColumn="0" w:lastColumn="0" w:oddVBand="0" w:evenVBand="0" w:oddHBand="1" w:evenHBand="0" w:firstRowFirstColumn="0" w:firstRowLastColumn="0" w:lastRowFirstColumn="0" w:lastRowLastColumn="0"/>
              <w:rPr>
                <w:rFonts w:cs="Calibri"/>
                <w:sz w:val="20"/>
                <w:szCs w:val="20"/>
              </w:rPr>
            </w:pPr>
            <w:r>
              <w:rPr>
                <w:rFonts w:cs="Calibri"/>
                <w:color w:val="000000"/>
                <w:sz w:val="20"/>
                <w:szCs w:val="20"/>
              </w:rPr>
              <w:t>4</w:t>
            </w:r>
          </w:p>
        </w:tc>
      </w:tr>
      <w:tr w:rsidR="00321731" w:rsidRPr="0092283F" w14:paraId="1F1B1608" w14:textId="77777777" w:rsidTr="00924D6D">
        <w:trPr>
          <w:trHeight w:val="240"/>
        </w:trPr>
        <w:tc>
          <w:tcPr>
            <w:cnfStyle w:val="001000000000" w:firstRow="0" w:lastRow="0" w:firstColumn="1" w:lastColumn="0" w:oddVBand="0" w:evenVBand="0" w:oddHBand="0" w:evenHBand="0" w:firstRowFirstColumn="0" w:firstRowLastColumn="0" w:lastRowFirstColumn="0" w:lastRowLastColumn="0"/>
            <w:tcW w:w="5386" w:type="dxa"/>
          </w:tcPr>
          <w:p w14:paraId="19166DB8" w14:textId="77777777" w:rsidR="00321731" w:rsidRPr="005B2F15" w:rsidRDefault="00321731" w:rsidP="00420659">
            <w:pPr>
              <w:pStyle w:val="TableText"/>
              <w:rPr>
                <w:b w:val="0"/>
              </w:rPr>
            </w:pPr>
            <w:r w:rsidRPr="005B2F15">
              <w:rPr>
                <w:b w:val="0"/>
              </w:rPr>
              <w:t>Department of Premier and Cabinet</w:t>
            </w:r>
          </w:p>
        </w:tc>
        <w:tc>
          <w:tcPr>
            <w:tcW w:w="992" w:type="dxa"/>
          </w:tcPr>
          <w:p w14:paraId="0B9FAB83" w14:textId="76BA107A" w:rsidR="00321731" w:rsidRPr="0092283F" w:rsidRDefault="00321731" w:rsidP="00420659">
            <w:pPr>
              <w:jc w:val="right"/>
              <w:cnfStyle w:val="000000000000" w:firstRow="0" w:lastRow="0" w:firstColumn="0" w:lastColumn="0" w:oddVBand="0" w:evenVBand="0" w:oddHBand="0" w:evenHBand="0" w:firstRowFirstColumn="0" w:firstRowLastColumn="0" w:lastRowFirstColumn="0" w:lastRowLastColumn="0"/>
              <w:rPr>
                <w:color w:val="000000"/>
                <w:sz w:val="20"/>
                <w:szCs w:val="20"/>
              </w:rPr>
            </w:pPr>
            <w:r>
              <w:rPr>
                <w:color w:val="000000"/>
                <w:sz w:val="20"/>
                <w:szCs w:val="20"/>
              </w:rPr>
              <w:t>0</w:t>
            </w:r>
          </w:p>
        </w:tc>
        <w:tc>
          <w:tcPr>
            <w:tcW w:w="992" w:type="dxa"/>
          </w:tcPr>
          <w:p w14:paraId="0783672F" w14:textId="04119E84" w:rsidR="00321731" w:rsidRPr="0092283F" w:rsidRDefault="006C4438" w:rsidP="00420659">
            <w:pPr>
              <w:jc w:val="right"/>
              <w:cnfStyle w:val="000000000000" w:firstRow="0" w:lastRow="0" w:firstColumn="0" w:lastColumn="0" w:oddVBand="0" w:evenVBand="0" w:oddHBand="0" w:evenHBand="0" w:firstRowFirstColumn="0" w:firstRowLastColumn="0" w:lastRowFirstColumn="0" w:lastRowLastColumn="0"/>
              <w:rPr>
                <w:rFonts w:cs="Calibri"/>
                <w:sz w:val="20"/>
                <w:szCs w:val="20"/>
              </w:rPr>
            </w:pPr>
            <w:r>
              <w:rPr>
                <w:rFonts w:cs="Calibri"/>
                <w:sz w:val="20"/>
                <w:szCs w:val="20"/>
              </w:rPr>
              <w:t>5</w:t>
            </w:r>
          </w:p>
        </w:tc>
        <w:tc>
          <w:tcPr>
            <w:tcW w:w="992" w:type="dxa"/>
          </w:tcPr>
          <w:p w14:paraId="571A1817" w14:textId="77777777" w:rsidR="00321731" w:rsidRPr="0092283F" w:rsidRDefault="00321731" w:rsidP="00420659">
            <w:pPr>
              <w:jc w:val="right"/>
              <w:cnfStyle w:val="000000000000" w:firstRow="0" w:lastRow="0" w:firstColumn="0" w:lastColumn="0" w:oddVBand="0" w:evenVBand="0" w:oddHBand="0" w:evenHBand="0" w:firstRowFirstColumn="0" w:firstRowLastColumn="0" w:lastRowFirstColumn="0" w:lastRowLastColumn="0"/>
              <w:rPr>
                <w:rFonts w:cs="Calibri"/>
                <w:sz w:val="20"/>
                <w:szCs w:val="20"/>
              </w:rPr>
            </w:pPr>
            <w:r>
              <w:rPr>
                <w:rFonts w:cs="Calibri"/>
                <w:color w:val="000000"/>
                <w:sz w:val="20"/>
                <w:szCs w:val="20"/>
              </w:rPr>
              <w:t>5</w:t>
            </w:r>
          </w:p>
        </w:tc>
      </w:tr>
      <w:tr w:rsidR="00321731" w:rsidRPr="0092283F" w14:paraId="1F75C5D6" w14:textId="77777777" w:rsidTr="00924D6D">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5386" w:type="dxa"/>
          </w:tcPr>
          <w:p w14:paraId="6D28E50E" w14:textId="77777777" w:rsidR="00321731" w:rsidRPr="005B2F15" w:rsidRDefault="00321731" w:rsidP="00420659">
            <w:pPr>
              <w:pStyle w:val="TableText"/>
              <w:rPr>
                <w:b w:val="0"/>
              </w:rPr>
            </w:pPr>
            <w:r w:rsidRPr="005B2F15">
              <w:rPr>
                <w:b w:val="0"/>
              </w:rPr>
              <w:t>Department of Treasury and Finance</w:t>
            </w:r>
          </w:p>
        </w:tc>
        <w:tc>
          <w:tcPr>
            <w:tcW w:w="992" w:type="dxa"/>
          </w:tcPr>
          <w:p w14:paraId="6B23F0E8" w14:textId="32FADEE2" w:rsidR="00321731" w:rsidRPr="0092283F" w:rsidRDefault="00970A74" w:rsidP="0042065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Pr>
                <w:color w:val="000000"/>
                <w:sz w:val="20"/>
                <w:szCs w:val="20"/>
              </w:rPr>
              <w:t>4</w:t>
            </w:r>
          </w:p>
        </w:tc>
        <w:tc>
          <w:tcPr>
            <w:tcW w:w="992" w:type="dxa"/>
          </w:tcPr>
          <w:p w14:paraId="5CDDF335" w14:textId="5D454F07" w:rsidR="00321731" w:rsidRPr="0092283F" w:rsidRDefault="006C4438" w:rsidP="0042065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Pr>
                <w:rFonts w:cs="Calibri"/>
                <w:sz w:val="20"/>
                <w:szCs w:val="20"/>
              </w:rPr>
              <w:t>0</w:t>
            </w:r>
          </w:p>
        </w:tc>
        <w:tc>
          <w:tcPr>
            <w:tcW w:w="992" w:type="dxa"/>
          </w:tcPr>
          <w:p w14:paraId="49C82D11" w14:textId="77777777" w:rsidR="00321731" w:rsidRPr="0092283F" w:rsidRDefault="00321731" w:rsidP="00420659">
            <w:pPr>
              <w:jc w:val="right"/>
              <w:cnfStyle w:val="000000100000" w:firstRow="0" w:lastRow="0" w:firstColumn="0" w:lastColumn="0" w:oddVBand="0" w:evenVBand="0" w:oddHBand="1" w:evenHBand="0" w:firstRowFirstColumn="0" w:firstRowLastColumn="0" w:lastRowFirstColumn="0" w:lastRowLastColumn="0"/>
              <w:rPr>
                <w:rFonts w:cs="Calibri"/>
                <w:sz w:val="20"/>
                <w:szCs w:val="20"/>
              </w:rPr>
            </w:pPr>
            <w:r>
              <w:rPr>
                <w:rFonts w:cs="Calibri"/>
                <w:color w:val="000000"/>
                <w:sz w:val="20"/>
                <w:szCs w:val="20"/>
              </w:rPr>
              <w:t>3</w:t>
            </w:r>
          </w:p>
        </w:tc>
      </w:tr>
      <w:tr w:rsidR="00DA5821" w:rsidRPr="005B2F15" w14:paraId="5544B9BC" w14:textId="77777777" w:rsidTr="00924D6D">
        <w:trPr>
          <w:trHeight w:val="260"/>
        </w:trPr>
        <w:tc>
          <w:tcPr>
            <w:cnfStyle w:val="001000000000" w:firstRow="0" w:lastRow="0" w:firstColumn="1" w:lastColumn="0" w:oddVBand="0" w:evenVBand="0" w:oddHBand="0" w:evenHBand="0" w:firstRowFirstColumn="0" w:firstRowLastColumn="0" w:lastRowFirstColumn="0" w:lastRowLastColumn="0"/>
            <w:tcW w:w="5386" w:type="dxa"/>
          </w:tcPr>
          <w:p w14:paraId="6EA1062B" w14:textId="0D949DDA" w:rsidR="00DA5821" w:rsidRPr="005B2F15" w:rsidRDefault="00820DB7" w:rsidP="00DB6154">
            <w:pPr>
              <w:pStyle w:val="TableText"/>
              <w:rPr>
                <w:b w:val="0"/>
              </w:rPr>
            </w:pPr>
            <w:r>
              <w:rPr>
                <w:b w:val="0"/>
              </w:rPr>
              <w:t>CenITex</w:t>
            </w:r>
          </w:p>
        </w:tc>
        <w:tc>
          <w:tcPr>
            <w:tcW w:w="992" w:type="dxa"/>
          </w:tcPr>
          <w:p w14:paraId="327692F0" w14:textId="77777777" w:rsidR="00DA5821" w:rsidRPr="005B2F15" w:rsidRDefault="00DA5821" w:rsidP="00DB6154">
            <w:pPr>
              <w:jc w:val="right"/>
              <w:cnfStyle w:val="000000000000" w:firstRow="0" w:lastRow="0" w:firstColumn="0" w:lastColumn="0" w:oddVBand="0" w:evenVBand="0" w:oddHBand="0" w:evenHBand="0" w:firstRowFirstColumn="0" w:firstRowLastColumn="0" w:lastRowFirstColumn="0" w:lastRowLastColumn="0"/>
              <w:rPr>
                <w:sz w:val="20"/>
                <w:szCs w:val="20"/>
              </w:rPr>
            </w:pPr>
            <w:r w:rsidRPr="005B2F15">
              <w:rPr>
                <w:sz w:val="20"/>
                <w:szCs w:val="20"/>
              </w:rPr>
              <w:t>n/a</w:t>
            </w:r>
          </w:p>
        </w:tc>
        <w:tc>
          <w:tcPr>
            <w:tcW w:w="992" w:type="dxa"/>
          </w:tcPr>
          <w:p w14:paraId="09EFC9A6" w14:textId="77777777" w:rsidR="00DA5821" w:rsidRPr="005B2F15" w:rsidRDefault="00DA5821" w:rsidP="00DB6154">
            <w:pPr>
              <w:jc w:val="right"/>
              <w:cnfStyle w:val="000000000000" w:firstRow="0" w:lastRow="0" w:firstColumn="0" w:lastColumn="0" w:oddVBand="0" w:evenVBand="0" w:oddHBand="0" w:evenHBand="0" w:firstRowFirstColumn="0" w:firstRowLastColumn="0" w:lastRowFirstColumn="0" w:lastRowLastColumn="0"/>
              <w:rPr>
                <w:sz w:val="20"/>
                <w:szCs w:val="20"/>
              </w:rPr>
            </w:pPr>
            <w:r w:rsidRPr="005B2F15">
              <w:rPr>
                <w:sz w:val="20"/>
                <w:szCs w:val="20"/>
              </w:rPr>
              <w:t>n/a</w:t>
            </w:r>
          </w:p>
        </w:tc>
        <w:tc>
          <w:tcPr>
            <w:tcW w:w="992" w:type="dxa"/>
          </w:tcPr>
          <w:p w14:paraId="4F178B38" w14:textId="77777777" w:rsidR="00DA5821" w:rsidRPr="005B2F15" w:rsidRDefault="00DA5821" w:rsidP="00DB6154">
            <w:pPr>
              <w:jc w:val="right"/>
              <w:cnfStyle w:val="000000000000" w:firstRow="0" w:lastRow="0" w:firstColumn="0" w:lastColumn="0" w:oddVBand="0" w:evenVBand="0" w:oddHBand="0" w:evenHBand="0" w:firstRowFirstColumn="0" w:firstRowLastColumn="0" w:lastRowFirstColumn="0" w:lastRowLastColumn="0"/>
              <w:rPr>
                <w:rFonts w:cs="Calibri"/>
                <w:sz w:val="20"/>
                <w:szCs w:val="20"/>
              </w:rPr>
            </w:pPr>
            <w:r w:rsidRPr="005B2F15">
              <w:rPr>
                <w:rFonts w:cs="Calibri"/>
                <w:sz w:val="20"/>
                <w:szCs w:val="20"/>
              </w:rPr>
              <w:t>0</w:t>
            </w:r>
          </w:p>
        </w:tc>
      </w:tr>
      <w:tr w:rsidR="00321731" w:rsidRPr="0092283F" w14:paraId="3C0EE6D8" w14:textId="77777777" w:rsidTr="00924D6D">
        <w:trPr>
          <w:cnfStyle w:val="000000100000" w:firstRow="0" w:lastRow="0" w:firstColumn="0" w:lastColumn="0" w:oddVBand="0" w:evenVBand="0" w:oddHBand="1" w:evenHBand="0" w:firstRowFirstColumn="0" w:firstRowLastColumn="0" w:lastRowFirstColumn="0" w:lastRowLastColumn="0"/>
          <w:trHeight w:val="335"/>
        </w:trPr>
        <w:tc>
          <w:tcPr>
            <w:cnfStyle w:val="001000000000" w:firstRow="0" w:lastRow="0" w:firstColumn="1" w:lastColumn="0" w:oddVBand="0" w:evenVBand="0" w:oddHBand="0" w:evenHBand="0" w:firstRowFirstColumn="0" w:firstRowLastColumn="0" w:lastRowFirstColumn="0" w:lastRowLastColumn="0"/>
            <w:tcW w:w="5386" w:type="dxa"/>
          </w:tcPr>
          <w:p w14:paraId="191D8CBD" w14:textId="77777777" w:rsidR="00321731" w:rsidRPr="005B2F15" w:rsidRDefault="00321731" w:rsidP="00420659">
            <w:pPr>
              <w:pStyle w:val="TableText"/>
              <w:rPr>
                <w:b w:val="0"/>
              </w:rPr>
            </w:pPr>
            <w:r w:rsidRPr="005B2F15">
              <w:rPr>
                <w:b w:val="0"/>
              </w:rPr>
              <w:t>Public Transport Victoria</w:t>
            </w:r>
          </w:p>
        </w:tc>
        <w:tc>
          <w:tcPr>
            <w:tcW w:w="992" w:type="dxa"/>
          </w:tcPr>
          <w:p w14:paraId="0F54A8E5" w14:textId="5AB8EBDA" w:rsidR="00321731" w:rsidRPr="0092283F" w:rsidRDefault="00970A74" w:rsidP="0042065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Pr>
                <w:color w:val="000000"/>
                <w:sz w:val="20"/>
                <w:szCs w:val="20"/>
              </w:rPr>
              <w:t>n/a</w:t>
            </w:r>
          </w:p>
        </w:tc>
        <w:tc>
          <w:tcPr>
            <w:tcW w:w="992" w:type="dxa"/>
          </w:tcPr>
          <w:p w14:paraId="3DE01309" w14:textId="033D00F6" w:rsidR="00321731" w:rsidRPr="0092283F" w:rsidRDefault="00970A74" w:rsidP="0042065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Pr>
                <w:rFonts w:cs="Calibri"/>
                <w:sz w:val="20"/>
                <w:szCs w:val="20"/>
              </w:rPr>
              <w:t>8</w:t>
            </w:r>
          </w:p>
        </w:tc>
        <w:tc>
          <w:tcPr>
            <w:tcW w:w="992" w:type="dxa"/>
          </w:tcPr>
          <w:p w14:paraId="584722CD" w14:textId="77777777" w:rsidR="00321731" w:rsidRDefault="00321731" w:rsidP="00420659">
            <w:pPr>
              <w:jc w:val="right"/>
              <w:cnfStyle w:val="000000100000" w:firstRow="0" w:lastRow="0" w:firstColumn="0" w:lastColumn="0" w:oddVBand="0" w:evenVBand="0" w:oddHBand="1" w:evenHBand="0" w:firstRowFirstColumn="0" w:firstRowLastColumn="0" w:lastRowFirstColumn="0" w:lastRowLastColumn="0"/>
              <w:rPr>
                <w:rFonts w:cs="Calibri"/>
                <w:sz w:val="20"/>
                <w:szCs w:val="20"/>
              </w:rPr>
            </w:pPr>
            <w:r>
              <w:rPr>
                <w:rFonts w:cs="Calibri"/>
                <w:color w:val="000000"/>
                <w:sz w:val="20"/>
                <w:szCs w:val="20"/>
              </w:rPr>
              <w:t>2</w:t>
            </w:r>
          </w:p>
        </w:tc>
      </w:tr>
      <w:tr w:rsidR="00321731" w:rsidRPr="0092283F" w14:paraId="0434BAD4" w14:textId="77777777" w:rsidTr="00924D6D">
        <w:trPr>
          <w:trHeight w:val="255"/>
        </w:trPr>
        <w:tc>
          <w:tcPr>
            <w:cnfStyle w:val="001000000000" w:firstRow="0" w:lastRow="0" w:firstColumn="1" w:lastColumn="0" w:oddVBand="0" w:evenVBand="0" w:oddHBand="0" w:evenHBand="0" w:firstRowFirstColumn="0" w:firstRowLastColumn="0" w:lastRowFirstColumn="0" w:lastRowLastColumn="0"/>
            <w:tcW w:w="5386" w:type="dxa"/>
          </w:tcPr>
          <w:p w14:paraId="22BAB42D" w14:textId="77777777" w:rsidR="00321731" w:rsidRPr="005B2F15" w:rsidRDefault="00321731" w:rsidP="00420659">
            <w:pPr>
              <w:pStyle w:val="TableText"/>
              <w:rPr>
                <w:b w:val="0"/>
              </w:rPr>
            </w:pPr>
            <w:r w:rsidRPr="005B2F15">
              <w:rPr>
                <w:b w:val="0"/>
              </w:rPr>
              <w:t>VicRoads</w:t>
            </w:r>
          </w:p>
        </w:tc>
        <w:tc>
          <w:tcPr>
            <w:tcW w:w="992" w:type="dxa"/>
          </w:tcPr>
          <w:p w14:paraId="40437A5C" w14:textId="2F36A23C" w:rsidR="00321731" w:rsidRPr="0092283F" w:rsidRDefault="00321731" w:rsidP="00420659">
            <w:pPr>
              <w:jc w:val="right"/>
              <w:cnfStyle w:val="000000000000" w:firstRow="0" w:lastRow="0" w:firstColumn="0" w:lastColumn="0" w:oddVBand="0" w:evenVBand="0" w:oddHBand="0" w:evenHBand="0" w:firstRowFirstColumn="0" w:firstRowLastColumn="0" w:lastRowFirstColumn="0" w:lastRowLastColumn="0"/>
              <w:rPr>
                <w:color w:val="000000"/>
                <w:sz w:val="20"/>
                <w:szCs w:val="20"/>
              </w:rPr>
            </w:pPr>
            <w:r>
              <w:rPr>
                <w:color w:val="000000"/>
                <w:sz w:val="20"/>
                <w:szCs w:val="20"/>
              </w:rPr>
              <w:t>0</w:t>
            </w:r>
          </w:p>
        </w:tc>
        <w:tc>
          <w:tcPr>
            <w:tcW w:w="992" w:type="dxa"/>
          </w:tcPr>
          <w:p w14:paraId="77BA0225" w14:textId="70BDA297" w:rsidR="00321731" w:rsidRPr="0092283F" w:rsidRDefault="00321731" w:rsidP="00420659">
            <w:pPr>
              <w:jc w:val="right"/>
              <w:cnfStyle w:val="000000000000" w:firstRow="0" w:lastRow="0" w:firstColumn="0" w:lastColumn="0" w:oddVBand="0" w:evenVBand="0" w:oddHBand="0" w:evenHBand="0" w:firstRowFirstColumn="0" w:firstRowLastColumn="0" w:lastRowFirstColumn="0" w:lastRowLastColumn="0"/>
              <w:rPr>
                <w:color w:val="000000"/>
                <w:sz w:val="20"/>
                <w:szCs w:val="20"/>
              </w:rPr>
            </w:pPr>
            <w:r>
              <w:rPr>
                <w:rFonts w:cs="Calibri"/>
                <w:sz w:val="20"/>
                <w:szCs w:val="20"/>
              </w:rPr>
              <w:t>0</w:t>
            </w:r>
          </w:p>
        </w:tc>
        <w:tc>
          <w:tcPr>
            <w:tcW w:w="992" w:type="dxa"/>
          </w:tcPr>
          <w:p w14:paraId="35F146C5" w14:textId="77777777" w:rsidR="00321731" w:rsidRDefault="00321731" w:rsidP="00420659">
            <w:pPr>
              <w:jc w:val="right"/>
              <w:cnfStyle w:val="000000000000" w:firstRow="0" w:lastRow="0" w:firstColumn="0" w:lastColumn="0" w:oddVBand="0" w:evenVBand="0" w:oddHBand="0" w:evenHBand="0" w:firstRowFirstColumn="0" w:firstRowLastColumn="0" w:lastRowFirstColumn="0" w:lastRowLastColumn="0"/>
              <w:rPr>
                <w:rFonts w:cs="Calibri"/>
                <w:sz w:val="20"/>
                <w:szCs w:val="20"/>
              </w:rPr>
            </w:pPr>
            <w:r>
              <w:rPr>
                <w:rFonts w:cs="Calibri"/>
                <w:color w:val="000000"/>
                <w:sz w:val="20"/>
                <w:szCs w:val="20"/>
              </w:rPr>
              <w:t>0</w:t>
            </w:r>
          </w:p>
        </w:tc>
      </w:tr>
      <w:tr w:rsidR="00321731" w:rsidRPr="00CD6245" w14:paraId="5A19C14D" w14:textId="77777777" w:rsidTr="00924D6D">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5386" w:type="dxa"/>
          </w:tcPr>
          <w:p w14:paraId="75F00086" w14:textId="77777777" w:rsidR="00321731" w:rsidRPr="005B2F15" w:rsidRDefault="00321731" w:rsidP="00420659">
            <w:pPr>
              <w:pStyle w:val="TableText"/>
              <w:rPr>
                <w:b w:val="0"/>
              </w:rPr>
            </w:pPr>
            <w:r w:rsidRPr="005B2F15">
              <w:rPr>
                <w:b w:val="0"/>
              </w:rPr>
              <w:t>Victoria Police</w:t>
            </w:r>
          </w:p>
        </w:tc>
        <w:tc>
          <w:tcPr>
            <w:tcW w:w="992" w:type="dxa"/>
          </w:tcPr>
          <w:p w14:paraId="2678CC6C" w14:textId="211A862A" w:rsidR="00321731" w:rsidRPr="0092283F" w:rsidRDefault="00321731" w:rsidP="0042065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Pr>
                <w:color w:val="000000"/>
                <w:sz w:val="20"/>
                <w:szCs w:val="20"/>
              </w:rPr>
              <w:t>0</w:t>
            </w:r>
          </w:p>
        </w:tc>
        <w:tc>
          <w:tcPr>
            <w:tcW w:w="992" w:type="dxa"/>
          </w:tcPr>
          <w:p w14:paraId="034714F8" w14:textId="77777777" w:rsidR="00321731" w:rsidRPr="0092283F" w:rsidRDefault="00321731" w:rsidP="0042065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92283F">
              <w:rPr>
                <w:rFonts w:cs="Calibri"/>
                <w:sz w:val="20"/>
                <w:szCs w:val="20"/>
              </w:rPr>
              <w:t>5</w:t>
            </w:r>
          </w:p>
        </w:tc>
        <w:tc>
          <w:tcPr>
            <w:tcW w:w="992" w:type="dxa"/>
          </w:tcPr>
          <w:p w14:paraId="58FC1761" w14:textId="77777777" w:rsidR="00321731" w:rsidRPr="0092283F" w:rsidRDefault="00321731" w:rsidP="00420659">
            <w:pPr>
              <w:jc w:val="right"/>
              <w:cnfStyle w:val="000000100000" w:firstRow="0" w:lastRow="0" w:firstColumn="0" w:lastColumn="0" w:oddVBand="0" w:evenVBand="0" w:oddHBand="1" w:evenHBand="0" w:firstRowFirstColumn="0" w:firstRowLastColumn="0" w:lastRowFirstColumn="0" w:lastRowLastColumn="0"/>
              <w:rPr>
                <w:rFonts w:cs="Calibri"/>
                <w:sz w:val="20"/>
                <w:szCs w:val="20"/>
              </w:rPr>
            </w:pPr>
            <w:r>
              <w:rPr>
                <w:rFonts w:cs="Calibri"/>
                <w:color w:val="000000"/>
                <w:sz w:val="20"/>
                <w:szCs w:val="20"/>
              </w:rPr>
              <w:t>2</w:t>
            </w:r>
          </w:p>
        </w:tc>
      </w:tr>
      <w:tr w:rsidR="00321731" w:rsidRPr="005B2F15" w14:paraId="12495B1F" w14:textId="77777777" w:rsidTr="00924D6D">
        <w:trPr>
          <w:trHeight w:val="255"/>
        </w:trPr>
        <w:tc>
          <w:tcPr>
            <w:cnfStyle w:val="001000000000" w:firstRow="0" w:lastRow="0" w:firstColumn="1" w:lastColumn="0" w:oddVBand="0" w:evenVBand="0" w:oddHBand="0" w:evenHBand="0" w:firstRowFirstColumn="0" w:firstRowLastColumn="0" w:lastRowFirstColumn="0" w:lastRowLastColumn="0"/>
            <w:tcW w:w="5386" w:type="dxa"/>
            <w:noWrap/>
          </w:tcPr>
          <w:p w14:paraId="29198862" w14:textId="77777777" w:rsidR="00321731" w:rsidRPr="005B2F15" w:rsidRDefault="00321731" w:rsidP="00420659">
            <w:pPr>
              <w:rPr>
                <w:rFonts w:cs="Calibri"/>
                <w:bCs w:val="0"/>
                <w:sz w:val="20"/>
                <w:szCs w:val="20"/>
              </w:rPr>
            </w:pPr>
            <w:r w:rsidRPr="005B2F15">
              <w:rPr>
                <w:rFonts w:cs="Calibri"/>
                <w:bCs w:val="0"/>
                <w:sz w:val="20"/>
                <w:szCs w:val="20"/>
              </w:rPr>
              <w:t>Totals</w:t>
            </w:r>
          </w:p>
        </w:tc>
        <w:tc>
          <w:tcPr>
            <w:tcW w:w="992" w:type="dxa"/>
            <w:noWrap/>
          </w:tcPr>
          <w:p w14:paraId="1BEC0725" w14:textId="77777777" w:rsidR="00321731" w:rsidRPr="005B2F15" w:rsidRDefault="00321731" w:rsidP="00420659">
            <w:pPr>
              <w:jc w:val="right"/>
              <w:cnfStyle w:val="000000000000" w:firstRow="0" w:lastRow="0" w:firstColumn="0" w:lastColumn="0" w:oddVBand="0" w:evenVBand="0" w:oddHBand="0" w:evenHBand="0" w:firstRowFirstColumn="0" w:firstRowLastColumn="0" w:lastRowFirstColumn="0" w:lastRowLastColumn="0"/>
              <w:rPr>
                <w:b/>
                <w:color w:val="000000"/>
                <w:sz w:val="20"/>
                <w:szCs w:val="20"/>
              </w:rPr>
            </w:pPr>
            <w:r w:rsidRPr="005B2F15">
              <w:rPr>
                <w:b/>
                <w:color w:val="000000"/>
                <w:sz w:val="20"/>
                <w:szCs w:val="20"/>
              </w:rPr>
              <w:t>102</w:t>
            </w:r>
          </w:p>
        </w:tc>
        <w:tc>
          <w:tcPr>
            <w:tcW w:w="992" w:type="dxa"/>
          </w:tcPr>
          <w:p w14:paraId="48DAE424" w14:textId="77777777" w:rsidR="00321731" w:rsidRPr="005B2F15" w:rsidRDefault="00321731" w:rsidP="00420659">
            <w:pPr>
              <w:jc w:val="right"/>
              <w:cnfStyle w:val="000000000000" w:firstRow="0" w:lastRow="0" w:firstColumn="0" w:lastColumn="0" w:oddVBand="0" w:evenVBand="0" w:oddHBand="0" w:evenHBand="0" w:firstRowFirstColumn="0" w:firstRowLastColumn="0" w:lastRowFirstColumn="0" w:lastRowLastColumn="0"/>
              <w:rPr>
                <w:b/>
                <w:color w:val="000000"/>
                <w:sz w:val="20"/>
                <w:szCs w:val="20"/>
              </w:rPr>
            </w:pPr>
            <w:r w:rsidRPr="005B2F15">
              <w:rPr>
                <w:rFonts w:cs="Calibri"/>
                <w:b/>
                <w:sz w:val="20"/>
                <w:szCs w:val="20"/>
              </w:rPr>
              <w:t>172</w:t>
            </w:r>
          </w:p>
        </w:tc>
        <w:tc>
          <w:tcPr>
            <w:tcW w:w="992" w:type="dxa"/>
          </w:tcPr>
          <w:p w14:paraId="106F20C8" w14:textId="77777777" w:rsidR="00321731" w:rsidRPr="005B2F15" w:rsidRDefault="00321731" w:rsidP="00420659">
            <w:pPr>
              <w:jc w:val="right"/>
              <w:cnfStyle w:val="000000000000" w:firstRow="0" w:lastRow="0" w:firstColumn="0" w:lastColumn="0" w:oddVBand="0" w:evenVBand="0" w:oddHBand="0" w:evenHBand="0" w:firstRowFirstColumn="0" w:firstRowLastColumn="0" w:lastRowFirstColumn="0" w:lastRowLastColumn="0"/>
              <w:rPr>
                <w:rFonts w:cs="Calibri"/>
                <w:b/>
                <w:sz w:val="20"/>
                <w:szCs w:val="20"/>
              </w:rPr>
            </w:pPr>
            <w:r w:rsidRPr="005B2F15">
              <w:rPr>
                <w:rFonts w:cs="Calibri"/>
                <w:b/>
                <w:color w:val="000000"/>
                <w:sz w:val="20"/>
                <w:szCs w:val="20"/>
              </w:rPr>
              <w:t>171</w:t>
            </w:r>
          </w:p>
        </w:tc>
      </w:tr>
    </w:tbl>
    <w:p w14:paraId="2D934761" w14:textId="4E166BBD" w:rsidR="007244B8" w:rsidRPr="00CD6245" w:rsidRDefault="007244B8" w:rsidP="005E48D3">
      <w:pPr>
        <w:pStyle w:val="Heading2NoNum"/>
      </w:pPr>
      <w:bookmarkStart w:id="95" w:name="_Toc524354069"/>
      <w:r w:rsidRPr="00CD6245">
        <w:lastRenderedPageBreak/>
        <w:t>Critical incident procurement</w:t>
      </w:r>
      <w:bookmarkEnd w:id="95"/>
    </w:p>
    <w:p w14:paraId="06261415" w14:textId="6ADAA3C7" w:rsidR="007244B8" w:rsidRPr="00CD6245" w:rsidRDefault="007244B8" w:rsidP="00E41631">
      <w:pPr>
        <w:pStyle w:val="Normal1"/>
      </w:pPr>
      <w:r w:rsidRPr="00CD6245">
        <w:t xml:space="preserve">The market approach policy </w:t>
      </w:r>
      <w:r w:rsidR="00F06FDC">
        <w:t xml:space="preserve">has </w:t>
      </w:r>
      <w:r w:rsidRPr="00CD6245">
        <w:t xml:space="preserve">an alternative procurement process to </w:t>
      </w:r>
      <w:r w:rsidR="00F06FDC">
        <w:t>follow</w:t>
      </w:r>
      <w:r w:rsidRPr="00CD6245">
        <w:t xml:space="preserve"> during a critical incident and any subsequ</w:t>
      </w:r>
      <w:r w:rsidR="007C5160">
        <w:t xml:space="preserve">ent relief effort. </w:t>
      </w:r>
      <w:r w:rsidR="00F06FDC">
        <w:t>It</w:t>
      </w:r>
      <w:r w:rsidRPr="00CD6245">
        <w:t xml:space="preserve"> </w:t>
      </w:r>
      <w:r w:rsidR="00F06FDC">
        <w:t>allows for</w:t>
      </w:r>
      <w:r w:rsidRPr="00CD6245">
        <w:t xml:space="preserve"> urgent procu</w:t>
      </w:r>
      <w:r w:rsidR="007C5160">
        <w:t>rement needs</w:t>
      </w:r>
      <w:r w:rsidR="003E0CE6">
        <w:t>,</w:t>
      </w:r>
      <w:r w:rsidR="007C5160">
        <w:t xml:space="preserve"> while ensuring</w:t>
      </w:r>
      <w:r w:rsidRPr="00CD6245">
        <w:t xml:space="preserve"> the procurement process adopted is reasonable and conducted with appropriate consideration of good practice procurement principles.</w:t>
      </w:r>
    </w:p>
    <w:p w14:paraId="7DDD13CF" w14:textId="56D2346B" w:rsidR="007244B8" w:rsidRPr="00CD6245" w:rsidRDefault="00EC326A" w:rsidP="00E41631">
      <w:pPr>
        <w:pStyle w:val="Normal1"/>
      </w:pPr>
      <w:r>
        <w:t>One o</w:t>
      </w:r>
      <w:r w:rsidR="00F06FDC">
        <w:t xml:space="preserve">rganisation reported </w:t>
      </w:r>
      <w:r w:rsidR="00563E2A" w:rsidRPr="00807498">
        <w:t>two</w:t>
      </w:r>
      <w:r w:rsidR="007244B8" w:rsidRPr="00807498">
        <w:t xml:space="preserve"> c</w:t>
      </w:r>
      <w:r w:rsidR="007244B8" w:rsidRPr="00CD6245">
        <w:t xml:space="preserve">ritical incident procurements in </w:t>
      </w:r>
      <w:r w:rsidR="007244B8">
        <w:t>201</w:t>
      </w:r>
      <w:r w:rsidR="00E44B42">
        <w:t>7–18</w:t>
      </w:r>
      <w:r w:rsidR="007244B8" w:rsidRPr="00CD6245">
        <w:t xml:space="preserve"> as shown in </w:t>
      </w:r>
      <w:r w:rsidR="007244B8">
        <w:fldChar w:fldCharType="begin"/>
      </w:r>
      <w:r w:rsidR="007244B8">
        <w:instrText xml:space="preserve"> REF _Ref457123423 \h  \* MERGEFORMAT </w:instrText>
      </w:r>
      <w:r w:rsidR="007244B8">
        <w:fldChar w:fldCharType="separate"/>
      </w:r>
      <w:r w:rsidR="00A07703" w:rsidRPr="00CD6245">
        <w:t xml:space="preserve">Table </w:t>
      </w:r>
      <w:r w:rsidR="00A07703">
        <w:rPr>
          <w:noProof/>
        </w:rPr>
        <w:t>14</w:t>
      </w:r>
      <w:r w:rsidR="007244B8">
        <w:fldChar w:fldCharType="end"/>
      </w:r>
      <w:r w:rsidR="00FF2E60">
        <w:t xml:space="preserve">. </w:t>
      </w:r>
      <w:r w:rsidR="00F06FDC">
        <w:t xml:space="preserve">Three incidents </w:t>
      </w:r>
      <w:r w:rsidR="00FF2E60">
        <w:t xml:space="preserve">were </w:t>
      </w:r>
      <w:r w:rsidR="007244B8" w:rsidRPr="00CD6245">
        <w:t xml:space="preserve">reported in </w:t>
      </w:r>
      <w:r w:rsidR="00FF2E60">
        <w:t>201</w:t>
      </w:r>
      <w:r w:rsidR="00E44B42">
        <w:t>6–17</w:t>
      </w:r>
      <w:r w:rsidR="00FF2E60">
        <w:t xml:space="preserve">, valued at </w:t>
      </w:r>
      <w:r w:rsidR="00866821">
        <w:t>$</w:t>
      </w:r>
      <w:r w:rsidR="00E44B42">
        <w:t>5.7</w:t>
      </w:r>
      <w:r w:rsidR="00866821">
        <w:t xml:space="preserve"> million</w:t>
      </w:r>
      <w:r w:rsidR="007244B8" w:rsidRPr="00CD6245">
        <w:t>.</w:t>
      </w:r>
    </w:p>
    <w:p w14:paraId="254DF685" w14:textId="46FB2C24" w:rsidR="007244B8" w:rsidRPr="00CD6245" w:rsidRDefault="007244B8" w:rsidP="007244B8">
      <w:pPr>
        <w:pStyle w:val="Caption"/>
      </w:pPr>
      <w:bookmarkStart w:id="96" w:name="_Ref457123423"/>
      <w:bookmarkStart w:id="97" w:name="_Toc524354007"/>
      <w:r w:rsidRPr="00CD6245">
        <w:t xml:space="preserve">Table </w:t>
      </w:r>
      <w:r w:rsidR="002407F7">
        <w:rPr>
          <w:noProof/>
        </w:rPr>
        <w:fldChar w:fldCharType="begin"/>
      </w:r>
      <w:r w:rsidR="002407F7">
        <w:rPr>
          <w:noProof/>
        </w:rPr>
        <w:instrText xml:space="preserve"> SEQ Table \* ARABIC </w:instrText>
      </w:r>
      <w:r w:rsidR="002407F7">
        <w:rPr>
          <w:noProof/>
        </w:rPr>
        <w:fldChar w:fldCharType="separate"/>
      </w:r>
      <w:r w:rsidR="00A07703">
        <w:rPr>
          <w:noProof/>
        </w:rPr>
        <w:t>14</w:t>
      </w:r>
      <w:r w:rsidR="002407F7">
        <w:rPr>
          <w:noProof/>
        </w:rPr>
        <w:fldChar w:fldCharType="end"/>
      </w:r>
      <w:bookmarkEnd w:id="96"/>
      <w:r w:rsidRPr="00CD6245">
        <w:t xml:space="preserve">: Critical incident procurement in </w:t>
      </w:r>
      <w:r>
        <w:t>201</w:t>
      </w:r>
      <w:r w:rsidR="00E44B42">
        <w:t>7–18</w:t>
      </w:r>
      <w:bookmarkEnd w:id="97"/>
    </w:p>
    <w:tbl>
      <w:tblPr>
        <w:tblStyle w:val="ListTable31"/>
        <w:tblW w:w="0" w:type="auto"/>
        <w:tblInd w:w="846" w:type="dxa"/>
        <w:tblLook w:val="04A0" w:firstRow="1" w:lastRow="0" w:firstColumn="1" w:lastColumn="0" w:noHBand="0" w:noVBand="1"/>
      </w:tblPr>
      <w:tblGrid>
        <w:gridCol w:w="1866"/>
        <w:gridCol w:w="1833"/>
        <w:gridCol w:w="2126"/>
      </w:tblGrid>
      <w:tr w:rsidR="007244B8" w:rsidRPr="00CD6245" w14:paraId="5CD9F302" w14:textId="77777777" w:rsidTr="005B2F1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866" w:type="dxa"/>
          </w:tcPr>
          <w:p w14:paraId="3AF70BC8" w14:textId="77777777" w:rsidR="007244B8" w:rsidRPr="00CD6245" w:rsidRDefault="007244B8" w:rsidP="00546DF9">
            <w:pPr>
              <w:pStyle w:val="TableText"/>
              <w:jc w:val="center"/>
            </w:pPr>
          </w:p>
        </w:tc>
        <w:tc>
          <w:tcPr>
            <w:tcW w:w="1833" w:type="dxa"/>
          </w:tcPr>
          <w:p w14:paraId="328BCBBA" w14:textId="77777777" w:rsidR="007244B8" w:rsidRPr="00CD6245" w:rsidRDefault="007244B8" w:rsidP="00546DF9">
            <w:pPr>
              <w:pStyle w:val="TableText"/>
              <w:jc w:val="center"/>
              <w:cnfStyle w:val="100000000000" w:firstRow="1" w:lastRow="0" w:firstColumn="0" w:lastColumn="0" w:oddVBand="0" w:evenVBand="0" w:oddHBand="0" w:evenHBand="0" w:firstRowFirstColumn="0" w:firstRowLastColumn="0" w:lastRowFirstColumn="0" w:lastRowLastColumn="0"/>
            </w:pPr>
            <w:r w:rsidRPr="00CD6245">
              <w:t>Number</w:t>
            </w:r>
          </w:p>
        </w:tc>
        <w:tc>
          <w:tcPr>
            <w:tcW w:w="2126" w:type="dxa"/>
          </w:tcPr>
          <w:p w14:paraId="381370C4" w14:textId="05A6AD62" w:rsidR="007244B8" w:rsidRPr="00CD6245" w:rsidRDefault="007244B8" w:rsidP="00546DF9">
            <w:pPr>
              <w:pStyle w:val="TableText"/>
              <w:jc w:val="center"/>
              <w:cnfStyle w:val="100000000000" w:firstRow="1" w:lastRow="0" w:firstColumn="0" w:lastColumn="0" w:oddVBand="0" w:evenVBand="0" w:oddHBand="0" w:evenHBand="0" w:firstRowFirstColumn="0" w:firstRowLastColumn="0" w:lastRowFirstColumn="0" w:lastRowLastColumn="0"/>
            </w:pPr>
            <w:r w:rsidRPr="00CD6245">
              <w:t>Value</w:t>
            </w:r>
            <w:r w:rsidR="00563E2A">
              <w:t xml:space="preserve"> ($</w:t>
            </w:r>
            <w:r w:rsidR="007500C5">
              <w:t>M</w:t>
            </w:r>
            <w:r w:rsidR="00563E2A">
              <w:t>)</w:t>
            </w:r>
          </w:p>
        </w:tc>
      </w:tr>
      <w:tr w:rsidR="007244B8" w:rsidRPr="00546DF9" w14:paraId="3B6EE1D5" w14:textId="77777777" w:rsidTr="005B2F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66" w:type="dxa"/>
          </w:tcPr>
          <w:p w14:paraId="304C6B78" w14:textId="77777777" w:rsidR="007244B8" w:rsidRPr="00546DF9" w:rsidRDefault="007244B8" w:rsidP="009F24A8">
            <w:pPr>
              <w:pStyle w:val="TableText"/>
              <w:rPr>
                <w:b w:val="0"/>
              </w:rPr>
            </w:pPr>
            <w:r w:rsidRPr="00546DF9">
              <w:rPr>
                <w:b w:val="0"/>
              </w:rPr>
              <w:t>Goods</w:t>
            </w:r>
          </w:p>
        </w:tc>
        <w:tc>
          <w:tcPr>
            <w:tcW w:w="1833" w:type="dxa"/>
          </w:tcPr>
          <w:p w14:paraId="7EC3A8F7" w14:textId="00575C8F" w:rsidR="007244B8" w:rsidRPr="00546DF9" w:rsidRDefault="006F650E" w:rsidP="009F24A8">
            <w:pPr>
              <w:pStyle w:val="TableText"/>
              <w:jc w:val="center"/>
              <w:cnfStyle w:val="000000100000" w:firstRow="0" w:lastRow="0" w:firstColumn="0" w:lastColumn="0" w:oddVBand="0" w:evenVBand="0" w:oddHBand="1" w:evenHBand="0" w:firstRowFirstColumn="0" w:firstRowLastColumn="0" w:lastRowFirstColumn="0" w:lastRowLastColumn="0"/>
            </w:pPr>
            <w:r w:rsidRPr="00546DF9">
              <w:t>..</w:t>
            </w:r>
          </w:p>
        </w:tc>
        <w:tc>
          <w:tcPr>
            <w:tcW w:w="2126" w:type="dxa"/>
          </w:tcPr>
          <w:p w14:paraId="33360BC9" w14:textId="4BE11DB3" w:rsidR="007244B8" w:rsidRPr="00546DF9" w:rsidRDefault="00F7180E" w:rsidP="009F24A8">
            <w:pPr>
              <w:pStyle w:val="TableText"/>
              <w:jc w:val="center"/>
              <w:cnfStyle w:val="000000100000" w:firstRow="0" w:lastRow="0" w:firstColumn="0" w:lastColumn="0" w:oddVBand="0" w:evenVBand="0" w:oddHBand="1" w:evenHBand="0" w:firstRowFirstColumn="0" w:firstRowLastColumn="0" w:lastRowFirstColumn="0" w:lastRowLastColumn="0"/>
            </w:pPr>
            <w:r w:rsidRPr="00546DF9">
              <w:t>..</w:t>
            </w:r>
          </w:p>
        </w:tc>
      </w:tr>
      <w:tr w:rsidR="00C171EA" w:rsidRPr="00546DF9" w14:paraId="386ED6D3" w14:textId="77777777" w:rsidTr="005B2F15">
        <w:tc>
          <w:tcPr>
            <w:cnfStyle w:val="001000000000" w:firstRow="0" w:lastRow="0" w:firstColumn="1" w:lastColumn="0" w:oddVBand="0" w:evenVBand="0" w:oddHBand="0" w:evenHBand="0" w:firstRowFirstColumn="0" w:firstRowLastColumn="0" w:lastRowFirstColumn="0" w:lastRowLastColumn="0"/>
            <w:tcW w:w="1866" w:type="dxa"/>
          </w:tcPr>
          <w:p w14:paraId="27DA6A9E" w14:textId="4784A5C5" w:rsidR="00C171EA" w:rsidRPr="00546DF9" w:rsidRDefault="00C171EA" w:rsidP="00C171EA">
            <w:pPr>
              <w:pStyle w:val="TableText"/>
              <w:rPr>
                <w:b w:val="0"/>
              </w:rPr>
            </w:pPr>
            <w:r w:rsidRPr="00546DF9">
              <w:rPr>
                <w:b w:val="0"/>
              </w:rPr>
              <w:t>Service</w:t>
            </w:r>
            <w:r w:rsidR="00546DF9">
              <w:rPr>
                <w:b w:val="0"/>
              </w:rPr>
              <w:t>s</w:t>
            </w:r>
          </w:p>
        </w:tc>
        <w:tc>
          <w:tcPr>
            <w:tcW w:w="1833" w:type="dxa"/>
          </w:tcPr>
          <w:p w14:paraId="0138F8C2" w14:textId="51A2ECAE" w:rsidR="00C171EA" w:rsidRPr="00546DF9" w:rsidRDefault="00563E2A" w:rsidP="00C171EA">
            <w:pPr>
              <w:pStyle w:val="TableText"/>
              <w:jc w:val="center"/>
              <w:cnfStyle w:val="000000000000" w:firstRow="0" w:lastRow="0" w:firstColumn="0" w:lastColumn="0" w:oddVBand="0" w:evenVBand="0" w:oddHBand="0" w:evenHBand="0" w:firstRowFirstColumn="0" w:firstRowLastColumn="0" w:lastRowFirstColumn="0" w:lastRowLastColumn="0"/>
            </w:pPr>
            <w:r w:rsidRPr="00546DF9">
              <w:t>2</w:t>
            </w:r>
          </w:p>
        </w:tc>
        <w:tc>
          <w:tcPr>
            <w:tcW w:w="2126" w:type="dxa"/>
          </w:tcPr>
          <w:p w14:paraId="01ABD74A" w14:textId="05A70077" w:rsidR="00C171EA" w:rsidRPr="00546DF9" w:rsidRDefault="00563E2A" w:rsidP="00C171EA">
            <w:pPr>
              <w:pStyle w:val="TableText"/>
              <w:jc w:val="center"/>
              <w:cnfStyle w:val="000000000000" w:firstRow="0" w:lastRow="0" w:firstColumn="0" w:lastColumn="0" w:oddVBand="0" w:evenVBand="0" w:oddHBand="0" w:evenHBand="0" w:firstRowFirstColumn="0" w:firstRowLastColumn="0" w:lastRowFirstColumn="0" w:lastRowLastColumn="0"/>
            </w:pPr>
            <w:r w:rsidRPr="00546DF9">
              <w:t>0.14</w:t>
            </w:r>
          </w:p>
        </w:tc>
      </w:tr>
      <w:tr w:rsidR="00C171EA" w:rsidRPr="00CD6245" w14:paraId="77B6ACDB" w14:textId="77777777" w:rsidTr="005B2F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66" w:type="dxa"/>
          </w:tcPr>
          <w:p w14:paraId="0F3430AF" w14:textId="77777777" w:rsidR="00C171EA" w:rsidRPr="00CD6245" w:rsidRDefault="00C171EA" w:rsidP="00C171EA">
            <w:pPr>
              <w:pStyle w:val="TableText"/>
            </w:pPr>
            <w:r w:rsidRPr="00CD6245">
              <w:t>Total</w:t>
            </w:r>
          </w:p>
        </w:tc>
        <w:tc>
          <w:tcPr>
            <w:tcW w:w="1833" w:type="dxa"/>
          </w:tcPr>
          <w:p w14:paraId="603C7480" w14:textId="368EB072" w:rsidR="00C171EA" w:rsidRPr="00CD6245" w:rsidRDefault="00563E2A" w:rsidP="00C171EA">
            <w:pPr>
              <w:pStyle w:val="TableText"/>
              <w:jc w:val="center"/>
              <w:cnfStyle w:val="000000100000" w:firstRow="0" w:lastRow="0" w:firstColumn="0" w:lastColumn="0" w:oddVBand="0" w:evenVBand="0" w:oddHBand="1" w:evenHBand="0" w:firstRowFirstColumn="0" w:firstRowLastColumn="0" w:lastRowFirstColumn="0" w:lastRowLastColumn="0"/>
            </w:pPr>
            <w:r>
              <w:t>2</w:t>
            </w:r>
          </w:p>
        </w:tc>
        <w:tc>
          <w:tcPr>
            <w:tcW w:w="2126" w:type="dxa"/>
          </w:tcPr>
          <w:p w14:paraId="0A4E44EB" w14:textId="0AD448FC" w:rsidR="00C171EA" w:rsidRPr="00CD6245" w:rsidRDefault="00C171EA" w:rsidP="00C171EA">
            <w:pPr>
              <w:pStyle w:val="TableText"/>
              <w:jc w:val="center"/>
              <w:cnfStyle w:val="000000100000" w:firstRow="0" w:lastRow="0" w:firstColumn="0" w:lastColumn="0" w:oddVBand="0" w:evenVBand="0" w:oddHBand="1" w:evenHBand="0" w:firstRowFirstColumn="0" w:firstRowLastColumn="0" w:lastRowFirstColumn="0" w:lastRowLastColumn="0"/>
            </w:pPr>
            <w:r>
              <w:t>0.</w:t>
            </w:r>
            <w:r w:rsidR="00563E2A">
              <w:t>14</w:t>
            </w:r>
          </w:p>
        </w:tc>
      </w:tr>
    </w:tbl>
    <w:bookmarkEnd w:id="72"/>
    <w:p w14:paraId="7132589B" w14:textId="04224350" w:rsidR="00C171EA" w:rsidRDefault="00807498" w:rsidP="007C5160">
      <w:pPr>
        <w:pStyle w:val="Normal1"/>
      </w:pPr>
      <w:r>
        <w:t>The t</w:t>
      </w:r>
      <w:r w:rsidR="00C171EA">
        <w:t>wo critical incidents were reported by Public Transport Victoria</w:t>
      </w:r>
      <w:r w:rsidR="00F971AF">
        <w:t>.</w:t>
      </w:r>
    </w:p>
    <w:p w14:paraId="405D46C7" w14:textId="4225B80F" w:rsidR="00066BD2" w:rsidRPr="00CD6245" w:rsidRDefault="00066BD2" w:rsidP="00C171EA">
      <w:pPr>
        <w:pStyle w:val="Normal1"/>
        <w:rPr>
          <w:color w:val="4D4D4D"/>
          <w:kern w:val="28"/>
          <w:sz w:val="30"/>
          <w:lang w:eastAsia="en-US"/>
        </w:rPr>
      </w:pPr>
      <w:r w:rsidRPr="00CD6245">
        <w:br w:type="page"/>
      </w:r>
    </w:p>
    <w:p w14:paraId="55712539" w14:textId="3517FAF5" w:rsidR="00D22258" w:rsidRPr="00CD6245" w:rsidRDefault="007244B8" w:rsidP="007244B8">
      <w:pPr>
        <w:pStyle w:val="Heading1NoNum"/>
      </w:pPr>
      <w:bookmarkStart w:id="98" w:name="_Toc524354070"/>
      <w:bookmarkStart w:id="99" w:name="_Hlk489516898"/>
      <w:r>
        <w:lastRenderedPageBreak/>
        <w:t>Harnessing the buying power of government</w:t>
      </w:r>
      <w:bookmarkEnd w:id="98"/>
    </w:p>
    <w:p w14:paraId="681DD61F" w14:textId="565A8D05" w:rsidR="0037664D" w:rsidRDefault="009307D9" w:rsidP="005B2F15">
      <w:pPr>
        <w:pStyle w:val="Normal1"/>
        <w:rPr>
          <w:lang w:eastAsia="en-US"/>
        </w:rPr>
      </w:pPr>
      <w:r w:rsidRPr="00CD6245">
        <w:rPr>
          <w:lang w:eastAsia="en-US"/>
        </w:rPr>
        <w:t xml:space="preserve">By </w:t>
      </w:r>
      <w:r w:rsidR="009B7261">
        <w:rPr>
          <w:lang w:eastAsia="en-US"/>
        </w:rPr>
        <w:t>combining</w:t>
      </w:r>
      <w:r w:rsidRPr="00CD6245">
        <w:rPr>
          <w:lang w:eastAsia="en-US"/>
        </w:rPr>
        <w:t xml:space="preserve"> demand</w:t>
      </w:r>
      <w:r>
        <w:rPr>
          <w:lang w:eastAsia="en-US"/>
        </w:rPr>
        <w:t xml:space="preserve"> </w:t>
      </w:r>
      <w:r w:rsidRPr="00CD6245">
        <w:rPr>
          <w:lang w:eastAsia="en-US"/>
        </w:rPr>
        <w:t>for common</w:t>
      </w:r>
      <w:r w:rsidR="00F06FDC">
        <w:rPr>
          <w:lang w:eastAsia="en-US"/>
        </w:rPr>
        <w:t>ly</w:t>
      </w:r>
      <w:r w:rsidR="00963F4B">
        <w:rPr>
          <w:lang w:eastAsia="en-US"/>
        </w:rPr>
        <w:t xml:space="preserve"> use</w:t>
      </w:r>
      <w:r w:rsidR="00F06FDC">
        <w:rPr>
          <w:lang w:eastAsia="en-US"/>
        </w:rPr>
        <w:t>d</w:t>
      </w:r>
      <w:r w:rsidRPr="00CD6245">
        <w:rPr>
          <w:lang w:eastAsia="en-US"/>
        </w:rPr>
        <w:t xml:space="preserve"> goods and services, </w:t>
      </w:r>
      <w:r w:rsidR="00F06FDC">
        <w:rPr>
          <w:lang w:eastAsia="en-US"/>
        </w:rPr>
        <w:t>government</w:t>
      </w:r>
      <w:r w:rsidRPr="00CD6245">
        <w:rPr>
          <w:lang w:eastAsia="en-US"/>
        </w:rPr>
        <w:t xml:space="preserve"> can harness greater economies of scale when negotiating with suppliers.</w:t>
      </w:r>
    </w:p>
    <w:p w14:paraId="393BAC6E" w14:textId="225C0253" w:rsidR="00A35E2F" w:rsidRDefault="00A35E2F" w:rsidP="00042E3B">
      <w:pPr>
        <w:pStyle w:val="Normal1"/>
      </w:pPr>
      <w:r w:rsidRPr="00042E3B">
        <w:t>Aggregating purchasing power allows organisations to negotiate lower prices</w:t>
      </w:r>
      <w:r w:rsidR="007517D7">
        <w:t xml:space="preserve"> </w:t>
      </w:r>
      <w:r w:rsidR="007C5160">
        <w:t xml:space="preserve">and </w:t>
      </w:r>
      <w:r w:rsidR="007517D7">
        <w:t xml:space="preserve">better terms and </w:t>
      </w:r>
      <w:r w:rsidR="009B04F5">
        <w:t>conditions and</w:t>
      </w:r>
      <w:r w:rsidR="007C5160">
        <w:t xml:space="preserve"> </w:t>
      </w:r>
      <w:r w:rsidRPr="007C5160">
        <w:t>reduc</w:t>
      </w:r>
      <w:r w:rsidR="007C5160" w:rsidRPr="007C5160">
        <w:t>es</w:t>
      </w:r>
      <w:r w:rsidRPr="007C5160">
        <w:t xml:space="preserve"> the</w:t>
      </w:r>
      <w:r w:rsidRPr="00042E3B">
        <w:t xml:space="preserve"> administrative burden </w:t>
      </w:r>
      <w:r w:rsidR="00D438A1">
        <w:t>on buyers and suppliers</w:t>
      </w:r>
      <w:r w:rsidRPr="00042E3B">
        <w:t>.</w:t>
      </w:r>
    </w:p>
    <w:p w14:paraId="76F2C8DD" w14:textId="47877669" w:rsidR="00D438A1" w:rsidRPr="00F971AF" w:rsidRDefault="00D438A1" w:rsidP="0091365E">
      <w:pPr>
        <w:pStyle w:val="Normal1"/>
      </w:pPr>
      <w:r w:rsidRPr="00F971AF">
        <w:t xml:space="preserve">The Victorian Government has </w:t>
      </w:r>
      <w:r w:rsidR="00FB0AF9" w:rsidRPr="00F971AF">
        <w:t>3</w:t>
      </w:r>
      <w:r w:rsidR="00235F70" w:rsidRPr="00F971AF">
        <w:t>4</w:t>
      </w:r>
      <w:r w:rsidRPr="00F971AF">
        <w:rPr>
          <w:lang w:eastAsia="en-US"/>
        </w:rPr>
        <w:t xml:space="preserve"> </w:t>
      </w:r>
      <w:r w:rsidR="0055120B" w:rsidRPr="00F971AF">
        <w:t xml:space="preserve">state purchase contracts (SPCs) </w:t>
      </w:r>
      <w:r w:rsidRPr="00F971AF">
        <w:rPr>
          <w:lang w:eastAsia="en-US"/>
        </w:rPr>
        <w:t>for commonly purchased goods and services</w:t>
      </w:r>
      <w:r w:rsidR="007C5160" w:rsidRPr="00F971AF">
        <w:rPr>
          <w:lang w:eastAsia="en-US"/>
        </w:rPr>
        <w:t xml:space="preserve"> under 22 spend categories, </w:t>
      </w:r>
      <w:r w:rsidRPr="00F971AF">
        <w:rPr>
          <w:lang w:eastAsia="en-US"/>
        </w:rPr>
        <w:t xml:space="preserve">as shown in </w:t>
      </w:r>
      <w:r w:rsidRPr="00F971AF">
        <w:rPr>
          <w:lang w:eastAsia="en-US"/>
        </w:rPr>
        <w:fldChar w:fldCharType="begin"/>
      </w:r>
      <w:r w:rsidRPr="00F971AF">
        <w:rPr>
          <w:lang w:eastAsia="en-US"/>
        </w:rPr>
        <w:instrText xml:space="preserve"> REF _Ref489353719 \h  \* MERGEFORMAT </w:instrText>
      </w:r>
      <w:r w:rsidRPr="00F971AF">
        <w:rPr>
          <w:lang w:eastAsia="en-US"/>
        </w:rPr>
      </w:r>
      <w:r w:rsidRPr="00F971AF">
        <w:rPr>
          <w:lang w:eastAsia="en-US"/>
        </w:rPr>
        <w:fldChar w:fldCharType="separate"/>
      </w:r>
      <w:r w:rsidR="00A07703" w:rsidRPr="00FE5741">
        <w:rPr>
          <w:noProof/>
        </w:rPr>
        <w:t>Figure</w:t>
      </w:r>
      <w:r w:rsidR="00A07703" w:rsidRPr="00FE5741">
        <w:t xml:space="preserve"> </w:t>
      </w:r>
      <w:r w:rsidR="00A07703">
        <w:rPr>
          <w:noProof/>
        </w:rPr>
        <w:t>8</w:t>
      </w:r>
      <w:r w:rsidRPr="00F971AF">
        <w:rPr>
          <w:lang w:eastAsia="en-US"/>
        </w:rPr>
        <w:fldChar w:fldCharType="end"/>
      </w:r>
      <w:r w:rsidRPr="00F971AF">
        <w:rPr>
          <w:lang w:eastAsia="en-US"/>
        </w:rPr>
        <w:t>.</w:t>
      </w:r>
    </w:p>
    <w:p w14:paraId="1EE40D2E" w14:textId="19842F18" w:rsidR="0055120B" w:rsidRDefault="0055120B" w:rsidP="0055120B">
      <w:pPr>
        <w:pStyle w:val="Normal1"/>
        <w:rPr>
          <w:lang w:eastAsia="en-US"/>
        </w:rPr>
      </w:pPr>
      <w:r w:rsidRPr="00F971AF">
        <w:t>More than 200 organisations benefit from the time and cost savings offered by SPCs.</w:t>
      </w:r>
      <w:r w:rsidRPr="00F971AF">
        <w:rPr>
          <w:lang w:eastAsia="en-US"/>
        </w:rPr>
        <w:t xml:space="preserve"> Total annual spend under SPCs is estimated to be </w:t>
      </w:r>
      <w:r w:rsidR="006D29C0" w:rsidRPr="00F971AF">
        <w:rPr>
          <w:lang w:eastAsia="en-US"/>
        </w:rPr>
        <w:t>about</w:t>
      </w:r>
      <w:r w:rsidRPr="00F971AF">
        <w:rPr>
          <w:lang w:eastAsia="en-US"/>
        </w:rPr>
        <w:t xml:space="preserve"> </w:t>
      </w:r>
      <w:r w:rsidR="00420659" w:rsidRPr="00F971AF">
        <w:rPr>
          <w:lang w:eastAsia="en-US"/>
        </w:rPr>
        <w:t>$</w:t>
      </w:r>
      <w:r w:rsidR="00710380" w:rsidRPr="00F971AF">
        <w:rPr>
          <w:lang w:eastAsia="en-US"/>
        </w:rPr>
        <w:t>1.</w:t>
      </w:r>
      <w:r w:rsidR="006D29C0" w:rsidRPr="00F971AF">
        <w:rPr>
          <w:lang w:eastAsia="en-US"/>
        </w:rPr>
        <w:t>5</w:t>
      </w:r>
      <w:r w:rsidRPr="00F971AF">
        <w:rPr>
          <w:lang w:eastAsia="en-US"/>
        </w:rPr>
        <w:t xml:space="preserve"> billio</w:t>
      </w:r>
      <w:r w:rsidRPr="00686733">
        <w:rPr>
          <w:lang w:eastAsia="en-US"/>
        </w:rPr>
        <w:t>n</w:t>
      </w:r>
      <w:r w:rsidR="00C53DC4" w:rsidRPr="00686733">
        <w:rPr>
          <w:lang w:eastAsia="en-US"/>
        </w:rPr>
        <w:t xml:space="preserve"> </w:t>
      </w:r>
      <w:r w:rsidR="00F971AF" w:rsidRPr="00686733">
        <w:rPr>
          <w:lang w:eastAsia="en-US"/>
        </w:rPr>
        <w:t>(n</w:t>
      </w:r>
      <w:r w:rsidR="00F971AF" w:rsidRPr="00F971AF">
        <w:rPr>
          <w:lang w:eastAsia="en-US"/>
        </w:rPr>
        <w:t>ot including the Legal Services SPC and Energy Performance Contracting).</w:t>
      </w:r>
    </w:p>
    <w:p w14:paraId="23761931" w14:textId="284F3C8F" w:rsidR="0055120B" w:rsidRDefault="0055120B" w:rsidP="0055120B">
      <w:pPr>
        <w:pStyle w:val="Heading3NoNum"/>
      </w:pPr>
      <w:r>
        <w:t>Who can access SPCs?</w:t>
      </w:r>
    </w:p>
    <w:p w14:paraId="498EF3FB" w14:textId="64D5AB35" w:rsidR="00D438A1" w:rsidRPr="00042E3B" w:rsidRDefault="00D438A1" w:rsidP="00042E3B">
      <w:pPr>
        <w:pStyle w:val="Normal1"/>
      </w:pPr>
      <w:r>
        <w:t>A</w:t>
      </w:r>
      <w:r w:rsidRPr="00CD6245">
        <w:t xml:space="preserve">ll government organisations and agencies can access </w:t>
      </w:r>
      <w:r w:rsidR="0055120B">
        <w:t>S</w:t>
      </w:r>
      <w:r w:rsidRPr="00CD6245">
        <w:t xml:space="preserve">PCs </w:t>
      </w:r>
      <w:r>
        <w:t xml:space="preserve">provided </w:t>
      </w:r>
      <w:r w:rsidRPr="00CD6245">
        <w:t>they commit to the rules of use.</w:t>
      </w:r>
      <w:r>
        <w:t xml:space="preserve"> For organisations bound by VGPB policies, </w:t>
      </w:r>
      <w:r>
        <w:rPr>
          <w:lang w:eastAsia="en-US"/>
        </w:rPr>
        <w:t xml:space="preserve">SPCs are mandatory unless </w:t>
      </w:r>
      <w:r>
        <w:t xml:space="preserve">the lead department </w:t>
      </w:r>
      <w:r w:rsidR="00FB0AF9">
        <w:t xml:space="preserve">managing the SPC </w:t>
      </w:r>
      <w:r>
        <w:t>g</w:t>
      </w:r>
      <w:r w:rsidR="00F06FDC">
        <w:t>ives</w:t>
      </w:r>
      <w:r>
        <w:t xml:space="preserve"> a written exemption.</w:t>
      </w:r>
    </w:p>
    <w:p w14:paraId="7218CA6A" w14:textId="794027EA" w:rsidR="00D438A1" w:rsidRPr="002865DF" w:rsidRDefault="008F27CC" w:rsidP="002865DF">
      <w:pPr>
        <w:pStyle w:val="Normal1"/>
      </w:pPr>
      <w:r w:rsidRPr="002865DF">
        <w:rPr>
          <w:noProof/>
          <w:highlight w:val="yellow"/>
        </w:rPr>
        <mc:AlternateContent>
          <mc:Choice Requires="wps">
            <w:drawing>
              <wp:anchor distT="0" distB="0" distL="114300" distR="114300" simplePos="0" relativeHeight="251655168" behindDoc="0" locked="0" layoutInCell="1" allowOverlap="1" wp14:anchorId="264E378A" wp14:editId="1472E673">
                <wp:simplePos x="0" y="0"/>
                <wp:positionH relativeFrom="column">
                  <wp:posOffset>3718560</wp:posOffset>
                </wp:positionH>
                <wp:positionV relativeFrom="paragraph">
                  <wp:posOffset>9525</wp:posOffset>
                </wp:positionV>
                <wp:extent cx="2442210" cy="2085975"/>
                <wp:effectExtent l="0" t="0" r="15240" b="28575"/>
                <wp:wrapSquare wrapText="bothSides"/>
                <wp:docPr id="7" name="Text Box 7"/>
                <wp:cNvGraphicFramePr/>
                <a:graphic xmlns:a="http://schemas.openxmlformats.org/drawingml/2006/main">
                  <a:graphicData uri="http://schemas.microsoft.com/office/word/2010/wordprocessingShape">
                    <wps:wsp>
                      <wps:cNvSpPr txBox="1"/>
                      <wps:spPr>
                        <a:xfrm>
                          <a:off x="0" y="0"/>
                          <a:ext cx="2442210" cy="2085975"/>
                        </a:xfrm>
                        <a:prstGeom prst="rect">
                          <a:avLst/>
                        </a:prstGeom>
                        <a:noFill/>
                        <a:ln w="6350">
                          <a:solidFill>
                            <a:prstClr val="black"/>
                          </a:solidFill>
                        </a:ln>
                      </wps:spPr>
                      <wps:txbx>
                        <w:txbxContent>
                          <w:p w14:paraId="6A797738" w14:textId="3D5AF28C" w:rsidR="001206E5" w:rsidRDefault="001206E5" w:rsidP="0037664D">
                            <w:pPr>
                              <w:pStyle w:val="TableText"/>
                            </w:pPr>
                            <w:r>
                              <w:t>SPCs can be sole or multiple (panel) supplier arrangements or register arrangements. Panels can be open or closed. Open panels can accept new suppliers at set or other times during the contract period. Closed panels are restricted to the suppliers engaged at the start of the contract.</w:t>
                            </w:r>
                          </w:p>
                          <w:p w14:paraId="67E08DB6" w14:textId="2AD75DD7" w:rsidR="001206E5" w:rsidRDefault="001206E5" w:rsidP="0037664D">
                            <w:pPr>
                              <w:pStyle w:val="TableText"/>
                            </w:pPr>
                            <w:r>
                              <w:t>Registers consist of prequalified suppliers, compliant where required with the eligibility criteria to provide goods and services to Victorian Government.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4E378A" id="Text Box 7" o:spid="_x0000_s1075" type="#_x0000_t202" style="position:absolute;left:0;text-align:left;margin-left:292.8pt;margin-top:.75pt;width:192.3pt;height:164.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" filled="f" strokeweight=".5pt">
                <v:textbox>
                  <w:txbxContent>
                    <w:p w14:paraId="6A797738" w14:textId="3D5AF28C" w:rsidR="001206E5" w:rsidRDefault="001206E5" w:rsidP="0037664D">
                      <w:pPr>
                        <w:pStyle w:val="TableText"/>
                      </w:pPr>
                      <w:r>
                        <w:t>SPCs can be sole or multiple (panel) supplier arrangements or register arrangements. Panels can be open or closed. Open panels can accept new suppliers at set or other times during the contract period. Closed panels are restricted to the suppliers engaged at the start of the contract.</w:t>
                      </w:r>
                    </w:p>
                    <w:p w14:paraId="67E08DB6" w14:textId="2AD75DD7" w:rsidR="001206E5" w:rsidRDefault="001206E5" w:rsidP="0037664D">
                      <w:pPr>
                        <w:pStyle w:val="TableText"/>
                      </w:pPr>
                      <w:r>
                        <w:t>Registers consist of prequalified suppliers, compliant where required with the eligibility criteria to provide goods and services to Victorian Government.</w:t>
                      </w:r>
                    </w:p>
                  </w:txbxContent>
                </v:textbox>
                <w10:wrap type="square"/>
              </v:shape>
            </w:pict>
          </mc:Fallback>
        </mc:AlternateContent>
      </w:r>
      <w:r w:rsidR="00F06FDC" w:rsidRPr="002865DF">
        <w:t>Other o</w:t>
      </w:r>
      <w:r w:rsidR="00D438A1" w:rsidRPr="002865DF">
        <w:t xml:space="preserve">rganisations that can access SPCs include local and federal </w:t>
      </w:r>
      <w:r w:rsidR="007C5160" w:rsidRPr="002865DF">
        <w:t>government organisations and not-for</w:t>
      </w:r>
      <w:r w:rsidR="00D438A1" w:rsidRPr="002865DF">
        <w:t>-profit organisations.</w:t>
      </w:r>
    </w:p>
    <w:p w14:paraId="468F67C7" w14:textId="710BC9E0" w:rsidR="0055120B" w:rsidRDefault="0055120B" w:rsidP="0055120B">
      <w:pPr>
        <w:pStyle w:val="Heading3NoNum"/>
      </w:pPr>
      <w:r>
        <w:t>Who manages SPCs?</w:t>
      </w:r>
    </w:p>
    <w:p w14:paraId="0C8A474F" w14:textId="60DE139E" w:rsidR="0055120B" w:rsidRDefault="00D438A1" w:rsidP="00D438A1">
      <w:pPr>
        <w:pStyle w:val="Normal1"/>
      </w:pPr>
      <w:r w:rsidRPr="00A64F1B">
        <w:t>The Departme</w:t>
      </w:r>
      <w:r>
        <w:t>nt of Treasury and Finance</w:t>
      </w:r>
      <w:r w:rsidRPr="00A64F1B">
        <w:t xml:space="preserve"> manages </w:t>
      </w:r>
      <w:r w:rsidR="0055120B">
        <w:t xml:space="preserve">almost all </w:t>
      </w:r>
      <w:r>
        <w:t>non-ICT goods and services SPCs</w:t>
      </w:r>
      <w:r w:rsidR="0055120B">
        <w:t>. The only exception is</w:t>
      </w:r>
      <w:r>
        <w:t xml:space="preserve"> the </w:t>
      </w:r>
      <w:r w:rsidR="006B5610">
        <w:t>Legal Servi</w:t>
      </w:r>
      <w:r>
        <w:t>ces SPC</w:t>
      </w:r>
      <w:r w:rsidR="0055120B">
        <w:t xml:space="preserve">, </w:t>
      </w:r>
      <w:r>
        <w:t>which is managed by the Department of Justice and Regulation.</w:t>
      </w:r>
    </w:p>
    <w:p w14:paraId="2B40FD6D" w14:textId="317D164D" w:rsidR="00D438A1" w:rsidRDefault="00D438A1" w:rsidP="00D438A1">
      <w:pPr>
        <w:pStyle w:val="Normal1"/>
      </w:pPr>
      <w:r>
        <w:t>T</w:t>
      </w:r>
      <w:r w:rsidRPr="00A64F1B">
        <w:t>he Department of Premier and Cabinet</w:t>
      </w:r>
      <w:r w:rsidR="00FB0AF9">
        <w:t xml:space="preserve"> </w:t>
      </w:r>
      <w:r w:rsidR="008E5C8C">
        <w:t>is</w:t>
      </w:r>
      <w:r w:rsidRPr="00A64F1B">
        <w:t xml:space="preserve"> responsible for ICT SPCs</w:t>
      </w:r>
      <w:r w:rsidR="008E5C8C">
        <w:t>, apart from Rosetta</w:t>
      </w:r>
      <w:r w:rsidR="00E65F21">
        <w:t>,</w:t>
      </w:r>
      <w:r w:rsidR="008E5C8C">
        <w:t xml:space="preserve"> which is managed by</w:t>
      </w:r>
      <w:r w:rsidR="008E5C8C" w:rsidRPr="008E5C8C">
        <w:t xml:space="preserve"> </w:t>
      </w:r>
      <w:r w:rsidR="00820DB7">
        <w:t>CenITex</w:t>
      </w:r>
      <w:r w:rsidR="008E5C8C">
        <w:t>.</w:t>
      </w:r>
    </w:p>
    <w:p w14:paraId="027BAE3C" w14:textId="3BD4C6D4" w:rsidR="0055120B" w:rsidRPr="00420659" w:rsidRDefault="0055120B" w:rsidP="0055120B">
      <w:pPr>
        <w:pStyle w:val="Heading3NoNum"/>
      </w:pPr>
      <w:r w:rsidRPr="00420659">
        <w:t>Looking for new opportunities</w:t>
      </w:r>
    </w:p>
    <w:p w14:paraId="65009905" w14:textId="2E7877B6" w:rsidR="009C2CAE" w:rsidRDefault="00D438A1" w:rsidP="00D438A1">
      <w:pPr>
        <w:pStyle w:val="Normal1"/>
      </w:pPr>
      <w:r w:rsidRPr="00420659">
        <w:t xml:space="preserve">In 2017–18, the </w:t>
      </w:r>
      <w:r w:rsidR="007C5160" w:rsidRPr="00420659">
        <w:t>VGPB</w:t>
      </w:r>
      <w:r w:rsidRPr="00420659">
        <w:t xml:space="preserve"> continue</w:t>
      </w:r>
      <w:r w:rsidR="009C2CAE" w:rsidRPr="00420659">
        <w:t>d</w:t>
      </w:r>
      <w:r w:rsidRPr="00420659">
        <w:t xml:space="preserve"> to build on its role to help organisations identify new opportunities for aggregation.</w:t>
      </w:r>
      <w:r>
        <w:t xml:space="preserve"> </w:t>
      </w:r>
      <w:r w:rsidR="009C2CAE">
        <w:t xml:space="preserve">Multicultural Affairs in </w:t>
      </w:r>
      <w:r w:rsidR="00E65F21">
        <w:t xml:space="preserve">the </w:t>
      </w:r>
      <w:r w:rsidR="00E65F21" w:rsidRPr="00A64F1B">
        <w:t>Department of Premier and Cabinet</w:t>
      </w:r>
      <w:r w:rsidR="009C2CAE">
        <w:t xml:space="preserve"> has been working closely with </w:t>
      </w:r>
      <w:r w:rsidR="006919A6">
        <w:t xml:space="preserve">the </w:t>
      </w:r>
      <w:r w:rsidR="009C2CAE">
        <w:t>Strategic Sour</w:t>
      </w:r>
      <w:r w:rsidR="00420659">
        <w:t>c</w:t>
      </w:r>
      <w:r w:rsidR="009C2CAE">
        <w:t xml:space="preserve">ing </w:t>
      </w:r>
      <w:r w:rsidR="0072562D">
        <w:t>Group</w:t>
      </w:r>
      <w:r w:rsidR="00420659">
        <w:t xml:space="preserve"> </w:t>
      </w:r>
      <w:r w:rsidR="006919A6">
        <w:t xml:space="preserve">in </w:t>
      </w:r>
      <w:r w:rsidR="006919A6">
        <w:rPr>
          <w:lang w:eastAsia="en-US"/>
        </w:rPr>
        <w:t>the Department of Treasury and Finance</w:t>
      </w:r>
      <w:r w:rsidR="006919A6">
        <w:t xml:space="preserve"> </w:t>
      </w:r>
      <w:r w:rsidR="005B2F15">
        <w:t>on</w:t>
      </w:r>
      <w:r w:rsidR="008F27CC">
        <w:t xml:space="preserve"> a joint</w:t>
      </w:r>
      <w:r w:rsidR="009C2CAE">
        <w:t xml:space="preserve"> initiative to develop a language services SPC</w:t>
      </w:r>
      <w:r w:rsidR="00686733">
        <w:t xml:space="preserve"> (</w:t>
      </w:r>
      <w:r w:rsidR="00686733" w:rsidRPr="00686733">
        <w:t>translating and interpreting services)</w:t>
      </w:r>
      <w:r w:rsidR="009C2CAE">
        <w:t>.</w:t>
      </w:r>
      <w:r w:rsidR="00E25C49">
        <w:t xml:space="preserve"> The language services SPC </w:t>
      </w:r>
      <w:r w:rsidR="00FB0AF9">
        <w:t xml:space="preserve">will </w:t>
      </w:r>
      <w:r w:rsidR="00E25C49">
        <w:t>aggregate demand for buyers</w:t>
      </w:r>
      <w:r w:rsidR="00420659">
        <w:t>,</w:t>
      </w:r>
      <w:r w:rsidR="00E25C49">
        <w:t xml:space="preserve"> but more importantly it establishes a </w:t>
      </w:r>
      <w:r w:rsidR="00AC5C08">
        <w:t xml:space="preserve">minimum </w:t>
      </w:r>
      <w:r w:rsidR="00E25C49">
        <w:t>standard for engaging providers.</w:t>
      </w:r>
    </w:p>
    <w:p w14:paraId="12B381C8" w14:textId="4F627317" w:rsidR="00D438A1" w:rsidRPr="00A64F1B" w:rsidRDefault="009C2CAE" w:rsidP="00D438A1">
      <w:pPr>
        <w:pStyle w:val="Normal1"/>
      </w:pPr>
      <w:r>
        <w:t>Throughout 2018</w:t>
      </w:r>
      <w:r w:rsidR="00420659">
        <w:t>–</w:t>
      </w:r>
      <w:r>
        <w:t xml:space="preserve">19, the VGPB </w:t>
      </w:r>
      <w:r w:rsidR="00D438A1">
        <w:t xml:space="preserve">will </w:t>
      </w:r>
      <w:r>
        <w:t xml:space="preserve">continue to review </w:t>
      </w:r>
      <w:r w:rsidR="00D438A1">
        <w:t>quarterly SPC reporting and organisations</w:t>
      </w:r>
      <w:r w:rsidR="007C5160">
        <w:t>’</w:t>
      </w:r>
      <w:r w:rsidR="00D438A1">
        <w:t xml:space="preserve"> forward</w:t>
      </w:r>
      <w:r w:rsidR="00420659">
        <w:t>-</w:t>
      </w:r>
      <w:r w:rsidR="00D438A1">
        <w:t xml:space="preserve">looking procurement activity plans, as well as data gathered from annual supply reports. These mechanisms enable the VGPB to </w:t>
      </w:r>
      <w:r>
        <w:t xml:space="preserve">continue to </w:t>
      </w:r>
      <w:r w:rsidR="00D438A1">
        <w:t>support</w:t>
      </w:r>
      <w:r w:rsidR="009F3DF7">
        <w:t xml:space="preserve"> the departments of</w:t>
      </w:r>
      <w:r w:rsidR="00B60784">
        <w:t xml:space="preserve"> Treasury and Finance</w:t>
      </w:r>
      <w:r w:rsidR="00D438A1">
        <w:t xml:space="preserve"> and </w:t>
      </w:r>
      <w:r w:rsidR="00B60784" w:rsidRPr="00A64F1B">
        <w:t>Premier and Cabinet</w:t>
      </w:r>
      <w:r w:rsidR="00B60784">
        <w:t xml:space="preserve"> </w:t>
      </w:r>
      <w:r w:rsidR="00D438A1">
        <w:t>in identifying additional opportunities for aggregation to drive greater value-for-money outcomes.</w:t>
      </w:r>
    </w:p>
    <w:p w14:paraId="7151313A" w14:textId="77777777" w:rsidR="00D438A1" w:rsidRDefault="00D438A1" w:rsidP="002F2507">
      <w:pPr>
        <w:pStyle w:val="Heading3NoNum"/>
      </w:pPr>
      <w:r>
        <w:t>About the data in this section</w:t>
      </w:r>
    </w:p>
    <w:p w14:paraId="52DA7ECC" w14:textId="285EC24A" w:rsidR="00D438A1" w:rsidRPr="00822C11" w:rsidRDefault="00D438A1" w:rsidP="00D438A1">
      <w:pPr>
        <w:pStyle w:val="Normal1"/>
      </w:pPr>
      <w:r w:rsidRPr="00BE29E6">
        <w:t>The contract values in the tables are estimates. Expenditure occurs as organisations order and consume goods and services under the SPC</w:t>
      </w:r>
      <w:r>
        <w:t>/SEPC</w:t>
      </w:r>
      <w:r w:rsidRPr="00BE29E6">
        <w:t>. This takes place over the contract term. Total estimated value includes the initial contract term</w:t>
      </w:r>
      <w:r w:rsidR="003E0CE6">
        <w:t>,</w:t>
      </w:r>
      <w:r w:rsidRPr="00BE29E6">
        <w:t xml:space="preserve"> including any options</w:t>
      </w:r>
      <w:r>
        <w:t xml:space="preserve"> to extend the contract</w:t>
      </w:r>
      <w:r w:rsidRPr="00BE29E6">
        <w:t>.</w:t>
      </w:r>
    </w:p>
    <w:p w14:paraId="627105FB" w14:textId="658A1E39" w:rsidR="0082041B" w:rsidRDefault="0082041B" w:rsidP="0082041B">
      <w:pPr>
        <w:pStyle w:val="Caption"/>
        <w:rPr>
          <w:lang w:eastAsia="en-US"/>
        </w:rPr>
      </w:pPr>
      <w:bookmarkStart w:id="100" w:name="_Ref489353719"/>
      <w:bookmarkStart w:id="101" w:name="_Toc524354047"/>
      <w:r w:rsidRPr="00FE5741">
        <w:lastRenderedPageBreak/>
        <w:t xml:space="preserve">Figure </w:t>
      </w:r>
      <w:r w:rsidR="002407F7" w:rsidRPr="00FE5741">
        <w:rPr>
          <w:noProof/>
        </w:rPr>
        <w:fldChar w:fldCharType="begin"/>
      </w:r>
      <w:r w:rsidR="002407F7" w:rsidRPr="00FE5741">
        <w:rPr>
          <w:noProof/>
        </w:rPr>
        <w:instrText xml:space="preserve"> SEQ Figure \* ARABIC </w:instrText>
      </w:r>
      <w:r w:rsidR="002407F7" w:rsidRPr="00FE5741">
        <w:rPr>
          <w:noProof/>
        </w:rPr>
        <w:fldChar w:fldCharType="separate"/>
      </w:r>
      <w:r w:rsidR="00A07703">
        <w:rPr>
          <w:noProof/>
        </w:rPr>
        <w:t>8</w:t>
      </w:r>
      <w:r w:rsidR="002407F7" w:rsidRPr="00FE5741">
        <w:rPr>
          <w:noProof/>
        </w:rPr>
        <w:fldChar w:fldCharType="end"/>
      </w:r>
      <w:bookmarkEnd w:id="100"/>
      <w:r w:rsidRPr="00FE5741">
        <w:t xml:space="preserve">: </w:t>
      </w:r>
      <w:r w:rsidRPr="00FE5741">
        <w:rPr>
          <w:lang w:eastAsia="en-US"/>
        </w:rPr>
        <w:t>SPC</w:t>
      </w:r>
      <w:r w:rsidR="007C5160" w:rsidRPr="00FE5741">
        <w:rPr>
          <w:lang w:eastAsia="en-US"/>
        </w:rPr>
        <w:t xml:space="preserve"> categories</w:t>
      </w:r>
      <w:bookmarkEnd w:id="101"/>
    </w:p>
    <w:p w14:paraId="4A5FB165" w14:textId="35B0B603" w:rsidR="00FE5741" w:rsidRPr="00FE5741" w:rsidRDefault="00FE5741" w:rsidP="00FE5741">
      <w:pPr>
        <w:rPr>
          <w:lang w:eastAsia="en-US"/>
        </w:rPr>
      </w:pPr>
      <w:r>
        <w:rPr>
          <w:noProof/>
          <w:lang w:eastAsia="en-US"/>
        </w:rPr>
        <w:drawing>
          <wp:inline distT="0" distB="0" distL="0" distR="0" wp14:anchorId="57434EE8" wp14:editId="7FB0BC12">
            <wp:extent cx="6116320" cy="8370570"/>
            <wp:effectExtent l="0" t="0" r="0" b="0"/>
            <wp:docPr id="18" name="Picture 18" descr="A screenshot of a cell phone&#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DTF1093_FA_SPC_categories.png"/>
                    <pic:cNvPicPr/>
                  </pic:nvPicPr>
                  <pic:blipFill>
                    <a:blip r:embed="rId29"/>
                    <a:stretch>
                      <a:fillRect/>
                    </a:stretch>
                  </pic:blipFill>
                  <pic:spPr>
                    <a:xfrm>
                      <a:off x="0" y="0"/>
                      <a:ext cx="6116320" cy="8370570"/>
                    </a:xfrm>
                    <a:prstGeom prst="rect">
                      <a:avLst/>
                    </a:prstGeom>
                  </pic:spPr>
                </pic:pic>
              </a:graphicData>
            </a:graphic>
          </wp:inline>
        </w:drawing>
      </w:r>
    </w:p>
    <w:p w14:paraId="3608FF20" w14:textId="45B502CE" w:rsidR="0030105D" w:rsidRDefault="0030105D" w:rsidP="0030105D">
      <w:pPr>
        <w:rPr>
          <w:lang w:eastAsia="en-US"/>
        </w:rPr>
      </w:pPr>
    </w:p>
    <w:p w14:paraId="317985E1" w14:textId="77777777" w:rsidR="0030105D" w:rsidRPr="0030105D" w:rsidRDefault="0030105D" w:rsidP="0030105D">
      <w:pPr>
        <w:rPr>
          <w:lang w:eastAsia="en-US"/>
        </w:rPr>
      </w:pPr>
    </w:p>
    <w:p w14:paraId="2513676C" w14:textId="165574E7" w:rsidR="0037664D" w:rsidRPr="00EC21B2" w:rsidRDefault="0037664D" w:rsidP="0030105D">
      <w:pPr>
        <w:pStyle w:val="Normal1"/>
        <w:ind w:left="0"/>
        <w:rPr>
          <w:highlight w:val="yellow"/>
          <w:lang w:eastAsia="en-US"/>
        </w:rPr>
      </w:pPr>
    </w:p>
    <w:p w14:paraId="2289F4EB" w14:textId="5C1BE6A5" w:rsidR="00BE29E6" w:rsidRDefault="00BE29E6" w:rsidP="0069295E">
      <w:pPr>
        <w:pStyle w:val="Normal1"/>
      </w:pPr>
    </w:p>
    <w:p w14:paraId="48DE6E4E" w14:textId="370C12D6" w:rsidR="00BE29E6" w:rsidRDefault="00BE29E6" w:rsidP="0069295E">
      <w:pPr>
        <w:pStyle w:val="Normal1"/>
      </w:pPr>
    </w:p>
    <w:p w14:paraId="15944177" w14:textId="77777777" w:rsidR="00BE29E6" w:rsidRDefault="00BE29E6" w:rsidP="0069295E">
      <w:pPr>
        <w:pStyle w:val="Normal1"/>
      </w:pPr>
    </w:p>
    <w:p w14:paraId="06669176" w14:textId="432F23E9" w:rsidR="00BE29E6" w:rsidRDefault="00FE5741" w:rsidP="0069295E">
      <w:pPr>
        <w:pStyle w:val="Normal1"/>
      </w:pPr>
      <w:r>
        <w:rPr>
          <w:noProof/>
        </w:rPr>
        <w:drawing>
          <wp:inline distT="0" distB="0" distL="0" distR="0" wp14:anchorId="02817E1C" wp14:editId="35606D0A">
            <wp:extent cx="5652871" cy="7729268"/>
            <wp:effectExtent l="0" t="0" r="5080" b="5080"/>
            <wp:docPr id="20" name="Picture 20" descr="A screenshot of a cell phone&#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DTF1093_FA_SPC_categories2.png"/>
                    <pic:cNvPicPr/>
                  </pic:nvPicPr>
                  <pic:blipFill>
                    <a:blip r:embed="rId30"/>
                    <a:stretch>
                      <a:fillRect/>
                    </a:stretch>
                  </pic:blipFill>
                  <pic:spPr>
                    <a:xfrm>
                      <a:off x="0" y="0"/>
                      <a:ext cx="5653854" cy="7730612"/>
                    </a:xfrm>
                    <a:prstGeom prst="rect">
                      <a:avLst/>
                    </a:prstGeom>
                  </pic:spPr>
                </pic:pic>
              </a:graphicData>
            </a:graphic>
          </wp:inline>
        </w:drawing>
      </w:r>
    </w:p>
    <w:p w14:paraId="36558E06" w14:textId="77777777" w:rsidR="00BE29E6" w:rsidRDefault="00BE29E6" w:rsidP="0069295E">
      <w:pPr>
        <w:pStyle w:val="Normal1"/>
      </w:pPr>
    </w:p>
    <w:p w14:paraId="442DACE2" w14:textId="77777777" w:rsidR="00BE29E6" w:rsidRDefault="00BE29E6" w:rsidP="0069295E">
      <w:pPr>
        <w:pStyle w:val="Normal1"/>
      </w:pPr>
    </w:p>
    <w:bookmarkEnd w:id="99"/>
    <w:p w14:paraId="2194856D" w14:textId="77777777" w:rsidR="00C5781E" w:rsidRDefault="00C5781E">
      <w:r>
        <w:br w:type="page"/>
      </w:r>
    </w:p>
    <w:p w14:paraId="2015E66D" w14:textId="33C82DDF" w:rsidR="007244B8" w:rsidRPr="00CD6245" w:rsidRDefault="007244B8" w:rsidP="00C5781E">
      <w:pPr>
        <w:pStyle w:val="Heading2NoNum"/>
      </w:pPr>
      <w:bookmarkStart w:id="102" w:name="_Toc524354071"/>
      <w:r w:rsidRPr="00CD6245">
        <w:lastRenderedPageBreak/>
        <w:t>State purchase contracts</w:t>
      </w:r>
      <w:bookmarkEnd w:id="102"/>
    </w:p>
    <w:p w14:paraId="47778657" w14:textId="4276D17B" w:rsidR="003E0CE6" w:rsidRPr="00CD6245" w:rsidRDefault="005A30DA" w:rsidP="003E0CE6">
      <w:pPr>
        <w:pStyle w:val="Normal1"/>
      </w:pPr>
      <w:r w:rsidRPr="00CD6245">
        <w:t xml:space="preserve">In </w:t>
      </w:r>
      <w:r>
        <w:t>201</w:t>
      </w:r>
      <w:r w:rsidR="00E44B42">
        <w:t>7–1</w:t>
      </w:r>
      <w:r w:rsidR="00E44B42" w:rsidRPr="008F27CC">
        <w:t>8</w:t>
      </w:r>
      <w:r w:rsidRPr="008F27CC">
        <w:t xml:space="preserve">, </w:t>
      </w:r>
      <w:r w:rsidR="00B576A3" w:rsidRPr="008F27CC">
        <w:t>nine</w:t>
      </w:r>
      <w:r w:rsidRPr="008F27CC">
        <w:t xml:space="preserve"> SPCs </w:t>
      </w:r>
      <w:r w:rsidR="00BE29E6" w:rsidRPr="008F27CC">
        <w:t xml:space="preserve">were approved </w:t>
      </w:r>
      <w:r w:rsidRPr="008F27CC">
        <w:t>with an estimated total value of $</w:t>
      </w:r>
      <w:r w:rsidR="00046488" w:rsidRPr="008F27CC">
        <w:t>1 241</w:t>
      </w:r>
      <w:r w:rsidR="007718EF">
        <w:t> </w:t>
      </w:r>
      <w:r w:rsidRPr="008F27CC">
        <w:t>m</w:t>
      </w:r>
      <w:r>
        <w:t>illion</w:t>
      </w:r>
      <w:r w:rsidR="003E0CE6">
        <w:t xml:space="preserve">, as listed in </w:t>
      </w:r>
      <w:r w:rsidR="003E0CE6">
        <w:fldChar w:fldCharType="begin"/>
      </w:r>
      <w:r w:rsidR="003E0CE6">
        <w:instrText xml:space="preserve"> REF _Ref425499231 \h  \* MERGEFORMAT </w:instrText>
      </w:r>
      <w:r w:rsidR="003E0CE6">
        <w:fldChar w:fldCharType="separate"/>
      </w:r>
      <w:r w:rsidR="00A07703" w:rsidRPr="00CD6245">
        <w:t xml:space="preserve">Table </w:t>
      </w:r>
      <w:r w:rsidR="00A07703">
        <w:rPr>
          <w:noProof/>
        </w:rPr>
        <w:t>15</w:t>
      </w:r>
      <w:r w:rsidR="003E0CE6">
        <w:fldChar w:fldCharType="end"/>
      </w:r>
      <w:r w:rsidR="003E0CE6">
        <w:t>.</w:t>
      </w:r>
    </w:p>
    <w:p w14:paraId="2AF3B5C9" w14:textId="5842041A" w:rsidR="005A30DA" w:rsidRPr="00CD6245" w:rsidRDefault="005A30DA" w:rsidP="00E41631">
      <w:pPr>
        <w:pStyle w:val="Normal1"/>
      </w:pPr>
      <w:r>
        <w:t xml:space="preserve">This compares to </w:t>
      </w:r>
      <w:r w:rsidR="00E44B42">
        <w:t>eight</w:t>
      </w:r>
      <w:r w:rsidRPr="00CD6245">
        <w:t xml:space="preserve"> SPCs with an estimated total value of $</w:t>
      </w:r>
      <w:r w:rsidR="00E44B42">
        <w:t>409</w:t>
      </w:r>
      <w:r w:rsidR="007718EF">
        <w:t> </w:t>
      </w:r>
      <w:r w:rsidRPr="00CD6245">
        <w:t xml:space="preserve">million </w:t>
      </w:r>
      <w:r w:rsidR="00BE29E6">
        <w:t>approved</w:t>
      </w:r>
      <w:r w:rsidRPr="00CD6245">
        <w:t xml:space="preserve"> in </w:t>
      </w:r>
      <w:r>
        <w:t>2016</w:t>
      </w:r>
      <w:r w:rsidR="00E44B42">
        <w:t>–17</w:t>
      </w:r>
      <w:r w:rsidRPr="00CD6245">
        <w:t>.</w:t>
      </w:r>
    </w:p>
    <w:p w14:paraId="46BF0436" w14:textId="3CCF712E" w:rsidR="007244B8" w:rsidRDefault="007244B8" w:rsidP="007244B8">
      <w:pPr>
        <w:pStyle w:val="Caption"/>
      </w:pPr>
      <w:bookmarkStart w:id="103" w:name="_Ref425499231"/>
      <w:bookmarkStart w:id="104" w:name="_Ref520987609"/>
      <w:bookmarkStart w:id="105" w:name="_Toc524354008"/>
      <w:r w:rsidRPr="00CD6245">
        <w:t xml:space="preserve">Table </w:t>
      </w:r>
      <w:r w:rsidR="002407F7">
        <w:rPr>
          <w:noProof/>
        </w:rPr>
        <w:fldChar w:fldCharType="begin"/>
      </w:r>
      <w:r w:rsidR="002407F7">
        <w:rPr>
          <w:noProof/>
        </w:rPr>
        <w:instrText xml:space="preserve"> SEQ Table \* ARABIC </w:instrText>
      </w:r>
      <w:r w:rsidR="002407F7">
        <w:rPr>
          <w:noProof/>
        </w:rPr>
        <w:fldChar w:fldCharType="separate"/>
      </w:r>
      <w:r w:rsidR="00A07703">
        <w:rPr>
          <w:noProof/>
        </w:rPr>
        <w:t>15</w:t>
      </w:r>
      <w:r w:rsidR="002407F7">
        <w:rPr>
          <w:noProof/>
        </w:rPr>
        <w:fldChar w:fldCharType="end"/>
      </w:r>
      <w:bookmarkEnd w:id="103"/>
      <w:r w:rsidRPr="00CD6245">
        <w:t xml:space="preserve">: SPCs approved in </w:t>
      </w:r>
      <w:r>
        <w:t>201</w:t>
      </w:r>
      <w:r w:rsidR="00E44B42">
        <w:t>7–18</w:t>
      </w:r>
      <w:bookmarkEnd w:id="104"/>
      <w:bookmarkEnd w:id="105"/>
    </w:p>
    <w:tbl>
      <w:tblPr>
        <w:tblStyle w:val="PlainTable21"/>
        <w:tblW w:w="9158" w:type="dxa"/>
        <w:tblInd w:w="851" w:type="dxa"/>
        <w:tblLook w:val="04A0" w:firstRow="1" w:lastRow="0" w:firstColumn="1" w:lastColumn="0" w:noHBand="0" w:noVBand="1"/>
      </w:tblPr>
      <w:tblGrid>
        <w:gridCol w:w="1231"/>
        <w:gridCol w:w="533"/>
        <w:gridCol w:w="1781"/>
        <w:gridCol w:w="962"/>
        <w:gridCol w:w="697"/>
        <w:gridCol w:w="651"/>
        <w:gridCol w:w="1308"/>
        <w:gridCol w:w="618"/>
        <w:gridCol w:w="757"/>
        <w:gridCol w:w="620"/>
      </w:tblGrid>
      <w:tr w:rsidR="00854DBF" w:rsidRPr="006F650E" w14:paraId="738CAF08" w14:textId="77777777" w:rsidTr="00011197">
        <w:trPr>
          <w:cnfStyle w:val="100000000000" w:firstRow="1" w:lastRow="0" w:firstColumn="0" w:lastColumn="0" w:oddVBand="0" w:evenVBand="0" w:oddHBand="0" w:evenHBand="0" w:firstRowFirstColumn="0" w:firstRowLastColumn="0" w:lastRowFirstColumn="0" w:lastRowLastColumn="0"/>
          <w:trHeight w:val="1819"/>
        </w:trPr>
        <w:tc>
          <w:tcPr>
            <w:cnfStyle w:val="001000000000" w:firstRow="0" w:lastRow="0" w:firstColumn="1" w:lastColumn="0" w:oddVBand="0" w:evenVBand="0" w:oddHBand="0" w:evenHBand="0" w:firstRowFirstColumn="0" w:firstRowLastColumn="0" w:lastRowFirstColumn="0" w:lastRowLastColumn="0"/>
            <w:tcW w:w="1231" w:type="dxa"/>
            <w:textDirection w:val="btLr"/>
          </w:tcPr>
          <w:p w14:paraId="47CAE1D0" w14:textId="23BD22BA" w:rsidR="005A30DA" w:rsidRPr="009203AF" w:rsidRDefault="005A30DA" w:rsidP="003E0CE6">
            <w:pPr>
              <w:pStyle w:val="TableText"/>
              <w:spacing w:before="40"/>
              <w:ind w:left="57" w:right="57"/>
              <w:rPr>
                <w:b w:val="0"/>
              </w:rPr>
            </w:pPr>
            <w:r w:rsidRPr="009203AF">
              <w:rPr>
                <w:b w:val="0"/>
              </w:rPr>
              <w:t>Organisation</w:t>
            </w:r>
          </w:p>
        </w:tc>
        <w:tc>
          <w:tcPr>
            <w:tcW w:w="533" w:type="dxa"/>
            <w:textDirection w:val="btLr"/>
          </w:tcPr>
          <w:p w14:paraId="4D45C2ED" w14:textId="09258E33" w:rsidR="005A30DA" w:rsidRPr="009203AF" w:rsidRDefault="005A30DA" w:rsidP="003E0CE6">
            <w:pPr>
              <w:pStyle w:val="TableText"/>
              <w:spacing w:before="40"/>
              <w:ind w:left="57" w:right="57"/>
              <w:cnfStyle w:val="100000000000" w:firstRow="1" w:lastRow="0" w:firstColumn="0" w:lastColumn="0" w:oddVBand="0" w:evenVBand="0" w:oddHBand="0" w:evenHBand="0" w:firstRowFirstColumn="0" w:firstRowLastColumn="0" w:lastRowFirstColumn="0" w:lastRowLastColumn="0"/>
              <w:rPr>
                <w:b w:val="0"/>
              </w:rPr>
            </w:pPr>
            <w:r w:rsidRPr="009203AF">
              <w:rPr>
                <w:b w:val="0"/>
              </w:rPr>
              <w:t>Total number</w:t>
            </w:r>
          </w:p>
        </w:tc>
        <w:tc>
          <w:tcPr>
            <w:tcW w:w="1781" w:type="dxa"/>
            <w:textDirection w:val="btLr"/>
          </w:tcPr>
          <w:p w14:paraId="0853DA30" w14:textId="223C9A25" w:rsidR="005A30DA" w:rsidRPr="009203AF" w:rsidRDefault="005A30DA" w:rsidP="003E0CE6">
            <w:pPr>
              <w:pStyle w:val="TableText"/>
              <w:spacing w:before="40"/>
              <w:ind w:left="57" w:right="57"/>
              <w:cnfStyle w:val="100000000000" w:firstRow="1" w:lastRow="0" w:firstColumn="0" w:lastColumn="0" w:oddVBand="0" w:evenVBand="0" w:oddHBand="0" w:evenHBand="0" w:firstRowFirstColumn="0" w:firstRowLastColumn="0" w:lastRowFirstColumn="0" w:lastRowLastColumn="0"/>
              <w:rPr>
                <w:b w:val="0"/>
              </w:rPr>
            </w:pPr>
            <w:r w:rsidRPr="009203AF">
              <w:rPr>
                <w:b w:val="0"/>
              </w:rPr>
              <w:t>Title/description</w:t>
            </w:r>
          </w:p>
        </w:tc>
        <w:tc>
          <w:tcPr>
            <w:tcW w:w="962" w:type="dxa"/>
            <w:textDirection w:val="btLr"/>
            <w:vAlign w:val="bottom"/>
          </w:tcPr>
          <w:p w14:paraId="13E61FFC" w14:textId="7728097A" w:rsidR="005A30DA" w:rsidRPr="009203AF" w:rsidRDefault="005A30DA" w:rsidP="00011197">
            <w:pPr>
              <w:pStyle w:val="TableText"/>
              <w:spacing w:before="40"/>
              <w:ind w:left="57" w:right="57"/>
              <w:cnfStyle w:val="100000000000" w:firstRow="1" w:lastRow="0" w:firstColumn="0" w:lastColumn="0" w:oddVBand="0" w:evenVBand="0" w:oddHBand="0" w:evenHBand="0" w:firstRowFirstColumn="0" w:firstRowLastColumn="0" w:lastRowFirstColumn="0" w:lastRowLastColumn="0"/>
              <w:rPr>
                <w:b w:val="0"/>
              </w:rPr>
            </w:pPr>
            <w:r w:rsidRPr="009203AF">
              <w:rPr>
                <w:b w:val="0"/>
              </w:rPr>
              <w:t>Total estimated value</w:t>
            </w:r>
            <w:r w:rsidR="00343445">
              <w:rPr>
                <w:b w:val="0"/>
              </w:rPr>
              <w:t xml:space="preserve"> ($million)</w:t>
            </w:r>
          </w:p>
        </w:tc>
        <w:tc>
          <w:tcPr>
            <w:tcW w:w="697" w:type="dxa"/>
            <w:textDirection w:val="btLr"/>
            <w:vAlign w:val="bottom"/>
          </w:tcPr>
          <w:p w14:paraId="7E65B107" w14:textId="4DF7E351" w:rsidR="005A30DA" w:rsidRPr="009203AF" w:rsidRDefault="005A30DA" w:rsidP="00011197">
            <w:pPr>
              <w:pStyle w:val="TableText"/>
              <w:spacing w:before="40"/>
              <w:ind w:left="57" w:right="57"/>
              <w:cnfStyle w:val="100000000000" w:firstRow="1" w:lastRow="0" w:firstColumn="0" w:lastColumn="0" w:oddVBand="0" w:evenVBand="0" w:oddHBand="0" w:evenHBand="0" w:firstRowFirstColumn="0" w:firstRowLastColumn="0" w:lastRowFirstColumn="0" w:lastRowLastColumn="0"/>
              <w:rPr>
                <w:b w:val="0"/>
              </w:rPr>
            </w:pPr>
            <w:r w:rsidRPr="009203AF">
              <w:rPr>
                <w:b w:val="0"/>
              </w:rPr>
              <w:t>Contract term (</w:t>
            </w:r>
            <w:r w:rsidR="005C1D18" w:rsidRPr="009203AF">
              <w:rPr>
                <w:b w:val="0"/>
              </w:rPr>
              <w:t>yrs</w:t>
            </w:r>
            <w:r w:rsidR="0007325F">
              <w:rPr>
                <w:b w:val="0"/>
              </w:rPr>
              <w:t>)</w:t>
            </w:r>
          </w:p>
        </w:tc>
        <w:tc>
          <w:tcPr>
            <w:tcW w:w="651" w:type="dxa"/>
            <w:textDirection w:val="btLr"/>
          </w:tcPr>
          <w:p w14:paraId="1E45595F" w14:textId="42F94375" w:rsidR="005A30DA" w:rsidRPr="009203AF" w:rsidRDefault="005A30DA" w:rsidP="003E0CE6">
            <w:pPr>
              <w:pStyle w:val="TableText"/>
              <w:spacing w:before="40"/>
              <w:ind w:left="57" w:right="57"/>
              <w:cnfStyle w:val="100000000000" w:firstRow="1" w:lastRow="0" w:firstColumn="0" w:lastColumn="0" w:oddVBand="0" w:evenVBand="0" w:oddHBand="0" w:evenHBand="0" w:firstRowFirstColumn="0" w:firstRowLastColumn="0" w:lastRowFirstColumn="0" w:lastRowLastColumn="0"/>
              <w:rPr>
                <w:b w:val="0"/>
              </w:rPr>
            </w:pPr>
            <w:r w:rsidRPr="009203AF">
              <w:rPr>
                <w:b w:val="0"/>
              </w:rPr>
              <w:t>Options (</w:t>
            </w:r>
            <w:r w:rsidR="005C1D18" w:rsidRPr="009203AF">
              <w:rPr>
                <w:b w:val="0"/>
              </w:rPr>
              <w:t>yrs</w:t>
            </w:r>
            <w:r w:rsidR="0007325F">
              <w:rPr>
                <w:b w:val="0"/>
              </w:rPr>
              <w:t>)</w:t>
            </w:r>
          </w:p>
        </w:tc>
        <w:tc>
          <w:tcPr>
            <w:tcW w:w="1308" w:type="dxa"/>
            <w:textDirection w:val="btLr"/>
          </w:tcPr>
          <w:p w14:paraId="658266DA" w14:textId="0D366354" w:rsidR="005A30DA" w:rsidRPr="009203AF" w:rsidRDefault="005A30DA" w:rsidP="003E0CE6">
            <w:pPr>
              <w:pStyle w:val="TableText"/>
              <w:spacing w:before="40"/>
              <w:ind w:left="57" w:right="57"/>
              <w:cnfStyle w:val="100000000000" w:firstRow="1" w:lastRow="0" w:firstColumn="0" w:lastColumn="0" w:oddVBand="0" w:evenVBand="0" w:oddHBand="0" w:evenHBand="0" w:firstRowFirstColumn="0" w:firstRowLastColumn="0" w:lastRowFirstColumn="0" w:lastRowLastColumn="0"/>
              <w:rPr>
                <w:b w:val="0"/>
              </w:rPr>
            </w:pPr>
            <w:r w:rsidRPr="009203AF">
              <w:rPr>
                <w:b w:val="0"/>
              </w:rPr>
              <w:t>Complexity assessment outcome</w:t>
            </w:r>
          </w:p>
        </w:tc>
        <w:tc>
          <w:tcPr>
            <w:tcW w:w="618" w:type="dxa"/>
            <w:textDirection w:val="btLr"/>
          </w:tcPr>
          <w:p w14:paraId="56B0B520" w14:textId="7F753DD4" w:rsidR="005A30DA" w:rsidRPr="009203AF" w:rsidRDefault="005A30DA" w:rsidP="003E0CE6">
            <w:pPr>
              <w:pStyle w:val="TableText"/>
              <w:spacing w:before="40"/>
              <w:ind w:left="57" w:right="57"/>
              <w:cnfStyle w:val="100000000000" w:firstRow="1" w:lastRow="0" w:firstColumn="0" w:lastColumn="0" w:oddVBand="0" w:evenVBand="0" w:oddHBand="0" w:evenHBand="0" w:firstRowFirstColumn="0" w:firstRowLastColumn="0" w:lastRowFirstColumn="0" w:lastRowLastColumn="0"/>
              <w:rPr>
                <w:b w:val="0"/>
              </w:rPr>
            </w:pPr>
            <w:r w:rsidRPr="009203AF">
              <w:rPr>
                <w:b w:val="0"/>
              </w:rPr>
              <w:t>Market approach method</w:t>
            </w:r>
          </w:p>
        </w:tc>
        <w:tc>
          <w:tcPr>
            <w:tcW w:w="757" w:type="dxa"/>
            <w:textDirection w:val="btLr"/>
          </w:tcPr>
          <w:p w14:paraId="54217719" w14:textId="6ED55D37" w:rsidR="005A30DA" w:rsidRPr="009203AF" w:rsidRDefault="005A30DA" w:rsidP="003E0CE6">
            <w:pPr>
              <w:pStyle w:val="TableText"/>
              <w:spacing w:before="40"/>
              <w:ind w:left="57" w:right="57"/>
              <w:cnfStyle w:val="100000000000" w:firstRow="1" w:lastRow="0" w:firstColumn="0" w:lastColumn="0" w:oddVBand="0" w:evenVBand="0" w:oddHBand="0" w:evenHBand="0" w:firstRowFirstColumn="0" w:firstRowLastColumn="0" w:lastRowFirstColumn="0" w:lastRowLastColumn="0"/>
              <w:rPr>
                <w:b w:val="0"/>
              </w:rPr>
            </w:pPr>
            <w:r w:rsidRPr="009203AF">
              <w:rPr>
                <w:b w:val="0"/>
              </w:rPr>
              <w:t>Type of arrangement</w:t>
            </w:r>
          </w:p>
        </w:tc>
        <w:tc>
          <w:tcPr>
            <w:tcW w:w="620" w:type="dxa"/>
            <w:textDirection w:val="btLr"/>
            <w:vAlign w:val="bottom"/>
          </w:tcPr>
          <w:p w14:paraId="22E2D832" w14:textId="277FFA40" w:rsidR="005A30DA" w:rsidRPr="009203AF" w:rsidRDefault="005A30DA" w:rsidP="00011197">
            <w:pPr>
              <w:pStyle w:val="TableText"/>
              <w:spacing w:before="40"/>
              <w:ind w:left="57" w:right="57"/>
              <w:cnfStyle w:val="100000000000" w:firstRow="1" w:lastRow="0" w:firstColumn="0" w:lastColumn="0" w:oddVBand="0" w:evenVBand="0" w:oddHBand="0" w:evenHBand="0" w:firstRowFirstColumn="0" w:firstRowLastColumn="0" w:lastRowFirstColumn="0" w:lastRowLastColumn="0"/>
              <w:rPr>
                <w:b w:val="0"/>
              </w:rPr>
            </w:pPr>
            <w:r w:rsidRPr="009203AF">
              <w:rPr>
                <w:b w:val="0"/>
              </w:rPr>
              <w:t>No. of suppliers</w:t>
            </w:r>
          </w:p>
        </w:tc>
      </w:tr>
      <w:tr w:rsidR="00854DBF" w:rsidRPr="0026182E" w14:paraId="0625B3AB" w14:textId="77777777" w:rsidTr="00546D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1" w:type="dxa"/>
            <w:vMerge w:val="restart"/>
          </w:tcPr>
          <w:p w14:paraId="4827BCCF" w14:textId="463685A1" w:rsidR="00046488" w:rsidRPr="0026182E" w:rsidRDefault="00854DBF" w:rsidP="00374975">
            <w:pPr>
              <w:pStyle w:val="TableText"/>
            </w:pPr>
            <w:r>
              <w:t xml:space="preserve">Department of </w:t>
            </w:r>
            <w:r w:rsidR="00046488">
              <w:t>Premier and Cabinet</w:t>
            </w:r>
          </w:p>
        </w:tc>
        <w:tc>
          <w:tcPr>
            <w:tcW w:w="533" w:type="dxa"/>
            <w:vMerge w:val="restart"/>
          </w:tcPr>
          <w:p w14:paraId="37833694" w14:textId="059FAB7E" w:rsidR="00046488" w:rsidRPr="0026182E" w:rsidRDefault="00046488" w:rsidP="00374975">
            <w:pPr>
              <w:pStyle w:val="TableText"/>
              <w:jc w:val="right"/>
              <w:cnfStyle w:val="000000100000" w:firstRow="0" w:lastRow="0" w:firstColumn="0" w:lastColumn="0" w:oddVBand="0" w:evenVBand="0" w:oddHBand="1" w:evenHBand="0" w:firstRowFirstColumn="0" w:firstRowLastColumn="0" w:lastRowFirstColumn="0" w:lastRowLastColumn="0"/>
            </w:pPr>
            <w:r>
              <w:t>5</w:t>
            </w:r>
          </w:p>
        </w:tc>
        <w:tc>
          <w:tcPr>
            <w:tcW w:w="1781" w:type="dxa"/>
          </w:tcPr>
          <w:p w14:paraId="3FD19C64" w14:textId="706E2CE0" w:rsidR="00046488" w:rsidRPr="0026182E" w:rsidRDefault="00046488" w:rsidP="00374975">
            <w:pPr>
              <w:pStyle w:val="TableText"/>
              <w:cnfStyle w:val="000000100000" w:firstRow="0" w:lastRow="0" w:firstColumn="0" w:lastColumn="0" w:oddVBand="0" w:evenVBand="0" w:oddHBand="1" w:evenHBand="0" w:firstRowFirstColumn="0" w:firstRowLastColumn="0" w:lastRowFirstColumn="0" w:lastRowLastColumn="0"/>
            </w:pPr>
            <w:r>
              <w:t xml:space="preserve">Data#3 (VMware) </w:t>
            </w:r>
            <w:r w:rsidR="003E0CE6">
              <w:t>reseller agreement</w:t>
            </w:r>
          </w:p>
        </w:tc>
        <w:tc>
          <w:tcPr>
            <w:tcW w:w="962" w:type="dxa"/>
          </w:tcPr>
          <w:p w14:paraId="67696CE3" w14:textId="5152CB40" w:rsidR="00046488" w:rsidRPr="0026182E" w:rsidRDefault="00046488" w:rsidP="00374975">
            <w:pPr>
              <w:pStyle w:val="TableText"/>
              <w:jc w:val="right"/>
              <w:cnfStyle w:val="000000100000" w:firstRow="0" w:lastRow="0" w:firstColumn="0" w:lastColumn="0" w:oddVBand="0" w:evenVBand="0" w:oddHBand="1" w:evenHBand="0" w:firstRowFirstColumn="0" w:firstRowLastColumn="0" w:lastRowFirstColumn="0" w:lastRowLastColumn="0"/>
            </w:pPr>
            <w:r>
              <w:t>$0.0</w:t>
            </w:r>
            <w:r w:rsidR="00710380" w:rsidRPr="00710380">
              <w:rPr>
                <w:vertAlign w:val="superscript"/>
              </w:rPr>
              <w:t>(</w:t>
            </w:r>
            <w:r w:rsidR="00420659" w:rsidRPr="00420659">
              <w:rPr>
                <w:vertAlign w:val="superscript"/>
              </w:rPr>
              <w:t>a</w:t>
            </w:r>
            <w:r w:rsidR="00710380">
              <w:rPr>
                <w:vertAlign w:val="superscript"/>
              </w:rPr>
              <w:t>)</w:t>
            </w:r>
          </w:p>
        </w:tc>
        <w:tc>
          <w:tcPr>
            <w:tcW w:w="697" w:type="dxa"/>
          </w:tcPr>
          <w:p w14:paraId="52832205" w14:textId="79541080" w:rsidR="00046488" w:rsidRPr="0026182E" w:rsidRDefault="00046488" w:rsidP="00374975">
            <w:pPr>
              <w:pStyle w:val="TableText"/>
              <w:jc w:val="right"/>
              <w:cnfStyle w:val="000000100000" w:firstRow="0" w:lastRow="0" w:firstColumn="0" w:lastColumn="0" w:oddVBand="0" w:evenVBand="0" w:oddHBand="1" w:evenHBand="0" w:firstRowFirstColumn="0" w:firstRowLastColumn="0" w:lastRowFirstColumn="0" w:lastRowLastColumn="0"/>
            </w:pPr>
            <w:r>
              <w:t xml:space="preserve">1 </w:t>
            </w:r>
          </w:p>
        </w:tc>
        <w:tc>
          <w:tcPr>
            <w:tcW w:w="651" w:type="dxa"/>
          </w:tcPr>
          <w:p w14:paraId="0BBD06B1" w14:textId="11241D30" w:rsidR="00046488" w:rsidRPr="0026182E" w:rsidRDefault="00046488" w:rsidP="00374975">
            <w:pPr>
              <w:pStyle w:val="TableText"/>
              <w:cnfStyle w:val="000000100000" w:firstRow="0" w:lastRow="0" w:firstColumn="0" w:lastColumn="0" w:oddVBand="0" w:evenVBand="0" w:oddHBand="1" w:evenHBand="0" w:firstRowFirstColumn="0" w:firstRowLastColumn="0" w:lastRowFirstColumn="0" w:lastRowLastColumn="0"/>
            </w:pPr>
            <w:r>
              <w:t>-</w:t>
            </w:r>
          </w:p>
        </w:tc>
        <w:tc>
          <w:tcPr>
            <w:tcW w:w="1308" w:type="dxa"/>
          </w:tcPr>
          <w:p w14:paraId="6DB664DA" w14:textId="552EB52C" w:rsidR="00046488" w:rsidRPr="0026182E" w:rsidRDefault="00046488" w:rsidP="00374975">
            <w:pPr>
              <w:pStyle w:val="TableText"/>
              <w:cnfStyle w:val="000000100000" w:firstRow="0" w:lastRow="0" w:firstColumn="0" w:lastColumn="0" w:oddVBand="0" w:evenVBand="0" w:oddHBand="1" w:evenHBand="0" w:firstRowFirstColumn="0" w:firstRowLastColumn="0" w:lastRowFirstColumn="0" w:lastRowLastColumn="0"/>
            </w:pPr>
            <w:r>
              <w:t>Strategic</w:t>
            </w:r>
          </w:p>
        </w:tc>
        <w:tc>
          <w:tcPr>
            <w:tcW w:w="618" w:type="dxa"/>
          </w:tcPr>
          <w:p w14:paraId="0947F403" w14:textId="279DD4D4" w:rsidR="00046488" w:rsidRPr="0026182E" w:rsidRDefault="00046488" w:rsidP="00374975">
            <w:pPr>
              <w:pStyle w:val="TableText"/>
              <w:cnfStyle w:val="000000100000" w:firstRow="0" w:lastRow="0" w:firstColumn="0" w:lastColumn="0" w:oddVBand="0" w:evenVBand="0" w:oddHBand="1" w:evenHBand="0" w:firstRowFirstColumn="0" w:firstRowLastColumn="0" w:lastRowFirstColumn="0" w:lastRowLastColumn="0"/>
            </w:pPr>
            <w:r>
              <w:t>RFT</w:t>
            </w:r>
          </w:p>
        </w:tc>
        <w:tc>
          <w:tcPr>
            <w:tcW w:w="757" w:type="dxa"/>
          </w:tcPr>
          <w:p w14:paraId="2868D176" w14:textId="6CFA87CE" w:rsidR="00046488" w:rsidRPr="0026182E" w:rsidRDefault="00046488" w:rsidP="00374975">
            <w:pPr>
              <w:pStyle w:val="TableText"/>
              <w:cnfStyle w:val="000000100000" w:firstRow="0" w:lastRow="0" w:firstColumn="0" w:lastColumn="0" w:oddVBand="0" w:evenVBand="0" w:oddHBand="1" w:evenHBand="0" w:firstRowFirstColumn="0" w:firstRowLastColumn="0" w:lastRowFirstColumn="0" w:lastRowLastColumn="0"/>
            </w:pPr>
            <w:r>
              <w:t>Open</w:t>
            </w:r>
          </w:p>
        </w:tc>
        <w:tc>
          <w:tcPr>
            <w:tcW w:w="620" w:type="dxa"/>
          </w:tcPr>
          <w:p w14:paraId="58386273" w14:textId="6238CBEA" w:rsidR="00046488" w:rsidRPr="0026182E" w:rsidRDefault="00046488" w:rsidP="00374975">
            <w:pPr>
              <w:pStyle w:val="TableText"/>
              <w:jc w:val="right"/>
              <w:cnfStyle w:val="000000100000" w:firstRow="0" w:lastRow="0" w:firstColumn="0" w:lastColumn="0" w:oddVBand="0" w:evenVBand="0" w:oddHBand="1" w:evenHBand="0" w:firstRowFirstColumn="0" w:firstRowLastColumn="0" w:lastRowFirstColumn="0" w:lastRowLastColumn="0"/>
            </w:pPr>
            <w:r>
              <w:t>1</w:t>
            </w:r>
          </w:p>
        </w:tc>
      </w:tr>
      <w:tr w:rsidR="00854DBF" w:rsidRPr="0026182E" w14:paraId="1297C754" w14:textId="77777777" w:rsidTr="00546DF9">
        <w:tc>
          <w:tcPr>
            <w:cnfStyle w:val="001000000000" w:firstRow="0" w:lastRow="0" w:firstColumn="1" w:lastColumn="0" w:oddVBand="0" w:evenVBand="0" w:oddHBand="0" w:evenHBand="0" w:firstRowFirstColumn="0" w:firstRowLastColumn="0" w:lastRowFirstColumn="0" w:lastRowLastColumn="0"/>
            <w:tcW w:w="1231" w:type="dxa"/>
            <w:vMerge/>
          </w:tcPr>
          <w:p w14:paraId="6792B869" w14:textId="77777777" w:rsidR="00046488" w:rsidRPr="0026182E" w:rsidRDefault="00046488" w:rsidP="00374975">
            <w:pPr>
              <w:pStyle w:val="TableText"/>
            </w:pPr>
          </w:p>
        </w:tc>
        <w:tc>
          <w:tcPr>
            <w:tcW w:w="533" w:type="dxa"/>
            <w:vMerge/>
          </w:tcPr>
          <w:p w14:paraId="02B9896A" w14:textId="77777777" w:rsidR="00046488" w:rsidRPr="0026182E" w:rsidRDefault="00046488" w:rsidP="00374975">
            <w:pPr>
              <w:pStyle w:val="TableText"/>
              <w:jc w:val="right"/>
              <w:cnfStyle w:val="000000000000" w:firstRow="0" w:lastRow="0" w:firstColumn="0" w:lastColumn="0" w:oddVBand="0" w:evenVBand="0" w:oddHBand="0" w:evenHBand="0" w:firstRowFirstColumn="0" w:firstRowLastColumn="0" w:lastRowFirstColumn="0" w:lastRowLastColumn="0"/>
            </w:pPr>
          </w:p>
        </w:tc>
        <w:tc>
          <w:tcPr>
            <w:tcW w:w="1781" w:type="dxa"/>
          </w:tcPr>
          <w:p w14:paraId="22D94D46" w14:textId="490C77B4" w:rsidR="00046488" w:rsidRPr="0026182E" w:rsidRDefault="00046488" w:rsidP="00374975">
            <w:pPr>
              <w:pStyle w:val="TableText"/>
              <w:cnfStyle w:val="000000000000" w:firstRow="0" w:lastRow="0" w:firstColumn="0" w:lastColumn="0" w:oddVBand="0" w:evenVBand="0" w:oddHBand="0" w:evenHBand="0" w:firstRowFirstColumn="0" w:firstRowLastColumn="0" w:lastRowFirstColumn="0" w:lastRowLastColumn="0"/>
            </w:pPr>
            <w:r>
              <w:t xml:space="preserve">eServices </w:t>
            </w:r>
            <w:r w:rsidR="003E0CE6">
              <w:t>–</w:t>
            </w:r>
            <w:r>
              <w:t xml:space="preserve"> Multi</w:t>
            </w:r>
            <w:r w:rsidR="003E0CE6">
              <w:t>party evaluation module</w:t>
            </w:r>
          </w:p>
        </w:tc>
        <w:tc>
          <w:tcPr>
            <w:tcW w:w="962" w:type="dxa"/>
          </w:tcPr>
          <w:p w14:paraId="05763EE4" w14:textId="058D1567" w:rsidR="00046488" w:rsidRPr="0026182E" w:rsidRDefault="00046488" w:rsidP="00374975">
            <w:pPr>
              <w:pStyle w:val="TableText"/>
              <w:jc w:val="right"/>
              <w:cnfStyle w:val="000000000000" w:firstRow="0" w:lastRow="0" w:firstColumn="0" w:lastColumn="0" w:oddVBand="0" w:evenVBand="0" w:oddHBand="0" w:evenHBand="0" w:firstRowFirstColumn="0" w:firstRowLastColumn="0" w:lastRowFirstColumn="0" w:lastRowLastColumn="0"/>
            </w:pPr>
            <w:r>
              <w:t>$0.0</w:t>
            </w:r>
            <w:r w:rsidR="0020340A" w:rsidRPr="00710380">
              <w:rPr>
                <w:vertAlign w:val="superscript"/>
              </w:rPr>
              <w:t>(</w:t>
            </w:r>
            <w:r w:rsidR="00420659" w:rsidRPr="00420659">
              <w:rPr>
                <w:vertAlign w:val="superscript"/>
              </w:rPr>
              <w:t>b</w:t>
            </w:r>
            <w:r w:rsidR="0020340A">
              <w:rPr>
                <w:vertAlign w:val="superscript"/>
              </w:rPr>
              <w:t>)</w:t>
            </w:r>
          </w:p>
        </w:tc>
        <w:tc>
          <w:tcPr>
            <w:tcW w:w="697" w:type="dxa"/>
          </w:tcPr>
          <w:p w14:paraId="24576DBF" w14:textId="2083FC9D" w:rsidR="00046488" w:rsidRPr="0026182E" w:rsidRDefault="00046488" w:rsidP="00374975">
            <w:pPr>
              <w:pStyle w:val="TableText"/>
              <w:jc w:val="right"/>
              <w:cnfStyle w:val="000000000000" w:firstRow="0" w:lastRow="0" w:firstColumn="0" w:lastColumn="0" w:oddVBand="0" w:evenVBand="0" w:oddHBand="0" w:evenHBand="0" w:firstRowFirstColumn="0" w:firstRowLastColumn="0" w:lastRowFirstColumn="0" w:lastRowLastColumn="0"/>
            </w:pPr>
            <w:r>
              <w:t xml:space="preserve">1 </w:t>
            </w:r>
          </w:p>
        </w:tc>
        <w:tc>
          <w:tcPr>
            <w:tcW w:w="651" w:type="dxa"/>
          </w:tcPr>
          <w:p w14:paraId="491A05B6" w14:textId="07EF84BB" w:rsidR="00046488" w:rsidRPr="0026182E" w:rsidRDefault="00046488" w:rsidP="00374975">
            <w:pPr>
              <w:pStyle w:val="TableText"/>
              <w:cnfStyle w:val="000000000000" w:firstRow="0" w:lastRow="0" w:firstColumn="0" w:lastColumn="0" w:oddVBand="0" w:evenVBand="0" w:oddHBand="0" w:evenHBand="0" w:firstRowFirstColumn="0" w:firstRowLastColumn="0" w:lastRowFirstColumn="0" w:lastRowLastColumn="0"/>
            </w:pPr>
            <w:r>
              <w:t>-</w:t>
            </w:r>
          </w:p>
        </w:tc>
        <w:tc>
          <w:tcPr>
            <w:tcW w:w="1308" w:type="dxa"/>
          </w:tcPr>
          <w:p w14:paraId="065A0258" w14:textId="3E71C1C1" w:rsidR="00046488" w:rsidRPr="0026182E" w:rsidRDefault="00046488" w:rsidP="00374975">
            <w:pPr>
              <w:pStyle w:val="TableText"/>
              <w:cnfStyle w:val="000000000000" w:firstRow="0" w:lastRow="0" w:firstColumn="0" w:lastColumn="0" w:oddVBand="0" w:evenVBand="0" w:oddHBand="0" w:evenHBand="0" w:firstRowFirstColumn="0" w:firstRowLastColumn="0" w:lastRowFirstColumn="0" w:lastRowLastColumn="0"/>
            </w:pPr>
            <w:r>
              <w:t>Strategic</w:t>
            </w:r>
          </w:p>
        </w:tc>
        <w:tc>
          <w:tcPr>
            <w:tcW w:w="618" w:type="dxa"/>
          </w:tcPr>
          <w:p w14:paraId="46189AAC" w14:textId="128C880A" w:rsidR="00046488" w:rsidRPr="0026182E" w:rsidRDefault="00046488" w:rsidP="00374975">
            <w:pPr>
              <w:pStyle w:val="TableText"/>
              <w:cnfStyle w:val="000000000000" w:firstRow="0" w:lastRow="0" w:firstColumn="0" w:lastColumn="0" w:oddVBand="0" w:evenVBand="0" w:oddHBand="0" w:evenHBand="0" w:firstRowFirstColumn="0" w:firstRowLastColumn="0" w:lastRowFirstColumn="0" w:lastRowLastColumn="0"/>
            </w:pPr>
            <w:r>
              <w:t>RFQ</w:t>
            </w:r>
          </w:p>
        </w:tc>
        <w:tc>
          <w:tcPr>
            <w:tcW w:w="757" w:type="dxa"/>
          </w:tcPr>
          <w:p w14:paraId="38F294DF" w14:textId="58E9428B" w:rsidR="00046488" w:rsidRPr="0026182E" w:rsidRDefault="00046488" w:rsidP="00374975">
            <w:pPr>
              <w:pStyle w:val="TableText"/>
              <w:cnfStyle w:val="000000000000" w:firstRow="0" w:lastRow="0" w:firstColumn="0" w:lastColumn="0" w:oddVBand="0" w:evenVBand="0" w:oddHBand="0" w:evenHBand="0" w:firstRowFirstColumn="0" w:firstRowLastColumn="0" w:lastRowFirstColumn="0" w:lastRowLastColumn="0"/>
            </w:pPr>
            <w:r>
              <w:t>Closed</w:t>
            </w:r>
          </w:p>
        </w:tc>
        <w:tc>
          <w:tcPr>
            <w:tcW w:w="620" w:type="dxa"/>
          </w:tcPr>
          <w:p w14:paraId="4D46076D" w14:textId="55F736E9" w:rsidR="00046488" w:rsidRPr="0026182E" w:rsidRDefault="00046488" w:rsidP="00374975">
            <w:pPr>
              <w:pStyle w:val="TableText"/>
              <w:jc w:val="right"/>
              <w:cnfStyle w:val="000000000000" w:firstRow="0" w:lastRow="0" w:firstColumn="0" w:lastColumn="0" w:oddVBand="0" w:evenVBand="0" w:oddHBand="0" w:evenHBand="0" w:firstRowFirstColumn="0" w:firstRowLastColumn="0" w:lastRowFirstColumn="0" w:lastRowLastColumn="0"/>
            </w:pPr>
            <w:r>
              <w:t>1</w:t>
            </w:r>
          </w:p>
        </w:tc>
      </w:tr>
      <w:tr w:rsidR="00854DBF" w:rsidRPr="0026182E" w14:paraId="324E65C9" w14:textId="77777777" w:rsidTr="00546D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1" w:type="dxa"/>
            <w:vMerge/>
          </w:tcPr>
          <w:p w14:paraId="0FBCD57E" w14:textId="77777777" w:rsidR="00046488" w:rsidRPr="0026182E" w:rsidRDefault="00046488" w:rsidP="00374975">
            <w:pPr>
              <w:pStyle w:val="TableText"/>
            </w:pPr>
          </w:p>
        </w:tc>
        <w:tc>
          <w:tcPr>
            <w:tcW w:w="533" w:type="dxa"/>
            <w:vMerge/>
          </w:tcPr>
          <w:p w14:paraId="5A56FF9D" w14:textId="77777777" w:rsidR="00046488" w:rsidRPr="0026182E" w:rsidRDefault="00046488" w:rsidP="00374975">
            <w:pPr>
              <w:pStyle w:val="TableText"/>
              <w:jc w:val="right"/>
              <w:cnfStyle w:val="000000100000" w:firstRow="0" w:lastRow="0" w:firstColumn="0" w:lastColumn="0" w:oddVBand="0" w:evenVBand="0" w:oddHBand="1" w:evenHBand="0" w:firstRowFirstColumn="0" w:firstRowLastColumn="0" w:lastRowFirstColumn="0" w:lastRowLastColumn="0"/>
            </w:pPr>
          </w:p>
        </w:tc>
        <w:tc>
          <w:tcPr>
            <w:tcW w:w="1781" w:type="dxa"/>
          </w:tcPr>
          <w:p w14:paraId="569916C1" w14:textId="5C7A0D2F" w:rsidR="00046488" w:rsidRPr="0026182E" w:rsidRDefault="00046488" w:rsidP="00374975">
            <w:pPr>
              <w:pStyle w:val="TableText"/>
              <w:cnfStyle w:val="000000100000" w:firstRow="0" w:lastRow="0" w:firstColumn="0" w:lastColumn="0" w:oddVBand="0" w:evenVBand="0" w:oddHBand="1" w:evenHBand="0" w:firstRowFirstColumn="0" w:firstRowLastColumn="0" w:lastRowFirstColumn="0" w:lastRowLastColumn="0"/>
            </w:pPr>
            <w:r>
              <w:t xml:space="preserve">eServices </w:t>
            </w:r>
            <w:r w:rsidR="003E0CE6">
              <w:t>–</w:t>
            </w:r>
            <w:r>
              <w:t xml:space="preserve"> </w:t>
            </w:r>
            <w:r w:rsidR="003E0CE6">
              <w:t>Supplier selection search function</w:t>
            </w:r>
          </w:p>
        </w:tc>
        <w:tc>
          <w:tcPr>
            <w:tcW w:w="962" w:type="dxa"/>
          </w:tcPr>
          <w:p w14:paraId="4A0AD975" w14:textId="3F6C5813" w:rsidR="00046488" w:rsidRPr="0026182E" w:rsidRDefault="00046488" w:rsidP="00374975">
            <w:pPr>
              <w:pStyle w:val="TableText"/>
              <w:jc w:val="right"/>
              <w:cnfStyle w:val="000000100000" w:firstRow="0" w:lastRow="0" w:firstColumn="0" w:lastColumn="0" w:oddVBand="0" w:evenVBand="0" w:oddHBand="1" w:evenHBand="0" w:firstRowFirstColumn="0" w:firstRowLastColumn="0" w:lastRowFirstColumn="0" w:lastRowLastColumn="0"/>
            </w:pPr>
            <w:r>
              <w:t>$0.0</w:t>
            </w:r>
            <w:r w:rsidR="0020340A">
              <w:rPr>
                <w:vertAlign w:val="superscript"/>
              </w:rPr>
              <w:t>(</w:t>
            </w:r>
            <w:r w:rsidR="00420659" w:rsidRPr="00420659">
              <w:rPr>
                <w:vertAlign w:val="superscript"/>
              </w:rPr>
              <w:t>b</w:t>
            </w:r>
            <w:r w:rsidR="0020340A">
              <w:rPr>
                <w:vertAlign w:val="superscript"/>
              </w:rPr>
              <w:t>)</w:t>
            </w:r>
          </w:p>
        </w:tc>
        <w:tc>
          <w:tcPr>
            <w:tcW w:w="697" w:type="dxa"/>
          </w:tcPr>
          <w:p w14:paraId="1D453433" w14:textId="027EDB32" w:rsidR="00046488" w:rsidRPr="0026182E" w:rsidRDefault="00046488" w:rsidP="00374975">
            <w:pPr>
              <w:pStyle w:val="TableText"/>
              <w:jc w:val="right"/>
              <w:cnfStyle w:val="000000100000" w:firstRow="0" w:lastRow="0" w:firstColumn="0" w:lastColumn="0" w:oddVBand="0" w:evenVBand="0" w:oddHBand="1" w:evenHBand="0" w:firstRowFirstColumn="0" w:firstRowLastColumn="0" w:lastRowFirstColumn="0" w:lastRowLastColumn="0"/>
            </w:pPr>
            <w:r>
              <w:t xml:space="preserve">1 </w:t>
            </w:r>
          </w:p>
        </w:tc>
        <w:tc>
          <w:tcPr>
            <w:tcW w:w="651" w:type="dxa"/>
          </w:tcPr>
          <w:p w14:paraId="02F04214" w14:textId="6C9391B7" w:rsidR="00046488" w:rsidRPr="0026182E" w:rsidRDefault="00046488" w:rsidP="00374975">
            <w:pPr>
              <w:pStyle w:val="TableText"/>
              <w:cnfStyle w:val="000000100000" w:firstRow="0" w:lastRow="0" w:firstColumn="0" w:lastColumn="0" w:oddVBand="0" w:evenVBand="0" w:oddHBand="1" w:evenHBand="0" w:firstRowFirstColumn="0" w:firstRowLastColumn="0" w:lastRowFirstColumn="0" w:lastRowLastColumn="0"/>
            </w:pPr>
            <w:r>
              <w:t>-</w:t>
            </w:r>
          </w:p>
        </w:tc>
        <w:tc>
          <w:tcPr>
            <w:tcW w:w="1308" w:type="dxa"/>
          </w:tcPr>
          <w:p w14:paraId="5623998F" w14:textId="2BFC9840" w:rsidR="00046488" w:rsidRPr="0026182E" w:rsidRDefault="00046488" w:rsidP="00374975">
            <w:pPr>
              <w:pStyle w:val="TableText"/>
              <w:cnfStyle w:val="000000100000" w:firstRow="0" w:lastRow="0" w:firstColumn="0" w:lastColumn="0" w:oddVBand="0" w:evenVBand="0" w:oddHBand="1" w:evenHBand="0" w:firstRowFirstColumn="0" w:firstRowLastColumn="0" w:lastRowFirstColumn="0" w:lastRowLastColumn="0"/>
            </w:pPr>
            <w:r>
              <w:t>Strategic</w:t>
            </w:r>
          </w:p>
        </w:tc>
        <w:tc>
          <w:tcPr>
            <w:tcW w:w="618" w:type="dxa"/>
          </w:tcPr>
          <w:p w14:paraId="2EC6E7CE" w14:textId="583B722B" w:rsidR="00046488" w:rsidRPr="0026182E" w:rsidRDefault="00046488" w:rsidP="00374975">
            <w:pPr>
              <w:pStyle w:val="TableText"/>
              <w:cnfStyle w:val="000000100000" w:firstRow="0" w:lastRow="0" w:firstColumn="0" w:lastColumn="0" w:oddVBand="0" w:evenVBand="0" w:oddHBand="1" w:evenHBand="0" w:firstRowFirstColumn="0" w:firstRowLastColumn="0" w:lastRowFirstColumn="0" w:lastRowLastColumn="0"/>
            </w:pPr>
            <w:r>
              <w:t>RFQ</w:t>
            </w:r>
          </w:p>
        </w:tc>
        <w:tc>
          <w:tcPr>
            <w:tcW w:w="757" w:type="dxa"/>
          </w:tcPr>
          <w:p w14:paraId="1FB7A70D" w14:textId="3A4AAE6E" w:rsidR="00046488" w:rsidRPr="0026182E" w:rsidRDefault="00046488" w:rsidP="00374975">
            <w:pPr>
              <w:pStyle w:val="TableText"/>
              <w:cnfStyle w:val="000000100000" w:firstRow="0" w:lastRow="0" w:firstColumn="0" w:lastColumn="0" w:oddVBand="0" w:evenVBand="0" w:oddHBand="1" w:evenHBand="0" w:firstRowFirstColumn="0" w:firstRowLastColumn="0" w:lastRowFirstColumn="0" w:lastRowLastColumn="0"/>
            </w:pPr>
            <w:r>
              <w:t>Closed</w:t>
            </w:r>
          </w:p>
        </w:tc>
        <w:tc>
          <w:tcPr>
            <w:tcW w:w="620" w:type="dxa"/>
          </w:tcPr>
          <w:p w14:paraId="63904FB3" w14:textId="061381CD" w:rsidR="00046488" w:rsidRPr="0026182E" w:rsidRDefault="00046488" w:rsidP="00374975">
            <w:pPr>
              <w:pStyle w:val="TableText"/>
              <w:jc w:val="right"/>
              <w:cnfStyle w:val="000000100000" w:firstRow="0" w:lastRow="0" w:firstColumn="0" w:lastColumn="0" w:oddVBand="0" w:evenVBand="0" w:oddHBand="1" w:evenHBand="0" w:firstRowFirstColumn="0" w:firstRowLastColumn="0" w:lastRowFirstColumn="0" w:lastRowLastColumn="0"/>
            </w:pPr>
            <w:r>
              <w:t>1</w:t>
            </w:r>
          </w:p>
        </w:tc>
      </w:tr>
      <w:tr w:rsidR="00854DBF" w:rsidRPr="0026182E" w14:paraId="72BC174D" w14:textId="77777777" w:rsidTr="00546DF9">
        <w:tc>
          <w:tcPr>
            <w:cnfStyle w:val="001000000000" w:firstRow="0" w:lastRow="0" w:firstColumn="1" w:lastColumn="0" w:oddVBand="0" w:evenVBand="0" w:oddHBand="0" w:evenHBand="0" w:firstRowFirstColumn="0" w:firstRowLastColumn="0" w:lastRowFirstColumn="0" w:lastRowLastColumn="0"/>
            <w:tcW w:w="1231" w:type="dxa"/>
            <w:vMerge/>
          </w:tcPr>
          <w:p w14:paraId="6E31CBE2" w14:textId="77777777" w:rsidR="00046488" w:rsidRPr="0026182E" w:rsidRDefault="00046488" w:rsidP="00374975">
            <w:pPr>
              <w:pStyle w:val="TableText"/>
            </w:pPr>
          </w:p>
        </w:tc>
        <w:tc>
          <w:tcPr>
            <w:tcW w:w="533" w:type="dxa"/>
            <w:vMerge/>
          </w:tcPr>
          <w:p w14:paraId="07679BA9" w14:textId="77777777" w:rsidR="00046488" w:rsidRPr="0026182E" w:rsidRDefault="00046488" w:rsidP="00374975">
            <w:pPr>
              <w:pStyle w:val="TableText"/>
              <w:jc w:val="right"/>
              <w:cnfStyle w:val="000000000000" w:firstRow="0" w:lastRow="0" w:firstColumn="0" w:lastColumn="0" w:oddVBand="0" w:evenVBand="0" w:oddHBand="0" w:evenHBand="0" w:firstRowFirstColumn="0" w:firstRowLastColumn="0" w:lastRowFirstColumn="0" w:lastRowLastColumn="0"/>
            </w:pPr>
          </w:p>
        </w:tc>
        <w:tc>
          <w:tcPr>
            <w:tcW w:w="1781" w:type="dxa"/>
          </w:tcPr>
          <w:p w14:paraId="2CCB4DEE" w14:textId="5158BC7C" w:rsidR="00046488" w:rsidRPr="0026182E" w:rsidRDefault="00046488" w:rsidP="00374975">
            <w:pPr>
              <w:pStyle w:val="TableText"/>
              <w:cnfStyle w:val="000000000000" w:firstRow="0" w:lastRow="0" w:firstColumn="0" w:lastColumn="0" w:oddVBand="0" w:evenVBand="0" w:oddHBand="0" w:evenHBand="0" w:firstRowFirstColumn="0" w:firstRowLastColumn="0" w:lastRowFirstColumn="0" w:lastRowLastColumn="0"/>
            </w:pPr>
            <w:r>
              <w:t xml:space="preserve">Enterprise Licence </w:t>
            </w:r>
            <w:r w:rsidR="003E0CE6">
              <w:t>agreement renewal</w:t>
            </w:r>
          </w:p>
        </w:tc>
        <w:tc>
          <w:tcPr>
            <w:tcW w:w="962" w:type="dxa"/>
          </w:tcPr>
          <w:p w14:paraId="0E796B65" w14:textId="57915680" w:rsidR="00046488" w:rsidRPr="0026182E" w:rsidRDefault="00046488" w:rsidP="00374975">
            <w:pPr>
              <w:pStyle w:val="TableText"/>
              <w:jc w:val="right"/>
              <w:cnfStyle w:val="000000000000" w:firstRow="0" w:lastRow="0" w:firstColumn="0" w:lastColumn="0" w:oddVBand="0" w:evenVBand="0" w:oddHBand="0" w:evenHBand="0" w:firstRowFirstColumn="0" w:firstRowLastColumn="0" w:lastRowFirstColumn="0" w:lastRowLastColumn="0"/>
            </w:pPr>
            <w:r>
              <w:t>$2.5</w:t>
            </w:r>
          </w:p>
        </w:tc>
        <w:tc>
          <w:tcPr>
            <w:tcW w:w="697" w:type="dxa"/>
          </w:tcPr>
          <w:p w14:paraId="6319C38D" w14:textId="57ABBD91" w:rsidR="00046488" w:rsidRPr="0026182E" w:rsidRDefault="00046488" w:rsidP="00374975">
            <w:pPr>
              <w:pStyle w:val="TableText"/>
              <w:jc w:val="right"/>
              <w:cnfStyle w:val="000000000000" w:firstRow="0" w:lastRow="0" w:firstColumn="0" w:lastColumn="0" w:oddVBand="0" w:evenVBand="0" w:oddHBand="0" w:evenHBand="0" w:firstRowFirstColumn="0" w:firstRowLastColumn="0" w:lastRowFirstColumn="0" w:lastRowLastColumn="0"/>
            </w:pPr>
            <w:r>
              <w:t xml:space="preserve">1 </w:t>
            </w:r>
          </w:p>
        </w:tc>
        <w:tc>
          <w:tcPr>
            <w:tcW w:w="651" w:type="dxa"/>
          </w:tcPr>
          <w:p w14:paraId="6E6FEB76" w14:textId="6D79156E" w:rsidR="00046488" w:rsidRPr="0026182E" w:rsidRDefault="00046488" w:rsidP="00374975">
            <w:pPr>
              <w:pStyle w:val="TableText"/>
              <w:cnfStyle w:val="000000000000" w:firstRow="0" w:lastRow="0" w:firstColumn="0" w:lastColumn="0" w:oddVBand="0" w:evenVBand="0" w:oddHBand="0" w:evenHBand="0" w:firstRowFirstColumn="0" w:firstRowLastColumn="0" w:lastRowFirstColumn="0" w:lastRowLastColumn="0"/>
            </w:pPr>
            <w:r>
              <w:t>-</w:t>
            </w:r>
          </w:p>
        </w:tc>
        <w:tc>
          <w:tcPr>
            <w:tcW w:w="1308" w:type="dxa"/>
          </w:tcPr>
          <w:p w14:paraId="56A8F5A4" w14:textId="2FE29E92" w:rsidR="00046488" w:rsidRPr="0026182E" w:rsidRDefault="00046488" w:rsidP="00374975">
            <w:pPr>
              <w:pStyle w:val="TableText"/>
              <w:cnfStyle w:val="000000000000" w:firstRow="0" w:lastRow="0" w:firstColumn="0" w:lastColumn="0" w:oddVBand="0" w:evenVBand="0" w:oddHBand="0" w:evenHBand="0" w:firstRowFirstColumn="0" w:firstRowLastColumn="0" w:lastRowFirstColumn="0" w:lastRowLastColumn="0"/>
            </w:pPr>
            <w:r>
              <w:t>Strategic</w:t>
            </w:r>
          </w:p>
        </w:tc>
        <w:tc>
          <w:tcPr>
            <w:tcW w:w="618" w:type="dxa"/>
          </w:tcPr>
          <w:p w14:paraId="2AE48473" w14:textId="59422050" w:rsidR="00046488" w:rsidRPr="0026182E" w:rsidRDefault="00046488" w:rsidP="00374975">
            <w:pPr>
              <w:pStyle w:val="TableText"/>
              <w:cnfStyle w:val="000000000000" w:firstRow="0" w:lastRow="0" w:firstColumn="0" w:lastColumn="0" w:oddVBand="0" w:evenVBand="0" w:oddHBand="0" w:evenHBand="0" w:firstRowFirstColumn="0" w:firstRowLastColumn="0" w:lastRowFirstColumn="0" w:lastRowLastColumn="0"/>
            </w:pPr>
            <w:r>
              <w:t>RFQ</w:t>
            </w:r>
          </w:p>
        </w:tc>
        <w:tc>
          <w:tcPr>
            <w:tcW w:w="757" w:type="dxa"/>
          </w:tcPr>
          <w:p w14:paraId="1BB9EA86" w14:textId="58DE87E9" w:rsidR="00046488" w:rsidRPr="0026182E" w:rsidRDefault="00046488" w:rsidP="00374975">
            <w:pPr>
              <w:pStyle w:val="TableText"/>
              <w:cnfStyle w:val="000000000000" w:firstRow="0" w:lastRow="0" w:firstColumn="0" w:lastColumn="0" w:oddVBand="0" w:evenVBand="0" w:oddHBand="0" w:evenHBand="0" w:firstRowFirstColumn="0" w:firstRowLastColumn="0" w:lastRowFirstColumn="0" w:lastRowLastColumn="0"/>
            </w:pPr>
            <w:r>
              <w:t>Open</w:t>
            </w:r>
          </w:p>
        </w:tc>
        <w:tc>
          <w:tcPr>
            <w:tcW w:w="620" w:type="dxa"/>
          </w:tcPr>
          <w:p w14:paraId="4666D9BE" w14:textId="6C10D03B" w:rsidR="00046488" w:rsidRPr="0026182E" w:rsidRDefault="00046488" w:rsidP="00374975">
            <w:pPr>
              <w:pStyle w:val="TableText"/>
              <w:jc w:val="right"/>
              <w:cnfStyle w:val="000000000000" w:firstRow="0" w:lastRow="0" w:firstColumn="0" w:lastColumn="0" w:oddVBand="0" w:evenVBand="0" w:oddHBand="0" w:evenHBand="0" w:firstRowFirstColumn="0" w:firstRowLastColumn="0" w:lastRowFirstColumn="0" w:lastRowLastColumn="0"/>
            </w:pPr>
            <w:r>
              <w:t>1</w:t>
            </w:r>
          </w:p>
        </w:tc>
      </w:tr>
      <w:tr w:rsidR="00854DBF" w:rsidRPr="0026182E" w14:paraId="46A43280" w14:textId="77777777" w:rsidTr="00546D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1" w:type="dxa"/>
            <w:vMerge/>
          </w:tcPr>
          <w:p w14:paraId="578BA2F3" w14:textId="77777777" w:rsidR="00046488" w:rsidRPr="0026182E" w:rsidRDefault="00046488" w:rsidP="00374975">
            <w:pPr>
              <w:pStyle w:val="TableText"/>
            </w:pPr>
          </w:p>
        </w:tc>
        <w:tc>
          <w:tcPr>
            <w:tcW w:w="533" w:type="dxa"/>
            <w:vMerge/>
          </w:tcPr>
          <w:p w14:paraId="22F7380B" w14:textId="77777777" w:rsidR="00046488" w:rsidRPr="0026182E" w:rsidRDefault="00046488" w:rsidP="00374975">
            <w:pPr>
              <w:pStyle w:val="TableText"/>
              <w:jc w:val="right"/>
              <w:cnfStyle w:val="000000100000" w:firstRow="0" w:lastRow="0" w:firstColumn="0" w:lastColumn="0" w:oddVBand="0" w:evenVBand="0" w:oddHBand="1" w:evenHBand="0" w:firstRowFirstColumn="0" w:firstRowLastColumn="0" w:lastRowFirstColumn="0" w:lastRowLastColumn="0"/>
            </w:pPr>
          </w:p>
        </w:tc>
        <w:tc>
          <w:tcPr>
            <w:tcW w:w="1781" w:type="dxa"/>
          </w:tcPr>
          <w:p w14:paraId="012DC9D4" w14:textId="5443B6EA" w:rsidR="00046488" w:rsidRPr="0026182E" w:rsidRDefault="00046488" w:rsidP="00374975">
            <w:pPr>
              <w:pStyle w:val="TableText"/>
              <w:cnfStyle w:val="000000100000" w:firstRow="0" w:lastRow="0" w:firstColumn="0" w:lastColumn="0" w:oddVBand="0" w:evenVBand="0" w:oddHBand="1" w:evenHBand="0" w:firstRowFirstColumn="0" w:firstRowLastColumn="0" w:lastRowFirstColumn="0" w:lastRowLastColumn="0"/>
            </w:pPr>
            <w:r>
              <w:t xml:space="preserve">IBM Enterprise Licence </w:t>
            </w:r>
            <w:r w:rsidR="003E0CE6">
              <w:t>agreement renewal</w:t>
            </w:r>
          </w:p>
        </w:tc>
        <w:tc>
          <w:tcPr>
            <w:tcW w:w="962" w:type="dxa"/>
          </w:tcPr>
          <w:p w14:paraId="54A47699" w14:textId="207A2424" w:rsidR="00046488" w:rsidRPr="0026182E" w:rsidRDefault="00046488" w:rsidP="00374975">
            <w:pPr>
              <w:pStyle w:val="TableText"/>
              <w:jc w:val="right"/>
              <w:cnfStyle w:val="000000100000" w:firstRow="0" w:lastRow="0" w:firstColumn="0" w:lastColumn="0" w:oddVBand="0" w:evenVBand="0" w:oddHBand="1" w:evenHBand="0" w:firstRowFirstColumn="0" w:firstRowLastColumn="0" w:lastRowFirstColumn="0" w:lastRowLastColumn="0"/>
            </w:pPr>
            <w:r>
              <w:t>$2.6</w:t>
            </w:r>
          </w:p>
        </w:tc>
        <w:tc>
          <w:tcPr>
            <w:tcW w:w="697" w:type="dxa"/>
          </w:tcPr>
          <w:p w14:paraId="4466A858" w14:textId="72944A8D" w:rsidR="00046488" w:rsidRPr="0026182E" w:rsidRDefault="00046488" w:rsidP="00374975">
            <w:pPr>
              <w:pStyle w:val="TableText"/>
              <w:jc w:val="right"/>
              <w:cnfStyle w:val="000000100000" w:firstRow="0" w:lastRow="0" w:firstColumn="0" w:lastColumn="0" w:oddVBand="0" w:evenVBand="0" w:oddHBand="1" w:evenHBand="0" w:firstRowFirstColumn="0" w:firstRowLastColumn="0" w:lastRowFirstColumn="0" w:lastRowLastColumn="0"/>
            </w:pPr>
            <w:r>
              <w:t xml:space="preserve">1 </w:t>
            </w:r>
          </w:p>
        </w:tc>
        <w:tc>
          <w:tcPr>
            <w:tcW w:w="651" w:type="dxa"/>
          </w:tcPr>
          <w:p w14:paraId="31551854" w14:textId="2D5100A0" w:rsidR="00046488" w:rsidRPr="0026182E" w:rsidRDefault="00046488" w:rsidP="00374975">
            <w:pPr>
              <w:pStyle w:val="TableText"/>
              <w:cnfStyle w:val="000000100000" w:firstRow="0" w:lastRow="0" w:firstColumn="0" w:lastColumn="0" w:oddVBand="0" w:evenVBand="0" w:oddHBand="1" w:evenHBand="0" w:firstRowFirstColumn="0" w:firstRowLastColumn="0" w:lastRowFirstColumn="0" w:lastRowLastColumn="0"/>
            </w:pPr>
            <w:r>
              <w:t>-</w:t>
            </w:r>
          </w:p>
        </w:tc>
        <w:tc>
          <w:tcPr>
            <w:tcW w:w="1308" w:type="dxa"/>
          </w:tcPr>
          <w:p w14:paraId="2893189F" w14:textId="64E2CD1A" w:rsidR="00046488" w:rsidRPr="0026182E" w:rsidRDefault="00046488" w:rsidP="00374975">
            <w:pPr>
              <w:pStyle w:val="TableText"/>
              <w:cnfStyle w:val="000000100000" w:firstRow="0" w:lastRow="0" w:firstColumn="0" w:lastColumn="0" w:oddVBand="0" w:evenVBand="0" w:oddHBand="1" w:evenHBand="0" w:firstRowFirstColumn="0" w:firstRowLastColumn="0" w:lastRowFirstColumn="0" w:lastRowLastColumn="0"/>
            </w:pPr>
            <w:r>
              <w:t>Strategic</w:t>
            </w:r>
          </w:p>
        </w:tc>
        <w:tc>
          <w:tcPr>
            <w:tcW w:w="618" w:type="dxa"/>
          </w:tcPr>
          <w:p w14:paraId="2E2457E4" w14:textId="4C478CE6" w:rsidR="00046488" w:rsidRPr="0026182E" w:rsidRDefault="00046488" w:rsidP="00374975">
            <w:pPr>
              <w:pStyle w:val="TableText"/>
              <w:cnfStyle w:val="000000100000" w:firstRow="0" w:lastRow="0" w:firstColumn="0" w:lastColumn="0" w:oddVBand="0" w:evenVBand="0" w:oddHBand="1" w:evenHBand="0" w:firstRowFirstColumn="0" w:firstRowLastColumn="0" w:lastRowFirstColumn="0" w:lastRowLastColumn="0"/>
            </w:pPr>
            <w:r>
              <w:t>RFQ</w:t>
            </w:r>
          </w:p>
        </w:tc>
        <w:tc>
          <w:tcPr>
            <w:tcW w:w="757" w:type="dxa"/>
          </w:tcPr>
          <w:p w14:paraId="434C8E49" w14:textId="6FF537CE" w:rsidR="00046488" w:rsidRPr="0026182E" w:rsidRDefault="00046488" w:rsidP="00374975">
            <w:pPr>
              <w:pStyle w:val="TableText"/>
              <w:cnfStyle w:val="000000100000" w:firstRow="0" w:lastRow="0" w:firstColumn="0" w:lastColumn="0" w:oddVBand="0" w:evenVBand="0" w:oddHBand="1" w:evenHBand="0" w:firstRowFirstColumn="0" w:firstRowLastColumn="0" w:lastRowFirstColumn="0" w:lastRowLastColumn="0"/>
            </w:pPr>
            <w:r>
              <w:t>Open</w:t>
            </w:r>
          </w:p>
        </w:tc>
        <w:tc>
          <w:tcPr>
            <w:tcW w:w="620" w:type="dxa"/>
          </w:tcPr>
          <w:p w14:paraId="6AFB52CB" w14:textId="2D6ADB63" w:rsidR="00046488" w:rsidRPr="0026182E" w:rsidRDefault="00046488" w:rsidP="00374975">
            <w:pPr>
              <w:pStyle w:val="TableText"/>
              <w:jc w:val="right"/>
              <w:cnfStyle w:val="000000100000" w:firstRow="0" w:lastRow="0" w:firstColumn="0" w:lastColumn="0" w:oddVBand="0" w:evenVBand="0" w:oddHBand="1" w:evenHBand="0" w:firstRowFirstColumn="0" w:firstRowLastColumn="0" w:lastRowFirstColumn="0" w:lastRowLastColumn="0"/>
            </w:pPr>
            <w:r>
              <w:t>1</w:t>
            </w:r>
          </w:p>
        </w:tc>
      </w:tr>
      <w:tr w:rsidR="00854DBF" w:rsidRPr="0026182E" w14:paraId="5D94B90C" w14:textId="77777777" w:rsidTr="00546DF9">
        <w:tc>
          <w:tcPr>
            <w:cnfStyle w:val="001000000000" w:firstRow="0" w:lastRow="0" w:firstColumn="1" w:lastColumn="0" w:oddVBand="0" w:evenVBand="0" w:oddHBand="0" w:evenHBand="0" w:firstRowFirstColumn="0" w:firstRowLastColumn="0" w:lastRowFirstColumn="0" w:lastRowLastColumn="0"/>
            <w:tcW w:w="1231" w:type="dxa"/>
            <w:vMerge w:val="restart"/>
          </w:tcPr>
          <w:p w14:paraId="62FAD3A7" w14:textId="49220777" w:rsidR="00046488" w:rsidRPr="0026182E" w:rsidRDefault="00854DBF" w:rsidP="00046488">
            <w:pPr>
              <w:pStyle w:val="TableText"/>
            </w:pPr>
            <w:r>
              <w:t xml:space="preserve">Department of </w:t>
            </w:r>
            <w:r w:rsidR="00046488">
              <w:t>Treasury and Finance</w:t>
            </w:r>
          </w:p>
        </w:tc>
        <w:tc>
          <w:tcPr>
            <w:tcW w:w="533" w:type="dxa"/>
            <w:vMerge w:val="restart"/>
          </w:tcPr>
          <w:p w14:paraId="4B96AADF" w14:textId="3D5706CB" w:rsidR="00046488" w:rsidRPr="0026182E" w:rsidRDefault="00046488" w:rsidP="00046488">
            <w:pPr>
              <w:pStyle w:val="TableText"/>
              <w:jc w:val="right"/>
              <w:cnfStyle w:val="000000000000" w:firstRow="0" w:lastRow="0" w:firstColumn="0" w:lastColumn="0" w:oddVBand="0" w:evenVBand="0" w:oddHBand="0" w:evenHBand="0" w:firstRowFirstColumn="0" w:firstRowLastColumn="0" w:lastRowFirstColumn="0" w:lastRowLastColumn="0"/>
            </w:pPr>
            <w:r>
              <w:t>4</w:t>
            </w:r>
          </w:p>
        </w:tc>
        <w:tc>
          <w:tcPr>
            <w:tcW w:w="1781" w:type="dxa"/>
          </w:tcPr>
          <w:p w14:paraId="6E261ADB" w14:textId="4751B454" w:rsidR="00046488" w:rsidRPr="0026182E" w:rsidRDefault="00046488" w:rsidP="00046488">
            <w:pPr>
              <w:pStyle w:val="TableText"/>
              <w:cnfStyle w:val="000000000000" w:firstRow="0" w:lastRow="0" w:firstColumn="0" w:lastColumn="0" w:oddVBand="0" w:evenVBand="0" w:oddHBand="0" w:evenHBand="0" w:firstRowFirstColumn="0" w:firstRowLastColumn="0" w:lastRowFirstColumn="0" w:lastRowLastColumn="0"/>
            </w:pPr>
            <w:r>
              <w:t>Security Services</w:t>
            </w:r>
          </w:p>
        </w:tc>
        <w:tc>
          <w:tcPr>
            <w:tcW w:w="962" w:type="dxa"/>
          </w:tcPr>
          <w:p w14:paraId="46E12856" w14:textId="33329BD9" w:rsidR="00046488" w:rsidRPr="0026182E" w:rsidRDefault="00046488" w:rsidP="00046488">
            <w:pPr>
              <w:pStyle w:val="TableText"/>
              <w:jc w:val="right"/>
              <w:cnfStyle w:val="000000000000" w:firstRow="0" w:lastRow="0" w:firstColumn="0" w:lastColumn="0" w:oddVBand="0" w:evenVBand="0" w:oddHBand="0" w:evenHBand="0" w:firstRowFirstColumn="0" w:firstRowLastColumn="0" w:lastRowFirstColumn="0" w:lastRowLastColumn="0"/>
            </w:pPr>
            <w:r>
              <w:t>$236.0</w:t>
            </w:r>
          </w:p>
        </w:tc>
        <w:tc>
          <w:tcPr>
            <w:tcW w:w="697" w:type="dxa"/>
          </w:tcPr>
          <w:p w14:paraId="46D550EB" w14:textId="3791A5F4" w:rsidR="00046488" w:rsidRPr="0026182E" w:rsidRDefault="00046488" w:rsidP="00046488">
            <w:pPr>
              <w:pStyle w:val="TableText"/>
              <w:jc w:val="right"/>
              <w:cnfStyle w:val="000000000000" w:firstRow="0" w:lastRow="0" w:firstColumn="0" w:lastColumn="0" w:oddVBand="0" w:evenVBand="0" w:oddHBand="0" w:evenHBand="0" w:firstRowFirstColumn="0" w:firstRowLastColumn="0" w:lastRowFirstColumn="0" w:lastRowLastColumn="0"/>
            </w:pPr>
            <w:r>
              <w:t>3</w:t>
            </w:r>
          </w:p>
        </w:tc>
        <w:tc>
          <w:tcPr>
            <w:tcW w:w="651" w:type="dxa"/>
          </w:tcPr>
          <w:p w14:paraId="008E33DF" w14:textId="0295B94C" w:rsidR="00046488" w:rsidRPr="0026182E" w:rsidRDefault="00046488" w:rsidP="00046488">
            <w:pPr>
              <w:pStyle w:val="TableText"/>
              <w:cnfStyle w:val="000000000000" w:firstRow="0" w:lastRow="0" w:firstColumn="0" w:lastColumn="0" w:oddVBand="0" w:evenVBand="0" w:oddHBand="0" w:evenHBand="0" w:firstRowFirstColumn="0" w:firstRowLastColumn="0" w:lastRowFirstColumn="0" w:lastRowLastColumn="0"/>
            </w:pPr>
            <w:r>
              <w:t xml:space="preserve">2×1 </w:t>
            </w:r>
          </w:p>
        </w:tc>
        <w:tc>
          <w:tcPr>
            <w:tcW w:w="1308" w:type="dxa"/>
          </w:tcPr>
          <w:p w14:paraId="6A68A616" w14:textId="0A9C3009" w:rsidR="00046488" w:rsidRPr="0026182E" w:rsidRDefault="00046488" w:rsidP="00046488">
            <w:pPr>
              <w:pStyle w:val="TableText"/>
              <w:cnfStyle w:val="000000000000" w:firstRow="0" w:lastRow="0" w:firstColumn="0" w:lastColumn="0" w:oddVBand="0" w:evenVBand="0" w:oddHBand="0" w:evenHBand="0" w:firstRowFirstColumn="0" w:firstRowLastColumn="0" w:lastRowFirstColumn="0" w:lastRowLastColumn="0"/>
            </w:pPr>
            <w:r>
              <w:t>Focused</w:t>
            </w:r>
          </w:p>
        </w:tc>
        <w:tc>
          <w:tcPr>
            <w:tcW w:w="618" w:type="dxa"/>
          </w:tcPr>
          <w:p w14:paraId="4BB87D0C" w14:textId="1A8AE76C" w:rsidR="00046488" w:rsidRPr="0026182E" w:rsidRDefault="00046488" w:rsidP="00046488">
            <w:pPr>
              <w:pStyle w:val="TableText"/>
              <w:cnfStyle w:val="000000000000" w:firstRow="0" w:lastRow="0" w:firstColumn="0" w:lastColumn="0" w:oddVBand="0" w:evenVBand="0" w:oddHBand="0" w:evenHBand="0" w:firstRowFirstColumn="0" w:firstRowLastColumn="0" w:lastRowFirstColumn="0" w:lastRowLastColumn="0"/>
            </w:pPr>
            <w:r>
              <w:t>RFT</w:t>
            </w:r>
          </w:p>
        </w:tc>
        <w:tc>
          <w:tcPr>
            <w:tcW w:w="757" w:type="dxa"/>
          </w:tcPr>
          <w:p w14:paraId="7FA21F9B" w14:textId="084ACBFE" w:rsidR="00046488" w:rsidRPr="0026182E" w:rsidRDefault="00046488" w:rsidP="00046488">
            <w:pPr>
              <w:pStyle w:val="TableText"/>
              <w:cnfStyle w:val="000000000000" w:firstRow="0" w:lastRow="0" w:firstColumn="0" w:lastColumn="0" w:oddVBand="0" w:evenVBand="0" w:oddHBand="0" w:evenHBand="0" w:firstRowFirstColumn="0" w:firstRowLastColumn="0" w:lastRowFirstColumn="0" w:lastRowLastColumn="0"/>
            </w:pPr>
            <w:r>
              <w:t>Closed</w:t>
            </w:r>
          </w:p>
        </w:tc>
        <w:tc>
          <w:tcPr>
            <w:tcW w:w="620" w:type="dxa"/>
          </w:tcPr>
          <w:p w14:paraId="09A36CE1" w14:textId="608721E0" w:rsidR="00046488" w:rsidRPr="0026182E" w:rsidRDefault="00046488" w:rsidP="00046488">
            <w:pPr>
              <w:pStyle w:val="TableText"/>
              <w:jc w:val="right"/>
              <w:cnfStyle w:val="000000000000" w:firstRow="0" w:lastRow="0" w:firstColumn="0" w:lastColumn="0" w:oddVBand="0" w:evenVBand="0" w:oddHBand="0" w:evenHBand="0" w:firstRowFirstColumn="0" w:firstRowLastColumn="0" w:lastRowFirstColumn="0" w:lastRowLastColumn="0"/>
            </w:pPr>
            <w:r>
              <w:t>5</w:t>
            </w:r>
          </w:p>
        </w:tc>
      </w:tr>
      <w:tr w:rsidR="00854DBF" w:rsidRPr="0026182E" w14:paraId="1C6A9434" w14:textId="77777777" w:rsidTr="00011197">
        <w:trPr>
          <w:cnfStyle w:val="000000100000" w:firstRow="0" w:lastRow="0" w:firstColumn="0" w:lastColumn="0" w:oddVBand="0" w:evenVBand="0" w:oddHBand="1" w:evenHBand="0" w:firstRowFirstColumn="0" w:firstRowLastColumn="0" w:lastRowFirstColumn="0" w:lastRowLastColumn="0"/>
          <w:trHeight w:val="331"/>
        </w:trPr>
        <w:tc>
          <w:tcPr>
            <w:cnfStyle w:val="001000000000" w:firstRow="0" w:lastRow="0" w:firstColumn="1" w:lastColumn="0" w:oddVBand="0" w:evenVBand="0" w:oddHBand="0" w:evenHBand="0" w:firstRowFirstColumn="0" w:firstRowLastColumn="0" w:lastRowFirstColumn="0" w:lastRowLastColumn="0"/>
            <w:tcW w:w="1231" w:type="dxa"/>
            <w:vMerge/>
          </w:tcPr>
          <w:p w14:paraId="1CC6F699" w14:textId="77777777" w:rsidR="00046488" w:rsidRPr="0026182E" w:rsidRDefault="00046488" w:rsidP="00046488">
            <w:pPr>
              <w:pStyle w:val="TableText"/>
            </w:pPr>
          </w:p>
        </w:tc>
        <w:tc>
          <w:tcPr>
            <w:tcW w:w="533" w:type="dxa"/>
            <w:vMerge/>
          </w:tcPr>
          <w:p w14:paraId="17EF1B02" w14:textId="77777777" w:rsidR="00046488" w:rsidRPr="0026182E" w:rsidRDefault="00046488" w:rsidP="00046488">
            <w:pPr>
              <w:pStyle w:val="TableText"/>
              <w:jc w:val="right"/>
              <w:cnfStyle w:val="000000100000" w:firstRow="0" w:lastRow="0" w:firstColumn="0" w:lastColumn="0" w:oddVBand="0" w:evenVBand="0" w:oddHBand="1" w:evenHBand="0" w:firstRowFirstColumn="0" w:firstRowLastColumn="0" w:lastRowFirstColumn="0" w:lastRowLastColumn="0"/>
            </w:pPr>
          </w:p>
        </w:tc>
        <w:tc>
          <w:tcPr>
            <w:tcW w:w="1781" w:type="dxa"/>
          </w:tcPr>
          <w:p w14:paraId="4AEBE3E2" w14:textId="7BFE609C" w:rsidR="00046488" w:rsidRPr="0026182E" w:rsidRDefault="003A18E6" w:rsidP="00046488">
            <w:pPr>
              <w:pStyle w:val="TableText"/>
              <w:cnfStyle w:val="000000100000" w:firstRow="0" w:lastRow="0" w:firstColumn="0" w:lastColumn="0" w:oddVBand="0" w:evenVBand="0" w:oddHBand="1" w:evenHBand="0" w:firstRowFirstColumn="0" w:firstRowLastColumn="0" w:lastRowFirstColumn="0" w:lastRowLastColumn="0"/>
            </w:pPr>
            <w:r w:rsidRPr="00FB0AF9">
              <w:t>Motor</w:t>
            </w:r>
            <w:r w:rsidR="00046488" w:rsidRPr="00FB0AF9">
              <w:t xml:space="preserve"> </w:t>
            </w:r>
            <w:r w:rsidR="008E5C8C">
              <w:t>V</w:t>
            </w:r>
            <w:r w:rsidR="00046488" w:rsidRPr="00FB0AF9">
              <w:t>ehicles</w:t>
            </w:r>
          </w:p>
        </w:tc>
        <w:tc>
          <w:tcPr>
            <w:tcW w:w="962" w:type="dxa"/>
          </w:tcPr>
          <w:p w14:paraId="56922BDE" w14:textId="0C2CED70" w:rsidR="00046488" w:rsidRPr="0026182E" w:rsidRDefault="00046488" w:rsidP="00046488">
            <w:pPr>
              <w:pStyle w:val="TableText"/>
              <w:jc w:val="right"/>
              <w:cnfStyle w:val="000000100000" w:firstRow="0" w:lastRow="0" w:firstColumn="0" w:lastColumn="0" w:oddVBand="0" w:evenVBand="0" w:oddHBand="1" w:evenHBand="0" w:firstRowFirstColumn="0" w:firstRowLastColumn="0" w:lastRowFirstColumn="0" w:lastRowLastColumn="0"/>
            </w:pPr>
            <w:r>
              <w:t>$250.0</w:t>
            </w:r>
          </w:p>
        </w:tc>
        <w:tc>
          <w:tcPr>
            <w:tcW w:w="1348" w:type="dxa"/>
            <w:gridSpan w:val="2"/>
          </w:tcPr>
          <w:p w14:paraId="4CCB5F94" w14:textId="6068500F" w:rsidR="00046488" w:rsidRPr="0026182E" w:rsidRDefault="00046488" w:rsidP="00011197">
            <w:pPr>
              <w:pStyle w:val="TableText"/>
              <w:jc w:val="center"/>
              <w:cnfStyle w:val="000000100000" w:firstRow="0" w:lastRow="0" w:firstColumn="0" w:lastColumn="0" w:oddVBand="0" w:evenVBand="0" w:oddHBand="1" w:evenHBand="0" w:firstRowFirstColumn="0" w:firstRowLastColumn="0" w:lastRowFirstColumn="0" w:lastRowLastColumn="0"/>
            </w:pPr>
            <w:r>
              <w:t>Ongoing</w:t>
            </w:r>
          </w:p>
        </w:tc>
        <w:tc>
          <w:tcPr>
            <w:tcW w:w="1308" w:type="dxa"/>
          </w:tcPr>
          <w:p w14:paraId="311E95FF" w14:textId="78EF7F20" w:rsidR="00046488" w:rsidRPr="0026182E" w:rsidRDefault="00046488" w:rsidP="00046488">
            <w:pPr>
              <w:pStyle w:val="TableText"/>
              <w:cnfStyle w:val="000000100000" w:firstRow="0" w:lastRow="0" w:firstColumn="0" w:lastColumn="0" w:oddVBand="0" w:evenVBand="0" w:oddHBand="1" w:evenHBand="0" w:firstRowFirstColumn="0" w:firstRowLastColumn="0" w:lastRowFirstColumn="0" w:lastRowLastColumn="0"/>
            </w:pPr>
            <w:r>
              <w:t>Focused</w:t>
            </w:r>
          </w:p>
        </w:tc>
        <w:tc>
          <w:tcPr>
            <w:tcW w:w="618" w:type="dxa"/>
          </w:tcPr>
          <w:p w14:paraId="7D6D1A52" w14:textId="5DDCEA68" w:rsidR="00046488" w:rsidRPr="0026182E" w:rsidRDefault="00046488" w:rsidP="00046488">
            <w:pPr>
              <w:pStyle w:val="TableText"/>
              <w:cnfStyle w:val="000000100000" w:firstRow="0" w:lastRow="0" w:firstColumn="0" w:lastColumn="0" w:oddVBand="0" w:evenVBand="0" w:oddHBand="1" w:evenHBand="0" w:firstRowFirstColumn="0" w:firstRowLastColumn="0" w:lastRowFirstColumn="0" w:lastRowLastColumn="0"/>
            </w:pPr>
            <w:r>
              <w:t>RFT</w:t>
            </w:r>
          </w:p>
        </w:tc>
        <w:tc>
          <w:tcPr>
            <w:tcW w:w="757" w:type="dxa"/>
          </w:tcPr>
          <w:p w14:paraId="5D97AEF4" w14:textId="372A3A25" w:rsidR="00046488" w:rsidRPr="0026182E" w:rsidRDefault="00046488" w:rsidP="00046488">
            <w:pPr>
              <w:pStyle w:val="TableText"/>
              <w:cnfStyle w:val="000000100000" w:firstRow="0" w:lastRow="0" w:firstColumn="0" w:lastColumn="0" w:oddVBand="0" w:evenVBand="0" w:oddHBand="1" w:evenHBand="0" w:firstRowFirstColumn="0" w:firstRowLastColumn="0" w:lastRowFirstColumn="0" w:lastRowLastColumn="0"/>
            </w:pPr>
            <w:r>
              <w:t>Closed</w:t>
            </w:r>
          </w:p>
        </w:tc>
        <w:tc>
          <w:tcPr>
            <w:tcW w:w="620" w:type="dxa"/>
          </w:tcPr>
          <w:p w14:paraId="1F1FA786" w14:textId="2DFF0FD8" w:rsidR="00046488" w:rsidRPr="0026182E" w:rsidRDefault="00046488" w:rsidP="00046488">
            <w:pPr>
              <w:pStyle w:val="TableText"/>
              <w:jc w:val="right"/>
              <w:cnfStyle w:val="000000100000" w:firstRow="0" w:lastRow="0" w:firstColumn="0" w:lastColumn="0" w:oddVBand="0" w:evenVBand="0" w:oddHBand="1" w:evenHBand="0" w:firstRowFirstColumn="0" w:firstRowLastColumn="0" w:lastRowFirstColumn="0" w:lastRowLastColumn="0"/>
            </w:pPr>
            <w:r>
              <w:t>16</w:t>
            </w:r>
          </w:p>
        </w:tc>
      </w:tr>
      <w:tr w:rsidR="00854DBF" w:rsidRPr="0026182E" w14:paraId="374F519D" w14:textId="77777777" w:rsidTr="00546DF9">
        <w:tc>
          <w:tcPr>
            <w:cnfStyle w:val="001000000000" w:firstRow="0" w:lastRow="0" w:firstColumn="1" w:lastColumn="0" w:oddVBand="0" w:evenVBand="0" w:oddHBand="0" w:evenHBand="0" w:firstRowFirstColumn="0" w:firstRowLastColumn="0" w:lastRowFirstColumn="0" w:lastRowLastColumn="0"/>
            <w:tcW w:w="1231" w:type="dxa"/>
            <w:vMerge/>
          </w:tcPr>
          <w:p w14:paraId="70C77C7D" w14:textId="77777777" w:rsidR="00046488" w:rsidRPr="0026182E" w:rsidRDefault="00046488" w:rsidP="00046488">
            <w:pPr>
              <w:pStyle w:val="TableText"/>
            </w:pPr>
          </w:p>
        </w:tc>
        <w:tc>
          <w:tcPr>
            <w:tcW w:w="533" w:type="dxa"/>
            <w:vMerge/>
          </w:tcPr>
          <w:p w14:paraId="2FFFB901" w14:textId="77777777" w:rsidR="00046488" w:rsidRPr="0026182E" w:rsidRDefault="00046488" w:rsidP="00046488">
            <w:pPr>
              <w:pStyle w:val="TableText"/>
              <w:jc w:val="right"/>
              <w:cnfStyle w:val="000000000000" w:firstRow="0" w:lastRow="0" w:firstColumn="0" w:lastColumn="0" w:oddVBand="0" w:evenVBand="0" w:oddHBand="0" w:evenHBand="0" w:firstRowFirstColumn="0" w:firstRowLastColumn="0" w:lastRowFirstColumn="0" w:lastRowLastColumn="0"/>
            </w:pPr>
          </w:p>
        </w:tc>
        <w:tc>
          <w:tcPr>
            <w:tcW w:w="1781" w:type="dxa"/>
          </w:tcPr>
          <w:p w14:paraId="00691CEE" w14:textId="2D0FA10B" w:rsidR="00046488" w:rsidRPr="0026182E" w:rsidRDefault="00046488" w:rsidP="00046488">
            <w:pPr>
              <w:pStyle w:val="TableText"/>
              <w:cnfStyle w:val="000000000000" w:firstRow="0" w:lastRow="0" w:firstColumn="0" w:lastColumn="0" w:oddVBand="0" w:evenVBand="0" w:oddHBand="0" w:evenHBand="0" w:firstRowFirstColumn="0" w:firstRowLastColumn="0" w:lastRowFirstColumn="0" w:lastRowLastColumn="0"/>
            </w:pPr>
            <w:r>
              <w:t>Professional Advisory Services</w:t>
            </w:r>
          </w:p>
        </w:tc>
        <w:tc>
          <w:tcPr>
            <w:tcW w:w="962" w:type="dxa"/>
          </w:tcPr>
          <w:p w14:paraId="5B878776" w14:textId="4BA1F917" w:rsidR="00046488" w:rsidRPr="0026182E" w:rsidRDefault="00046488" w:rsidP="00046488">
            <w:pPr>
              <w:pStyle w:val="TableText"/>
              <w:jc w:val="right"/>
              <w:cnfStyle w:val="000000000000" w:firstRow="0" w:lastRow="0" w:firstColumn="0" w:lastColumn="0" w:oddVBand="0" w:evenVBand="0" w:oddHBand="0" w:evenHBand="0" w:firstRowFirstColumn="0" w:firstRowLastColumn="0" w:lastRowFirstColumn="0" w:lastRowLastColumn="0"/>
            </w:pPr>
            <w:r>
              <w:t>$288.0</w:t>
            </w:r>
          </w:p>
        </w:tc>
        <w:tc>
          <w:tcPr>
            <w:tcW w:w="697" w:type="dxa"/>
          </w:tcPr>
          <w:p w14:paraId="7964B220" w14:textId="1FDDB5E2" w:rsidR="00046488" w:rsidRPr="0026182E" w:rsidRDefault="00046488" w:rsidP="00046488">
            <w:pPr>
              <w:pStyle w:val="TableText"/>
              <w:jc w:val="right"/>
              <w:cnfStyle w:val="000000000000" w:firstRow="0" w:lastRow="0" w:firstColumn="0" w:lastColumn="0" w:oddVBand="0" w:evenVBand="0" w:oddHBand="0" w:evenHBand="0" w:firstRowFirstColumn="0" w:firstRowLastColumn="0" w:lastRowFirstColumn="0" w:lastRowLastColumn="0"/>
            </w:pPr>
            <w:r>
              <w:t>3</w:t>
            </w:r>
          </w:p>
        </w:tc>
        <w:tc>
          <w:tcPr>
            <w:tcW w:w="651" w:type="dxa"/>
          </w:tcPr>
          <w:p w14:paraId="2712724F" w14:textId="1EB48DC0" w:rsidR="00046488" w:rsidRPr="0026182E" w:rsidRDefault="00046488" w:rsidP="00046488">
            <w:pPr>
              <w:pStyle w:val="TableText"/>
              <w:cnfStyle w:val="000000000000" w:firstRow="0" w:lastRow="0" w:firstColumn="0" w:lastColumn="0" w:oddVBand="0" w:evenVBand="0" w:oddHBand="0" w:evenHBand="0" w:firstRowFirstColumn="0" w:firstRowLastColumn="0" w:lastRowFirstColumn="0" w:lastRowLastColumn="0"/>
            </w:pPr>
            <w:r>
              <w:t xml:space="preserve">1×1 </w:t>
            </w:r>
          </w:p>
        </w:tc>
        <w:tc>
          <w:tcPr>
            <w:tcW w:w="1308" w:type="dxa"/>
          </w:tcPr>
          <w:p w14:paraId="09B7FDC5" w14:textId="18E3E02A" w:rsidR="00046488" w:rsidRPr="0026182E" w:rsidRDefault="00046488" w:rsidP="00046488">
            <w:pPr>
              <w:pStyle w:val="TableText"/>
              <w:cnfStyle w:val="000000000000" w:firstRow="0" w:lastRow="0" w:firstColumn="0" w:lastColumn="0" w:oddVBand="0" w:evenVBand="0" w:oddHBand="0" w:evenHBand="0" w:firstRowFirstColumn="0" w:firstRowLastColumn="0" w:lastRowFirstColumn="0" w:lastRowLastColumn="0"/>
            </w:pPr>
            <w:r>
              <w:t>Transactional</w:t>
            </w:r>
          </w:p>
        </w:tc>
        <w:tc>
          <w:tcPr>
            <w:tcW w:w="618" w:type="dxa"/>
          </w:tcPr>
          <w:p w14:paraId="728F2377" w14:textId="56A3C2F5" w:rsidR="00046488" w:rsidRPr="0026182E" w:rsidRDefault="00046488" w:rsidP="00046488">
            <w:pPr>
              <w:pStyle w:val="TableText"/>
              <w:cnfStyle w:val="000000000000" w:firstRow="0" w:lastRow="0" w:firstColumn="0" w:lastColumn="0" w:oddVBand="0" w:evenVBand="0" w:oddHBand="0" w:evenHBand="0" w:firstRowFirstColumn="0" w:firstRowLastColumn="0" w:lastRowFirstColumn="0" w:lastRowLastColumn="0"/>
            </w:pPr>
            <w:r>
              <w:t>RFT</w:t>
            </w:r>
          </w:p>
        </w:tc>
        <w:tc>
          <w:tcPr>
            <w:tcW w:w="757" w:type="dxa"/>
          </w:tcPr>
          <w:p w14:paraId="78506F35" w14:textId="6CBE2DD8" w:rsidR="00046488" w:rsidRPr="0026182E" w:rsidRDefault="00046488" w:rsidP="00046488">
            <w:pPr>
              <w:pStyle w:val="TableText"/>
              <w:cnfStyle w:val="000000000000" w:firstRow="0" w:lastRow="0" w:firstColumn="0" w:lastColumn="0" w:oddVBand="0" w:evenVBand="0" w:oddHBand="0" w:evenHBand="0" w:firstRowFirstColumn="0" w:firstRowLastColumn="0" w:lastRowFirstColumn="0" w:lastRowLastColumn="0"/>
            </w:pPr>
            <w:r>
              <w:t>Open</w:t>
            </w:r>
          </w:p>
        </w:tc>
        <w:tc>
          <w:tcPr>
            <w:tcW w:w="620" w:type="dxa"/>
          </w:tcPr>
          <w:p w14:paraId="40C74282" w14:textId="0533116D" w:rsidR="00046488" w:rsidRPr="0026182E" w:rsidRDefault="00046488" w:rsidP="00046488">
            <w:pPr>
              <w:pStyle w:val="TableText"/>
              <w:jc w:val="right"/>
              <w:cnfStyle w:val="000000000000" w:firstRow="0" w:lastRow="0" w:firstColumn="0" w:lastColumn="0" w:oddVBand="0" w:evenVBand="0" w:oddHBand="0" w:evenHBand="0" w:firstRowFirstColumn="0" w:firstRowLastColumn="0" w:lastRowFirstColumn="0" w:lastRowLastColumn="0"/>
            </w:pPr>
            <w:r>
              <w:t>220+</w:t>
            </w:r>
          </w:p>
        </w:tc>
      </w:tr>
      <w:tr w:rsidR="00854DBF" w:rsidRPr="0026182E" w14:paraId="3E632E48" w14:textId="77777777" w:rsidTr="00546D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1" w:type="dxa"/>
            <w:vMerge/>
          </w:tcPr>
          <w:p w14:paraId="1EB516ED" w14:textId="77777777" w:rsidR="00046488" w:rsidRPr="0026182E" w:rsidRDefault="00046488" w:rsidP="00046488">
            <w:pPr>
              <w:pStyle w:val="TableText"/>
            </w:pPr>
          </w:p>
        </w:tc>
        <w:tc>
          <w:tcPr>
            <w:tcW w:w="533" w:type="dxa"/>
            <w:vMerge/>
          </w:tcPr>
          <w:p w14:paraId="243D3533" w14:textId="77777777" w:rsidR="00046488" w:rsidRPr="0026182E" w:rsidRDefault="00046488" w:rsidP="00046488">
            <w:pPr>
              <w:pStyle w:val="TableText"/>
              <w:jc w:val="right"/>
              <w:cnfStyle w:val="000000100000" w:firstRow="0" w:lastRow="0" w:firstColumn="0" w:lastColumn="0" w:oddVBand="0" w:evenVBand="0" w:oddHBand="1" w:evenHBand="0" w:firstRowFirstColumn="0" w:firstRowLastColumn="0" w:lastRowFirstColumn="0" w:lastRowLastColumn="0"/>
            </w:pPr>
          </w:p>
        </w:tc>
        <w:tc>
          <w:tcPr>
            <w:tcW w:w="1781" w:type="dxa"/>
          </w:tcPr>
          <w:p w14:paraId="5B2EBAB8" w14:textId="13302ECF" w:rsidR="00046488" w:rsidRPr="0026182E" w:rsidRDefault="00046488" w:rsidP="00046488">
            <w:pPr>
              <w:pStyle w:val="TableText"/>
              <w:cnfStyle w:val="000000100000" w:firstRow="0" w:lastRow="0" w:firstColumn="0" w:lastColumn="0" w:oddVBand="0" w:evenVBand="0" w:oddHBand="1" w:evenHBand="0" w:firstRowFirstColumn="0" w:firstRowLastColumn="0" w:lastRowFirstColumn="0" w:lastRowLastColumn="0"/>
            </w:pPr>
            <w:r>
              <w:t>Master Agency Media Services</w:t>
            </w:r>
          </w:p>
        </w:tc>
        <w:tc>
          <w:tcPr>
            <w:tcW w:w="962" w:type="dxa"/>
          </w:tcPr>
          <w:p w14:paraId="2ABE12D7" w14:textId="3A80751F" w:rsidR="00046488" w:rsidRPr="0026182E" w:rsidRDefault="00046488" w:rsidP="00046488">
            <w:pPr>
              <w:pStyle w:val="TableText"/>
              <w:jc w:val="right"/>
              <w:cnfStyle w:val="000000100000" w:firstRow="0" w:lastRow="0" w:firstColumn="0" w:lastColumn="0" w:oddVBand="0" w:evenVBand="0" w:oddHBand="1" w:evenHBand="0" w:firstRowFirstColumn="0" w:firstRowLastColumn="0" w:lastRowFirstColumn="0" w:lastRowLastColumn="0"/>
            </w:pPr>
            <w:r>
              <w:t>$462.0</w:t>
            </w:r>
          </w:p>
        </w:tc>
        <w:tc>
          <w:tcPr>
            <w:tcW w:w="697" w:type="dxa"/>
          </w:tcPr>
          <w:p w14:paraId="58E58E75" w14:textId="6D19E965" w:rsidR="00046488" w:rsidRPr="0026182E" w:rsidRDefault="00046488" w:rsidP="00046488">
            <w:pPr>
              <w:pStyle w:val="TableText"/>
              <w:jc w:val="right"/>
              <w:cnfStyle w:val="000000100000" w:firstRow="0" w:lastRow="0" w:firstColumn="0" w:lastColumn="0" w:oddVBand="0" w:evenVBand="0" w:oddHBand="1" w:evenHBand="0" w:firstRowFirstColumn="0" w:firstRowLastColumn="0" w:lastRowFirstColumn="0" w:lastRowLastColumn="0"/>
            </w:pPr>
            <w:r>
              <w:t>3</w:t>
            </w:r>
          </w:p>
        </w:tc>
        <w:tc>
          <w:tcPr>
            <w:tcW w:w="651" w:type="dxa"/>
          </w:tcPr>
          <w:p w14:paraId="7996FBDD" w14:textId="58A4C043" w:rsidR="00046488" w:rsidRPr="0026182E" w:rsidRDefault="00046488" w:rsidP="00046488">
            <w:pPr>
              <w:pStyle w:val="TableText"/>
              <w:cnfStyle w:val="000000100000" w:firstRow="0" w:lastRow="0" w:firstColumn="0" w:lastColumn="0" w:oddVBand="0" w:evenVBand="0" w:oddHBand="1" w:evenHBand="0" w:firstRowFirstColumn="0" w:firstRowLastColumn="0" w:lastRowFirstColumn="0" w:lastRowLastColumn="0"/>
            </w:pPr>
            <w:r>
              <w:t xml:space="preserve">2×1 </w:t>
            </w:r>
          </w:p>
        </w:tc>
        <w:tc>
          <w:tcPr>
            <w:tcW w:w="1308" w:type="dxa"/>
          </w:tcPr>
          <w:p w14:paraId="30493390" w14:textId="2BAEF138" w:rsidR="00046488" w:rsidRPr="0026182E" w:rsidRDefault="00046488" w:rsidP="00046488">
            <w:pPr>
              <w:pStyle w:val="TableText"/>
              <w:cnfStyle w:val="000000100000" w:firstRow="0" w:lastRow="0" w:firstColumn="0" w:lastColumn="0" w:oddVBand="0" w:evenVBand="0" w:oddHBand="1" w:evenHBand="0" w:firstRowFirstColumn="0" w:firstRowLastColumn="0" w:lastRowFirstColumn="0" w:lastRowLastColumn="0"/>
            </w:pPr>
            <w:r>
              <w:t>Strategic</w:t>
            </w:r>
          </w:p>
        </w:tc>
        <w:tc>
          <w:tcPr>
            <w:tcW w:w="618" w:type="dxa"/>
          </w:tcPr>
          <w:p w14:paraId="034BF2E8" w14:textId="2DE17E8B" w:rsidR="00046488" w:rsidRPr="0026182E" w:rsidRDefault="00046488" w:rsidP="00046488">
            <w:pPr>
              <w:pStyle w:val="TableText"/>
              <w:cnfStyle w:val="000000100000" w:firstRow="0" w:lastRow="0" w:firstColumn="0" w:lastColumn="0" w:oddVBand="0" w:evenVBand="0" w:oddHBand="1" w:evenHBand="0" w:firstRowFirstColumn="0" w:firstRowLastColumn="0" w:lastRowFirstColumn="0" w:lastRowLastColumn="0"/>
            </w:pPr>
            <w:r>
              <w:t>RFT</w:t>
            </w:r>
          </w:p>
        </w:tc>
        <w:tc>
          <w:tcPr>
            <w:tcW w:w="757" w:type="dxa"/>
          </w:tcPr>
          <w:p w14:paraId="13B26EB9" w14:textId="12C10BFE" w:rsidR="00046488" w:rsidRPr="0026182E" w:rsidRDefault="00046488" w:rsidP="00046488">
            <w:pPr>
              <w:pStyle w:val="TableText"/>
              <w:cnfStyle w:val="000000100000" w:firstRow="0" w:lastRow="0" w:firstColumn="0" w:lastColumn="0" w:oddVBand="0" w:evenVBand="0" w:oddHBand="1" w:evenHBand="0" w:firstRowFirstColumn="0" w:firstRowLastColumn="0" w:lastRowFirstColumn="0" w:lastRowLastColumn="0"/>
            </w:pPr>
            <w:r>
              <w:t>Closed</w:t>
            </w:r>
          </w:p>
        </w:tc>
        <w:tc>
          <w:tcPr>
            <w:tcW w:w="620" w:type="dxa"/>
          </w:tcPr>
          <w:p w14:paraId="3F4E6AC7" w14:textId="747044A0" w:rsidR="00046488" w:rsidRPr="0026182E" w:rsidRDefault="00046488" w:rsidP="00046488">
            <w:pPr>
              <w:pStyle w:val="TableText"/>
              <w:jc w:val="right"/>
              <w:cnfStyle w:val="000000100000" w:firstRow="0" w:lastRow="0" w:firstColumn="0" w:lastColumn="0" w:oddVBand="0" w:evenVBand="0" w:oddHBand="1" w:evenHBand="0" w:firstRowFirstColumn="0" w:firstRowLastColumn="0" w:lastRowFirstColumn="0" w:lastRowLastColumn="0"/>
            </w:pPr>
            <w:r>
              <w:t>1</w:t>
            </w:r>
          </w:p>
        </w:tc>
      </w:tr>
      <w:tr w:rsidR="00854DBF" w:rsidRPr="006F650E" w14:paraId="74F4F5E6" w14:textId="77777777" w:rsidTr="00546DF9">
        <w:tc>
          <w:tcPr>
            <w:cnfStyle w:val="001000000000" w:firstRow="0" w:lastRow="0" w:firstColumn="1" w:lastColumn="0" w:oddVBand="0" w:evenVBand="0" w:oddHBand="0" w:evenHBand="0" w:firstRowFirstColumn="0" w:firstRowLastColumn="0" w:lastRowFirstColumn="0" w:lastRowLastColumn="0"/>
            <w:tcW w:w="1231" w:type="dxa"/>
          </w:tcPr>
          <w:p w14:paraId="0395B1CB" w14:textId="58501C0F" w:rsidR="0026182E" w:rsidRPr="009203AF" w:rsidRDefault="0026182E" w:rsidP="0026182E">
            <w:pPr>
              <w:pStyle w:val="TableText"/>
              <w:rPr>
                <w:b w:val="0"/>
              </w:rPr>
            </w:pPr>
            <w:r w:rsidRPr="009203AF">
              <w:rPr>
                <w:b w:val="0"/>
              </w:rPr>
              <w:t>Total</w:t>
            </w:r>
          </w:p>
        </w:tc>
        <w:tc>
          <w:tcPr>
            <w:tcW w:w="533" w:type="dxa"/>
          </w:tcPr>
          <w:p w14:paraId="20D26F99" w14:textId="1CB2DFB0" w:rsidR="0026182E" w:rsidRPr="009203AF" w:rsidRDefault="00046488" w:rsidP="00343445">
            <w:pPr>
              <w:pStyle w:val="TableText"/>
              <w:jc w:val="right"/>
              <w:cnfStyle w:val="000000000000" w:firstRow="0" w:lastRow="0" w:firstColumn="0" w:lastColumn="0" w:oddVBand="0" w:evenVBand="0" w:oddHBand="0" w:evenHBand="0" w:firstRowFirstColumn="0" w:firstRowLastColumn="0" w:lastRowFirstColumn="0" w:lastRowLastColumn="0"/>
              <w:rPr>
                <w:b/>
              </w:rPr>
            </w:pPr>
            <w:r>
              <w:rPr>
                <w:b/>
              </w:rPr>
              <w:t>9</w:t>
            </w:r>
          </w:p>
        </w:tc>
        <w:tc>
          <w:tcPr>
            <w:tcW w:w="1781" w:type="dxa"/>
          </w:tcPr>
          <w:p w14:paraId="440FF28F" w14:textId="77777777" w:rsidR="0026182E" w:rsidRPr="009203AF" w:rsidRDefault="0026182E" w:rsidP="0026182E">
            <w:pPr>
              <w:pStyle w:val="TableText"/>
              <w:cnfStyle w:val="000000000000" w:firstRow="0" w:lastRow="0" w:firstColumn="0" w:lastColumn="0" w:oddVBand="0" w:evenVBand="0" w:oddHBand="0" w:evenHBand="0" w:firstRowFirstColumn="0" w:firstRowLastColumn="0" w:lastRowFirstColumn="0" w:lastRowLastColumn="0"/>
              <w:rPr>
                <w:b/>
              </w:rPr>
            </w:pPr>
          </w:p>
        </w:tc>
        <w:tc>
          <w:tcPr>
            <w:tcW w:w="962" w:type="dxa"/>
          </w:tcPr>
          <w:p w14:paraId="32D937B5" w14:textId="2A4B7745" w:rsidR="0026182E" w:rsidRPr="009203AF" w:rsidRDefault="00046488" w:rsidP="00343445">
            <w:pPr>
              <w:pStyle w:val="TableText"/>
              <w:jc w:val="right"/>
              <w:cnfStyle w:val="000000000000" w:firstRow="0" w:lastRow="0" w:firstColumn="0" w:lastColumn="0" w:oddVBand="0" w:evenVBand="0" w:oddHBand="0" w:evenHBand="0" w:firstRowFirstColumn="0" w:firstRowLastColumn="0" w:lastRowFirstColumn="0" w:lastRowLastColumn="0"/>
              <w:rPr>
                <w:b/>
              </w:rPr>
            </w:pPr>
            <w:r>
              <w:rPr>
                <w:b/>
              </w:rPr>
              <w:t>$1 241.2</w:t>
            </w:r>
          </w:p>
        </w:tc>
        <w:tc>
          <w:tcPr>
            <w:tcW w:w="697" w:type="dxa"/>
          </w:tcPr>
          <w:p w14:paraId="523AF9D6" w14:textId="77777777" w:rsidR="0026182E" w:rsidRPr="009203AF" w:rsidRDefault="0026182E" w:rsidP="00343445">
            <w:pPr>
              <w:pStyle w:val="TableText"/>
              <w:jc w:val="right"/>
              <w:cnfStyle w:val="000000000000" w:firstRow="0" w:lastRow="0" w:firstColumn="0" w:lastColumn="0" w:oddVBand="0" w:evenVBand="0" w:oddHBand="0" w:evenHBand="0" w:firstRowFirstColumn="0" w:firstRowLastColumn="0" w:lastRowFirstColumn="0" w:lastRowLastColumn="0"/>
              <w:rPr>
                <w:b/>
              </w:rPr>
            </w:pPr>
          </w:p>
        </w:tc>
        <w:tc>
          <w:tcPr>
            <w:tcW w:w="651" w:type="dxa"/>
          </w:tcPr>
          <w:p w14:paraId="3B8F73D7" w14:textId="77777777" w:rsidR="0026182E" w:rsidRPr="009203AF" w:rsidRDefault="0026182E" w:rsidP="0026182E">
            <w:pPr>
              <w:pStyle w:val="TableText"/>
              <w:cnfStyle w:val="000000000000" w:firstRow="0" w:lastRow="0" w:firstColumn="0" w:lastColumn="0" w:oddVBand="0" w:evenVBand="0" w:oddHBand="0" w:evenHBand="0" w:firstRowFirstColumn="0" w:firstRowLastColumn="0" w:lastRowFirstColumn="0" w:lastRowLastColumn="0"/>
              <w:rPr>
                <w:b/>
              </w:rPr>
            </w:pPr>
          </w:p>
        </w:tc>
        <w:tc>
          <w:tcPr>
            <w:tcW w:w="1308" w:type="dxa"/>
          </w:tcPr>
          <w:p w14:paraId="095BC491" w14:textId="77777777" w:rsidR="0026182E" w:rsidRPr="009203AF" w:rsidRDefault="0026182E" w:rsidP="0026182E">
            <w:pPr>
              <w:pStyle w:val="TableText"/>
              <w:cnfStyle w:val="000000000000" w:firstRow="0" w:lastRow="0" w:firstColumn="0" w:lastColumn="0" w:oddVBand="0" w:evenVBand="0" w:oddHBand="0" w:evenHBand="0" w:firstRowFirstColumn="0" w:firstRowLastColumn="0" w:lastRowFirstColumn="0" w:lastRowLastColumn="0"/>
              <w:rPr>
                <w:b/>
              </w:rPr>
            </w:pPr>
          </w:p>
        </w:tc>
        <w:tc>
          <w:tcPr>
            <w:tcW w:w="618" w:type="dxa"/>
          </w:tcPr>
          <w:p w14:paraId="2090B0C4" w14:textId="77777777" w:rsidR="0026182E" w:rsidRPr="009203AF" w:rsidRDefault="0026182E" w:rsidP="0026182E">
            <w:pPr>
              <w:pStyle w:val="TableText"/>
              <w:cnfStyle w:val="000000000000" w:firstRow="0" w:lastRow="0" w:firstColumn="0" w:lastColumn="0" w:oddVBand="0" w:evenVBand="0" w:oddHBand="0" w:evenHBand="0" w:firstRowFirstColumn="0" w:firstRowLastColumn="0" w:lastRowFirstColumn="0" w:lastRowLastColumn="0"/>
              <w:rPr>
                <w:b/>
              </w:rPr>
            </w:pPr>
          </w:p>
        </w:tc>
        <w:tc>
          <w:tcPr>
            <w:tcW w:w="757" w:type="dxa"/>
          </w:tcPr>
          <w:p w14:paraId="69DA0A9E" w14:textId="77777777" w:rsidR="0026182E" w:rsidRPr="009203AF" w:rsidRDefault="0026182E" w:rsidP="0026182E">
            <w:pPr>
              <w:pStyle w:val="TableText"/>
              <w:cnfStyle w:val="000000000000" w:firstRow="0" w:lastRow="0" w:firstColumn="0" w:lastColumn="0" w:oddVBand="0" w:evenVBand="0" w:oddHBand="0" w:evenHBand="0" w:firstRowFirstColumn="0" w:firstRowLastColumn="0" w:lastRowFirstColumn="0" w:lastRowLastColumn="0"/>
              <w:rPr>
                <w:b/>
              </w:rPr>
            </w:pPr>
          </w:p>
        </w:tc>
        <w:tc>
          <w:tcPr>
            <w:tcW w:w="620" w:type="dxa"/>
          </w:tcPr>
          <w:p w14:paraId="6CD6512C" w14:textId="77777777" w:rsidR="0026182E" w:rsidRPr="009203AF" w:rsidRDefault="0026182E" w:rsidP="00343445">
            <w:pPr>
              <w:pStyle w:val="TableText"/>
              <w:jc w:val="right"/>
              <w:cnfStyle w:val="000000000000" w:firstRow="0" w:lastRow="0" w:firstColumn="0" w:lastColumn="0" w:oddVBand="0" w:evenVBand="0" w:oddHBand="0" w:evenHBand="0" w:firstRowFirstColumn="0" w:firstRowLastColumn="0" w:lastRowFirstColumn="0" w:lastRowLastColumn="0"/>
              <w:rPr>
                <w:b/>
              </w:rPr>
            </w:pPr>
          </w:p>
        </w:tc>
      </w:tr>
    </w:tbl>
    <w:p w14:paraId="63A5FA6C" w14:textId="434BD54E" w:rsidR="005A30DA" w:rsidRDefault="006F650E" w:rsidP="00420659">
      <w:pPr>
        <w:pStyle w:val="Tablenote"/>
      </w:pPr>
      <w:r>
        <w:t xml:space="preserve">RFQ = Request for </w:t>
      </w:r>
      <w:r w:rsidR="003E0CE6">
        <w:t>q</w:t>
      </w:r>
      <w:r>
        <w:t>uotation</w:t>
      </w:r>
      <w:r w:rsidR="00FB0AF9">
        <w:t>;</w:t>
      </w:r>
      <w:r>
        <w:t xml:space="preserve"> RFT = Request for tender</w:t>
      </w:r>
    </w:p>
    <w:p w14:paraId="17B94C90" w14:textId="65560646" w:rsidR="00FB0AF9" w:rsidRDefault="00FB0AF9" w:rsidP="00FB0AF9">
      <w:pPr>
        <w:pStyle w:val="Tablenotes"/>
        <w:ind w:left="993"/>
      </w:pPr>
      <w:r>
        <w:t>Notes:</w:t>
      </w:r>
    </w:p>
    <w:p w14:paraId="55A27DC6" w14:textId="3FE1E683" w:rsidR="00420659" w:rsidRPr="00FB0AF9" w:rsidRDefault="00FB0AF9" w:rsidP="00FB0AF9">
      <w:pPr>
        <w:pStyle w:val="Tablenotes"/>
        <w:ind w:left="993"/>
      </w:pPr>
      <w:r>
        <w:t>(</w:t>
      </w:r>
      <w:r w:rsidR="00420659" w:rsidRPr="00FB0AF9">
        <w:t>a</w:t>
      </w:r>
      <w:r>
        <w:t>)</w:t>
      </w:r>
      <w:r w:rsidR="00420659" w:rsidRPr="00FB0AF9">
        <w:t xml:space="preserve"> </w:t>
      </w:r>
      <w:r w:rsidRPr="00FB0AF9">
        <w:tab/>
      </w:r>
      <w:r w:rsidR="00C653F1" w:rsidRPr="00FB0AF9">
        <w:t>VMWare global business model requires all licence purchases to be made via an approved</w:t>
      </w:r>
      <w:r w:rsidR="00154021">
        <w:t xml:space="preserve"> </w:t>
      </w:r>
      <w:r w:rsidR="00C653F1" w:rsidRPr="00FB0AF9">
        <w:t>reseller. Data#3 is the Victorian Government</w:t>
      </w:r>
      <w:r w:rsidR="00141959" w:rsidRPr="00FB0AF9">
        <w:t>’</w:t>
      </w:r>
      <w:r w:rsidR="00C653F1" w:rsidRPr="00FB0AF9">
        <w:t>s chosen VMWare reseller and</w:t>
      </w:r>
      <w:r w:rsidR="00141959" w:rsidRPr="00FB0AF9">
        <w:t xml:space="preserve"> </w:t>
      </w:r>
      <w:r w:rsidR="00C653F1" w:rsidRPr="00FB0AF9">
        <w:t>act</w:t>
      </w:r>
      <w:r w:rsidR="00154021">
        <w:t>s</w:t>
      </w:r>
      <w:r w:rsidR="00C653F1" w:rsidRPr="00FB0AF9">
        <w:t xml:space="preserve"> as an intermediary only, hence no cost</w:t>
      </w:r>
      <w:r w:rsidR="00141959" w:rsidRPr="00FB0AF9">
        <w:t xml:space="preserve"> reported</w:t>
      </w:r>
      <w:r w:rsidR="00C653F1" w:rsidRPr="00FB0AF9">
        <w:t>.</w:t>
      </w:r>
    </w:p>
    <w:p w14:paraId="72134186" w14:textId="39122B02" w:rsidR="00420659" w:rsidRDefault="00FB0AF9" w:rsidP="00FB0AF9">
      <w:pPr>
        <w:pStyle w:val="Tablenotes"/>
        <w:ind w:left="993"/>
      </w:pPr>
      <w:r>
        <w:t>(</w:t>
      </w:r>
      <w:r w:rsidR="00420659" w:rsidRPr="00FB0AF9">
        <w:t>b</w:t>
      </w:r>
      <w:r>
        <w:t>)</w:t>
      </w:r>
      <w:r w:rsidR="00420659" w:rsidRPr="00FB0AF9">
        <w:t xml:space="preserve"> </w:t>
      </w:r>
      <w:r w:rsidRPr="00FB0AF9">
        <w:tab/>
      </w:r>
      <w:r w:rsidR="00420659" w:rsidRPr="00FB0AF9">
        <w:t>These are software add-ons to the existing eServices register</w:t>
      </w:r>
      <w:r w:rsidR="003A18E6" w:rsidRPr="00FB0AF9">
        <w:t xml:space="preserve"> valued together at </w:t>
      </w:r>
      <w:r w:rsidR="00E65F21">
        <w:t>about</w:t>
      </w:r>
      <w:r w:rsidR="003A18E6" w:rsidRPr="00FB0AF9">
        <w:t xml:space="preserve"> $55 000.</w:t>
      </w:r>
    </w:p>
    <w:p w14:paraId="263F896B" w14:textId="0791DF27" w:rsidR="003949F6" w:rsidRDefault="003949F6" w:rsidP="00FB0AF9">
      <w:pPr>
        <w:pStyle w:val="Tablenotes"/>
        <w:ind w:left="993"/>
      </w:pPr>
    </w:p>
    <w:p w14:paraId="7B45C061" w14:textId="2924ADDE" w:rsidR="00EC60B3" w:rsidRDefault="00EC60B3" w:rsidP="00115057">
      <w:pPr>
        <w:pStyle w:val="Normal1"/>
        <w:rPr>
          <w:rStyle w:val="textboxChar"/>
          <w:sz w:val="22"/>
          <w:szCs w:val="22"/>
        </w:rPr>
      </w:pPr>
      <w:r>
        <w:rPr>
          <w:rStyle w:val="textboxChar"/>
          <w:sz w:val="22"/>
          <w:szCs w:val="22"/>
        </w:rPr>
        <w:t>-------------------------</w:t>
      </w:r>
    </w:p>
    <w:p w14:paraId="022A9FBB" w14:textId="33EF380B" w:rsidR="00441A0F" w:rsidRPr="00EC60B3" w:rsidRDefault="00EC60B3" w:rsidP="00EC60B3">
      <w:pPr>
        <w:pStyle w:val="Heading4NoNum"/>
      </w:pPr>
      <w:r w:rsidRPr="00EC60B3">
        <w:rPr>
          <w:rStyle w:val="textboxChar"/>
          <w:sz w:val="22"/>
          <w:szCs w:val="22"/>
        </w:rPr>
        <w:t xml:space="preserve">Case study: </w:t>
      </w:r>
      <w:r w:rsidR="00441A0F" w:rsidRPr="00EC60B3">
        <w:rPr>
          <w:rStyle w:val="textboxChar"/>
          <w:sz w:val="22"/>
          <w:szCs w:val="22"/>
        </w:rPr>
        <w:t>Buying eServices in government</w:t>
      </w:r>
    </w:p>
    <w:p w14:paraId="312A22E1" w14:textId="26CD5154" w:rsidR="00EC60B3" w:rsidRPr="00EC60B3" w:rsidRDefault="00EC60B3" w:rsidP="00EC60B3">
      <w:pPr>
        <w:pStyle w:val="Normal1"/>
        <w:rPr>
          <w:rStyle w:val="textboxChar"/>
          <w:sz w:val="22"/>
          <w:szCs w:val="22"/>
        </w:rPr>
      </w:pPr>
      <w:r w:rsidRPr="00EC60B3">
        <w:rPr>
          <w:rStyle w:val="textboxChar"/>
          <w:sz w:val="22"/>
          <w:szCs w:val="22"/>
        </w:rPr>
        <w:t>The Department of Premier and Cabinet has continued to improve the eServices (VendorPanel) platform, adding the following functions to the system in 2017–18:</w:t>
      </w:r>
    </w:p>
    <w:p w14:paraId="3888E1FD" w14:textId="77777777" w:rsidR="00EC60B3" w:rsidRPr="00EC60B3" w:rsidRDefault="00EC60B3" w:rsidP="00EC60B3">
      <w:pPr>
        <w:pStyle w:val="Bullet1"/>
        <w:rPr>
          <w:rStyle w:val="textboxChar"/>
          <w:sz w:val="22"/>
          <w:szCs w:val="22"/>
        </w:rPr>
      </w:pPr>
      <w:r w:rsidRPr="00EC60B3">
        <w:rPr>
          <w:rStyle w:val="textboxChar"/>
          <w:sz w:val="22"/>
          <w:szCs w:val="22"/>
        </w:rPr>
        <w:t>The supplier selection search function allows buyers to sort suppliers by category, giving them better category matching.</w:t>
      </w:r>
    </w:p>
    <w:p w14:paraId="76526EFD" w14:textId="77777777" w:rsidR="00EC60B3" w:rsidRPr="00EC60B3" w:rsidRDefault="00EC60B3" w:rsidP="00EC60B3">
      <w:pPr>
        <w:pStyle w:val="Bullet1"/>
        <w:rPr>
          <w:rStyle w:val="textboxChar"/>
          <w:sz w:val="22"/>
          <w:szCs w:val="22"/>
        </w:rPr>
      </w:pPr>
      <w:r w:rsidRPr="00EC60B3">
        <w:rPr>
          <w:rStyle w:val="textboxChar"/>
          <w:sz w:val="22"/>
          <w:szCs w:val="22"/>
        </w:rPr>
        <w:t>The multiparty evaluation module allows multiple panel members to participate in evaluating responses.</w:t>
      </w:r>
    </w:p>
    <w:p w14:paraId="7E91568C" w14:textId="77777777" w:rsidR="00EC60B3" w:rsidRDefault="00EC60B3" w:rsidP="000069D2">
      <w:pPr>
        <w:pStyle w:val="Normal1"/>
      </w:pPr>
      <w:r>
        <w:t>In 2017–18, 678 ICT requests were sent out to the market, and the number of registered suppliers increased from 700 to 1 000.</w:t>
      </w:r>
    </w:p>
    <w:p w14:paraId="61049CFF" w14:textId="68A1898B" w:rsidR="006F1BB3" w:rsidRPr="00CD6245" w:rsidRDefault="00E17EAF" w:rsidP="00C5781E">
      <w:pPr>
        <w:pStyle w:val="Heading2NoNum"/>
      </w:pPr>
      <w:bookmarkStart w:id="106" w:name="_Toc524354072"/>
      <w:r w:rsidRPr="00CD6245">
        <w:lastRenderedPageBreak/>
        <w:t>Sole entity purchase contracts</w:t>
      </w:r>
      <w:bookmarkEnd w:id="106"/>
    </w:p>
    <w:p w14:paraId="78F48C0E" w14:textId="62365AFA" w:rsidR="00CC4D00" w:rsidRDefault="00D438A1" w:rsidP="00CC4D00">
      <w:pPr>
        <w:pStyle w:val="Normal1"/>
        <w:rPr>
          <w:lang w:eastAsia="en-US"/>
        </w:rPr>
      </w:pPr>
      <w:r>
        <w:rPr>
          <w:lang w:eastAsia="en-US"/>
        </w:rPr>
        <w:t xml:space="preserve">Sole entity purchase contracts (SEPCs) are similar to SPCs but apply to one organisation. </w:t>
      </w:r>
      <w:r w:rsidR="00414AE0" w:rsidRPr="00CD6245">
        <w:rPr>
          <w:lang w:eastAsia="en-US"/>
        </w:rPr>
        <w:t xml:space="preserve">In </w:t>
      </w:r>
      <w:r w:rsidR="005B2F15">
        <w:rPr>
          <w:lang w:eastAsia="en-US"/>
        </w:rPr>
        <w:br/>
      </w:r>
      <w:r w:rsidR="00FA0FB5">
        <w:rPr>
          <w:lang w:eastAsia="en-US"/>
        </w:rPr>
        <w:t>201</w:t>
      </w:r>
      <w:r w:rsidR="00E44B42">
        <w:rPr>
          <w:lang w:eastAsia="en-US"/>
        </w:rPr>
        <w:t>7–18</w:t>
      </w:r>
      <w:r w:rsidR="00823ABA" w:rsidRPr="00CD6245">
        <w:rPr>
          <w:lang w:eastAsia="en-US"/>
        </w:rPr>
        <w:t>,</w:t>
      </w:r>
      <w:r w:rsidR="006F1BB3" w:rsidRPr="00CD6245">
        <w:rPr>
          <w:lang w:eastAsia="en-US"/>
        </w:rPr>
        <w:t xml:space="preserve"> </w:t>
      </w:r>
      <w:r w:rsidR="00D8136C">
        <w:rPr>
          <w:lang w:eastAsia="en-US"/>
        </w:rPr>
        <w:t>four</w:t>
      </w:r>
      <w:r w:rsidR="005A30DA">
        <w:rPr>
          <w:lang w:eastAsia="en-US"/>
        </w:rPr>
        <w:t xml:space="preserve"> </w:t>
      </w:r>
      <w:r w:rsidR="00FD0317" w:rsidRPr="00CD6245">
        <w:rPr>
          <w:lang w:eastAsia="en-US"/>
        </w:rPr>
        <w:t>organisation</w:t>
      </w:r>
      <w:r w:rsidR="0037283A" w:rsidRPr="00CD6245">
        <w:rPr>
          <w:lang w:eastAsia="en-US"/>
        </w:rPr>
        <w:t xml:space="preserve">s reported </w:t>
      </w:r>
      <w:r w:rsidR="00D8136C" w:rsidRPr="008F27CC">
        <w:rPr>
          <w:lang w:eastAsia="en-US"/>
        </w:rPr>
        <w:t>36</w:t>
      </w:r>
      <w:r w:rsidR="0037283A" w:rsidRPr="008F27CC">
        <w:t xml:space="preserve"> SEPC </w:t>
      </w:r>
      <w:r w:rsidR="00B552A7" w:rsidRPr="008F27CC">
        <w:t>approvals</w:t>
      </w:r>
      <w:r w:rsidR="00B552A7" w:rsidRPr="008F27CC">
        <w:rPr>
          <w:lang w:eastAsia="en-US"/>
        </w:rPr>
        <w:t xml:space="preserve"> </w:t>
      </w:r>
      <w:r w:rsidR="00D07300" w:rsidRPr="008F27CC">
        <w:t xml:space="preserve">valued at </w:t>
      </w:r>
      <w:r w:rsidR="006C31FE" w:rsidRPr="008F27CC">
        <w:t>$</w:t>
      </w:r>
      <w:r w:rsidR="00D8136C" w:rsidRPr="008F27CC">
        <w:t>25</w:t>
      </w:r>
      <w:r w:rsidR="00FF3947" w:rsidRPr="008F27CC">
        <w:t>4</w:t>
      </w:r>
      <w:r w:rsidR="00A64D8F">
        <w:t> </w:t>
      </w:r>
      <w:r w:rsidR="00D07300" w:rsidRPr="008F27CC">
        <w:t>million</w:t>
      </w:r>
      <w:r w:rsidR="00D250C9" w:rsidRPr="008F27CC">
        <w:t>,</w:t>
      </w:r>
      <w:r w:rsidR="005A30DA" w:rsidRPr="008F27CC">
        <w:t xml:space="preserve"> </w:t>
      </w:r>
      <w:r w:rsidR="00BC2531" w:rsidRPr="008F27CC">
        <w:t>a</w:t>
      </w:r>
      <w:r w:rsidR="00BC2531">
        <w:t xml:space="preserve">s </w:t>
      </w:r>
      <w:r w:rsidR="005A30DA">
        <w:t>listed in</w:t>
      </w:r>
      <w:r w:rsidR="00CC4D00">
        <w:t xml:space="preserve"> </w:t>
      </w:r>
      <w:r w:rsidR="00BE29E6">
        <w:br/>
      </w:r>
      <w:r w:rsidR="00CC4D00">
        <w:fldChar w:fldCharType="begin"/>
      </w:r>
      <w:r w:rsidR="00CC4D00">
        <w:instrText xml:space="preserve"> REF _Ref489363876 \h </w:instrText>
      </w:r>
      <w:r w:rsidR="00CC4D00">
        <w:fldChar w:fldCharType="separate"/>
      </w:r>
      <w:r w:rsidR="00A07703" w:rsidRPr="00CD6245">
        <w:t xml:space="preserve">Table </w:t>
      </w:r>
      <w:r w:rsidR="00A07703">
        <w:rPr>
          <w:noProof/>
        </w:rPr>
        <w:t>16</w:t>
      </w:r>
      <w:r w:rsidR="00CC4D00">
        <w:fldChar w:fldCharType="end"/>
      </w:r>
      <w:r w:rsidR="00CC4D00">
        <w:t>.</w:t>
      </w:r>
    </w:p>
    <w:p w14:paraId="2CD6C0D3" w14:textId="08CBEBD5" w:rsidR="005A30DA" w:rsidRPr="00CD6245" w:rsidRDefault="00D250C9" w:rsidP="00E41631">
      <w:pPr>
        <w:pStyle w:val="Normal1"/>
      </w:pPr>
      <w:r>
        <w:t>R</w:t>
      </w:r>
      <w:r w:rsidRPr="008F27CC">
        <w:t>oughly half were for goods (</w:t>
      </w:r>
      <w:r w:rsidR="00FF3947" w:rsidRPr="008F27CC">
        <w:t>44</w:t>
      </w:r>
      <w:r w:rsidR="00A64D8F">
        <w:t> </w:t>
      </w:r>
      <w:r w:rsidR="00FB362C" w:rsidRPr="008F27CC">
        <w:t>per</w:t>
      </w:r>
      <w:r w:rsidRPr="008F27CC">
        <w:t xml:space="preserve"> cent) and half for services (</w:t>
      </w:r>
      <w:r w:rsidR="00FF3947" w:rsidRPr="008F27CC">
        <w:t>5</w:t>
      </w:r>
      <w:r w:rsidR="008F27CC">
        <w:t>6</w:t>
      </w:r>
      <w:r w:rsidR="00A64D8F">
        <w:t> </w:t>
      </w:r>
      <w:r w:rsidR="00FB362C" w:rsidRPr="008F27CC">
        <w:t>per cent), although the</w:t>
      </w:r>
      <w:r w:rsidR="009D1EAB" w:rsidRPr="008F27CC">
        <w:t xml:space="preserve"> share of the</w:t>
      </w:r>
      <w:r w:rsidR="00FB362C" w:rsidRPr="008F27CC">
        <w:t xml:space="preserve"> total value of good</w:t>
      </w:r>
      <w:r w:rsidR="00191FB9" w:rsidRPr="008F27CC">
        <w:t>s</w:t>
      </w:r>
      <w:r w:rsidR="00FB362C" w:rsidRPr="008F27CC">
        <w:t xml:space="preserve"> was much lower (</w:t>
      </w:r>
      <w:r w:rsidR="008F27CC">
        <w:t>8</w:t>
      </w:r>
      <w:r w:rsidR="00A64D8F">
        <w:t xml:space="preserve"> </w:t>
      </w:r>
      <w:r w:rsidR="00FB362C" w:rsidRPr="008F27CC">
        <w:t xml:space="preserve">per cent) </w:t>
      </w:r>
      <w:r w:rsidRPr="008F27CC">
        <w:t>than</w:t>
      </w:r>
      <w:r w:rsidR="00FB362C" w:rsidRPr="008F27CC">
        <w:t xml:space="preserve"> services (</w:t>
      </w:r>
      <w:r w:rsidR="00FF3947" w:rsidRPr="008F27CC">
        <w:t>92</w:t>
      </w:r>
      <w:r w:rsidR="00FB362C" w:rsidRPr="008F27CC">
        <w:t xml:space="preserve"> per ce</w:t>
      </w:r>
      <w:r w:rsidR="00FB362C">
        <w:t>nt).</w:t>
      </w:r>
    </w:p>
    <w:p w14:paraId="0907C924" w14:textId="58651B72" w:rsidR="006F1BB3" w:rsidRDefault="005A30DA" w:rsidP="00E41631">
      <w:pPr>
        <w:pStyle w:val="Normal1"/>
      </w:pPr>
      <w:r w:rsidRPr="00CD6245">
        <w:t xml:space="preserve">This compares to </w:t>
      </w:r>
      <w:r w:rsidR="00E44B42">
        <w:t>45</w:t>
      </w:r>
      <w:r w:rsidRPr="00CD6245">
        <w:t xml:space="preserve"> SEPCs approvals in </w:t>
      </w:r>
      <w:r>
        <w:t>2016</w:t>
      </w:r>
      <w:r w:rsidR="00E44B42">
        <w:t>–17</w:t>
      </w:r>
      <w:r w:rsidRPr="00CD6245">
        <w:t xml:space="preserve"> valued at $</w:t>
      </w:r>
      <w:r w:rsidR="00E44B42">
        <w:t>537</w:t>
      </w:r>
      <w:r>
        <w:t xml:space="preserve"> </w:t>
      </w:r>
      <w:r w:rsidRPr="00CD6245">
        <w:t>million</w:t>
      </w:r>
      <w:r w:rsidR="00C4058F">
        <w:t>,</w:t>
      </w:r>
      <w:r w:rsidRPr="00CD6245">
        <w:t xml:space="preserve"> of which </w:t>
      </w:r>
      <w:r w:rsidR="00E44B42">
        <w:t xml:space="preserve">47 </w:t>
      </w:r>
      <w:r w:rsidRPr="00CD6245">
        <w:t xml:space="preserve">per cent were for goods and </w:t>
      </w:r>
      <w:r w:rsidR="00E44B42">
        <w:t>53</w:t>
      </w:r>
      <w:r w:rsidR="00C10B55">
        <w:t xml:space="preserve"> per cent for services, with goods </w:t>
      </w:r>
      <w:r w:rsidR="009D1EAB">
        <w:t>accounting for</w:t>
      </w:r>
      <w:r w:rsidR="00C10B55">
        <w:t xml:space="preserve"> </w:t>
      </w:r>
      <w:r w:rsidR="00E44B42">
        <w:t>8</w:t>
      </w:r>
      <w:r w:rsidR="00C10B55">
        <w:t xml:space="preserve"> per cent </w:t>
      </w:r>
      <w:r w:rsidR="00E44B42">
        <w:t xml:space="preserve">of the total value </w:t>
      </w:r>
      <w:r w:rsidR="00C10B55">
        <w:t xml:space="preserve">and services </w:t>
      </w:r>
      <w:r w:rsidR="009D1EAB">
        <w:t>for</w:t>
      </w:r>
      <w:r w:rsidR="00C10B55">
        <w:t xml:space="preserve"> </w:t>
      </w:r>
      <w:r w:rsidR="00E44B42">
        <w:t>92</w:t>
      </w:r>
      <w:r w:rsidR="00C10B55">
        <w:t xml:space="preserve"> per cent.</w:t>
      </w:r>
    </w:p>
    <w:p w14:paraId="1F157D83" w14:textId="171BAD5E" w:rsidR="00D250C9" w:rsidRDefault="00CA76D2" w:rsidP="00E41631">
      <w:pPr>
        <w:pStyle w:val="Normal1"/>
      </w:pPr>
      <w:r w:rsidRPr="00EE19D2">
        <w:t>A breakdown of SEPC contracts approved in 201</w:t>
      </w:r>
      <w:r w:rsidR="00E44B42">
        <w:t>7–18</w:t>
      </w:r>
      <w:r w:rsidRPr="00EE19D2">
        <w:t xml:space="preserve"> </w:t>
      </w:r>
      <w:r w:rsidR="009D1EAB">
        <w:t>is provided in</w:t>
      </w:r>
      <w:r w:rsidR="00D250C9" w:rsidRPr="00EE19D2">
        <w:t xml:space="preserve"> </w:t>
      </w:r>
      <w:r w:rsidR="00C9672A" w:rsidRPr="00EE19D2">
        <w:fldChar w:fldCharType="begin"/>
      </w:r>
      <w:r w:rsidR="00C9672A" w:rsidRPr="00EE19D2">
        <w:instrText xml:space="preserve"> REF _Ref489277378 \h </w:instrText>
      </w:r>
      <w:r w:rsidR="00C10B55" w:rsidRPr="00EE19D2">
        <w:instrText xml:space="preserve"> \* MERGEFORMAT </w:instrText>
      </w:r>
      <w:r w:rsidR="00C9672A" w:rsidRPr="00EE19D2">
        <w:fldChar w:fldCharType="separate"/>
      </w:r>
      <w:r w:rsidR="00A07703" w:rsidRPr="00CD6245">
        <w:t xml:space="preserve">Table </w:t>
      </w:r>
      <w:r w:rsidR="00A07703">
        <w:rPr>
          <w:noProof/>
        </w:rPr>
        <w:t>46</w:t>
      </w:r>
      <w:r w:rsidR="00C9672A" w:rsidRPr="00EE19D2">
        <w:fldChar w:fldCharType="end"/>
      </w:r>
      <w:r w:rsidR="00C9672A" w:rsidRPr="00EE19D2">
        <w:t xml:space="preserve"> in </w:t>
      </w:r>
      <w:r w:rsidR="00D250C9" w:rsidRPr="00EE19D2">
        <w:t>the Appendix</w:t>
      </w:r>
      <w:bookmarkStart w:id="107" w:name="_Ref425761602"/>
      <w:r w:rsidR="00D250C9" w:rsidRPr="00EE19D2">
        <w:t>.</w:t>
      </w:r>
    </w:p>
    <w:p w14:paraId="4C822C40" w14:textId="1077BC32" w:rsidR="0037283A" w:rsidRPr="00CD6245" w:rsidRDefault="0037283A" w:rsidP="00D250C9">
      <w:pPr>
        <w:pStyle w:val="Caption"/>
      </w:pPr>
      <w:bookmarkStart w:id="108" w:name="_Ref489363876"/>
      <w:bookmarkStart w:id="109" w:name="_Toc524354009"/>
      <w:r w:rsidRPr="00CD6245">
        <w:t xml:space="preserve">Table </w:t>
      </w:r>
      <w:r w:rsidR="002407F7">
        <w:rPr>
          <w:noProof/>
        </w:rPr>
        <w:fldChar w:fldCharType="begin"/>
      </w:r>
      <w:r w:rsidR="002407F7">
        <w:rPr>
          <w:noProof/>
        </w:rPr>
        <w:instrText xml:space="preserve"> SEQ Table \* ARABIC </w:instrText>
      </w:r>
      <w:r w:rsidR="002407F7">
        <w:rPr>
          <w:noProof/>
        </w:rPr>
        <w:fldChar w:fldCharType="separate"/>
      </w:r>
      <w:r w:rsidR="00A07703">
        <w:rPr>
          <w:noProof/>
        </w:rPr>
        <w:t>16</w:t>
      </w:r>
      <w:r w:rsidR="002407F7">
        <w:rPr>
          <w:noProof/>
        </w:rPr>
        <w:fldChar w:fldCharType="end"/>
      </w:r>
      <w:bookmarkEnd w:id="107"/>
      <w:bookmarkEnd w:id="108"/>
      <w:r w:rsidRPr="00CD6245">
        <w:t>: SEPC</w:t>
      </w:r>
      <w:r w:rsidR="00BC2531">
        <w:t>s</w:t>
      </w:r>
      <w:r w:rsidRPr="00CD6245">
        <w:t xml:space="preserve"> approv</w:t>
      </w:r>
      <w:r w:rsidR="00BC2531">
        <w:t>ed</w:t>
      </w:r>
      <w:r w:rsidRPr="00CD6245">
        <w:t xml:space="preserve"> in </w:t>
      </w:r>
      <w:r w:rsidR="00FA0FB5">
        <w:t>201</w:t>
      </w:r>
      <w:r w:rsidR="00E44B42">
        <w:t>7–18</w:t>
      </w:r>
      <w:bookmarkEnd w:id="109"/>
    </w:p>
    <w:tbl>
      <w:tblPr>
        <w:tblStyle w:val="ListTable31"/>
        <w:tblW w:w="9074" w:type="dxa"/>
        <w:tblInd w:w="704" w:type="dxa"/>
        <w:tblLook w:val="04A0" w:firstRow="1" w:lastRow="0" w:firstColumn="1" w:lastColumn="0" w:noHBand="0" w:noVBand="1"/>
      </w:tblPr>
      <w:tblGrid>
        <w:gridCol w:w="4536"/>
        <w:gridCol w:w="1018"/>
        <w:gridCol w:w="1278"/>
        <w:gridCol w:w="1018"/>
        <w:gridCol w:w="1224"/>
      </w:tblGrid>
      <w:tr w:rsidR="00BC2531" w:rsidRPr="00BC2531" w14:paraId="5261C19F" w14:textId="77777777" w:rsidTr="00FB0AF9">
        <w:trPr>
          <w:cnfStyle w:val="100000000000" w:firstRow="1" w:lastRow="0" w:firstColumn="0" w:lastColumn="0" w:oddVBand="0" w:evenVBand="0" w:oddHBand="0" w:evenHBand="0" w:firstRowFirstColumn="0" w:firstRowLastColumn="0" w:lastRowFirstColumn="0" w:lastRowLastColumn="0"/>
          <w:trHeight w:val="255"/>
        </w:trPr>
        <w:tc>
          <w:tcPr>
            <w:cnfStyle w:val="001000000100" w:firstRow="0" w:lastRow="0" w:firstColumn="1" w:lastColumn="0" w:oddVBand="0" w:evenVBand="0" w:oddHBand="0" w:evenHBand="0" w:firstRowFirstColumn="1" w:firstRowLastColumn="0" w:lastRowFirstColumn="0" w:lastRowLastColumn="0"/>
            <w:tcW w:w="4536" w:type="dxa"/>
            <w:vMerge w:val="restart"/>
            <w:noWrap/>
          </w:tcPr>
          <w:p w14:paraId="38E871BC" w14:textId="77777777" w:rsidR="0037283A" w:rsidRPr="00BC2531" w:rsidRDefault="00FD0317" w:rsidP="00603BC0">
            <w:pPr>
              <w:pStyle w:val="TableHeader"/>
              <w:rPr>
                <w:b/>
                <w:color w:val="auto"/>
                <w:sz w:val="20"/>
                <w:szCs w:val="20"/>
              </w:rPr>
            </w:pPr>
            <w:r w:rsidRPr="00BC2531">
              <w:rPr>
                <w:b/>
                <w:color w:val="auto"/>
                <w:sz w:val="20"/>
                <w:szCs w:val="20"/>
              </w:rPr>
              <w:t>Organisation</w:t>
            </w:r>
          </w:p>
        </w:tc>
        <w:tc>
          <w:tcPr>
            <w:tcW w:w="2296" w:type="dxa"/>
            <w:gridSpan w:val="2"/>
          </w:tcPr>
          <w:p w14:paraId="48601502" w14:textId="77777777" w:rsidR="0037283A" w:rsidRPr="00BC2531" w:rsidRDefault="0037283A" w:rsidP="005A30DA">
            <w:pPr>
              <w:pStyle w:val="TableHeader"/>
              <w:jc w:val="center"/>
              <w:cnfStyle w:val="100000000000" w:firstRow="1" w:lastRow="0" w:firstColumn="0" w:lastColumn="0" w:oddVBand="0" w:evenVBand="0" w:oddHBand="0" w:evenHBand="0" w:firstRowFirstColumn="0" w:firstRowLastColumn="0" w:lastRowFirstColumn="0" w:lastRowLastColumn="0"/>
              <w:rPr>
                <w:b/>
                <w:color w:val="auto"/>
                <w:kern w:val="28"/>
                <w:sz w:val="20"/>
                <w:szCs w:val="20"/>
              </w:rPr>
            </w:pPr>
            <w:r w:rsidRPr="00BC2531">
              <w:rPr>
                <w:b/>
                <w:color w:val="auto"/>
                <w:sz w:val="20"/>
                <w:szCs w:val="20"/>
              </w:rPr>
              <w:t>Goods</w:t>
            </w:r>
          </w:p>
        </w:tc>
        <w:tc>
          <w:tcPr>
            <w:tcW w:w="2242" w:type="dxa"/>
            <w:gridSpan w:val="2"/>
          </w:tcPr>
          <w:p w14:paraId="2912D428" w14:textId="77777777" w:rsidR="0037283A" w:rsidRPr="00BC2531" w:rsidRDefault="0037283A" w:rsidP="005A30DA">
            <w:pPr>
              <w:pStyle w:val="TableHeader"/>
              <w:jc w:val="center"/>
              <w:cnfStyle w:val="100000000000" w:firstRow="1" w:lastRow="0" w:firstColumn="0" w:lastColumn="0" w:oddVBand="0" w:evenVBand="0" w:oddHBand="0" w:evenHBand="0" w:firstRowFirstColumn="0" w:firstRowLastColumn="0" w:lastRowFirstColumn="0" w:lastRowLastColumn="0"/>
              <w:rPr>
                <w:b/>
                <w:color w:val="auto"/>
                <w:kern w:val="28"/>
                <w:sz w:val="20"/>
                <w:szCs w:val="20"/>
              </w:rPr>
            </w:pPr>
            <w:r w:rsidRPr="00BC2531">
              <w:rPr>
                <w:b/>
                <w:color w:val="auto"/>
                <w:sz w:val="20"/>
                <w:szCs w:val="20"/>
              </w:rPr>
              <w:t>Services</w:t>
            </w:r>
          </w:p>
        </w:tc>
      </w:tr>
      <w:tr w:rsidR="00BC2531" w:rsidRPr="00BC2531" w14:paraId="47D9C662" w14:textId="77777777" w:rsidTr="00FB0AF9">
        <w:trPr>
          <w:cnfStyle w:val="000000100000" w:firstRow="0" w:lastRow="0" w:firstColumn="0" w:lastColumn="0" w:oddVBand="0" w:evenVBand="0" w:oddHBand="1" w:evenHBand="0" w:firstRowFirstColumn="0" w:firstRowLastColumn="0" w:lastRowFirstColumn="0" w:lastRowLastColumn="0"/>
          <w:trHeight w:val="115"/>
        </w:trPr>
        <w:tc>
          <w:tcPr>
            <w:cnfStyle w:val="001000000000" w:firstRow="0" w:lastRow="0" w:firstColumn="1" w:lastColumn="0" w:oddVBand="0" w:evenVBand="0" w:oddHBand="0" w:evenHBand="0" w:firstRowFirstColumn="0" w:firstRowLastColumn="0" w:lastRowFirstColumn="0" w:lastRowLastColumn="0"/>
            <w:tcW w:w="4536" w:type="dxa"/>
            <w:vMerge/>
          </w:tcPr>
          <w:p w14:paraId="0B4DC85B" w14:textId="77777777" w:rsidR="0037283A" w:rsidRPr="00BC2531" w:rsidRDefault="0037283A" w:rsidP="00603BC0">
            <w:pPr>
              <w:pStyle w:val="TableHeader"/>
              <w:rPr>
                <w:b/>
                <w:color w:val="auto"/>
                <w:sz w:val="20"/>
                <w:szCs w:val="20"/>
              </w:rPr>
            </w:pPr>
          </w:p>
        </w:tc>
        <w:tc>
          <w:tcPr>
            <w:tcW w:w="1018" w:type="dxa"/>
            <w:shd w:val="clear" w:color="auto" w:fill="000000" w:themeFill="text1"/>
          </w:tcPr>
          <w:p w14:paraId="420C0B7F" w14:textId="77777777" w:rsidR="0037283A" w:rsidRPr="00BC2531" w:rsidRDefault="0037283A" w:rsidP="005A30DA">
            <w:pPr>
              <w:pStyle w:val="TableHeader"/>
              <w:jc w:val="center"/>
              <w:cnfStyle w:val="000000100000" w:firstRow="0" w:lastRow="0" w:firstColumn="0" w:lastColumn="0" w:oddVBand="0" w:evenVBand="0" w:oddHBand="1" w:evenHBand="0" w:firstRowFirstColumn="0" w:firstRowLastColumn="0" w:lastRowFirstColumn="0" w:lastRowLastColumn="0"/>
              <w:rPr>
                <w:b w:val="0"/>
                <w:color w:val="auto"/>
                <w:kern w:val="28"/>
                <w:sz w:val="20"/>
                <w:szCs w:val="20"/>
              </w:rPr>
            </w:pPr>
            <w:r w:rsidRPr="00BC2531">
              <w:rPr>
                <w:b w:val="0"/>
                <w:color w:val="auto"/>
                <w:sz w:val="20"/>
                <w:szCs w:val="20"/>
              </w:rPr>
              <w:t>Number</w:t>
            </w:r>
          </w:p>
        </w:tc>
        <w:tc>
          <w:tcPr>
            <w:tcW w:w="1278" w:type="dxa"/>
            <w:shd w:val="clear" w:color="auto" w:fill="000000" w:themeFill="text1"/>
            <w:noWrap/>
          </w:tcPr>
          <w:p w14:paraId="6321E911" w14:textId="03BE5A17" w:rsidR="0037283A" w:rsidRPr="00BC2531" w:rsidRDefault="0037283A" w:rsidP="005A30DA">
            <w:pPr>
              <w:pStyle w:val="TableHeader"/>
              <w:jc w:val="center"/>
              <w:cnfStyle w:val="000000100000" w:firstRow="0" w:lastRow="0" w:firstColumn="0" w:lastColumn="0" w:oddVBand="0" w:evenVBand="0" w:oddHBand="1" w:evenHBand="0" w:firstRowFirstColumn="0" w:firstRowLastColumn="0" w:lastRowFirstColumn="0" w:lastRowLastColumn="0"/>
              <w:rPr>
                <w:b w:val="0"/>
                <w:color w:val="auto"/>
                <w:kern w:val="28"/>
                <w:sz w:val="20"/>
                <w:szCs w:val="20"/>
              </w:rPr>
            </w:pPr>
            <w:r w:rsidRPr="00BC2531">
              <w:rPr>
                <w:b w:val="0"/>
                <w:color w:val="auto"/>
                <w:sz w:val="20"/>
                <w:szCs w:val="20"/>
              </w:rPr>
              <w:t>Value</w:t>
            </w:r>
            <w:r w:rsidR="00BC2531" w:rsidRPr="00BC2531">
              <w:rPr>
                <w:b w:val="0"/>
                <w:color w:val="auto"/>
                <w:sz w:val="20"/>
                <w:szCs w:val="20"/>
              </w:rPr>
              <w:t xml:space="preserve"> ($</w:t>
            </w:r>
            <w:r w:rsidR="00FF3947">
              <w:rPr>
                <w:b w:val="0"/>
                <w:color w:val="auto"/>
                <w:sz w:val="20"/>
                <w:szCs w:val="20"/>
              </w:rPr>
              <w:t>M</w:t>
            </w:r>
            <w:r w:rsidR="00BC2531" w:rsidRPr="00BC2531">
              <w:rPr>
                <w:b w:val="0"/>
                <w:color w:val="auto"/>
                <w:sz w:val="20"/>
                <w:szCs w:val="20"/>
              </w:rPr>
              <w:t>)</w:t>
            </w:r>
          </w:p>
        </w:tc>
        <w:tc>
          <w:tcPr>
            <w:tcW w:w="1018" w:type="dxa"/>
            <w:shd w:val="clear" w:color="auto" w:fill="000000" w:themeFill="text1"/>
          </w:tcPr>
          <w:p w14:paraId="26F71A87" w14:textId="77777777" w:rsidR="0037283A" w:rsidRPr="00BC2531" w:rsidRDefault="0037283A" w:rsidP="005A30DA">
            <w:pPr>
              <w:pStyle w:val="TableHeader"/>
              <w:jc w:val="center"/>
              <w:cnfStyle w:val="000000100000" w:firstRow="0" w:lastRow="0" w:firstColumn="0" w:lastColumn="0" w:oddVBand="0" w:evenVBand="0" w:oddHBand="1" w:evenHBand="0" w:firstRowFirstColumn="0" w:firstRowLastColumn="0" w:lastRowFirstColumn="0" w:lastRowLastColumn="0"/>
              <w:rPr>
                <w:b w:val="0"/>
                <w:color w:val="auto"/>
                <w:kern w:val="28"/>
                <w:sz w:val="20"/>
                <w:szCs w:val="20"/>
              </w:rPr>
            </w:pPr>
            <w:r w:rsidRPr="00BC2531">
              <w:rPr>
                <w:b w:val="0"/>
                <w:color w:val="auto"/>
                <w:sz w:val="20"/>
                <w:szCs w:val="20"/>
              </w:rPr>
              <w:t>Number</w:t>
            </w:r>
          </w:p>
        </w:tc>
        <w:tc>
          <w:tcPr>
            <w:tcW w:w="1224" w:type="dxa"/>
            <w:shd w:val="clear" w:color="auto" w:fill="000000" w:themeFill="text1"/>
          </w:tcPr>
          <w:p w14:paraId="70C16F5A" w14:textId="3B391A8B" w:rsidR="0037283A" w:rsidRPr="00BC2531" w:rsidRDefault="0037283A" w:rsidP="005A30DA">
            <w:pPr>
              <w:pStyle w:val="TableHeader"/>
              <w:jc w:val="center"/>
              <w:cnfStyle w:val="000000100000" w:firstRow="0" w:lastRow="0" w:firstColumn="0" w:lastColumn="0" w:oddVBand="0" w:evenVBand="0" w:oddHBand="1" w:evenHBand="0" w:firstRowFirstColumn="0" w:firstRowLastColumn="0" w:lastRowFirstColumn="0" w:lastRowLastColumn="0"/>
              <w:rPr>
                <w:b w:val="0"/>
                <w:color w:val="auto"/>
                <w:kern w:val="28"/>
                <w:sz w:val="20"/>
                <w:szCs w:val="20"/>
              </w:rPr>
            </w:pPr>
            <w:r w:rsidRPr="00BC2531">
              <w:rPr>
                <w:b w:val="0"/>
                <w:color w:val="auto"/>
                <w:sz w:val="20"/>
                <w:szCs w:val="20"/>
              </w:rPr>
              <w:t>Value</w:t>
            </w:r>
            <w:r w:rsidR="00BC2531" w:rsidRPr="00BC2531">
              <w:rPr>
                <w:b w:val="0"/>
                <w:color w:val="auto"/>
                <w:sz w:val="20"/>
                <w:szCs w:val="20"/>
              </w:rPr>
              <w:t xml:space="preserve"> (</w:t>
            </w:r>
            <w:r w:rsidR="00FF3947">
              <w:rPr>
                <w:b w:val="0"/>
                <w:color w:val="auto"/>
                <w:sz w:val="20"/>
                <w:szCs w:val="20"/>
              </w:rPr>
              <w:t>$M</w:t>
            </w:r>
            <w:r w:rsidR="00BC2531" w:rsidRPr="00BC2531">
              <w:rPr>
                <w:b w:val="0"/>
                <w:color w:val="auto"/>
                <w:sz w:val="20"/>
                <w:szCs w:val="20"/>
              </w:rPr>
              <w:t>)</w:t>
            </w:r>
          </w:p>
        </w:tc>
      </w:tr>
      <w:tr w:rsidR="0091797A" w:rsidRPr="00CD6245" w14:paraId="66ED2B51" w14:textId="77777777" w:rsidTr="00AD1188">
        <w:trPr>
          <w:trHeight w:val="255"/>
        </w:trPr>
        <w:tc>
          <w:tcPr>
            <w:cnfStyle w:val="001000000000" w:firstRow="0" w:lastRow="0" w:firstColumn="1" w:lastColumn="0" w:oddVBand="0" w:evenVBand="0" w:oddHBand="0" w:evenHBand="0" w:firstRowFirstColumn="0" w:firstRowLastColumn="0" w:lastRowFirstColumn="0" w:lastRowLastColumn="0"/>
            <w:tcW w:w="4536" w:type="dxa"/>
          </w:tcPr>
          <w:p w14:paraId="31BF83C0" w14:textId="77777777" w:rsidR="0091797A" w:rsidRPr="005B2F15" w:rsidRDefault="0091797A" w:rsidP="00AD1188">
            <w:pPr>
              <w:rPr>
                <w:rFonts w:cs="Calibri"/>
                <w:b w:val="0"/>
                <w:color w:val="000000"/>
                <w:sz w:val="20"/>
                <w:szCs w:val="20"/>
              </w:rPr>
            </w:pPr>
            <w:r w:rsidRPr="00061364">
              <w:rPr>
                <w:rFonts w:cs="Calibri"/>
                <w:b w:val="0"/>
                <w:color w:val="000000"/>
                <w:sz w:val="20"/>
                <w:szCs w:val="20"/>
              </w:rPr>
              <w:t>Department of Economic Development, Jobs, Transport and Resources</w:t>
            </w:r>
          </w:p>
        </w:tc>
        <w:tc>
          <w:tcPr>
            <w:tcW w:w="1018" w:type="dxa"/>
          </w:tcPr>
          <w:p w14:paraId="1B2E3A1D" w14:textId="77777777" w:rsidR="0091797A" w:rsidRPr="00701725" w:rsidRDefault="0091797A" w:rsidP="00AD1188">
            <w:pPr>
              <w:pStyle w:val="Tablenumbers"/>
              <w:cnfStyle w:val="000000000000" w:firstRow="0" w:lastRow="0" w:firstColumn="0" w:lastColumn="0" w:oddVBand="0" w:evenVBand="0" w:oddHBand="0" w:evenHBand="0" w:firstRowFirstColumn="0" w:firstRowLastColumn="0" w:lastRowFirstColumn="0" w:lastRowLastColumn="0"/>
            </w:pPr>
            <w:r>
              <w:t>0</w:t>
            </w:r>
          </w:p>
        </w:tc>
        <w:tc>
          <w:tcPr>
            <w:tcW w:w="1278" w:type="dxa"/>
            <w:noWrap/>
          </w:tcPr>
          <w:p w14:paraId="57782A73" w14:textId="77777777" w:rsidR="0091797A" w:rsidRPr="00701725" w:rsidRDefault="0091797A" w:rsidP="00AD1188">
            <w:pPr>
              <w:pStyle w:val="Tablenumbers"/>
              <w:cnfStyle w:val="000000000000" w:firstRow="0" w:lastRow="0" w:firstColumn="0" w:lastColumn="0" w:oddVBand="0" w:evenVBand="0" w:oddHBand="0" w:evenHBand="0" w:firstRowFirstColumn="0" w:firstRowLastColumn="0" w:lastRowFirstColumn="0" w:lastRowLastColumn="0"/>
            </w:pPr>
            <w:r>
              <w:t>0</w:t>
            </w:r>
          </w:p>
        </w:tc>
        <w:tc>
          <w:tcPr>
            <w:tcW w:w="1018" w:type="dxa"/>
          </w:tcPr>
          <w:p w14:paraId="3801554B" w14:textId="77777777" w:rsidR="0091797A" w:rsidRPr="00701725" w:rsidRDefault="0091797A" w:rsidP="00AD1188">
            <w:pPr>
              <w:pStyle w:val="Tablenumbers"/>
              <w:cnfStyle w:val="000000000000" w:firstRow="0" w:lastRow="0" w:firstColumn="0" w:lastColumn="0" w:oddVBand="0" w:evenVBand="0" w:oddHBand="0" w:evenHBand="0" w:firstRowFirstColumn="0" w:firstRowLastColumn="0" w:lastRowFirstColumn="0" w:lastRowLastColumn="0"/>
            </w:pPr>
            <w:r>
              <w:t>1</w:t>
            </w:r>
          </w:p>
        </w:tc>
        <w:tc>
          <w:tcPr>
            <w:tcW w:w="1224" w:type="dxa"/>
          </w:tcPr>
          <w:p w14:paraId="2631FE15" w14:textId="77777777" w:rsidR="0091797A" w:rsidRPr="00701725" w:rsidRDefault="0091797A" w:rsidP="00AD1188">
            <w:pPr>
              <w:pStyle w:val="Tablenumbers"/>
              <w:cnfStyle w:val="000000000000" w:firstRow="0" w:lastRow="0" w:firstColumn="0" w:lastColumn="0" w:oddVBand="0" w:evenVBand="0" w:oddHBand="0" w:evenHBand="0" w:firstRowFirstColumn="0" w:firstRowLastColumn="0" w:lastRowFirstColumn="0" w:lastRowLastColumn="0"/>
            </w:pPr>
            <w:r>
              <w:t>42.3</w:t>
            </w:r>
          </w:p>
        </w:tc>
      </w:tr>
      <w:tr w:rsidR="00FE27DD" w:rsidRPr="00CD6245" w14:paraId="527C4BFB" w14:textId="77777777" w:rsidTr="00FB0AF9">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4536" w:type="dxa"/>
          </w:tcPr>
          <w:p w14:paraId="089C6CA8" w14:textId="65AF907C" w:rsidR="00FE27DD" w:rsidRPr="005B2F15" w:rsidRDefault="008F27CC" w:rsidP="00FE27DD">
            <w:pPr>
              <w:rPr>
                <w:b w:val="0"/>
                <w:color w:val="000000"/>
                <w:sz w:val="20"/>
                <w:szCs w:val="20"/>
              </w:rPr>
            </w:pPr>
            <w:r w:rsidRPr="005B2F15">
              <w:rPr>
                <w:b w:val="0"/>
                <w:color w:val="000000"/>
                <w:sz w:val="20"/>
                <w:szCs w:val="20"/>
              </w:rPr>
              <w:t xml:space="preserve">Department of </w:t>
            </w:r>
            <w:r w:rsidR="00FE27DD" w:rsidRPr="005B2F15">
              <w:rPr>
                <w:b w:val="0"/>
                <w:color w:val="000000"/>
                <w:sz w:val="20"/>
                <w:szCs w:val="20"/>
              </w:rPr>
              <w:t>Environment, Land, Water and Planning</w:t>
            </w:r>
          </w:p>
        </w:tc>
        <w:tc>
          <w:tcPr>
            <w:tcW w:w="1018" w:type="dxa"/>
          </w:tcPr>
          <w:p w14:paraId="74010E58" w14:textId="60EEB193" w:rsidR="00FE27DD" w:rsidRPr="00701725" w:rsidRDefault="00046488" w:rsidP="00FE27DD">
            <w:pPr>
              <w:pStyle w:val="Tablenumbers"/>
              <w:cnfStyle w:val="000000100000" w:firstRow="0" w:lastRow="0" w:firstColumn="0" w:lastColumn="0" w:oddVBand="0" w:evenVBand="0" w:oddHBand="1" w:evenHBand="0" w:firstRowFirstColumn="0" w:firstRowLastColumn="0" w:lastRowFirstColumn="0" w:lastRowLastColumn="0"/>
            </w:pPr>
            <w:r>
              <w:t>7</w:t>
            </w:r>
          </w:p>
        </w:tc>
        <w:tc>
          <w:tcPr>
            <w:tcW w:w="1278" w:type="dxa"/>
            <w:noWrap/>
          </w:tcPr>
          <w:p w14:paraId="67903157" w14:textId="11F3DE19" w:rsidR="00FE27DD" w:rsidRPr="00701725" w:rsidRDefault="00FF3947" w:rsidP="00FE27DD">
            <w:pPr>
              <w:pStyle w:val="Tablenumbers"/>
              <w:cnfStyle w:val="000000100000" w:firstRow="0" w:lastRow="0" w:firstColumn="0" w:lastColumn="0" w:oddVBand="0" w:evenVBand="0" w:oddHBand="1" w:evenHBand="0" w:firstRowFirstColumn="0" w:firstRowLastColumn="0" w:lastRowFirstColumn="0" w:lastRowLastColumn="0"/>
            </w:pPr>
            <w:r>
              <w:t>5.6</w:t>
            </w:r>
          </w:p>
        </w:tc>
        <w:tc>
          <w:tcPr>
            <w:tcW w:w="1018" w:type="dxa"/>
          </w:tcPr>
          <w:p w14:paraId="21C1BBB0" w14:textId="401F50B5" w:rsidR="00FE27DD" w:rsidRPr="00701725" w:rsidRDefault="00046488" w:rsidP="00FE27DD">
            <w:pPr>
              <w:pStyle w:val="Tablenumbers"/>
              <w:cnfStyle w:val="000000100000" w:firstRow="0" w:lastRow="0" w:firstColumn="0" w:lastColumn="0" w:oddVBand="0" w:evenVBand="0" w:oddHBand="1" w:evenHBand="0" w:firstRowFirstColumn="0" w:firstRowLastColumn="0" w:lastRowFirstColumn="0" w:lastRowLastColumn="0"/>
            </w:pPr>
            <w:r>
              <w:t>7</w:t>
            </w:r>
          </w:p>
        </w:tc>
        <w:tc>
          <w:tcPr>
            <w:tcW w:w="1224" w:type="dxa"/>
          </w:tcPr>
          <w:p w14:paraId="204A03B0" w14:textId="7FF8978E" w:rsidR="00FE27DD" w:rsidRPr="00701725" w:rsidRDefault="00FF3947" w:rsidP="00FE27DD">
            <w:pPr>
              <w:pStyle w:val="Tablenumbers"/>
              <w:cnfStyle w:val="000000100000" w:firstRow="0" w:lastRow="0" w:firstColumn="0" w:lastColumn="0" w:oddVBand="0" w:evenVBand="0" w:oddHBand="1" w:evenHBand="0" w:firstRowFirstColumn="0" w:firstRowLastColumn="0" w:lastRowFirstColumn="0" w:lastRowLastColumn="0"/>
            </w:pPr>
            <w:r>
              <w:t>18.8</w:t>
            </w:r>
          </w:p>
        </w:tc>
      </w:tr>
      <w:tr w:rsidR="00FE27DD" w:rsidRPr="00CD6245" w14:paraId="01CB91F3" w14:textId="77777777" w:rsidTr="00FB0AF9">
        <w:trPr>
          <w:trHeight w:val="269"/>
        </w:trPr>
        <w:tc>
          <w:tcPr>
            <w:cnfStyle w:val="001000000000" w:firstRow="0" w:lastRow="0" w:firstColumn="1" w:lastColumn="0" w:oddVBand="0" w:evenVBand="0" w:oddHBand="0" w:evenHBand="0" w:firstRowFirstColumn="0" w:firstRowLastColumn="0" w:lastRowFirstColumn="0" w:lastRowLastColumn="0"/>
            <w:tcW w:w="4536" w:type="dxa"/>
          </w:tcPr>
          <w:p w14:paraId="057BBC3F" w14:textId="0762F61E" w:rsidR="00FE27DD" w:rsidRPr="005B2F15" w:rsidRDefault="008F27CC" w:rsidP="00FE27DD">
            <w:pPr>
              <w:rPr>
                <w:b w:val="0"/>
                <w:color w:val="000000"/>
                <w:sz w:val="20"/>
                <w:szCs w:val="20"/>
              </w:rPr>
            </w:pPr>
            <w:r w:rsidRPr="005B2F15">
              <w:rPr>
                <w:b w:val="0"/>
                <w:color w:val="000000"/>
                <w:sz w:val="20"/>
                <w:szCs w:val="20"/>
              </w:rPr>
              <w:t xml:space="preserve">Department of </w:t>
            </w:r>
            <w:r w:rsidR="00FE27DD" w:rsidRPr="005B2F15">
              <w:rPr>
                <w:b w:val="0"/>
                <w:color w:val="000000"/>
                <w:sz w:val="20"/>
                <w:szCs w:val="20"/>
              </w:rPr>
              <w:t>Health and Human Services</w:t>
            </w:r>
          </w:p>
        </w:tc>
        <w:tc>
          <w:tcPr>
            <w:tcW w:w="1018" w:type="dxa"/>
          </w:tcPr>
          <w:p w14:paraId="76F16B1D" w14:textId="1070D7F5" w:rsidR="00FE27DD" w:rsidRPr="00701725" w:rsidRDefault="00FF3947" w:rsidP="00FE27DD">
            <w:pPr>
              <w:pStyle w:val="Tablenumbers"/>
              <w:cnfStyle w:val="000000000000" w:firstRow="0" w:lastRow="0" w:firstColumn="0" w:lastColumn="0" w:oddVBand="0" w:evenVBand="0" w:oddHBand="0" w:evenHBand="0" w:firstRowFirstColumn="0" w:firstRowLastColumn="0" w:lastRowFirstColumn="0" w:lastRowLastColumn="0"/>
            </w:pPr>
            <w:r>
              <w:t>1</w:t>
            </w:r>
          </w:p>
        </w:tc>
        <w:tc>
          <w:tcPr>
            <w:tcW w:w="1278" w:type="dxa"/>
            <w:noWrap/>
          </w:tcPr>
          <w:p w14:paraId="26A73A83" w14:textId="40B8288D" w:rsidR="00FE27DD" w:rsidRPr="00701725" w:rsidRDefault="00FF3947" w:rsidP="00FE27DD">
            <w:pPr>
              <w:pStyle w:val="Tablenumbers"/>
              <w:cnfStyle w:val="000000000000" w:firstRow="0" w:lastRow="0" w:firstColumn="0" w:lastColumn="0" w:oddVBand="0" w:evenVBand="0" w:oddHBand="0" w:evenHBand="0" w:firstRowFirstColumn="0" w:firstRowLastColumn="0" w:lastRowFirstColumn="0" w:lastRowLastColumn="0"/>
            </w:pPr>
            <w:r>
              <w:t>5.6</w:t>
            </w:r>
          </w:p>
        </w:tc>
        <w:tc>
          <w:tcPr>
            <w:tcW w:w="1018" w:type="dxa"/>
          </w:tcPr>
          <w:p w14:paraId="787C7A8B" w14:textId="16FA362B" w:rsidR="00FE27DD" w:rsidRPr="00701725" w:rsidRDefault="00FF3947" w:rsidP="00FE27DD">
            <w:pPr>
              <w:pStyle w:val="Tablenumbers"/>
              <w:cnfStyle w:val="000000000000" w:firstRow="0" w:lastRow="0" w:firstColumn="0" w:lastColumn="0" w:oddVBand="0" w:evenVBand="0" w:oddHBand="0" w:evenHBand="0" w:firstRowFirstColumn="0" w:firstRowLastColumn="0" w:lastRowFirstColumn="0" w:lastRowLastColumn="0"/>
            </w:pPr>
            <w:r>
              <w:t>3</w:t>
            </w:r>
          </w:p>
        </w:tc>
        <w:tc>
          <w:tcPr>
            <w:tcW w:w="1224" w:type="dxa"/>
          </w:tcPr>
          <w:p w14:paraId="5A762739" w14:textId="536712B0" w:rsidR="00FE27DD" w:rsidRPr="00701725" w:rsidRDefault="00FF3947" w:rsidP="00FE27DD">
            <w:pPr>
              <w:pStyle w:val="Tablenumbers"/>
              <w:cnfStyle w:val="000000000000" w:firstRow="0" w:lastRow="0" w:firstColumn="0" w:lastColumn="0" w:oddVBand="0" w:evenVBand="0" w:oddHBand="0" w:evenHBand="0" w:firstRowFirstColumn="0" w:firstRowLastColumn="0" w:lastRowFirstColumn="0" w:lastRowLastColumn="0"/>
            </w:pPr>
            <w:r>
              <w:t>132.1</w:t>
            </w:r>
          </w:p>
        </w:tc>
      </w:tr>
      <w:tr w:rsidR="00D250C9" w:rsidRPr="00CD6245" w14:paraId="18E547A9" w14:textId="77777777" w:rsidTr="00FB0AF9">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4536" w:type="dxa"/>
          </w:tcPr>
          <w:p w14:paraId="57C70BB6" w14:textId="77777777" w:rsidR="00D250C9" w:rsidRPr="005B2F15" w:rsidRDefault="00D250C9" w:rsidP="00D250C9">
            <w:pPr>
              <w:rPr>
                <w:b w:val="0"/>
                <w:color w:val="000000"/>
                <w:sz w:val="20"/>
                <w:szCs w:val="20"/>
              </w:rPr>
            </w:pPr>
            <w:r w:rsidRPr="005B2F15">
              <w:rPr>
                <w:b w:val="0"/>
                <w:color w:val="000000"/>
                <w:sz w:val="20"/>
                <w:szCs w:val="20"/>
              </w:rPr>
              <w:t>Victoria Police</w:t>
            </w:r>
          </w:p>
        </w:tc>
        <w:tc>
          <w:tcPr>
            <w:tcW w:w="1018" w:type="dxa"/>
          </w:tcPr>
          <w:p w14:paraId="0A192148" w14:textId="3860CEC1" w:rsidR="00D250C9" w:rsidRPr="00D250C9" w:rsidRDefault="00FF3947" w:rsidP="007D26AE">
            <w:pPr>
              <w:pStyle w:val="Tablenumbers"/>
              <w:cnfStyle w:val="000000100000" w:firstRow="0" w:lastRow="0" w:firstColumn="0" w:lastColumn="0" w:oddVBand="0" w:evenVBand="0" w:oddHBand="1" w:evenHBand="0" w:firstRowFirstColumn="0" w:firstRowLastColumn="0" w:lastRowFirstColumn="0" w:lastRowLastColumn="0"/>
            </w:pPr>
            <w:r>
              <w:t>8</w:t>
            </w:r>
          </w:p>
        </w:tc>
        <w:tc>
          <w:tcPr>
            <w:tcW w:w="1278" w:type="dxa"/>
            <w:noWrap/>
          </w:tcPr>
          <w:p w14:paraId="011E8AAC" w14:textId="33B3769A" w:rsidR="00D250C9" w:rsidRPr="00D250C9" w:rsidRDefault="00FF3947" w:rsidP="007D26AE">
            <w:pPr>
              <w:pStyle w:val="Tablenumbers"/>
              <w:cnfStyle w:val="000000100000" w:firstRow="0" w:lastRow="0" w:firstColumn="0" w:lastColumn="0" w:oddVBand="0" w:evenVBand="0" w:oddHBand="1" w:evenHBand="0" w:firstRowFirstColumn="0" w:firstRowLastColumn="0" w:lastRowFirstColumn="0" w:lastRowLastColumn="0"/>
            </w:pPr>
            <w:r>
              <w:t>8.1</w:t>
            </w:r>
          </w:p>
        </w:tc>
        <w:tc>
          <w:tcPr>
            <w:tcW w:w="1018" w:type="dxa"/>
          </w:tcPr>
          <w:p w14:paraId="0BBA8EDA" w14:textId="74E89654" w:rsidR="00D250C9" w:rsidRPr="00701725" w:rsidRDefault="00FF3947" w:rsidP="007D26AE">
            <w:pPr>
              <w:pStyle w:val="Tablenumbers"/>
              <w:cnfStyle w:val="000000100000" w:firstRow="0" w:lastRow="0" w:firstColumn="0" w:lastColumn="0" w:oddVBand="0" w:evenVBand="0" w:oddHBand="1" w:evenHBand="0" w:firstRowFirstColumn="0" w:firstRowLastColumn="0" w:lastRowFirstColumn="0" w:lastRowLastColumn="0"/>
            </w:pPr>
            <w:r>
              <w:t>9</w:t>
            </w:r>
          </w:p>
        </w:tc>
        <w:tc>
          <w:tcPr>
            <w:tcW w:w="1224" w:type="dxa"/>
          </w:tcPr>
          <w:p w14:paraId="0F06F4AD" w14:textId="3A20B16D" w:rsidR="00D250C9" w:rsidRPr="00701725" w:rsidRDefault="00FF3947" w:rsidP="007D26AE">
            <w:pPr>
              <w:pStyle w:val="Tablenumbers"/>
              <w:cnfStyle w:val="000000100000" w:firstRow="0" w:lastRow="0" w:firstColumn="0" w:lastColumn="0" w:oddVBand="0" w:evenVBand="0" w:oddHBand="1" w:evenHBand="0" w:firstRowFirstColumn="0" w:firstRowLastColumn="0" w:lastRowFirstColumn="0" w:lastRowLastColumn="0"/>
            </w:pPr>
            <w:r>
              <w:t>41.8</w:t>
            </w:r>
          </w:p>
        </w:tc>
      </w:tr>
      <w:tr w:rsidR="00D250C9" w:rsidRPr="00546DF9" w14:paraId="2117C02C" w14:textId="77777777" w:rsidTr="00FB0AF9">
        <w:trPr>
          <w:trHeight w:val="255"/>
        </w:trPr>
        <w:tc>
          <w:tcPr>
            <w:cnfStyle w:val="001000000000" w:firstRow="0" w:lastRow="0" w:firstColumn="1" w:lastColumn="0" w:oddVBand="0" w:evenVBand="0" w:oddHBand="0" w:evenHBand="0" w:firstRowFirstColumn="0" w:firstRowLastColumn="0" w:lastRowFirstColumn="0" w:lastRowLastColumn="0"/>
            <w:tcW w:w="4536" w:type="dxa"/>
            <w:noWrap/>
          </w:tcPr>
          <w:p w14:paraId="2EFAE012" w14:textId="4737958A" w:rsidR="00D250C9" w:rsidRPr="00546DF9" w:rsidRDefault="009203AF" w:rsidP="00D250C9">
            <w:pPr>
              <w:rPr>
                <w:color w:val="000000"/>
                <w:sz w:val="20"/>
                <w:szCs w:val="20"/>
              </w:rPr>
            </w:pPr>
            <w:r w:rsidRPr="00546DF9">
              <w:rPr>
                <w:color w:val="000000"/>
                <w:sz w:val="20"/>
                <w:szCs w:val="20"/>
              </w:rPr>
              <w:t>Total</w:t>
            </w:r>
          </w:p>
        </w:tc>
        <w:tc>
          <w:tcPr>
            <w:tcW w:w="1018" w:type="dxa"/>
            <w:noWrap/>
          </w:tcPr>
          <w:p w14:paraId="6972E12D" w14:textId="2C051DBB" w:rsidR="00D250C9" w:rsidRPr="00546DF9" w:rsidRDefault="00FF3947" w:rsidP="007D26AE">
            <w:pPr>
              <w:pStyle w:val="Tablenumbers"/>
              <w:cnfStyle w:val="000000000000" w:firstRow="0" w:lastRow="0" w:firstColumn="0" w:lastColumn="0" w:oddVBand="0" w:evenVBand="0" w:oddHBand="0" w:evenHBand="0" w:firstRowFirstColumn="0" w:firstRowLastColumn="0" w:lastRowFirstColumn="0" w:lastRowLastColumn="0"/>
              <w:rPr>
                <w:b/>
              </w:rPr>
            </w:pPr>
            <w:r w:rsidRPr="00546DF9">
              <w:rPr>
                <w:b/>
              </w:rPr>
              <w:t>16</w:t>
            </w:r>
          </w:p>
        </w:tc>
        <w:tc>
          <w:tcPr>
            <w:tcW w:w="1278" w:type="dxa"/>
            <w:noWrap/>
          </w:tcPr>
          <w:p w14:paraId="77355A3E" w14:textId="53D00B01" w:rsidR="00D250C9" w:rsidRPr="00546DF9" w:rsidRDefault="00FF3947" w:rsidP="007D26AE">
            <w:pPr>
              <w:pStyle w:val="Tablenumbers"/>
              <w:cnfStyle w:val="000000000000" w:firstRow="0" w:lastRow="0" w:firstColumn="0" w:lastColumn="0" w:oddVBand="0" w:evenVBand="0" w:oddHBand="0" w:evenHBand="0" w:firstRowFirstColumn="0" w:firstRowLastColumn="0" w:lastRowFirstColumn="0" w:lastRowLastColumn="0"/>
              <w:rPr>
                <w:b/>
              </w:rPr>
            </w:pPr>
            <w:r w:rsidRPr="00546DF9">
              <w:rPr>
                <w:b/>
              </w:rPr>
              <w:t>19.3</w:t>
            </w:r>
          </w:p>
        </w:tc>
        <w:tc>
          <w:tcPr>
            <w:tcW w:w="1018" w:type="dxa"/>
          </w:tcPr>
          <w:p w14:paraId="54D3EB6B" w14:textId="7EA21E1D" w:rsidR="00D250C9" w:rsidRPr="00546DF9" w:rsidRDefault="00FF3947" w:rsidP="007D26AE">
            <w:pPr>
              <w:pStyle w:val="Tablenumbers"/>
              <w:cnfStyle w:val="000000000000" w:firstRow="0" w:lastRow="0" w:firstColumn="0" w:lastColumn="0" w:oddVBand="0" w:evenVBand="0" w:oddHBand="0" w:evenHBand="0" w:firstRowFirstColumn="0" w:firstRowLastColumn="0" w:lastRowFirstColumn="0" w:lastRowLastColumn="0"/>
              <w:rPr>
                <w:b/>
              </w:rPr>
            </w:pPr>
            <w:r w:rsidRPr="00546DF9">
              <w:rPr>
                <w:b/>
              </w:rPr>
              <w:t>20</w:t>
            </w:r>
          </w:p>
        </w:tc>
        <w:tc>
          <w:tcPr>
            <w:tcW w:w="1224" w:type="dxa"/>
          </w:tcPr>
          <w:p w14:paraId="60FB3B1D" w14:textId="619AC985" w:rsidR="00D250C9" w:rsidRPr="00546DF9" w:rsidRDefault="00FF3947" w:rsidP="007D26AE">
            <w:pPr>
              <w:pStyle w:val="Tablenumbers"/>
              <w:cnfStyle w:val="000000000000" w:firstRow="0" w:lastRow="0" w:firstColumn="0" w:lastColumn="0" w:oddVBand="0" w:evenVBand="0" w:oddHBand="0" w:evenHBand="0" w:firstRowFirstColumn="0" w:firstRowLastColumn="0" w:lastRowFirstColumn="0" w:lastRowLastColumn="0"/>
              <w:rPr>
                <w:b/>
              </w:rPr>
            </w:pPr>
            <w:r w:rsidRPr="00546DF9">
              <w:rPr>
                <w:b/>
              </w:rPr>
              <w:t>234.9</w:t>
            </w:r>
          </w:p>
        </w:tc>
      </w:tr>
    </w:tbl>
    <w:p w14:paraId="1143191E" w14:textId="4BA9A438" w:rsidR="008F27CC" w:rsidRDefault="008F27CC" w:rsidP="005B2E7F">
      <w:pPr>
        <w:pStyle w:val="Tablenotes"/>
        <w:ind w:left="709" w:firstLine="0"/>
      </w:pPr>
      <w:bookmarkStart w:id="110" w:name="_Toc366693324"/>
      <w:r>
        <w:t xml:space="preserve">Note: </w:t>
      </w:r>
      <w:r w:rsidRPr="007500C5">
        <w:t>Discrepancies between totals and sums of totals reflect rounding.</w:t>
      </w:r>
    </w:p>
    <w:p w14:paraId="227109D3" w14:textId="7494635D" w:rsidR="00115057" w:rsidRDefault="00115057">
      <w:pPr>
        <w:rPr>
          <w:rFonts w:eastAsiaTheme="minorEastAsia" w:cstheme="minorBidi"/>
          <w:b/>
          <w:bCs/>
          <w:caps/>
          <w:lang w:val="en-US" w:eastAsia="en-US"/>
        </w:rPr>
      </w:pPr>
    </w:p>
    <w:p w14:paraId="6356A8F4" w14:textId="77777777" w:rsidR="00115057" w:rsidRDefault="00115057" w:rsidP="00115057">
      <w:pPr>
        <w:pStyle w:val="Normal1"/>
        <w:rPr>
          <w:rStyle w:val="textboxChar"/>
          <w:sz w:val="22"/>
          <w:szCs w:val="22"/>
        </w:rPr>
      </w:pPr>
      <w:r>
        <w:rPr>
          <w:rStyle w:val="textboxChar"/>
          <w:sz w:val="22"/>
          <w:szCs w:val="22"/>
        </w:rPr>
        <w:t>-------------------------</w:t>
      </w:r>
    </w:p>
    <w:p w14:paraId="6592BAF1" w14:textId="2DACEB40" w:rsidR="00115057" w:rsidRPr="00115057" w:rsidRDefault="00115057" w:rsidP="00115057">
      <w:pPr>
        <w:pStyle w:val="Heading4NoNum"/>
      </w:pPr>
      <w:r>
        <w:t xml:space="preserve">Case study: </w:t>
      </w:r>
      <w:r w:rsidRPr="00115057">
        <w:t>Accessing savings through SPCs</w:t>
      </w:r>
    </w:p>
    <w:p w14:paraId="491AA0D8" w14:textId="2DB5D6B0" w:rsidR="00115057" w:rsidRPr="00115057" w:rsidRDefault="00115057" w:rsidP="00115057">
      <w:pPr>
        <w:pStyle w:val="Normal1"/>
      </w:pPr>
      <w:r w:rsidRPr="00115057">
        <w:t>VicRoads has been operating under the VGPB since 1 July 2015 and has taken full advantage of the savings and benefits offered by SPCs.</w:t>
      </w:r>
    </w:p>
    <w:p w14:paraId="1D994A86" w14:textId="33F9E93E" w:rsidR="00115057" w:rsidRPr="00115057" w:rsidRDefault="00115057" w:rsidP="00115057">
      <w:pPr>
        <w:pStyle w:val="Normal1"/>
      </w:pPr>
      <w:r w:rsidRPr="00115057">
        <w:t xml:space="preserve">In 2017–18, VicRoads began using the new TPAMS 2025 SPC to achieve significant savings in operational costs </w:t>
      </w:r>
      <w:r w:rsidRPr="0070033A">
        <w:t>– roughly $1.4 million in 2017–18 and estimated savings of $2.4 million for 2018–19. TPAMS pro</w:t>
      </w:r>
      <w:r w:rsidRPr="00115057">
        <w:t>vides telecommunication services, including data, voice, mobile, internet and unified communications. Other benefits include being aligned with other government agencies and being assured that services are being provided by reputable organisations.</w:t>
      </w:r>
    </w:p>
    <w:p w14:paraId="1CCCB82B" w14:textId="1575B80F" w:rsidR="00115057" w:rsidRPr="00115057" w:rsidRDefault="00115057" w:rsidP="00115057">
      <w:pPr>
        <w:pStyle w:val="Normal1"/>
      </w:pPr>
      <w:r w:rsidRPr="00115057">
        <w:t>VicRoads has also adopted a ‘valet service’ model with the Stationery SPC provider, which checks and replenishes central stationery stores. The SPC also includes selected products from an Aboriginal-owned business, allowing VicRoads to easily increase its overall stationery spend with an Aboriginal-owned supplier to 4 per cent.</w:t>
      </w:r>
    </w:p>
    <w:p w14:paraId="74C21A04" w14:textId="36853F06" w:rsidR="00115057" w:rsidRPr="00115057" w:rsidRDefault="00115057" w:rsidP="00115057">
      <w:pPr>
        <w:pStyle w:val="Normal1"/>
      </w:pPr>
      <w:r w:rsidRPr="00115057">
        <w:t>VicRoads also decided to transfer procurement of its motor vehicle fleet from its current self-managed operating lease model to the ‘Finance Lease Facility’ model available under the Motor Vehicle</w:t>
      </w:r>
      <w:r w:rsidR="00373DBD">
        <w:t>s</w:t>
      </w:r>
      <w:r w:rsidRPr="00115057">
        <w:t xml:space="preserve"> SPC. VicRoads carried out a comprehensive business and finance review, taking into account all the challenges and potential impact of transitioning between the two models. From July 2018, all VicRoads fleet vehicles will be procured through VicFleet.</w:t>
      </w:r>
    </w:p>
    <w:p w14:paraId="2AC3EAA2" w14:textId="556D07D5" w:rsidR="00BC2531" w:rsidRDefault="00BC2531" w:rsidP="00115057">
      <w:pPr>
        <w:pStyle w:val="Normal1"/>
        <w:rPr>
          <w:rFonts w:eastAsiaTheme="minorEastAsia" w:cstheme="minorBidi"/>
          <w:lang w:val="en-US" w:eastAsia="en-US"/>
        </w:rPr>
      </w:pPr>
    </w:p>
    <w:p w14:paraId="665FF462" w14:textId="45945BA1" w:rsidR="00891EF6" w:rsidRPr="00CD6245" w:rsidRDefault="00FB0AF9" w:rsidP="00E844B0">
      <w:pPr>
        <w:pStyle w:val="Heading1NoNum"/>
      </w:pPr>
      <w:bookmarkStart w:id="111" w:name="_Toc524354073"/>
      <w:r>
        <w:lastRenderedPageBreak/>
        <w:t>M</w:t>
      </w:r>
      <w:r w:rsidR="00D937B6">
        <w:t>onitoring compliance</w:t>
      </w:r>
      <w:bookmarkEnd w:id="111"/>
    </w:p>
    <w:p w14:paraId="5CA148D7" w14:textId="5F276200" w:rsidR="00D26C10" w:rsidRDefault="00D26C10" w:rsidP="00E41631">
      <w:pPr>
        <w:pStyle w:val="Normal1"/>
        <w:rPr>
          <w:rStyle w:val="NormalChar"/>
        </w:rPr>
      </w:pPr>
      <w:r w:rsidRPr="00BB2C99">
        <w:rPr>
          <w:rStyle w:val="NormalChar"/>
        </w:rPr>
        <w:t xml:space="preserve">Under the </w:t>
      </w:r>
      <w:r w:rsidR="009D063B" w:rsidRPr="00DC3598">
        <w:rPr>
          <w:i/>
        </w:rPr>
        <w:t>Financial Management Act 1994</w:t>
      </w:r>
      <w:r w:rsidRPr="00BB2C99">
        <w:rPr>
          <w:rStyle w:val="NormalChar"/>
        </w:rPr>
        <w:t xml:space="preserve">, </w:t>
      </w:r>
      <w:r w:rsidR="00105FDC">
        <w:rPr>
          <w:rStyle w:val="NormalChar"/>
        </w:rPr>
        <w:t xml:space="preserve">mandated </w:t>
      </w:r>
      <w:r w:rsidRPr="00BB2C99">
        <w:rPr>
          <w:rStyle w:val="NormalChar"/>
        </w:rPr>
        <w:t xml:space="preserve">organisations must comply with VGPB </w:t>
      </w:r>
      <w:r w:rsidR="00226A70" w:rsidRPr="00BB2C99">
        <w:rPr>
          <w:rStyle w:val="NormalChar"/>
        </w:rPr>
        <w:t xml:space="preserve">supply </w:t>
      </w:r>
      <w:r w:rsidRPr="00BB2C99">
        <w:rPr>
          <w:rStyle w:val="NormalChar"/>
        </w:rPr>
        <w:t xml:space="preserve">policies when </w:t>
      </w:r>
      <w:r w:rsidR="00226A70" w:rsidRPr="00BB2C99">
        <w:rPr>
          <w:rStyle w:val="NormalChar"/>
        </w:rPr>
        <w:t xml:space="preserve">procuring </w:t>
      </w:r>
      <w:r w:rsidRPr="00BB2C99">
        <w:rPr>
          <w:rStyle w:val="NormalChar"/>
        </w:rPr>
        <w:t xml:space="preserve">goods and services. </w:t>
      </w:r>
      <w:r w:rsidR="00105FDC">
        <w:rPr>
          <w:rStyle w:val="NormalChar"/>
        </w:rPr>
        <w:t xml:space="preserve">The VGPB </w:t>
      </w:r>
      <w:r w:rsidRPr="00BB2C99">
        <w:rPr>
          <w:rStyle w:val="NormalChar"/>
        </w:rPr>
        <w:t>monitor</w:t>
      </w:r>
      <w:r w:rsidR="00105FDC">
        <w:rPr>
          <w:rStyle w:val="NormalChar"/>
        </w:rPr>
        <w:t>s</w:t>
      </w:r>
      <w:r w:rsidRPr="00BB2C99">
        <w:rPr>
          <w:rStyle w:val="NormalChar"/>
        </w:rPr>
        <w:t xml:space="preserve"> compliance </w:t>
      </w:r>
      <w:r w:rsidR="00F10C7B" w:rsidRPr="00BB2C99">
        <w:rPr>
          <w:rStyle w:val="NormalChar"/>
        </w:rPr>
        <w:t xml:space="preserve">through </w:t>
      </w:r>
      <w:r w:rsidR="004412D4" w:rsidRPr="00BB2C99">
        <w:rPr>
          <w:rStyle w:val="NormalChar"/>
        </w:rPr>
        <w:t>six</w:t>
      </w:r>
      <w:r w:rsidR="00F10C7B" w:rsidRPr="00BB2C99">
        <w:rPr>
          <w:rStyle w:val="NormalChar"/>
        </w:rPr>
        <w:t xml:space="preserve"> mechanisms</w:t>
      </w:r>
      <w:r w:rsidR="00806A17" w:rsidRPr="00BB2C99">
        <w:rPr>
          <w:rStyle w:val="NormalChar"/>
        </w:rPr>
        <w:t xml:space="preserve"> as shown in </w:t>
      </w:r>
      <w:r w:rsidR="00806A17" w:rsidRPr="00BB2C99">
        <w:rPr>
          <w:rStyle w:val="NormalChar"/>
        </w:rPr>
        <w:fldChar w:fldCharType="begin"/>
      </w:r>
      <w:r w:rsidR="00806A17" w:rsidRPr="00BB2C99">
        <w:rPr>
          <w:rStyle w:val="NormalChar"/>
        </w:rPr>
        <w:instrText xml:space="preserve"> REF _Ref515442779 \h </w:instrText>
      </w:r>
      <w:r w:rsidR="00BB2C99" w:rsidRPr="00BB2C99">
        <w:rPr>
          <w:rStyle w:val="NormalChar"/>
        </w:rPr>
        <w:instrText xml:space="preserve"> \* MERGEFORMAT </w:instrText>
      </w:r>
      <w:r w:rsidR="00806A17" w:rsidRPr="00BB2C99">
        <w:rPr>
          <w:rStyle w:val="NormalChar"/>
        </w:rPr>
      </w:r>
      <w:r w:rsidR="00806A17" w:rsidRPr="00BB2C99">
        <w:rPr>
          <w:rStyle w:val="NormalChar"/>
        </w:rPr>
        <w:fldChar w:fldCharType="separate"/>
      </w:r>
      <w:r w:rsidR="00A07703" w:rsidRPr="00A07703">
        <w:rPr>
          <w:rStyle w:val="NormalChar"/>
        </w:rPr>
        <w:t>Figure 9</w:t>
      </w:r>
      <w:r w:rsidR="00806A17" w:rsidRPr="00BB2C99">
        <w:rPr>
          <w:rStyle w:val="NormalChar"/>
        </w:rPr>
        <w:fldChar w:fldCharType="end"/>
      </w:r>
      <w:r w:rsidR="00806A17" w:rsidRPr="00BB2C99">
        <w:rPr>
          <w:rStyle w:val="NormalChar"/>
        </w:rPr>
        <w:t xml:space="preserve"> and explained in </w:t>
      </w:r>
      <w:r w:rsidR="00BB2C99">
        <w:rPr>
          <w:rStyle w:val="NormalChar"/>
        </w:rPr>
        <w:t>Table 1</w:t>
      </w:r>
      <w:r w:rsidR="006E6045">
        <w:rPr>
          <w:rStyle w:val="NormalChar"/>
        </w:rPr>
        <w:t>7</w:t>
      </w:r>
      <w:r w:rsidR="00BB2C99">
        <w:rPr>
          <w:rStyle w:val="NormalChar"/>
        </w:rPr>
        <w:t>.</w:t>
      </w:r>
    </w:p>
    <w:p w14:paraId="211FF955" w14:textId="28BD195B" w:rsidR="00BB2C99" w:rsidRDefault="00BB2C99" w:rsidP="00BB2C99">
      <w:pPr>
        <w:pStyle w:val="Caption"/>
      </w:pPr>
      <w:bookmarkStart w:id="112" w:name="_Ref515442779"/>
      <w:bookmarkStart w:id="113" w:name="_Toc524354048"/>
      <w:r>
        <w:t xml:space="preserve">Figure </w:t>
      </w:r>
      <w:r>
        <w:rPr>
          <w:noProof/>
        </w:rPr>
        <w:fldChar w:fldCharType="begin"/>
      </w:r>
      <w:r>
        <w:rPr>
          <w:noProof/>
        </w:rPr>
        <w:instrText xml:space="preserve"> SEQ Figure \* ARABIC </w:instrText>
      </w:r>
      <w:r>
        <w:rPr>
          <w:noProof/>
        </w:rPr>
        <w:fldChar w:fldCharType="separate"/>
      </w:r>
      <w:r w:rsidR="00A07703">
        <w:rPr>
          <w:noProof/>
        </w:rPr>
        <w:t>9</w:t>
      </w:r>
      <w:r>
        <w:rPr>
          <w:noProof/>
        </w:rPr>
        <w:fldChar w:fldCharType="end"/>
      </w:r>
      <w:bookmarkEnd w:id="112"/>
      <w:r>
        <w:t xml:space="preserve">: </w:t>
      </w:r>
      <w:r w:rsidR="00FF3947">
        <w:t>Compliance mechanisms</w:t>
      </w:r>
      <w:bookmarkEnd w:id="113"/>
    </w:p>
    <w:p w14:paraId="077F8EBE" w14:textId="7EC101A3" w:rsidR="00806A17" w:rsidRDefault="00806A17" w:rsidP="00105FDC">
      <w:pPr>
        <w:pStyle w:val="Caption"/>
        <w:tabs>
          <w:tab w:val="clear" w:pos="851"/>
        </w:tabs>
        <w:ind w:left="0"/>
      </w:pPr>
      <w:bookmarkStart w:id="114" w:name="_Ref477181363"/>
      <w:r>
        <w:rPr>
          <w:noProof/>
          <w:color w:val="4D4D4D"/>
          <w:kern w:val="28"/>
          <w:sz w:val="30"/>
          <w:lang w:val="en-US" w:eastAsia="en-US"/>
        </w:rPr>
        <w:drawing>
          <wp:inline distT="0" distB="0" distL="0" distR="0" wp14:anchorId="62E5615D" wp14:editId="065DD479">
            <wp:extent cx="6619875" cy="3800475"/>
            <wp:effectExtent l="0" t="57150" r="0" b="104775"/>
            <wp:docPr id="11" name="Diagram 1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1" r:lo="rId32" r:qs="rId33" r:cs="rId34"/>
              </a:graphicData>
            </a:graphic>
          </wp:inline>
        </w:drawing>
      </w:r>
    </w:p>
    <w:p w14:paraId="32743E24" w14:textId="277D430B" w:rsidR="00D26C10" w:rsidRDefault="00D26C10" w:rsidP="00D26C10">
      <w:pPr>
        <w:pStyle w:val="Caption"/>
      </w:pPr>
      <w:bookmarkStart w:id="115" w:name="_Toc524354010"/>
      <w:r>
        <w:t xml:space="preserve">Table </w:t>
      </w:r>
      <w:r w:rsidR="002407F7">
        <w:rPr>
          <w:noProof/>
        </w:rPr>
        <w:fldChar w:fldCharType="begin"/>
      </w:r>
      <w:r w:rsidR="002407F7">
        <w:rPr>
          <w:noProof/>
        </w:rPr>
        <w:instrText xml:space="preserve"> SEQ Table \* ARABIC </w:instrText>
      </w:r>
      <w:r w:rsidR="002407F7">
        <w:rPr>
          <w:noProof/>
        </w:rPr>
        <w:fldChar w:fldCharType="separate"/>
      </w:r>
      <w:r w:rsidR="00A07703">
        <w:rPr>
          <w:noProof/>
        </w:rPr>
        <w:t>17</w:t>
      </w:r>
      <w:r w:rsidR="002407F7">
        <w:rPr>
          <w:noProof/>
        </w:rPr>
        <w:fldChar w:fldCharType="end"/>
      </w:r>
      <w:bookmarkEnd w:id="114"/>
      <w:r>
        <w:t>: Monitoring compliance with VGPB policies</w:t>
      </w:r>
      <w:bookmarkEnd w:id="115"/>
    </w:p>
    <w:tbl>
      <w:tblPr>
        <w:tblStyle w:val="ListTable31"/>
        <w:tblW w:w="8930" w:type="dxa"/>
        <w:tblInd w:w="704" w:type="dxa"/>
        <w:tblLook w:val="04A0" w:firstRow="1" w:lastRow="0" w:firstColumn="1" w:lastColumn="0" w:noHBand="0" w:noVBand="1"/>
      </w:tblPr>
      <w:tblGrid>
        <w:gridCol w:w="2268"/>
        <w:gridCol w:w="6662"/>
      </w:tblGrid>
      <w:tr w:rsidR="00F10C7B" w:rsidRPr="00603BC0" w14:paraId="72DEF8AE" w14:textId="77777777" w:rsidTr="00105FD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268" w:type="dxa"/>
          </w:tcPr>
          <w:p w14:paraId="3080C358" w14:textId="584FB6A0" w:rsidR="00D26C10" w:rsidRPr="00603BC0" w:rsidRDefault="00F10C7B" w:rsidP="00603BC0">
            <w:pPr>
              <w:pStyle w:val="TableHeader"/>
            </w:pPr>
            <w:r w:rsidRPr="00603BC0">
              <w:t>Compliance m</w:t>
            </w:r>
            <w:r w:rsidR="00D26C10" w:rsidRPr="00603BC0">
              <w:t>echanism</w:t>
            </w:r>
          </w:p>
        </w:tc>
        <w:tc>
          <w:tcPr>
            <w:tcW w:w="6662" w:type="dxa"/>
          </w:tcPr>
          <w:p w14:paraId="56D2DFC2" w14:textId="77777777" w:rsidR="00D26C10" w:rsidRPr="00603BC0" w:rsidRDefault="00D26C10" w:rsidP="00603BC0">
            <w:pPr>
              <w:pStyle w:val="TableHeader"/>
              <w:cnfStyle w:val="100000000000" w:firstRow="1" w:lastRow="0" w:firstColumn="0" w:lastColumn="0" w:oddVBand="0" w:evenVBand="0" w:oddHBand="0" w:evenHBand="0" w:firstRowFirstColumn="0" w:firstRowLastColumn="0" w:lastRowFirstColumn="0" w:lastRowLastColumn="0"/>
            </w:pPr>
            <w:r w:rsidRPr="00603BC0">
              <w:t xml:space="preserve">Details </w:t>
            </w:r>
          </w:p>
        </w:tc>
      </w:tr>
      <w:tr w:rsidR="00955AF3" w14:paraId="7DC4F5B8" w14:textId="77777777" w:rsidTr="00105F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14:paraId="43FE49CB" w14:textId="07336239" w:rsidR="00955AF3" w:rsidRPr="00955AF3" w:rsidRDefault="00955AF3" w:rsidP="00955AF3">
            <w:pPr>
              <w:pStyle w:val="TableText"/>
            </w:pPr>
            <w:r w:rsidRPr="00955AF3">
              <w:t>Annual supply report (ASR)</w:t>
            </w:r>
          </w:p>
        </w:tc>
        <w:tc>
          <w:tcPr>
            <w:tcW w:w="6662" w:type="dxa"/>
          </w:tcPr>
          <w:p w14:paraId="0D61D8C0" w14:textId="0FB6EFCE" w:rsidR="00955AF3" w:rsidRPr="00955AF3" w:rsidRDefault="00955AF3" w:rsidP="00955AF3">
            <w:pPr>
              <w:pStyle w:val="TableText"/>
              <w:cnfStyle w:val="000000100000" w:firstRow="0" w:lastRow="0" w:firstColumn="0" w:lastColumn="0" w:oddVBand="0" w:evenVBand="0" w:oddHBand="1" w:evenHBand="0" w:firstRowFirstColumn="0" w:firstRowLastColumn="0" w:lastRowFirstColumn="0" w:lastRowLastColumn="0"/>
            </w:pPr>
            <w:r w:rsidRPr="00955AF3">
              <w:t>Organisations submit an ASR to the VGPB at the end of each financial year summarising their procur</w:t>
            </w:r>
            <w:r w:rsidR="00343445">
              <w:t>ement activity, performance measure results</w:t>
            </w:r>
            <w:r w:rsidRPr="00955AF3">
              <w:t>, actions taken to ensure compliance and instances of non-compliance.</w:t>
            </w:r>
          </w:p>
        </w:tc>
      </w:tr>
      <w:tr w:rsidR="004B7DDB" w14:paraId="5B39C2D1" w14:textId="77777777" w:rsidTr="00105FDC">
        <w:tc>
          <w:tcPr>
            <w:cnfStyle w:val="001000000000" w:firstRow="0" w:lastRow="0" w:firstColumn="1" w:lastColumn="0" w:oddVBand="0" w:evenVBand="0" w:oddHBand="0" w:evenHBand="0" w:firstRowFirstColumn="0" w:firstRowLastColumn="0" w:lastRowFirstColumn="0" w:lastRowLastColumn="0"/>
            <w:tcW w:w="2268" w:type="dxa"/>
          </w:tcPr>
          <w:p w14:paraId="54B3CD3A" w14:textId="77777777" w:rsidR="004B7DDB" w:rsidRPr="00955AF3" w:rsidRDefault="004B7DDB" w:rsidP="00955AF3">
            <w:pPr>
              <w:pStyle w:val="TableText"/>
            </w:pPr>
            <w:r w:rsidRPr="00955AF3">
              <w:t>Performance measures</w:t>
            </w:r>
          </w:p>
        </w:tc>
        <w:tc>
          <w:tcPr>
            <w:tcW w:w="6662" w:type="dxa"/>
          </w:tcPr>
          <w:p w14:paraId="10D52003" w14:textId="445B7F79" w:rsidR="004B7DDB" w:rsidRPr="00955AF3" w:rsidRDefault="00A52D9D" w:rsidP="00955AF3">
            <w:pPr>
              <w:pStyle w:val="TableText"/>
              <w:cnfStyle w:val="000000000000" w:firstRow="0" w:lastRow="0" w:firstColumn="0" w:lastColumn="0" w:oddVBand="0" w:evenVBand="0" w:oddHBand="0" w:evenHBand="0" w:firstRowFirstColumn="0" w:firstRowLastColumn="0" w:lastRowFirstColumn="0" w:lastRowLastColumn="0"/>
            </w:pPr>
            <w:r w:rsidRPr="00955AF3">
              <w:t xml:space="preserve">Organisations monitor performance against six </w:t>
            </w:r>
            <w:r w:rsidR="009D1EAB">
              <w:t xml:space="preserve">common </w:t>
            </w:r>
            <w:r w:rsidRPr="00955AF3">
              <w:t xml:space="preserve">performance measures and report results in their </w:t>
            </w:r>
            <w:r w:rsidR="00182E0D">
              <w:t>ASR</w:t>
            </w:r>
            <w:r w:rsidR="00955AF3" w:rsidRPr="00955AF3">
              <w:t>.</w:t>
            </w:r>
          </w:p>
        </w:tc>
      </w:tr>
      <w:tr w:rsidR="00D26C10" w14:paraId="67883979" w14:textId="77777777" w:rsidTr="00105F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14:paraId="6EF717EE" w14:textId="77777777" w:rsidR="00D26C10" w:rsidRPr="00955AF3" w:rsidRDefault="00D26C10" w:rsidP="00955AF3">
            <w:pPr>
              <w:pStyle w:val="TableText"/>
            </w:pPr>
            <w:r w:rsidRPr="00955AF3">
              <w:t>Audit program</w:t>
            </w:r>
          </w:p>
        </w:tc>
        <w:tc>
          <w:tcPr>
            <w:tcW w:w="6662" w:type="dxa"/>
          </w:tcPr>
          <w:p w14:paraId="185DF4E2" w14:textId="4EEEF674" w:rsidR="00D26C10" w:rsidRPr="00955AF3" w:rsidRDefault="00A52D9D" w:rsidP="00955AF3">
            <w:pPr>
              <w:pStyle w:val="TableText"/>
              <w:cnfStyle w:val="000000100000" w:firstRow="0" w:lastRow="0" w:firstColumn="0" w:lastColumn="0" w:oddVBand="0" w:evenVBand="0" w:oddHBand="1" w:evenHBand="0" w:firstRowFirstColumn="0" w:firstRowLastColumn="0" w:lastRowFirstColumn="0" w:lastRowLastColumn="0"/>
            </w:pPr>
            <w:r w:rsidRPr="00955AF3">
              <w:t xml:space="preserve">Organisations audit </w:t>
            </w:r>
            <w:r w:rsidR="00D26C10" w:rsidRPr="00955AF3">
              <w:t>compliance with VGPB policies and subm</w:t>
            </w:r>
            <w:r w:rsidRPr="00955AF3">
              <w:t>it an audit report to the VGPB</w:t>
            </w:r>
            <w:r w:rsidR="002E7920" w:rsidRPr="00955AF3">
              <w:t xml:space="preserve"> every three years</w:t>
            </w:r>
            <w:r w:rsidR="00955AF3" w:rsidRPr="00955AF3">
              <w:t>.</w:t>
            </w:r>
          </w:p>
        </w:tc>
      </w:tr>
      <w:tr w:rsidR="00D26C10" w14:paraId="2B5645D3" w14:textId="77777777" w:rsidTr="00105FDC">
        <w:tc>
          <w:tcPr>
            <w:cnfStyle w:val="001000000000" w:firstRow="0" w:lastRow="0" w:firstColumn="1" w:lastColumn="0" w:oddVBand="0" w:evenVBand="0" w:oddHBand="0" w:evenHBand="0" w:firstRowFirstColumn="0" w:firstRowLastColumn="0" w:lastRowFirstColumn="0" w:lastRowLastColumn="0"/>
            <w:tcW w:w="2268" w:type="dxa"/>
          </w:tcPr>
          <w:p w14:paraId="294537A9" w14:textId="7E00560A" w:rsidR="00D26C10" w:rsidRPr="00955AF3" w:rsidRDefault="00012F2B" w:rsidP="00955AF3">
            <w:pPr>
              <w:pStyle w:val="TableText"/>
            </w:pPr>
            <w:r>
              <w:t xml:space="preserve">Engagement </w:t>
            </w:r>
          </w:p>
        </w:tc>
        <w:tc>
          <w:tcPr>
            <w:tcW w:w="6662" w:type="dxa"/>
          </w:tcPr>
          <w:p w14:paraId="5F751FEA" w14:textId="6BDA9653" w:rsidR="00D26C10" w:rsidRPr="00955AF3" w:rsidRDefault="00012F2B" w:rsidP="00955AF3">
            <w:pPr>
              <w:pStyle w:val="TableText"/>
              <w:cnfStyle w:val="000000000000" w:firstRow="0" w:lastRow="0" w:firstColumn="0" w:lastColumn="0" w:oddVBand="0" w:evenVBand="0" w:oddHBand="0" w:evenHBand="0" w:firstRowFirstColumn="0" w:firstRowLastColumn="0" w:lastRowFirstColumn="0" w:lastRowLastColumn="0"/>
            </w:pPr>
            <w:r w:rsidRPr="00012F2B">
              <w:t>The VGPB</w:t>
            </w:r>
            <w:r>
              <w:t xml:space="preserve">’s former oversight process is being </w:t>
            </w:r>
            <w:r w:rsidRPr="00012F2B">
              <w:t>replace</w:t>
            </w:r>
            <w:r>
              <w:t>d</w:t>
            </w:r>
            <w:r w:rsidRPr="00012F2B">
              <w:t xml:space="preserve"> with a </w:t>
            </w:r>
            <w:r w:rsidR="00C4058F">
              <w:t>revised</w:t>
            </w:r>
            <w:r w:rsidR="00C4058F" w:rsidRPr="00012F2B">
              <w:t xml:space="preserve"> </w:t>
            </w:r>
            <w:r w:rsidRPr="00012F2B">
              <w:t>engagement model</w:t>
            </w:r>
            <w:r w:rsidR="00C4058F">
              <w:t xml:space="preserve"> designed to be more efficient</w:t>
            </w:r>
            <w:r w:rsidRPr="00012F2B">
              <w:t xml:space="preserve">. The engagement model is currently being developed and will be rolled out in 2018–19. </w:t>
            </w:r>
          </w:p>
        </w:tc>
      </w:tr>
      <w:tr w:rsidR="00340D2B" w14:paraId="7856FDAD" w14:textId="77777777" w:rsidTr="00105F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14:paraId="6C832B43" w14:textId="77777777" w:rsidR="00340D2B" w:rsidRPr="00955AF3" w:rsidRDefault="00340D2B" w:rsidP="00955AF3">
            <w:pPr>
              <w:pStyle w:val="TableText"/>
            </w:pPr>
            <w:r w:rsidRPr="00955AF3">
              <w:t>Complaints management</w:t>
            </w:r>
          </w:p>
        </w:tc>
        <w:tc>
          <w:tcPr>
            <w:tcW w:w="6662" w:type="dxa"/>
          </w:tcPr>
          <w:p w14:paraId="7F1F8C51" w14:textId="38D4351D" w:rsidR="00340D2B" w:rsidRPr="00955AF3" w:rsidRDefault="00340D2B" w:rsidP="00955AF3">
            <w:pPr>
              <w:pStyle w:val="TableText"/>
              <w:cnfStyle w:val="000000100000" w:firstRow="0" w:lastRow="0" w:firstColumn="0" w:lastColumn="0" w:oddVBand="0" w:evenVBand="0" w:oddHBand="1" w:evenHBand="0" w:firstRowFirstColumn="0" w:firstRowLastColumn="0" w:lastRowFirstColumn="0" w:lastRowLastColumn="0"/>
            </w:pPr>
            <w:r w:rsidRPr="00955AF3">
              <w:t>Organisations maintain a complaints management system for supplier complaints related to the process and probity applied during a procurement activity. Organisations provide det</w:t>
            </w:r>
            <w:r w:rsidR="00955AF3" w:rsidRPr="00955AF3">
              <w:t>ails of complaints in their ASR.</w:t>
            </w:r>
          </w:p>
        </w:tc>
      </w:tr>
      <w:tr w:rsidR="00A52D9D" w14:paraId="45C3DC9F" w14:textId="77777777" w:rsidTr="00105FDC">
        <w:tc>
          <w:tcPr>
            <w:cnfStyle w:val="001000000000" w:firstRow="0" w:lastRow="0" w:firstColumn="1" w:lastColumn="0" w:oddVBand="0" w:evenVBand="0" w:oddHBand="0" w:evenHBand="0" w:firstRowFirstColumn="0" w:firstRowLastColumn="0" w:lastRowFirstColumn="0" w:lastRowLastColumn="0"/>
            <w:tcW w:w="2268" w:type="dxa"/>
          </w:tcPr>
          <w:p w14:paraId="6B14D0BF" w14:textId="77777777" w:rsidR="00A52D9D" w:rsidRPr="00955AF3" w:rsidRDefault="00A52D9D" w:rsidP="00955AF3">
            <w:pPr>
              <w:pStyle w:val="TableText"/>
            </w:pPr>
            <w:r w:rsidRPr="00955AF3">
              <w:t>Review of procurement activity plans</w:t>
            </w:r>
          </w:p>
        </w:tc>
        <w:tc>
          <w:tcPr>
            <w:tcW w:w="6662" w:type="dxa"/>
          </w:tcPr>
          <w:p w14:paraId="18992241" w14:textId="40479D4F" w:rsidR="00A52D9D" w:rsidRPr="00955AF3" w:rsidRDefault="00A52D9D" w:rsidP="00955AF3">
            <w:pPr>
              <w:pStyle w:val="TableText"/>
              <w:cnfStyle w:val="000000000000" w:firstRow="0" w:lastRow="0" w:firstColumn="0" w:lastColumn="0" w:oddVBand="0" w:evenVBand="0" w:oddHBand="0" w:evenHBand="0" w:firstRowFirstColumn="0" w:firstRowLastColumn="0" w:lastRowFirstColumn="0" w:lastRowLastColumn="0"/>
            </w:pPr>
            <w:r w:rsidRPr="00955AF3">
              <w:t>Organisations submit procurement activity plans every year for review by the VGPB</w:t>
            </w:r>
            <w:r w:rsidR="00955AF3" w:rsidRPr="00955AF3">
              <w:t>.</w:t>
            </w:r>
          </w:p>
        </w:tc>
      </w:tr>
    </w:tbl>
    <w:p w14:paraId="1DB0B51D" w14:textId="77777777" w:rsidR="0055120B" w:rsidRDefault="0055120B">
      <w:pPr>
        <w:rPr>
          <w:rFonts w:ascii="Calibri" w:hAnsi="Calibri" w:cs="Calibri"/>
          <w:color w:val="4D4D4D"/>
          <w:kern w:val="28"/>
          <w:sz w:val="30"/>
          <w:szCs w:val="22"/>
          <w:lang w:eastAsia="en-US"/>
        </w:rPr>
      </w:pPr>
      <w:r>
        <w:br w:type="page"/>
      </w:r>
    </w:p>
    <w:p w14:paraId="117A1879" w14:textId="4F662BF2" w:rsidR="00C70295" w:rsidRPr="00D250C9" w:rsidRDefault="009D1EAB" w:rsidP="00C70295">
      <w:pPr>
        <w:pStyle w:val="Heading2NoNum"/>
      </w:pPr>
      <w:bookmarkStart w:id="116" w:name="_Toc524354074"/>
      <w:r w:rsidRPr="00D250C9">
        <w:lastRenderedPageBreak/>
        <w:t>P</w:t>
      </w:r>
      <w:r>
        <w:t>erformance</w:t>
      </w:r>
      <w:r w:rsidRPr="00D250C9">
        <w:t xml:space="preserve"> </w:t>
      </w:r>
      <w:r w:rsidR="00C70295" w:rsidRPr="00D250C9">
        <w:t>measures</w:t>
      </w:r>
      <w:bookmarkEnd w:id="116"/>
    </w:p>
    <w:p w14:paraId="2D22E8C3" w14:textId="15B04449" w:rsidR="003B0168" w:rsidRDefault="00EF4510" w:rsidP="00EF4510">
      <w:pPr>
        <w:pStyle w:val="Normal1"/>
        <w:rPr>
          <w:lang w:val="en-US"/>
        </w:rPr>
      </w:pPr>
      <w:r w:rsidRPr="00EF4510">
        <w:rPr>
          <w:lang w:val="en-US"/>
        </w:rPr>
        <w:t xml:space="preserve">Organisations track their </w:t>
      </w:r>
      <w:r w:rsidR="00C4058F">
        <w:rPr>
          <w:lang w:val="en-US"/>
        </w:rPr>
        <w:t xml:space="preserve">procurement </w:t>
      </w:r>
      <w:r w:rsidRPr="00EF4510">
        <w:rPr>
          <w:lang w:val="en-US"/>
        </w:rPr>
        <w:t>performance each year using six performance measures. We are in our third year of reporting</w:t>
      </w:r>
      <w:r w:rsidR="003B0168">
        <w:rPr>
          <w:lang w:val="en-US"/>
        </w:rPr>
        <w:t xml:space="preserve"> and results are listed in </w:t>
      </w:r>
      <w:r w:rsidR="003B0168" w:rsidRPr="00012F2B">
        <w:rPr>
          <w:lang w:val="en-US"/>
        </w:rPr>
        <w:fldChar w:fldCharType="begin"/>
      </w:r>
      <w:r w:rsidR="003B0168" w:rsidRPr="00012F2B">
        <w:rPr>
          <w:lang w:val="en-US"/>
        </w:rPr>
        <w:instrText xml:space="preserve"> REF _Ref457122529 \h </w:instrText>
      </w:r>
      <w:r w:rsidR="003B0168">
        <w:rPr>
          <w:lang w:val="en-US"/>
        </w:rPr>
        <w:instrText xml:space="preserve"> \* MERGEFORMAT </w:instrText>
      </w:r>
      <w:r w:rsidR="003B0168" w:rsidRPr="00012F2B">
        <w:rPr>
          <w:lang w:val="en-US"/>
        </w:rPr>
      </w:r>
      <w:r w:rsidR="003B0168" w:rsidRPr="00012F2B">
        <w:rPr>
          <w:lang w:val="en-US"/>
        </w:rPr>
        <w:fldChar w:fldCharType="separate"/>
      </w:r>
      <w:r w:rsidR="00A07703" w:rsidRPr="00FE1F84">
        <w:t xml:space="preserve">Table </w:t>
      </w:r>
      <w:r w:rsidR="00A07703">
        <w:rPr>
          <w:noProof/>
        </w:rPr>
        <w:t>18</w:t>
      </w:r>
      <w:r w:rsidR="003B0168" w:rsidRPr="00012F2B">
        <w:rPr>
          <w:lang w:val="en-US"/>
        </w:rPr>
        <w:fldChar w:fldCharType="end"/>
      </w:r>
      <w:r w:rsidRPr="00EF4510">
        <w:rPr>
          <w:lang w:val="en-US"/>
        </w:rPr>
        <w:t>.</w:t>
      </w:r>
    </w:p>
    <w:p w14:paraId="26F381DB" w14:textId="7BBDE74D" w:rsidR="00182E0D" w:rsidRPr="00012F2B" w:rsidRDefault="0070033A" w:rsidP="00EF4510">
      <w:pPr>
        <w:pStyle w:val="Normal1"/>
        <w:rPr>
          <w:lang w:val="en-US"/>
        </w:rPr>
      </w:pPr>
      <w:r>
        <w:rPr>
          <w:lang w:val="en-US"/>
        </w:rPr>
        <w:t>I</w:t>
      </w:r>
      <w:r w:rsidR="00EF4510" w:rsidRPr="00EF4510">
        <w:rPr>
          <w:lang w:val="en-US"/>
        </w:rPr>
        <w:t xml:space="preserve">n consultation with CPOs, we </w:t>
      </w:r>
      <w:r w:rsidR="003B0168">
        <w:rPr>
          <w:lang w:val="en-US"/>
        </w:rPr>
        <w:t xml:space="preserve">continue to </w:t>
      </w:r>
      <w:r w:rsidR="00EF4510" w:rsidRPr="00EF4510">
        <w:rPr>
          <w:lang w:val="en-US"/>
        </w:rPr>
        <w:t>re</w:t>
      </w:r>
      <w:r w:rsidR="00EF4510" w:rsidRPr="00012F2B">
        <w:rPr>
          <w:lang w:val="en-US"/>
        </w:rPr>
        <w:t xml:space="preserve">fine the </w:t>
      </w:r>
      <w:r w:rsidR="00105FDC" w:rsidRPr="00012F2B">
        <w:rPr>
          <w:lang w:val="en-US"/>
        </w:rPr>
        <w:t>method</w:t>
      </w:r>
      <w:r w:rsidR="00105FDC">
        <w:rPr>
          <w:lang w:val="en-US"/>
        </w:rPr>
        <w:t xml:space="preserve">ology </w:t>
      </w:r>
      <w:r w:rsidR="00EF4510" w:rsidRPr="00012F2B">
        <w:rPr>
          <w:lang w:val="en-US"/>
        </w:rPr>
        <w:t xml:space="preserve">used to calculate performance measures to </w:t>
      </w:r>
      <w:r w:rsidR="003B0168">
        <w:rPr>
          <w:lang w:val="en-US"/>
        </w:rPr>
        <w:t>increase</w:t>
      </w:r>
      <w:r w:rsidR="00EF4510" w:rsidRPr="00012F2B">
        <w:rPr>
          <w:lang w:val="en-US"/>
        </w:rPr>
        <w:t xml:space="preserve"> consisten</w:t>
      </w:r>
      <w:r w:rsidR="003B0168">
        <w:rPr>
          <w:lang w:val="en-US"/>
        </w:rPr>
        <w:t>cy</w:t>
      </w:r>
      <w:r w:rsidR="00EF4510" w:rsidRPr="00012F2B">
        <w:rPr>
          <w:lang w:val="en-US"/>
        </w:rPr>
        <w:t xml:space="preserve">. </w:t>
      </w:r>
      <w:r w:rsidR="001C758F" w:rsidRPr="00012F2B">
        <w:t xml:space="preserve">Refer to </w:t>
      </w:r>
      <w:r w:rsidR="001C758F" w:rsidRPr="00012F2B">
        <w:fldChar w:fldCharType="begin"/>
      </w:r>
      <w:r w:rsidR="001C758F" w:rsidRPr="00012F2B">
        <w:instrText xml:space="preserve"> REF _Ref477188393 \h  \* MERGEFORMAT </w:instrText>
      </w:r>
      <w:r w:rsidR="001C758F" w:rsidRPr="00012F2B">
        <w:fldChar w:fldCharType="separate"/>
      </w:r>
      <w:r w:rsidR="00A07703" w:rsidRPr="00CD6245">
        <w:t xml:space="preserve">Table </w:t>
      </w:r>
      <w:r w:rsidR="00A07703">
        <w:rPr>
          <w:noProof/>
        </w:rPr>
        <w:t>23</w:t>
      </w:r>
      <w:r w:rsidR="001C758F" w:rsidRPr="00012F2B">
        <w:fldChar w:fldCharType="end"/>
      </w:r>
      <w:r w:rsidR="001C758F" w:rsidRPr="00012F2B">
        <w:t xml:space="preserve"> in the next section for </w:t>
      </w:r>
      <w:r w:rsidR="003B0168">
        <w:t>a description of</w:t>
      </w:r>
      <w:r w:rsidR="001C758F" w:rsidRPr="00012F2B">
        <w:t xml:space="preserve"> </w:t>
      </w:r>
      <w:r w:rsidR="003B0168">
        <w:t xml:space="preserve">how organisations </w:t>
      </w:r>
      <w:r w:rsidR="001C758F" w:rsidRPr="00012F2B">
        <w:t>calculate results.</w:t>
      </w:r>
    </w:p>
    <w:p w14:paraId="4C29A383" w14:textId="5135D7AA" w:rsidR="00D83B04" w:rsidRPr="00D250C9" w:rsidRDefault="00D83B04" w:rsidP="00E41631">
      <w:pPr>
        <w:pStyle w:val="Normal1"/>
      </w:pPr>
      <w:r w:rsidRPr="00D250C9">
        <w:t xml:space="preserve">More information on </w:t>
      </w:r>
      <w:r w:rsidR="009D1EAB">
        <w:t xml:space="preserve">organisational </w:t>
      </w:r>
      <w:r w:rsidRPr="00D250C9">
        <w:t>performance</w:t>
      </w:r>
      <w:r w:rsidR="00C4058F">
        <w:t>,</w:t>
      </w:r>
      <w:r w:rsidRPr="00D250C9">
        <w:t xml:space="preserve"> including a comparison with</w:t>
      </w:r>
      <w:r w:rsidR="00182E0D">
        <w:t xml:space="preserve"> </w:t>
      </w:r>
      <w:r w:rsidR="003B0168">
        <w:t>year one and two</w:t>
      </w:r>
      <w:r w:rsidRPr="00D250C9">
        <w:t xml:space="preserve"> </w:t>
      </w:r>
      <w:r w:rsidR="00C9672A">
        <w:t>results</w:t>
      </w:r>
      <w:r w:rsidR="00C4058F">
        <w:t>,</w:t>
      </w:r>
      <w:r w:rsidR="009D1EAB">
        <w:t xml:space="preserve"> </w:t>
      </w:r>
      <w:r w:rsidRPr="00D250C9">
        <w:t xml:space="preserve">can be found under each of the </w:t>
      </w:r>
      <w:r w:rsidR="009D1EAB">
        <w:t>organisation</w:t>
      </w:r>
      <w:r w:rsidR="009D1EAB" w:rsidRPr="00D250C9">
        <w:t xml:space="preserve">al </w:t>
      </w:r>
      <w:r w:rsidRPr="00D250C9">
        <w:t>profiles in the next section.</w:t>
      </w:r>
    </w:p>
    <w:p w14:paraId="0755DD40" w14:textId="47320221" w:rsidR="00C70295" w:rsidRDefault="00C70295" w:rsidP="00C70295">
      <w:pPr>
        <w:pStyle w:val="Caption"/>
      </w:pPr>
      <w:bookmarkStart w:id="117" w:name="_Ref457122529"/>
      <w:bookmarkStart w:id="118" w:name="_Toc524354011"/>
      <w:r w:rsidRPr="00FE1F84">
        <w:t xml:space="preserve">Table </w:t>
      </w:r>
      <w:r w:rsidR="002407F7">
        <w:rPr>
          <w:noProof/>
        </w:rPr>
        <w:fldChar w:fldCharType="begin"/>
      </w:r>
      <w:r w:rsidR="002407F7">
        <w:rPr>
          <w:noProof/>
        </w:rPr>
        <w:instrText xml:space="preserve"> SEQ Table \* ARABIC </w:instrText>
      </w:r>
      <w:r w:rsidR="002407F7">
        <w:rPr>
          <w:noProof/>
        </w:rPr>
        <w:fldChar w:fldCharType="separate"/>
      </w:r>
      <w:r w:rsidR="00A07703">
        <w:rPr>
          <w:noProof/>
        </w:rPr>
        <w:t>18</w:t>
      </w:r>
      <w:r w:rsidR="002407F7">
        <w:rPr>
          <w:noProof/>
        </w:rPr>
        <w:fldChar w:fldCharType="end"/>
      </w:r>
      <w:bookmarkEnd w:id="117"/>
      <w:r w:rsidRPr="00FE1F84">
        <w:t xml:space="preserve">: </w:t>
      </w:r>
      <w:r w:rsidR="003B0168">
        <w:t>Summary of p</w:t>
      </w:r>
      <w:r w:rsidRPr="00FE1F84">
        <w:t>erformance measure results in 201</w:t>
      </w:r>
      <w:r w:rsidR="00E44B42">
        <w:t>7–18</w:t>
      </w:r>
      <w:bookmarkEnd w:id="118"/>
    </w:p>
    <w:tbl>
      <w:tblPr>
        <w:tblStyle w:val="ListTable31"/>
        <w:tblW w:w="9760" w:type="dxa"/>
        <w:tblInd w:w="250" w:type="dxa"/>
        <w:tblLook w:val="04A0" w:firstRow="1" w:lastRow="0" w:firstColumn="1" w:lastColumn="0" w:noHBand="0" w:noVBand="1"/>
      </w:tblPr>
      <w:tblGrid>
        <w:gridCol w:w="318"/>
        <w:gridCol w:w="1775"/>
        <w:gridCol w:w="683"/>
        <w:gridCol w:w="772"/>
        <w:gridCol w:w="683"/>
        <w:gridCol w:w="689"/>
        <w:gridCol w:w="683"/>
        <w:gridCol w:w="683"/>
        <w:gridCol w:w="683"/>
        <w:gridCol w:w="571"/>
        <w:gridCol w:w="814"/>
        <w:gridCol w:w="683"/>
        <w:gridCol w:w="723"/>
      </w:tblGrid>
      <w:tr w:rsidR="00011197" w:rsidRPr="00C9672A" w14:paraId="20E5B46B" w14:textId="77777777" w:rsidTr="00011197">
        <w:trPr>
          <w:cnfStyle w:val="100000000000" w:firstRow="1" w:lastRow="0" w:firstColumn="0" w:lastColumn="0" w:oddVBand="0" w:evenVBand="0" w:oddHBand="0" w:evenHBand="0" w:firstRowFirstColumn="0" w:firstRowLastColumn="0" w:lastRowFirstColumn="0" w:lastRowLastColumn="0"/>
          <w:trHeight w:val="1134"/>
        </w:trPr>
        <w:tc>
          <w:tcPr>
            <w:cnfStyle w:val="001000000100" w:firstRow="0" w:lastRow="0" w:firstColumn="1" w:lastColumn="0" w:oddVBand="0" w:evenVBand="0" w:oddHBand="0" w:evenHBand="0" w:firstRowFirstColumn="1" w:firstRowLastColumn="0" w:lastRowFirstColumn="0" w:lastRowLastColumn="0"/>
            <w:tcW w:w="2093" w:type="dxa"/>
            <w:gridSpan w:val="2"/>
          </w:tcPr>
          <w:p w14:paraId="2EFA9FA1" w14:textId="77777777" w:rsidR="00011197" w:rsidRPr="00DE6307" w:rsidRDefault="00011197" w:rsidP="005B2F15">
            <w:pPr>
              <w:pStyle w:val="TableHeader"/>
            </w:pPr>
            <w:r w:rsidRPr="00DE6307">
              <w:t>Performance measure</w:t>
            </w:r>
          </w:p>
        </w:tc>
        <w:tc>
          <w:tcPr>
            <w:tcW w:w="683" w:type="dxa"/>
            <w:textDirection w:val="btLr"/>
          </w:tcPr>
          <w:p w14:paraId="7EE53BA9" w14:textId="77777777" w:rsidR="00011197" w:rsidRPr="00DE6307" w:rsidRDefault="00011197" w:rsidP="005B2F15">
            <w:pPr>
              <w:pStyle w:val="TableHeader"/>
              <w:ind w:left="113" w:right="113"/>
              <w:cnfStyle w:val="100000000000" w:firstRow="1" w:lastRow="0" w:firstColumn="0" w:lastColumn="0" w:oddVBand="0" w:evenVBand="0" w:oddHBand="0" w:evenHBand="0" w:firstRowFirstColumn="0" w:firstRowLastColumn="0" w:lastRowFirstColumn="0" w:lastRowLastColumn="0"/>
              <w:rPr>
                <w:sz w:val="20"/>
                <w:szCs w:val="20"/>
              </w:rPr>
            </w:pPr>
            <w:r w:rsidRPr="00DE6307">
              <w:rPr>
                <w:sz w:val="20"/>
                <w:szCs w:val="20"/>
              </w:rPr>
              <w:t>DEDJTR</w:t>
            </w:r>
          </w:p>
        </w:tc>
        <w:tc>
          <w:tcPr>
            <w:tcW w:w="772" w:type="dxa"/>
            <w:textDirection w:val="btLr"/>
          </w:tcPr>
          <w:p w14:paraId="3B2EB6AF" w14:textId="77777777" w:rsidR="00011197" w:rsidRPr="00DE6307" w:rsidRDefault="00011197" w:rsidP="005B2F15">
            <w:pPr>
              <w:pStyle w:val="TableHeader"/>
              <w:ind w:left="113" w:right="113"/>
              <w:cnfStyle w:val="100000000000" w:firstRow="1" w:lastRow="0" w:firstColumn="0" w:lastColumn="0" w:oddVBand="0" w:evenVBand="0" w:oddHBand="0" w:evenHBand="0" w:firstRowFirstColumn="0" w:firstRowLastColumn="0" w:lastRowFirstColumn="0" w:lastRowLastColumn="0"/>
              <w:rPr>
                <w:sz w:val="20"/>
                <w:szCs w:val="20"/>
              </w:rPr>
            </w:pPr>
            <w:r w:rsidRPr="00DE6307">
              <w:rPr>
                <w:sz w:val="20"/>
                <w:szCs w:val="20"/>
              </w:rPr>
              <w:t>DELWP</w:t>
            </w:r>
          </w:p>
        </w:tc>
        <w:tc>
          <w:tcPr>
            <w:tcW w:w="683" w:type="dxa"/>
            <w:textDirection w:val="btLr"/>
          </w:tcPr>
          <w:p w14:paraId="0A232DD2" w14:textId="77777777" w:rsidR="00011197" w:rsidRPr="00DE6307" w:rsidRDefault="00011197" w:rsidP="005B2F15">
            <w:pPr>
              <w:pStyle w:val="TableHeader"/>
              <w:ind w:left="113" w:right="113"/>
              <w:cnfStyle w:val="100000000000" w:firstRow="1" w:lastRow="0" w:firstColumn="0" w:lastColumn="0" w:oddVBand="0" w:evenVBand="0" w:oddHBand="0" w:evenHBand="0" w:firstRowFirstColumn="0" w:firstRowLastColumn="0" w:lastRowFirstColumn="0" w:lastRowLastColumn="0"/>
              <w:rPr>
                <w:sz w:val="20"/>
                <w:szCs w:val="20"/>
              </w:rPr>
            </w:pPr>
            <w:r w:rsidRPr="00DE6307">
              <w:rPr>
                <w:sz w:val="20"/>
                <w:szCs w:val="20"/>
              </w:rPr>
              <w:t>DET</w:t>
            </w:r>
          </w:p>
        </w:tc>
        <w:tc>
          <w:tcPr>
            <w:tcW w:w="689" w:type="dxa"/>
            <w:textDirection w:val="btLr"/>
          </w:tcPr>
          <w:p w14:paraId="02A18764" w14:textId="77777777" w:rsidR="00011197" w:rsidRPr="00DE6307" w:rsidRDefault="00011197" w:rsidP="005B2F15">
            <w:pPr>
              <w:pStyle w:val="TableHeader"/>
              <w:ind w:left="113" w:right="113"/>
              <w:cnfStyle w:val="100000000000" w:firstRow="1" w:lastRow="0" w:firstColumn="0" w:lastColumn="0" w:oddVBand="0" w:evenVBand="0" w:oddHBand="0" w:evenHBand="0" w:firstRowFirstColumn="0" w:firstRowLastColumn="0" w:lastRowFirstColumn="0" w:lastRowLastColumn="0"/>
              <w:rPr>
                <w:sz w:val="20"/>
                <w:szCs w:val="20"/>
              </w:rPr>
            </w:pPr>
            <w:r w:rsidRPr="00DE6307">
              <w:rPr>
                <w:sz w:val="20"/>
                <w:szCs w:val="20"/>
              </w:rPr>
              <w:t>DHHS</w:t>
            </w:r>
          </w:p>
        </w:tc>
        <w:tc>
          <w:tcPr>
            <w:tcW w:w="683" w:type="dxa"/>
            <w:textDirection w:val="btLr"/>
          </w:tcPr>
          <w:p w14:paraId="09D3C05A" w14:textId="77777777" w:rsidR="00011197" w:rsidRPr="00DE6307" w:rsidRDefault="00011197" w:rsidP="005B2F15">
            <w:pPr>
              <w:pStyle w:val="TableHeader"/>
              <w:ind w:left="113" w:right="113"/>
              <w:cnfStyle w:val="100000000000" w:firstRow="1" w:lastRow="0" w:firstColumn="0" w:lastColumn="0" w:oddVBand="0" w:evenVBand="0" w:oddHBand="0" w:evenHBand="0" w:firstRowFirstColumn="0" w:firstRowLastColumn="0" w:lastRowFirstColumn="0" w:lastRowLastColumn="0"/>
              <w:rPr>
                <w:sz w:val="20"/>
                <w:szCs w:val="20"/>
              </w:rPr>
            </w:pPr>
            <w:r w:rsidRPr="00DE6307">
              <w:rPr>
                <w:sz w:val="20"/>
                <w:szCs w:val="20"/>
              </w:rPr>
              <w:t>DJR</w:t>
            </w:r>
          </w:p>
        </w:tc>
        <w:tc>
          <w:tcPr>
            <w:tcW w:w="683" w:type="dxa"/>
            <w:textDirection w:val="btLr"/>
          </w:tcPr>
          <w:p w14:paraId="1B86F8F1" w14:textId="77777777" w:rsidR="00011197" w:rsidRPr="00DE6307" w:rsidRDefault="00011197" w:rsidP="005B2F15">
            <w:pPr>
              <w:pStyle w:val="TableHeader"/>
              <w:ind w:left="113" w:right="113"/>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DPC</w:t>
            </w:r>
          </w:p>
        </w:tc>
        <w:tc>
          <w:tcPr>
            <w:tcW w:w="683" w:type="dxa"/>
            <w:textDirection w:val="btLr"/>
          </w:tcPr>
          <w:p w14:paraId="24090185" w14:textId="77777777" w:rsidR="00011197" w:rsidRPr="00DE6307" w:rsidRDefault="00011197" w:rsidP="005B2F15">
            <w:pPr>
              <w:pStyle w:val="TableHeader"/>
              <w:ind w:left="113" w:right="113"/>
              <w:cnfStyle w:val="100000000000" w:firstRow="1" w:lastRow="0" w:firstColumn="0" w:lastColumn="0" w:oddVBand="0" w:evenVBand="0" w:oddHBand="0" w:evenHBand="0" w:firstRowFirstColumn="0" w:firstRowLastColumn="0" w:lastRowFirstColumn="0" w:lastRowLastColumn="0"/>
              <w:rPr>
                <w:sz w:val="20"/>
                <w:szCs w:val="20"/>
              </w:rPr>
            </w:pPr>
            <w:r w:rsidRPr="00DE6307">
              <w:rPr>
                <w:sz w:val="20"/>
                <w:szCs w:val="20"/>
              </w:rPr>
              <w:t>D</w:t>
            </w:r>
            <w:r>
              <w:rPr>
                <w:sz w:val="20"/>
                <w:szCs w:val="20"/>
              </w:rPr>
              <w:t>TF</w:t>
            </w:r>
          </w:p>
        </w:tc>
        <w:tc>
          <w:tcPr>
            <w:tcW w:w="571" w:type="dxa"/>
            <w:textDirection w:val="btLr"/>
          </w:tcPr>
          <w:p w14:paraId="4F3668FD" w14:textId="31AD4DC2" w:rsidR="00011197" w:rsidRPr="00DE6307" w:rsidRDefault="00011197" w:rsidP="005B2F15">
            <w:pPr>
              <w:pStyle w:val="TableHeader"/>
              <w:ind w:left="113" w:right="113"/>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CenITex</w:t>
            </w:r>
          </w:p>
        </w:tc>
        <w:tc>
          <w:tcPr>
            <w:tcW w:w="814" w:type="dxa"/>
            <w:tcBorders>
              <w:right w:val="single" w:sz="4" w:space="0" w:color="auto"/>
            </w:tcBorders>
            <w:textDirection w:val="btLr"/>
          </w:tcPr>
          <w:p w14:paraId="023F7F5E" w14:textId="2414DB86" w:rsidR="00011197" w:rsidRPr="00DE6307" w:rsidRDefault="00011197" w:rsidP="005B2F15">
            <w:pPr>
              <w:pStyle w:val="TableHeader"/>
              <w:ind w:left="113" w:right="113"/>
              <w:cnfStyle w:val="100000000000" w:firstRow="1" w:lastRow="0" w:firstColumn="0" w:lastColumn="0" w:oddVBand="0" w:evenVBand="0" w:oddHBand="0" w:evenHBand="0" w:firstRowFirstColumn="0" w:firstRowLastColumn="0" w:lastRowFirstColumn="0" w:lastRowLastColumn="0"/>
              <w:rPr>
                <w:sz w:val="20"/>
                <w:szCs w:val="20"/>
              </w:rPr>
            </w:pPr>
            <w:r w:rsidRPr="00DE6307">
              <w:rPr>
                <w:sz w:val="20"/>
                <w:szCs w:val="20"/>
              </w:rPr>
              <w:t>PTV</w:t>
            </w:r>
          </w:p>
        </w:tc>
        <w:tc>
          <w:tcPr>
            <w:tcW w:w="683" w:type="dxa"/>
            <w:tcBorders>
              <w:top w:val="nil"/>
              <w:left w:val="single" w:sz="4" w:space="0" w:color="auto"/>
              <w:bottom w:val="nil"/>
              <w:right w:val="single" w:sz="4" w:space="0" w:color="auto"/>
            </w:tcBorders>
            <w:textDirection w:val="btLr"/>
          </w:tcPr>
          <w:p w14:paraId="5905F640" w14:textId="77777777" w:rsidR="00011197" w:rsidRPr="00DE6307" w:rsidRDefault="00011197" w:rsidP="005B2F15">
            <w:pPr>
              <w:pStyle w:val="TableHeader"/>
              <w:ind w:left="113" w:right="113"/>
              <w:cnfStyle w:val="100000000000" w:firstRow="1" w:lastRow="0" w:firstColumn="0" w:lastColumn="0" w:oddVBand="0" w:evenVBand="0" w:oddHBand="0" w:evenHBand="0" w:firstRowFirstColumn="0" w:firstRowLastColumn="0" w:lastRowFirstColumn="0" w:lastRowLastColumn="0"/>
              <w:rPr>
                <w:sz w:val="20"/>
                <w:szCs w:val="20"/>
              </w:rPr>
            </w:pPr>
            <w:r w:rsidRPr="00DE6307">
              <w:rPr>
                <w:sz w:val="20"/>
                <w:szCs w:val="20"/>
              </w:rPr>
              <w:t>VicRoads</w:t>
            </w:r>
          </w:p>
        </w:tc>
        <w:tc>
          <w:tcPr>
            <w:tcW w:w="723" w:type="dxa"/>
            <w:tcBorders>
              <w:top w:val="nil"/>
              <w:left w:val="single" w:sz="4" w:space="0" w:color="auto"/>
              <w:bottom w:val="nil"/>
              <w:right w:val="single" w:sz="4" w:space="0" w:color="auto"/>
            </w:tcBorders>
            <w:textDirection w:val="btLr"/>
          </w:tcPr>
          <w:p w14:paraId="54C4E72E" w14:textId="77777777" w:rsidR="00011197" w:rsidRPr="00C9672A" w:rsidRDefault="00011197" w:rsidP="005B2F15">
            <w:pPr>
              <w:pStyle w:val="TableHeader"/>
              <w:ind w:left="113" w:right="113"/>
              <w:cnfStyle w:val="100000000000" w:firstRow="1" w:lastRow="0" w:firstColumn="0" w:lastColumn="0" w:oddVBand="0" w:evenVBand="0" w:oddHBand="0" w:evenHBand="0" w:firstRowFirstColumn="0" w:firstRowLastColumn="0" w:lastRowFirstColumn="0" w:lastRowLastColumn="0"/>
              <w:rPr>
                <w:sz w:val="20"/>
                <w:szCs w:val="20"/>
              </w:rPr>
            </w:pPr>
            <w:r w:rsidRPr="00DE6307">
              <w:rPr>
                <w:sz w:val="20"/>
                <w:szCs w:val="20"/>
              </w:rPr>
              <w:t>Victoria Police</w:t>
            </w:r>
          </w:p>
        </w:tc>
      </w:tr>
      <w:tr w:rsidR="00011197" w:rsidRPr="00C9672A" w14:paraId="391DEF8E" w14:textId="77777777" w:rsidTr="000111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8" w:type="dxa"/>
          </w:tcPr>
          <w:p w14:paraId="27472525" w14:textId="77777777" w:rsidR="00011197" w:rsidRPr="00546DF9" w:rsidRDefault="00011197" w:rsidP="006E6045">
            <w:pPr>
              <w:pStyle w:val="TableText"/>
              <w:rPr>
                <w:b w:val="0"/>
              </w:rPr>
            </w:pPr>
            <w:r w:rsidRPr="00546DF9">
              <w:rPr>
                <w:b w:val="0"/>
              </w:rPr>
              <w:t>1</w:t>
            </w:r>
          </w:p>
        </w:tc>
        <w:tc>
          <w:tcPr>
            <w:tcW w:w="1775" w:type="dxa"/>
          </w:tcPr>
          <w:p w14:paraId="6F68BFB9" w14:textId="77777777" w:rsidR="00011197" w:rsidRPr="00C9672A" w:rsidRDefault="00011197" w:rsidP="006E6045">
            <w:pPr>
              <w:pStyle w:val="TableText"/>
              <w:cnfStyle w:val="000000100000" w:firstRow="0" w:lastRow="0" w:firstColumn="0" w:lastColumn="0" w:oddVBand="0" w:evenVBand="0" w:oddHBand="1" w:evenHBand="0" w:firstRowFirstColumn="0" w:firstRowLastColumn="0" w:lastRowFirstColumn="0" w:lastRowLastColumn="0"/>
              <w:rPr>
                <w:sz w:val="16"/>
                <w:szCs w:val="16"/>
              </w:rPr>
            </w:pPr>
            <w:r w:rsidRPr="00C9672A">
              <w:rPr>
                <w:sz w:val="16"/>
                <w:szCs w:val="16"/>
              </w:rPr>
              <w:t>Value created as a consequence of department procurement activity</w:t>
            </w:r>
            <w:r>
              <w:rPr>
                <w:sz w:val="16"/>
                <w:szCs w:val="16"/>
              </w:rPr>
              <w:t xml:space="preserve"> (%)</w:t>
            </w:r>
          </w:p>
        </w:tc>
        <w:tc>
          <w:tcPr>
            <w:tcW w:w="683" w:type="dxa"/>
            <w:shd w:val="clear" w:color="auto" w:fill="auto"/>
          </w:tcPr>
          <w:p w14:paraId="54457264" w14:textId="3B751CC8" w:rsidR="00011197" w:rsidRPr="00F357B7" w:rsidRDefault="00011197" w:rsidP="006E6045">
            <w:pPr>
              <w:pStyle w:val="Tablenumbers"/>
              <w:cnfStyle w:val="000000100000" w:firstRow="0" w:lastRow="0" w:firstColumn="0" w:lastColumn="0" w:oddVBand="0" w:evenVBand="0" w:oddHBand="1" w:evenHBand="0" w:firstRowFirstColumn="0" w:firstRowLastColumn="0" w:lastRowFirstColumn="0" w:lastRowLastColumn="0"/>
              <w:rPr>
                <w:highlight w:val="yellow"/>
              </w:rPr>
            </w:pPr>
            <w:r>
              <w:t>5.3</w:t>
            </w:r>
          </w:p>
        </w:tc>
        <w:tc>
          <w:tcPr>
            <w:tcW w:w="772" w:type="dxa"/>
            <w:shd w:val="clear" w:color="auto" w:fill="auto"/>
          </w:tcPr>
          <w:p w14:paraId="07423DD9" w14:textId="77777777" w:rsidR="00011197" w:rsidRPr="00955AF3" w:rsidRDefault="00011197" w:rsidP="006E6045">
            <w:pPr>
              <w:pStyle w:val="Tablenumbers"/>
              <w:cnfStyle w:val="000000100000" w:firstRow="0" w:lastRow="0" w:firstColumn="0" w:lastColumn="0" w:oddVBand="0" w:evenVBand="0" w:oddHBand="1" w:evenHBand="0" w:firstRowFirstColumn="0" w:firstRowLastColumn="0" w:lastRowFirstColumn="0" w:lastRowLastColumn="0"/>
            </w:pPr>
            <w:r>
              <w:t>7.5</w:t>
            </w:r>
          </w:p>
        </w:tc>
        <w:tc>
          <w:tcPr>
            <w:tcW w:w="683" w:type="dxa"/>
            <w:shd w:val="clear" w:color="auto" w:fill="auto"/>
          </w:tcPr>
          <w:p w14:paraId="134B674E" w14:textId="77777777" w:rsidR="00011197" w:rsidRDefault="00011197" w:rsidP="006E6045">
            <w:pPr>
              <w:pStyle w:val="Tablenumbers"/>
              <w:cnfStyle w:val="000000100000" w:firstRow="0" w:lastRow="0" w:firstColumn="0" w:lastColumn="0" w:oddVBand="0" w:evenVBand="0" w:oddHBand="1" w:evenHBand="0" w:firstRowFirstColumn="0" w:firstRowLastColumn="0" w:lastRowFirstColumn="0" w:lastRowLastColumn="0"/>
            </w:pPr>
            <w:r>
              <w:t>3.5</w:t>
            </w:r>
          </w:p>
        </w:tc>
        <w:tc>
          <w:tcPr>
            <w:tcW w:w="689" w:type="dxa"/>
            <w:shd w:val="clear" w:color="auto" w:fill="auto"/>
          </w:tcPr>
          <w:p w14:paraId="4EC6DB06" w14:textId="77777777" w:rsidR="00011197" w:rsidRPr="00955AF3" w:rsidRDefault="00011197" w:rsidP="006E6045">
            <w:pPr>
              <w:pStyle w:val="Tablenumbers"/>
              <w:cnfStyle w:val="000000100000" w:firstRow="0" w:lastRow="0" w:firstColumn="0" w:lastColumn="0" w:oddVBand="0" w:evenVBand="0" w:oddHBand="1" w:evenHBand="0" w:firstRowFirstColumn="0" w:firstRowLastColumn="0" w:lastRowFirstColumn="0" w:lastRowLastColumn="0"/>
            </w:pPr>
            <w:r>
              <w:t>0.8</w:t>
            </w:r>
          </w:p>
        </w:tc>
        <w:tc>
          <w:tcPr>
            <w:tcW w:w="683" w:type="dxa"/>
            <w:shd w:val="clear" w:color="auto" w:fill="auto"/>
          </w:tcPr>
          <w:p w14:paraId="3DCD5E28" w14:textId="77777777" w:rsidR="00011197" w:rsidRPr="00955AF3" w:rsidRDefault="00011197" w:rsidP="006E6045">
            <w:pPr>
              <w:pStyle w:val="Tablenumbers"/>
              <w:cnfStyle w:val="000000100000" w:firstRow="0" w:lastRow="0" w:firstColumn="0" w:lastColumn="0" w:oddVBand="0" w:evenVBand="0" w:oddHBand="1" w:evenHBand="0" w:firstRowFirstColumn="0" w:firstRowLastColumn="0" w:lastRowFirstColumn="0" w:lastRowLastColumn="0"/>
            </w:pPr>
            <w:r>
              <w:t>0.4</w:t>
            </w:r>
          </w:p>
        </w:tc>
        <w:tc>
          <w:tcPr>
            <w:tcW w:w="683" w:type="dxa"/>
            <w:shd w:val="clear" w:color="auto" w:fill="auto"/>
          </w:tcPr>
          <w:p w14:paraId="0AA1EA5E" w14:textId="77777777" w:rsidR="00011197" w:rsidRPr="00955AF3" w:rsidRDefault="00011197" w:rsidP="006E6045">
            <w:pPr>
              <w:pStyle w:val="Tablenumbers"/>
              <w:cnfStyle w:val="000000100000" w:firstRow="0" w:lastRow="0" w:firstColumn="0" w:lastColumn="0" w:oddVBand="0" w:evenVBand="0" w:oddHBand="1" w:evenHBand="0" w:firstRowFirstColumn="0" w:firstRowLastColumn="0" w:lastRowFirstColumn="0" w:lastRowLastColumn="0"/>
            </w:pPr>
            <w:r>
              <w:t>6.6</w:t>
            </w:r>
          </w:p>
        </w:tc>
        <w:tc>
          <w:tcPr>
            <w:tcW w:w="683" w:type="dxa"/>
            <w:shd w:val="clear" w:color="auto" w:fill="auto"/>
          </w:tcPr>
          <w:p w14:paraId="00A8D6B8" w14:textId="77777777" w:rsidR="00011197" w:rsidRDefault="00011197" w:rsidP="006E6045">
            <w:pPr>
              <w:pStyle w:val="Tablenumbers"/>
              <w:cnfStyle w:val="000000100000" w:firstRow="0" w:lastRow="0" w:firstColumn="0" w:lastColumn="0" w:oddVBand="0" w:evenVBand="0" w:oddHBand="1" w:evenHBand="0" w:firstRowFirstColumn="0" w:firstRowLastColumn="0" w:lastRowFirstColumn="0" w:lastRowLastColumn="0"/>
              <w:rPr>
                <w:rFonts w:cs="Calibri"/>
              </w:rPr>
            </w:pPr>
            <w:r>
              <w:t>24.3</w:t>
            </w:r>
          </w:p>
        </w:tc>
        <w:tc>
          <w:tcPr>
            <w:tcW w:w="571" w:type="dxa"/>
          </w:tcPr>
          <w:p w14:paraId="7A25F541" w14:textId="517C2E20" w:rsidR="00011197" w:rsidRDefault="00011197" w:rsidP="006E6045">
            <w:pPr>
              <w:pStyle w:val="Tablenumbers"/>
              <w:cnfStyle w:val="000000100000" w:firstRow="0" w:lastRow="0" w:firstColumn="0" w:lastColumn="0" w:oddVBand="0" w:evenVBand="0" w:oddHBand="1" w:evenHBand="0" w:firstRowFirstColumn="0" w:firstRowLastColumn="0" w:lastRowFirstColumn="0" w:lastRowLastColumn="0"/>
            </w:pPr>
            <w:r>
              <w:rPr>
                <w:rFonts w:cs="Calibri"/>
              </w:rPr>
              <w:t>6.9</w:t>
            </w:r>
          </w:p>
        </w:tc>
        <w:tc>
          <w:tcPr>
            <w:tcW w:w="814" w:type="dxa"/>
            <w:shd w:val="clear" w:color="auto" w:fill="auto"/>
          </w:tcPr>
          <w:p w14:paraId="45C6C551" w14:textId="75668C6C" w:rsidR="00011197" w:rsidRPr="00A821F1" w:rsidRDefault="00011197" w:rsidP="006E6045">
            <w:pPr>
              <w:pStyle w:val="Tablenumbers"/>
              <w:cnfStyle w:val="000000100000" w:firstRow="0" w:lastRow="0" w:firstColumn="0" w:lastColumn="0" w:oddVBand="0" w:evenVBand="0" w:oddHBand="1" w:evenHBand="0" w:firstRowFirstColumn="0" w:firstRowLastColumn="0" w:lastRowFirstColumn="0" w:lastRowLastColumn="0"/>
            </w:pPr>
            <w:r>
              <w:t>0.2</w:t>
            </w:r>
          </w:p>
        </w:tc>
        <w:tc>
          <w:tcPr>
            <w:tcW w:w="683" w:type="dxa"/>
            <w:tcBorders>
              <w:top w:val="nil"/>
            </w:tcBorders>
            <w:shd w:val="clear" w:color="auto" w:fill="auto"/>
          </w:tcPr>
          <w:p w14:paraId="758C9F32" w14:textId="77777777" w:rsidR="00011197" w:rsidRPr="00955AF3" w:rsidRDefault="00011197" w:rsidP="006E6045">
            <w:pPr>
              <w:pStyle w:val="Tablenumbers"/>
              <w:cnfStyle w:val="000000100000" w:firstRow="0" w:lastRow="0" w:firstColumn="0" w:lastColumn="0" w:oddVBand="0" w:evenVBand="0" w:oddHBand="1" w:evenHBand="0" w:firstRowFirstColumn="0" w:firstRowLastColumn="0" w:lastRowFirstColumn="0" w:lastRowLastColumn="0"/>
            </w:pPr>
            <w:r>
              <w:t>5.2</w:t>
            </w:r>
          </w:p>
        </w:tc>
        <w:tc>
          <w:tcPr>
            <w:tcW w:w="723" w:type="dxa"/>
            <w:tcBorders>
              <w:top w:val="nil"/>
            </w:tcBorders>
          </w:tcPr>
          <w:p w14:paraId="2EC43B26" w14:textId="77777777" w:rsidR="00011197" w:rsidRPr="00C9672A" w:rsidRDefault="00011197" w:rsidP="006E6045">
            <w:pPr>
              <w:pStyle w:val="Tablenumbers"/>
              <w:cnfStyle w:val="000000100000" w:firstRow="0" w:lastRow="0" w:firstColumn="0" w:lastColumn="0" w:oddVBand="0" w:evenVBand="0" w:oddHBand="1" w:evenHBand="0" w:firstRowFirstColumn="0" w:firstRowLastColumn="0" w:lastRowFirstColumn="0" w:lastRowLastColumn="0"/>
            </w:pPr>
            <w:r>
              <w:t>5.4</w:t>
            </w:r>
          </w:p>
        </w:tc>
      </w:tr>
      <w:tr w:rsidR="00011197" w:rsidRPr="00C9672A" w14:paraId="1FCED7AA" w14:textId="77777777" w:rsidTr="00011197">
        <w:tc>
          <w:tcPr>
            <w:cnfStyle w:val="001000000000" w:firstRow="0" w:lastRow="0" w:firstColumn="1" w:lastColumn="0" w:oddVBand="0" w:evenVBand="0" w:oddHBand="0" w:evenHBand="0" w:firstRowFirstColumn="0" w:firstRowLastColumn="0" w:lastRowFirstColumn="0" w:lastRowLastColumn="0"/>
            <w:tcW w:w="318" w:type="dxa"/>
          </w:tcPr>
          <w:p w14:paraId="4C7BF0C1" w14:textId="77777777" w:rsidR="00011197" w:rsidRPr="00546DF9" w:rsidRDefault="00011197" w:rsidP="006E6045">
            <w:pPr>
              <w:pStyle w:val="TableText"/>
              <w:rPr>
                <w:b w:val="0"/>
              </w:rPr>
            </w:pPr>
            <w:r w:rsidRPr="00546DF9">
              <w:rPr>
                <w:b w:val="0"/>
              </w:rPr>
              <w:t>2</w:t>
            </w:r>
          </w:p>
        </w:tc>
        <w:tc>
          <w:tcPr>
            <w:tcW w:w="1775" w:type="dxa"/>
          </w:tcPr>
          <w:p w14:paraId="49CFF19B" w14:textId="77777777" w:rsidR="00011197" w:rsidRPr="00C9672A" w:rsidRDefault="00011197" w:rsidP="006E6045">
            <w:pPr>
              <w:pStyle w:val="TableText"/>
              <w:cnfStyle w:val="000000000000" w:firstRow="0" w:lastRow="0" w:firstColumn="0" w:lastColumn="0" w:oddVBand="0" w:evenVBand="0" w:oddHBand="0" w:evenHBand="0" w:firstRowFirstColumn="0" w:firstRowLastColumn="0" w:lastRowFirstColumn="0" w:lastRowLastColumn="0"/>
              <w:rPr>
                <w:sz w:val="16"/>
                <w:szCs w:val="16"/>
              </w:rPr>
            </w:pPr>
            <w:r w:rsidRPr="00C9672A">
              <w:rPr>
                <w:sz w:val="16"/>
                <w:szCs w:val="16"/>
              </w:rPr>
              <w:t xml:space="preserve">Proportion of the number of transactions at or below $2 000 through a P-Card or equivalent </w:t>
            </w:r>
            <w:r>
              <w:rPr>
                <w:sz w:val="16"/>
                <w:szCs w:val="16"/>
              </w:rPr>
              <w:t>(%)</w:t>
            </w:r>
          </w:p>
        </w:tc>
        <w:tc>
          <w:tcPr>
            <w:tcW w:w="683" w:type="dxa"/>
            <w:shd w:val="clear" w:color="auto" w:fill="auto"/>
          </w:tcPr>
          <w:p w14:paraId="1BC9CFCC" w14:textId="5F228CAB" w:rsidR="00011197" w:rsidRPr="00F357B7" w:rsidRDefault="00011197" w:rsidP="006E6045">
            <w:pPr>
              <w:pStyle w:val="Tablenumbers"/>
              <w:cnfStyle w:val="000000000000" w:firstRow="0" w:lastRow="0" w:firstColumn="0" w:lastColumn="0" w:oddVBand="0" w:evenVBand="0" w:oddHBand="0" w:evenHBand="0" w:firstRowFirstColumn="0" w:firstRowLastColumn="0" w:lastRowFirstColumn="0" w:lastRowLastColumn="0"/>
              <w:rPr>
                <w:highlight w:val="yellow"/>
              </w:rPr>
            </w:pPr>
            <w:r>
              <w:t>44.6</w:t>
            </w:r>
          </w:p>
        </w:tc>
        <w:tc>
          <w:tcPr>
            <w:tcW w:w="772" w:type="dxa"/>
            <w:shd w:val="clear" w:color="auto" w:fill="auto"/>
          </w:tcPr>
          <w:p w14:paraId="28357D9B" w14:textId="77777777" w:rsidR="00011197" w:rsidRPr="00955AF3" w:rsidRDefault="00011197" w:rsidP="006E6045">
            <w:pPr>
              <w:pStyle w:val="Tablenumbers"/>
              <w:cnfStyle w:val="000000000000" w:firstRow="0" w:lastRow="0" w:firstColumn="0" w:lastColumn="0" w:oddVBand="0" w:evenVBand="0" w:oddHBand="0" w:evenHBand="0" w:firstRowFirstColumn="0" w:firstRowLastColumn="0" w:lastRowFirstColumn="0" w:lastRowLastColumn="0"/>
            </w:pPr>
            <w:r>
              <w:t>21.0</w:t>
            </w:r>
          </w:p>
        </w:tc>
        <w:tc>
          <w:tcPr>
            <w:tcW w:w="683" w:type="dxa"/>
            <w:shd w:val="clear" w:color="auto" w:fill="auto"/>
          </w:tcPr>
          <w:p w14:paraId="27207B80" w14:textId="77777777" w:rsidR="00011197" w:rsidRDefault="00011197" w:rsidP="006E6045">
            <w:pPr>
              <w:pStyle w:val="Tablenumbers"/>
              <w:cnfStyle w:val="000000000000" w:firstRow="0" w:lastRow="0" w:firstColumn="0" w:lastColumn="0" w:oddVBand="0" w:evenVBand="0" w:oddHBand="0" w:evenHBand="0" w:firstRowFirstColumn="0" w:firstRowLastColumn="0" w:lastRowFirstColumn="0" w:lastRowLastColumn="0"/>
            </w:pPr>
            <w:r>
              <w:t>15.1</w:t>
            </w:r>
          </w:p>
        </w:tc>
        <w:tc>
          <w:tcPr>
            <w:tcW w:w="689" w:type="dxa"/>
            <w:shd w:val="clear" w:color="auto" w:fill="auto"/>
          </w:tcPr>
          <w:p w14:paraId="242EAF53" w14:textId="77777777" w:rsidR="00011197" w:rsidRPr="00955AF3" w:rsidRDefault="00011197" w:rsidP="006E6045">
            <w:pPr>
              <w:pStyle w:val="Tablenumbers"/>
              <w:cnfStyle w:val="000000000000" w:firstRow="0" w:lastRow="0" w:firstColumn="0" w:lastColumn="0" w:oddVBand="0" w:evenVBand="0" w:oddHBand="0" w:evenHBand="0" w:firstRowFirstColumn="0" w:firstRowLastColumn="0" w:lastRowFirstColumn="0" w:lastRowLastColumn="0"/>
            </w:pPr>
            <w:r>
              <w:t>16.5</w:t>
            </w:r>
          </w:p>
        </w:tc>
        <w:tc>
          <w:tcPr>
            <w:tcW w:w="683" w:type="dxa"/>
            <w:shd w:val="clear" w:color="auto" w:fill="auto"/>
          </w:tcPr>
          <w:p w14:paraId="2E08C41E" w14:textId="77777777" w:rsidR="00011197" w:rsidRPr="00955AF3" w:rsidRDefault="00011197" w:rsidP="006E6045">
            <w:pPr>
              <w:pStyle w:val="Tablenumbers"/>
              <w:cnfStyle w:val="000000000000" w:firstRow="0" w:lastRow="0" w:firstColumn="0" w:lastColumn="0" w:oddVBand="0" w:evenVBand="0" w:oddHBand="0" w:evenHBand="0" w:firstRowFirstColumn="0" w:firstRowLastColumn="0" w:lastRowFirstColumn="0" w:lastRowLastColumn="0"/>
            </w:pPr>
            <w:r>
              <w:t>12.7</w:t>
            </w:r>
          </w:p>
        </w:tc>
        <w:tc>
          <w:tcPr>
            <w:tcW w:w="683" w:type="dxa"/>
            <w:shd w:val="clear" w:color="auto" w:fill="auto"/>
          </w:tcPr>
          <w:p w14:paraId="215878E2" w14:textId="73926D40" w:rsidR="00011197" w:rsidRPr="00955AF3" w:rsidRDefault="00011197" w:rsidP="006E6045">
            <w:pPr>
              <w:pStyle w:val="Tablenumbers"/>
              <w:cnfStyle w:val="000000000000" w:firstRow="0" w:lastRow="0" w:firstColumn="0" w:lastColumn="0" w:oddVBand="0" w:evenVBand="0" w:oddHBand="0" w:evenHBand="0" w:firstRowFirstColumn="0" w:firstRowLastColumn="0" w:lastRowFirstColumn="0" w:lastRowLastColumn="0"/>
            </w:pPr>
            <w:r w:rsidRPr="009E545D">
              <w:t>0</w:t>
            </w:r>
            <w:r>
              <w:rPr>
                <w:vertAlign w:val="superscript"/>
              </w:rPr>
              <w:t>(</w:t>
            </w:r>
            <w:r w:rsidRPr="00DE6307">
              <w:rPr>
                <w:vertAlign w:val="superscript"/>
              </w:rPr>
              <w:t>a</w:t>
            </w:r>
            <w:r>
              <w:rPr>
                <w:vertAlign w:val="superscript"/>
              </w:rPr>
              <w:t>)</w:t>
            </w:r>
          </w:p>
        </w:tc>
        <w:tc>
          <w:tcPr>
            <w:tcW w:w="683" w:type="dxa"/>
            <w:shd w:val="clear" w:color="auto" w:fill="auto"/>
          </w:tcPr>
          <w:p w14:paraId="5A22429A" w14:textId="77777777" w:rsidR="00011197" w:rsidRDefault="00011197" w:rsidP="006E6045">
            <w:pPr>
              <w:pStyle w:val="Tablenumbers"/>
              <w:cnfStyle w:val="000000000000" w:firstRow="0" w:lastRow="0" w:firstColumn="0" w:lastColumn="0" w:oddVBand="0" w:evenVBand="0" w:oddHBand="0" w:evenHBand="0" w:firstRowFirstColumn="0" w:firstRowLastColumn="0" w:lastRowFirstColumn="0" w:lastRowLastColumn="0"/>
              <w:rPr>
                <w:rFonts w:cs="Calibri"/>
              </w:rPr>
            </w:pPr>
            <w:r>
              <w:t>9.8</w:t>
            </w:r>
          </w:p>
        </w:tc>
        <w:tc>
          <w:tcPr>
            <w:tcW w:w="571" w:type="dxa"/>
          </w:tcPr>
          <w:p w14:paraId="0B4DA820" w14:textId="24026BA7" w:rsidR="00011197" w:rsidRPr="00147F8D" w:rsidRDefault="00011197" w:rsidP="006E6045">
            <w:pPr>
              <w:pStyle w:val="Tablenumbers"/>
              <w:cnfStyle w:val="000000000000" w:firstRow="0" w:lastRow="0" w:firstColumn="0" w:lastColumn="0" w:oddVBand="0" w:evenVBand="0" w:oddHBand="0" w:evenHBand="0" w:firstRowFirstColumn="0" w:firstRowLastColumn="0" w:lastRowFirstColumn="0" w:lastRowLastColumn="0"/>
            </w:pPr>
            <w:r>
              <w:rPr>
                <w:rFonts w:cs="Calibri"/>
              </w:rPr>
              <w:t>32.0</w:t>
            </w:r>
          </w:p>
        </w:tc>
        <w:tc>
          <w:tcPr>
            <w:tcW w:w="814" w:type="dxa"/>
            <w:shd w:val="clear" w:color="auto" w:fill="auto"/>
          </w:tcPr>
          <w:p w14:paraId="1CA39D90" w14:textId="72745159" w:rsidR="00011197" w:rsidRPr="00A821F1" w:rsidRDefault="00011197" w:rsidP="006E6045">
            <w:pPr>
              <w:pStyle w:val="Tablenumbers"/>
              <w:cnfStyle w:val="000000000000" w:firstRow="0" w:lastRow="0" w:firstColumn="0" w:lastColumn="0" w:oddVBand="0" w:evenVBand="0" w:oddHBand="0" w:evenHBand="0" w:firstRowFirstColumn="0" w:firstRowLastColumn="0" w:lastRowFirstColumn="0" w:lastRowLastColumn="0"/>
            </w:pPr>
            <w:r w:rsidRPr="00147F8D">
              <w:t>19.7</w:t>
            </w:r>
          </w:p>
        </w:tc>
        <w:tc>
          <w:tcPr>
            <w:tcW w:w="683" w:type="dxa"/>
            <w:shd w:val="clear" w:color="auto" w:fill="auto"/>
          </w:tcPr>
          <w:p w14:paraId="4BE04F4A" w14:textId="77777777" w:rsidR="00011197" w:rsidRPr="00955AF3" w:rsidRDefault="00011197" w:rsidP="006E6045">
            <w:pPr>
              <w:pStyle w:val="Tablenumbers"/>
              <w:cnfStyle w:val="000000000000" w:firstRow="0" w:lastRow="0" w:firstColumn="0" w:lastColumn="0" w:oddVBand="0" w:evenVBand="0" w:oddHBand="0" w:evenHBand="0" w:firstRowFirstColumn="0" w:firstRowLastColumn="0" w:lastRowFirstColumn="0" w:lastRowLastColumn="0"/>
            </w:pPr>
            <w:r>
              <w:t>65.7</w:t>
            </w:r>
          </w:p>
        </w:tc>
        <w:tc>
          <w:tcPr>
            <w:tcW w:w="723" w:type="dxa"/>
          </w:tcPr>
          <w:p w14:paraId="774EA9A3" w14:textId="77777777" w:rsidR="00011197" w:rsidRPr="00C9672A" w:rsidRDefault="00011197" w:rsidP="006E6045">
            <w:pPr>
              <w:pStyle w:val="Tablenumbers"/>
              <w:cnfStyle w:val="000000000000" w:firstRow="0" w:lastRow="0" w:firstColumn="0" w:lastColumn="0" w:oddVBand="0" w:evenVBand="0" w:oddHBand="0" w:evenHBand="0" w:firstRowFirstColumn="0" w:firstRowLastColumn="0" w:lastRowFirstColumn="0" w:lastRowLastColumn="0"/>
            </w:pPr>
            <w:r>
              <w:t>2.9</w:t>
            </w:r>
          </w:p>
        </w:tc>
      </w:tr>
      <w:tr w:rsidR="00011197" w:rsidRPr="00CD6245" w14:paraId="157EC3E0" w14:textId="77777777" w:rsidTr="000111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8" w:type="dxa"/>
          </w:tcPr>
          <w:p w14:paraId="5D345B90" w14:textId="77777777" w:rsidR="00011197" w:rsidRPr="00546DF9" w:rsidRDefault="00011197" w:rsidP="006E6045">
            <w:pPr>
              <w:pStyle w:val="TableText"/>
              <w:rPr>
                <w:b w:val="0"/>
              </w:rPr>
            </w:pPr>
            <w:r w:rsidRPr="00546DF9">
              <w:rPr>
                <w:b w:val="0"/>
              </w:rPr>
              <w:t>3</w:t>
            </w:r>
          </w:p>
        </w:tc>
        <w:tc>
          <w:tcPr>
            <w:tcW w:w="1775" w:type="dxa"/>
          </w:tcPr>
          <w:p w14:paraId="3CA9961A" w14:textId="77777777" w:rsidR="00011197" w:rsidRPr="00F23102" w:rsidRDefault="00011197" w:rsidP="006E6045">
            <w:pPr>
              <w:pStyle w:val="TableText"/>
              <w:cnfStyle w:val="000000100000" w:firstRow="0" w:lastRow="0" w:firstColumn="0" w:lastColumn="0" w:oddVBand="0" w:evenVBand="0" w:oddHBand="1" w:evenHBand="0" w:firstRowFirstColumn="0" w:firstRowLastColumn="0" w:lastRowFirstColumn="0" w:lastRowLastColumn="0"/>
              <w:rPr>
                <w:sz w:val="16"/>
                <w:szCs w:val="16"/>
              </w:rPr>
            </w:pPr>
            <w:r w:rsidRPr="00F23102">
              <w:rPr>
                <w:sz w:val="16"/>
                <w:szCs w:val="16"/>
              </w:rPr>
              <w:t>Increase in procurement capability</w:t>
            </w:r>
            <w:r>
              <w:rPr>
                <w:sz w:val="16"/>
                <w:szCs w:val="16"/>
              </w:rPr>
              <w:t xml:space="preserve"> (%)</w:t>
            </w:r>
          </w:p>
        </w:tc>
        <w:tc>
          <w:tcPr>
            <w:tcW w:w="683" w:type="dxa"/>
            <w:shd w:val="clear" w:color="auto" w:fill="auto"/>
          </w:tcPr>
          <w:p w14:paraId="2CFE5916" w14:textId="5621CA17" w:rsidR="00011197" w:rsidRPr="00F357B7" w:rsidRDefault="00011197" w:rsidP="006E6045">
            <w:pPr>
              <w:pStyle w:val="Tablenumbers"/>
              <w:cnfStyle w:val="000000100000" w:firstRow="0" w:lastRow="0" w:firstColumn="0" w:lastColumn="0" w:oddVBand="0" w:evenVBand="0" w:oddHBand="1" w:evenHBand="0" w:firstRowFirstColumn="0" w:firstRowLastColumn="0" w:lastRowFirstColumn="0" w:lastRowLastColumn="0"/>
              <w:rPr>
                <w:highlight w:val="yellow"/>
              </w:rPr>
            </w:pPr>
            <w:r>
              <w:t>3.0</w:t>
            </w:r>
          </w:p>
        </w:tc>
        <w:tc>
          <w:tcPr>
            <w:tcW w:w="772" w:type="dxa"/>
            <w:shd w:val="clear" w:color="auto" w:fill="auto"/>
          </w:tcPr>
          <w:p w14:paraId="34AC78E2" w14:textId="5C9CED64" w:rsidR="00011197" w:rsidRPr="00955AF3" w:rsidRDefault="00011197" w:rsidP="006E6045">
            <w:pPr>
              <w:pStyle w:val="Tablenumbers"/>
              <w:cnfStyle w:val="000000100000" w:firstRow="0" w:lastRow="0" w:firstColumn="0" w:lastColumn="0" w:oddVBand="0" w:evenVBand="0" w:oddHBand="1" w:evenHBand="0" w:firstRowFirstColumn="0" w:firstRowLastColumn="0" w:lastRowFirstColumn="0" w:lastRowLastColumn="0"/>
            </w:pPr>
            <w:r w:rsidRPr="00E65F21">
              <w:t>16</w:t>
            </w:r>
            <w:r w:rsidRPr="00E65F21">
              <w:rPr>
                <w:vertAlign w:val="superscript"/>
              </w:rPr>
              <w:t>(</w:t>
            </w:r>
            <w:r>
              <w:rPr>
                <w:vertAlign w:val="superscript"/>
              </w:rPr>
              <w:t>b</w:t>
            </w:r>
            <w:r w:rsidRPr="00E65F21">
              <w:rPr>
                <w:vertAlign w:val="superscript"/>
              </w:rPr>
              <w:t>)</w:t>
            </w:r>
          </w:p>
        </w:tc>
        <w:tc>
          <w:tcPr>
            <w:tcW w:w="683" w:type="dxa"/>
            <w:shd w:val="clear" w:color="auto" w:fill="auto"/>
          </w:tcPr>
          <w:p w14:paraId="57A65269" w14:textId="4D5386AA" w:rsidR="00011197" w:rsidRDefault="00011197" w:rsidP="006E6045">
            <w:pPr>
              <w:pStyle w:val="Tablenumbers"/>
              <w:cnfStyle w:val="000000100000" w:firstRow="0" w:lastRow="0" w:firstColumn="0" w:lastColumn="0" w:oddVBand="0" w:evenVBand="0" w:oddHBand="1" w:evenHBand="0" w:firstRowFirstColumn="0" w:firstRowLastColumn="0" w:lastRowFirstColumn="0" w:lastRowLastColumn="0"/>
            </w:pPr>
            <w:r>
              <w:t>2.4</w:t>
            </w:r>
          </w:p>
        </w:tc>
        <w:tc>
          <w:tcPr>
            <w:tcW w:w="689" w:type="dxa"/>
            <w:shd w:val="clear" w:color="auto" w:fill="auto"/>
          </w:tcPr>
          <w:p w14:paraId="22B47DF5" w14:textId="71652C78" w:rsidR="00011197" w:rsidRPr="00955AF3" w:rsidRDefault="00011197" w:rsidP="006E6045">
            <w:pPr>
              <w:pStyle w:val="Tablenumbers"/>
              <w:cnfStyle w:val="000000100000" w:firstRow="0" w:lastRow="0" w:firstColumn="0" w:lastColumn="0" w:oddVBand="0" w:evenVBand="0" w:oddHBand="1" w:evenHBand="0" w:firstRowFirstColumn="0" w:firstRowLastColumn="0" w:lastRowFirstColumn="0" w:lastRowLastColumn="0"/>
            </w:pPr>
            <w:r>
              <w:t>2.7</w:t>
            </w:r>
            <w:r w:rsidRPr="00E65F21">
              <w:rPr>
                <w:vertAlign w:val="superscript"/>
              </w:rPr>
              <w:t>(</w:t>
            </w:r>
            <w:r>
              <w:rPr>
                <w:vertAlign w:val="superscript"/>
              </w:rPr>
              <w:t>c</w:t>
            </w:r>
            <w:r w:rsidRPr="00E65F21">
              <w:rPr>
                <w:vertAlign w:val="superscript"/>
              </w:rPr>
              <w:t>)</w:t>
            </w:r>
          </w:p>
        </w:tc>
        <w:tc>
          <w:tcPr>
            <w:tcW w:w="683" w:type="dxa"/>
            <w:shd w:val="clear" w:color="auto" w:fill="auto"/>
          </w:tcPr>
          <w:p w14:paraId="0150E47E" w14:textId="77777777" w:rsidR="00011197" w:rsidRPr="00955AF3" w:rsidRDefault="00011197" w:rsidP="006E6045">
            <w:pPr>
              <w:pStyle w:val="Tablenumbers"/>
              <w:cnfStyle w:val="000000100000" w:firstRow="0" w:lastRow="0" w:firstColumn="0" w:lastColumn="0" w:oddVBand="0" w:evenVBand="0" w:oddHBand="1" w:evenHBand="0" w:firstRowFirstColumn="0" w:firstRowLastColumn="0" w:lastRowFirstColumn="0" w:lastRowLastColumn="0"/>
            </w:pPr>
            <w:r>
              <w:t>−3.3</w:t>
            </w:r>
          </w:p>
        </w:tc>
        <w:tc>
          <w:tcPr>
            <w:tcW w:w="683" w:type="dxa"/>
            <w:shd w:val="clear" w:color="auto" w:fill="auto"/>
          </w:tcPr>
          <w:p w14:paraId="175A6A00" w14:textId="77777777" w:rsidR="00011197" w:rsidRPr="00955AF3" w:rsidRDefault="00011197" w:rsidP="006E6045">
            <w:pPr>
              <w:pStyle w:val="Tablenumbers"/>
              <w:cnfStyle w:val="000000100000" w:firstRow="0" w:lastRow="0" w:firstColumn="0" w:lastColumn="0" w:oddVBand="0" w:evenVBand="0" w:oddHBand="1" w:evenHBand="0" w:firstRowFirstColumn="0" w:firstRowLastColumn="0" w:lastRowFirstColumn="0" w:lastRowLastColumn="0"/>
            </w:pPr>
            <w:r>
              <w:t>17.6</w:t>
            </w:r>
          </w:p>
        </w:tc>
        <w:tc>
          <w:tcPr>
            <w:tcW w:w="683" w:type="dxa"/>
            <w:shd w:val="clear" w:color="auto" w:fill="auto"/>
          </w:tcPr>
          <w:p w14:paraId="02A14CA2" w14:textId="77777777" w:rsidR="00011197" w:rsidRDefault="00011197" w:rsidP="006E6045">
            <w:pPr>
              <w:pStyle w:val="Tablenumbers"/>
              <w:cnfStyle w:val="000000100000" w:firstRow="0" w:lastRow="0" w:firstColumn="0" w:lastColumn="0" w:oddVBand="0" w:evenVBand="0" w:oddHBand="1" w:evenHBand="0" w:firstRowFirstColumn="0" w:firstRowLastColumn="0" w:lastRowFirstColumn="0" w:lastRowLastColumn="0"/>
              <w:rPr>
                <w:rFonts w:cs="Calibri"/>
              </w:rPr>
            </w:pPr>
            <w:r>
              <w:t>−4.3</w:t>
            </w:r>
          </w:p>
        </w:tc>
        <w:tc>
          <w:tcPr>
            <w:tcW w:w="571" w:type="dxa"/>
          </w:tcPr>
          <w:p w14:paraId="15976A02" w14:textId="18950D28" w:rsidR="00011197" w:rsidRDefault="00011197" w:rsidP="006E6045">
            <w:pPr>
              <w:pStyle w:val="Tablenumbers"/>
              <w:cnfStyle w:val="000000100000" w:firstRow="0" w:lastRow="0" w:firstColumn="0" w:lastColumn="0" w:oddVBand="0" w:evenVBand="0" w:oddHBand="1" w:evenHBand="0" w:firstRowFirstColumn="0" w:firstRowLastColumn="0" w:lastRowFirstColumn="0" w:lastRowLastColumn="0"/>
            </w:pPr>
            <w:r>
              <w:rPr>
                <w:rFonts w:cs="Calibri"/>
              </w:rPr>
              <w:t>.</w:t>
            </w:r>
            <w:r w:rsidRPr="00E65F21">
              <w:rPr>
                <w:rFonts w:cs="Calibri"/>
              </w:rPr>
              <w:t>.</w:t>
            </w:r>
            <w:r w:rsidRPr="00E65F21">
              <w:rPr>
                <w:vertAlign w:val="superscript"/>
              </w:rPr>
              <w:t xml:space="preserve"> (</w:t>
            </w:r>
            <w:r>
              <w:rPr>
                <w:vertAlign w:val="superscript"/>
              </w:rPr>
              <w:t>d</w:t>
            </w:r>
            <w:r w:rsidRPr="00E65F21">
              <w:rPr>
                <w:vertAlign w:val="superscript"/>
              </w:rPr>
              <w:t>)</w:t>
            </w:r>
          </w:p>
        </w:tc>
        <w:tc>
          <w:tcPr>
            <w:tcW w:w="814" w:type="dxa"/>
            <w:shd w:val="clear" w:color="auto" w:fill="auto"/>
          </w:tcPr>
          <w:p w14:paraId="4F9FA807" w14:textId="3D378288" w:rsidR="00011197" w:rsidRPr="00A821F1" w:rsidRDefault="00011197" w:rsidP="006E6045">
            <w:pPr>
              <w:pStyle w:val="Tablenumbers"/>
              <w:cnfStyle w:val="000000100000" w:firstRow="0" w:lastRow="0" w:firstColumn="0" w:lastColumn="0" w:oddVBand="0" w:evenVBand="0" w:oddHBand="1" w:evenHBand="0" w:firstRowFirstColumn="0" w:firstRowLastColumn="0" w:lastRowFirstColumn="0" w:lastRowLastColumn="0"/>
            </w:pPr>
            <w:r>
              <w:t>..</w:t>
            </w:r>
            <w:r w:rsidRPr="00E65F21">
              <w:rPr>
                <w:vertAlign w:val="superscript"/>
              </w:rPr>
              <w:t xml:space="preserve"> (</w:t>
            </w:r>
            <w:r>
              <w:rPr>
                <w:vertAlign w:val="superscript"/>
              </w:rPr>
              <w:t>e</w:t>
            </w:r>
            <w:r w:rsidRPr="00E65F21">
              <w:rPr>
                <w:vertAlign w:val="superscript"/>
              </w:rPr>
              <w:t>)</w:t>
            </w:r>
          </w:p>
        </w:tc>
        <w:tc>
          <w:tcPr>
            <w:tcW w:w="683" w:type="dxa"/>
            <w:shd w:val="clear" w:color="auto" w:fill="auto"/>
          </w:tcPr>
          <w:p w14:paraId="3AFDFADA" w14:textId="77777777" w:rsidR="00011197" w:rsidRPr="00955AF3" w:rsidRDefault="00011197" w:rsidP="006E6045">
            <w:pPr>
              <w:pStyle w:val="Tablenumbers"/>
              <w:cnfStyle w:val="000000100000" w:firstRow="0" w:lastRow="0" w:firstColumn="0" w:lastColumn="0" w:oddVBand="0" w:evenVBand="0" w:oddHBand="1" w:evenHBand="0" w:firstRowFirstColumn="0" w:firstRowLastColumn="0" w:lastRowFirstColumn="0" w:lastRowLastColumn="0"/>
            </w:pPr>
            <w:r>
              <w:t>1.0</w:t>
            </w:r>
          </w:p>
        </w:tc>
        <w:tc>
          <w:tcPr>
            <w:tcW w:w="723" w:type="dxa"/>
          </w:tcPr>
          <w:p w14:paraId="3C8D583C" w14:textId="77777777" w:rsidR="00011197" w:rsidRPr="00955AF3" w:rsidRDefault="00011197" w:rsidP="006E6045">
            <w:pPr>
              <w:pStyle w:val="Tablenumbers"/>
              <w:cnfStyle w:val="000000100000" w:firstRow="0" w:lastRow="0" w:firstColumn="0" w:lastColumn="0" w:oddVBand="0" w:evenVBand="0" w:oddHBand="1" w:evenHBand="0" w:firstRowFirstColumn="0" w:firstRowLastColumn="0" w:lastRowFirstColumn="0" w:lastRowLastColumn="0"/>
            </w:pPr>
            <w:r>
              <w:t>−5.1</w:t>
            </w:r>
          </w:p>
        </w:tc>
      </w:tr>
      <w:tr w:rsidR="00011197" w:rsidRPr="00CD6245" w14:paraId="341A705B" w14:textId="77777777" w:rsidTr="00011197">
        <w:tc>
          <w:tcPr>
            <w:cnfStyle w:val="001000000000" w:firstRow="0" w:lastRow="0" w:firstColumn="1" w:lastColumn="0" w:oddVBand="0" w:evenVBand="0" w:oddHBand="0" w:evenHBand="0" w:firstRowFirstColumn="0" w:firstRowLastColumn="0" w:lastRowFirstColumn="0" w:lastRowLastColumn="0"/>
            <w:tcW w:w="318" w:type="dxa"/>
          </w:tcPr>
          <w:p w14:paraId="3B2D2631" w14:textId="77777777" w:rsidR="00011197" w:rsidRPr="00546DF9" w:rsidRDefault="00011197" w:rsidP="006E6045">
            <w:pPr>
              <w:pStyle w:val="TableText"/>
              <w:rPr>
                <w:b w:val="0"/>
              </w:rPr>
            </w:pPr>
            <w:r w:rsidRPr="00546DF9">
              <w:rPr>
                <w:b w:val="0"/>
              </w:rPr>
              <w:t>4</w:t>
            </w:r>
          </w:p>
        </w:tc>
        <w:tc>
          <w:tcPr>
            <w:tcW w:w="1775" w:type="dxa"/>
          </w:tcPr>
          <w:p w14:paraId="4E1EFA05" w14:textId="77777777" w:rsidR="00011197" w:rsidRPr="00F23102" w:rsidRDefault="00011197" w:rsidP="006E6045">
            <w:pPr>
              <w:pStyle w:val="TableText"/>
              <w:cnfStyle w:val="000000000000" w:firstRow="0" w:lastRow="0" w:firstColumn="0" w:lastColumn="0" w:oddVBand="0" w:evenVBand="0" w:oddHBand="0" w:evenHBand="0" w:firstRowFirstColumn="0" w:firstRowLastColumn="0" w:lastRowFirstColumn="0" w:lastRowLastColumn="0"/>
              <w:rPr>
                <w:sz w:val="16"/>
                <w:szCs w:val="16"/>
              </w:rPr>
            </w:pPr>
            <w:r w:rsidRPr="00F23102">
              <w:rPr>
                <w:sz w:val="16"/>
                <w:szCs w:val="16"/>
              </w:rPr>
              <w:t>Cost of department’s procurement resources as a percentage of total contract spend</w:t>
            </w:r>
            <w:r>
              <w:rPr>
                <w:sz w:val="16"/>
                <w:szCs w:val="16"/>
              </w:rPr>
              <w:t xml:space="preserve"> (%)</w:t>
            </w:r>
          </w:p>
        </w:tc>
        <w:tc>
          <w:tcPr>
            <w:tcW w:w="683" w:type="dxa"/>
            <w:shd w:val="clear" w:color="auto" w:fill="auto"/>
          </w:tcPr>
          <w:p w14:paraId="2FA252D7" w14:textId="0B4C0367" w:rsidR="00011197" w:rsidRPr="00F357B7" w:rsidRDefault="00011197" w:rsidP="006E6045">
            <w:pPr>
              <w:pStyle w:val="Tablenumbers"/>
              <w:cnfStyle w:val="000000000000" w:firstRow="0" w:lastRow="0" w:firstColumn="0" w:lastColumn="0" w:oddVBand="0" w:evenVBand="0" w:oddHBand="0" w:evenHBand="0" w:firstRowFirstColumn="0" w:firstRowLastColumn="0" w:lastRowFirstColumn="0" w:lastRowLastColumn="0"/>
              <w:rPr>
                <w:highlight w:val="yellow"/>
              </w:rPr>
            </w:pPr>
            <w:r>
              <w:t>0.51</w:t>
            </w:r>
          </w:p>
        </w:tc>
        <w:tc>
          <w:tcPr>
            <w:tcW w:w="772" w:type="dxa"/>
            <w:shd w:val="clear" w:color="auto" w:fill="auto"/>
          </w:tcPr>
          <w:p w14:paraId="0150DA9A" w14:textId="77777777" w:rsidR="00011197" w:rsidRPr="00955AF3" w:rsidRDefault="00011197" w:rsidP="006E6045">
            <w:pPr>
              <w:pStyle w:val="Tablenumbers"/>
              <w:cnfStyle w:val="000000000000" w:firstRow="0" w:lastRow="0" w:firstColumn="0" w:lastColumn="0" w:oddVBand="0" w:evenVBand="0" w:oddHBand="0" w:evenHBand="0" w:firstRowFirstColumn="0" w:firstRowLastColumn="0" w:lastRowFirstColumn="0" w:lastRowLastColumn="0"/>
            </w:pPr>
            <w:r>
              <w:t>1.5</w:t>
            </w:r>
          </w:p>
        </w:tc>
        <w:tc>
          <w:tcPr>
            <w:tcW w:w="683" w:type="dxa"/>
            <w:shd w:val="clear" w:color="auto" w:fill="auto"/>
          </w:tcPr>
          <w:p w14:paraId="15DEE6EB" w14:textId="77777777" w:rsidR="00011197" w:rsidRDefault="00011197" w:rsidP="006E6045">
            <w:pPr>
              <w:pStyle w:val="Tablenumbers"/>
              <w:cnfStyle w:val="000000000000" w:firstRow="0" w:lastRow="0" w:firstColumn="0" w:lastColumn="0" w:oddVBand="0" w:evenVBand="0" w:oddHBand="0" w:evenHBand="0" w:firstRowFirstColumn="0" w:firstRowLastColumn="0" w:lastRowFirstColumn="0" w:lastRowLastColumn="0"/>
            </w:pPr>
            <w:r>
              <w:t>0.8</w:t>
            </w:r>
          </w:p>
        </w:tc>
        <w:tc>
          <w:tcPr>
            <w:tcW w:w="689" w:type="dxa"/>
            <w:shd w:val="clear" w:color="auto" w:fill="auto"/>
          </w:tcPr>
          <w:p w14:paraId="234D75DA" w14:textId="77777777" w:rsidR="00011197" w:rsidRPr="00955AF3" w:rsidRDefault="00011197" w:rsidP="006E6045">
            <w:pPr>
              <w:pStyle w:val="Tablenumbers"/>
              <w:cnfStyle w:val="000000000000" w:firstRow="0" w:lastRow="0" w:firstColumn="0" w:lastColumn="0" w:oddVBand="0" w:evenVBand="0" w:oddHBand="0" w:evenHBand="0" w:firstRowFirstColumn="0" w:firstRowLastColumn="0" w:lastRowFirstColumn="0" w:lastRowLastColumn="0"/>
            </w:pPr>
            <w:r>
              <w:t>0.7</w:t>
            </w:r>
          </w:p>
        </w:tc>
        <w:tc>
          <w:tcPr>
            <w:tcW w:w="683" w:type="dxa"/>
            <w:shd w:val="clear" w:color="auto" w:fill="auto"/>
          </w:tcPr>
          <w:p w14:paraId="6DAEFF2D" w14:textId="77777777" w:rsidR="00011197" w:rsidRPr="00955AF3" w:rsidRDefault="00011197" w:rsidP="006E6045">
            <w:pPr>
              <w:pStyle w:val="Tablenumbers"/>
              <w:cnfStyle w:val="000000000000" w:firstRow="0" w:lastRow="0" w:firstColumn="0" w:lastColumn="0" w:oddVBand="0" w:evenVBand="0" w:oddHBand="0" w:evenHBand="0" w:firstRowFirstColumn="0" w:firstRowLastColumn="0" w:lastRowFirstColumn="0" w:lastRowLastColumn="0"/>
            </w:pPr>
            <w:r>
              <w:t>7.0</w:t>
            </w:r>
          </w:p>
        </w:tc>
        <w:tc>
          <w:tcPr>
            <w:tcW w:w="683" w:type="dxa"/>
            <w:shd w:val="clear" w:color="auto" w:fill="auto"/>
          </w:tcPr>
          <w:p w14:paraId="6D8054C6" w14:textId="77777777" w:rsidR="00011197" w:rsidRPr="00955AF3" w:rsidRDefault="00011197" w:rsidP="006E6045">
            <w:pPr>
              <w:pStyle w:val="Tablenumbers"/>
              <w:cnfStyle w:val="000000000000" w:firstRow="0" w:lastRow="0" w:firstColumn="0" w:lastColumn="0" w:oddVBand="0" w:evenVBand="0" w:oddHBand="0" w:evenHBand="0" w:firstRowFirstColumn="0" w:firstRowLastColumn="0" w:lastRowFirstColumn="0" w:lastRowLastColumn="0"/>
            </w:pPr>
            <w:r>
              <w:t>0.5</w:t>
            </w:r>
          </w:p>
        </w:tc>
        <w:tc>
          <w:tcPr>
            <w:tcW w:w="683" w:type="dxa"/>
            <w:shd w:val="clear" w:color="auto" w:fill="auto"/>
          </w:tcPr>
          <w:p w14:paraId="6F41160E" w14:textId="77777777" w:rsidR="00011197" w:rsidRDefault="00011197" w:rsidP="006E6045">
            <w:pPr>
              <w:pStyle w:val="Tablenumbers"/>
              <w:cnfStyle w:val="000000000000" w:firstRow="0" w:lastRow="0" w:firstColumn="0" w:lastColumn="0" w:oddVBand="0" w:evenVBand="0" w:oddHBand="0" w:evenHBand="0" w:firstRowFirstColumn="0" w:firstRowLastColumn="0" w:lastRowFirstColumn="0" w:lastRowLastColumn="0"/>
              <w:rPr>
                <w:rFonts w:cs="Calibri"/>
              </w:rPr>
            </w:pPr>
            <w:r>
              <w:t>0.6</w:t>
            </w:r>
          </w:p>
        </w:tc>
        <w:tc>
          <w:tcPr>
            <w:tcW w:w="571" w:type="dxa"/>
          </w:tcPr>
          <w:p w14:paraId="330E12BE" w14:textId="756790B0" w:rsidR="00011197" w:rsidRDefault="00011197" w:rsidP="006E6045">
            <w:pPr>
              <w:pStyle w:val="Tablenumbers"/>
              <w:cnfStyle w:val="000000000000" w:firstRow="0" w:lastRow="0" w:firstColumn="0" w:lastColumn="0" w:oddVBand="0" w:evenVBand="0" w:oddHBand="0" w:evenHBand="0" w:firstRowFirstColumn="0" w:firstRowLastColumn="0" w:lastRowFirstColumn="0" w:lastRowLastColumn="0"/>
            </w:pPr>
            <w:r>
              <w:rPr>
                <w:rFonts w:cs="Calibri"/>
              </w:rPr>
              <w:t>2.4</w:t>
            </w:r>
          </w:p>
        </w:tc>
        <w:tc>
          <w:tcPr>
            <w:tcW w:w="814" w:type="dxa"/>
            <w:shd w:val="clear" w:color="auto" w:fill="auto"/>
          </w:tcPr>
          <w:p w14:paraId="7C355F90" w14:textId="6CCA96F4" w:rsidR="00011197" w:rsidRPr="00A821F1" w:rsidRDefault="00011197" w:rsidP="006E6045">
            <w:pPr>
              <w:pStyle w:val="Tablenumbers"/>
              <w:cnfStyle w:val="000000000000" w:firstRow="0" w:lastRow="0" w:firstColumn="0" w:lastColumn="0" w:oddVBand="0" w:evenVBand="0" w:oddHBand="0" w:evenHBand="0" w:firstRowFirstColumn="0" w:firstRowLastColumn="0" w:lastRowFirstColumn="0" w:lastRowLastColumn="0"/>
            </w:pPr>
            <w:r>
              <w:t>0.7</w:t>
            </w:r>
          </w:p>
        </w:tc>
        <w:tc>
          <w:tcPr>
            <w:tcW w:w="683" w:type="dxa"/>
            <w:shd w:val="clear" w:color="auto" w:fill="auto"/>
          </w:tcPr>
          <w:p w14:paraId="269FFF77" w14:textId="77777777" w:rsidR="00011197" w:rsidRPr="00955AF3" w:rsidRDefault="00011197" w:rsidP="006E6045">
            <w:pPr>
              <w:pStyle w:val="Tablenumbers"/>
              <w:cnfStyle w:val="000000000000" w:firstRow="0" w:lastRow="0" w:firstColumn="0" w:lastColumn="0" w:oddVBand="0" w:evenVBand="0" w:oddHBand="0" w:evenHBand="0" w:firstRowFirstColumn="0" w:firstRowLastColumn="0" w:lastRowFirstColumn="0" w:lastRowLastColumn="0"/>
            </w:pPr>
            <w:r>
              <w:t>1.6</w:t>
            </w:r>
          </w:p>
        </w:tc>
        <w:tc>
          <w:tcPr>
            <w:tcW w:w="723" w:type="dxa"/>
          </w:tcPr>
          <w:p w14:paraId="63183E49" w14:textId="77777777" w:rsidR="00011197" w:rsidRPr="00955AF3" w:rsidRDefault="00011197" w:rsidP="006E6045">
            <w:pPr>
              <w:pStyle w:val="Tablenumbers"/>
              <w:cnfStyle w:val="000000000000" w:firstRow="0" w:lastRow="0" w:firstColumn="0" w:lastColumn="0" w:oddVBand="0" w:evenVBand="0" w:oddHBand="0" w:evenHBand="0" w:firstRowFirstColumn="0" w:firstRowLastColumn="0" w:lastRowFirstColumn="0" w:lastRowLastColumn="0"/>
            </w:pPr>
            <w:r>
              <w:t>0.7</w:t>
            </w:r>
          </w:p>
        </w:tc>
      </w:tr>
      <w:tr w:rsidR="00011197" w:rsidRPr="00CD6245" w14:paraId="64ECEDD6" w14:textId="77777777" w:rsidTr="000111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8" w:type="dxa"/>
            <w:vMerge w:val="restart"/>
          </w:tcPr>
          <w:p w14:paraId="79391B98" w14:textId="1C606E2A" w:rsidR="00011197" w:rsidRPr="00546DF9" w:rsidRDefault="00011197" w:rsidP="006E6045">
            <w:pPr>
              <w:pStyle w:val="TableText"/>
              <w:rPr>
                <w:b w:val="0"/>
              </w:rPr>
            </w:pPr>
            <w:r w:rsidRPr="00546DF9">
              <w:rPr>
                <w:b w:val="0"/>
              </w:rPr>
              <w:t>5</w:t>
            </w:r>
          </w:p>
        </w:tc>
        <w:tc>
          <w:tcPr>
            <w:tcW w:w="1775" w:type="dxa"/>
          </w:tcPr>
          <w:p w14:paraId="1EE49274" w14:textId="61C83961" w:rsidR="00011197" w:rsidRPr="00F23102" w:rsidRDefault="00011197" w:rsidP="006E6045">
            <w:pPr>
              <w:pStyle w:val="TableText"/>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Successful supplier satisfied (%)</w:t>
            </w:r>
          </w:p>
        </w:tc>
        <w:tc>
          <w:tcPr>
            <w:tcW w:w="683" w:type="dxa"/>
            <w:shd w:val="clear" w:color="auto" w:fill="auto"/>
          </w:tcPr>
          <w:p w14:paraId="5C623735" w14:textId="373F3772" w:rsidR="00011197" w:rsidRPr="00E65F21" w:rsidRDefault="00011197" w:rsidP="006E6045">
            <w:pPr>
              <w:pStyle w:val="Tablenumbers"/>
              <w:cnfStyle w:val="000000100000" w:firstRow="0" w:lastRow="0" w:firstColumn="0" w:lastColumn="0" w:oddVBand="0" w:evenVBand="0" w:oddHBand="1" w:evenHBand="0" w:firstRowFirstColumn="0" w:firstRowLastColumn="0" w:lastRowFirstColumn="0" w:lastRowLastColumn="0"/>
              <w:rPr>
                <w:highlight w:val="yellow"/>
              </w:rPr>
            </w:pPr>
            <w:r w:rsidRPr="00EA43F0">
              <w:t>71</w:t>
            </w:r>
          </w:p>
        </w:tc>
        <w:tc>
          <w:tcPr>
            <w:tcW w:w="772" w:type="dxa"/>
            <w:shd w:val="clear" w:color="auto" w:fill="auto"/>
          </w:tcPr>
          <w:p w14:paraId="3EECC4BF" w14:textId="6F154B91" w:rsidR="00011197" w:rsidRDefault="00011197" w:rsidP="006E6045">
            <w:pPr>
              <w:pStyle w:val="Tablenumbers"/>
              <w:cnfStyle w:val="000000100000" w:firstRow="0" w:lastRow="0" w:firstColumn="0" w:lastColumn="0" w:oddVBand="0" w:evenVBand="0" w:oddHBand="1" w:evenHBand="0" w:firstRowFirstColumn="0" w:firstRowLastColumn="0" w:lastRowFirstColumn="0" w:lastRowLastColumn="0"/>
            </w:pPr>
            <w:r>
              <w:t>83</w:t>
            </w:r>
          </w:p>
        </w:tc>
        <w:tc>
          <w:tcPr>
            <w:tcW w:w="683" w:type="dxa"/>
            <w:shd w:val="clear" w:color="auto" w:fill="auto"/>
          </w:tcPr>
          <w:p w14:paraId="1C449AB9" w14:textId="6CEE3870" w:rsidR="00011197" w:rsidRDefault="00011197" w:rsidP="006E6045">
            <w:pPr>
              <w:pStyle w:val="Tablenumbers"/>
              <w:cnfStyle w:val="000000100000" w:firstRow="0" w:lastRow="0" w:firstColumn="0" w:lastColumn="0" w:oddVBand="0" w:evenVBand="0" w:oddHBand="1" w:evenHBand="0" w:firstRowFirstColumn="0" w:firstRowLastColumn="0" w:lastRowFirstColumn="0" w:lastRowLastColumn="0"/>
            </w:pPr>
            <w:r>
              <w:t>70</w:t>
            </w:r>
          </w:p>
        </w:tc>
        <w:tc>
          <w:tcPr>
            <w:tcW w:w="689" w:type="dxa"/>
            <w:shd w:val="clear" w:color="auto" w:fill="auto"/>
          </w:tcPr>
          <w:p w14:paraId="0EF05BB0" w14:textId="27AB978F" w:rsidR="00011197" w:rsidRDefault="00011197" w:rsidP="006E6045">
            <w:pPr>
              <w:pStyle w:val="Tablenumbers"/>
              <w:cnfStyle w:val="000000100000" w:firstRow="0" w:lastRow="0" w:firstColumn="0" w:lastColumn="0" w:oddVBand="0" w:evenVBand="0" w:oddHBand="1" w:evenHBand="0" w:firstRowFirstColumn="0" w:firstRowLastColumn="0" w:lastRowFirstColumn="0" w:lastRowLastColumn="0"/>
            </w:pPr>
            <w:r>
              <w:t>78</w:t>
            </w:r>
          </w:p>
        </w:tc>
        <w:tc>
          <w:tcPr>
            <w:tcW w:w="683" w:type="dxa"/>
            <w:shd w:val="clear" w:color="auto" w:fill="auto"/>
          </w:tcPr>
          <w:p w14:paraId="35FA366C" w14:textId="6AAAA1CB" w:rsidR="00011197" w:rsidRPr="00597498" w:rsidRDefault="00011197" w:rsidP="006E6045">
            <w:pPr>
              <w:pStyle w:val="Tablenumbers"/>
              <w:cnfStyle w:val="000000100000" w:firstRow="0" w:lastRow="0" w:firstColumn="0" w:lastColumn="0" w:oddVBand="0" w:evenVBand="0" w:oddHBand="1" w:evenHBand="0" w:firstRowFirstColumn="0" w:firstRowLastColumn="0" w:lastRowFirstColumn="0" w:lastRowLastColumn="0"/>
            </w:pPr>
            <w:r>
              <w:t>73</w:t>
            </w:r>
          </w:p>
        </w:tc>
        <w:tc>
          <w:tcPr>
            <w:tcW w:w="683" w:type="dxa"/>
            <w:shd w:val="clear" w:color="auto" w:fill="auto"/>
          </w:tcPr>
          <w:p w14:paraId="5B068BA6" w14:textId="03B9A05A" w:rsidR="00011197" w:rsidRDefault="00011197" w:rsidP="006E6045">
            <w:pPr>
              <w:pStyle w:val="Tablenumbers"/>
              <w:cnfStyle w:val="000000100000" w:firstRow="0" w:lastRow="0" w:firstColumn="0" w:lastColumn="0" w:oddVBand="0" w:evenVBand="0" w:oddHBand="1" w:evenHBand="0" w:firstRowFirstColumn="0" w:firstRowLastColumn="0" w:lastRowFirstColumn="0" w:lastRowLastColumn="0"/>
            </w:pPr>
            <w:r>
              <w:t>78</w:t>
            </w:r>
          </w:p>
        </w:tc>
        <w:tc>
          <w:tcPr>
            <w:tcW w:w="683" w:type="dxa"/>
            <w:shd w:val="clear" w:color="auto" w:fill="auto"/>
          </w:tcPr>
          <w:p w14:paraId="252844E9" w14:textId="65775D57" w:rsidR="00011197" w:rsidRDefault="00011197" w:rsidP="006E6045">
            <w:pPr>
              <w:pStyle w:val="Tablenumbers"/>
              <w:cnfStyle w:val="000000100000" w:firstRow="0" w:lastRow="0" w:firstColumn="0" w:lastColumn="0" w:oddVBand="0" w:evenVBand="0" w:oddHBand="1" w:evenHBand="0" w:firstRowFirstColumn="0" w:firstRowLastColumn="0" w:lastRowFirstColumn="0" w:lastRowLastColumn="0"/>
            </w:pPr>
            <w:r>
              <w:t>91</w:t>
            </w:r>
          </w:p>
        </w:tc>
        <w:tc>
          <w:tcPr>
            <w:tcW w:w="571" w:type="dxa"/>
          </w:tcPr>
          <w:p w14:paraId="7E4C0EA6" w14:textId="2126A8B9" w:rsidR="00011197" w:rsidRDefault="00011197" w:rsidP="006E6045">
            <w:pPr>
              <w:pStyle w:val="Tablenumbers"/>
              <w:cnfStyle w:val="000000100000" w:firstRow="0" w:lastRow="0" w:firstColumn="0" w:lastColumn="0" w:oddVBand="0" w:evenVBand="0" w:oddHBand="1" w:evenHBand="0" w:firstRowFirstColumn="0" w:firstRowLastColumn="0" w:lastRowFirstColumn="0" w:lastRowLastColumn="0"/>
            </w:pPr>
            <w:r>
              <w:rPr>
                <w:rFonts w:cs="Calibri"/>
              </w:rPr>
              <w:t>100</w:t>
            </w:r>
          </w:p>
        </w:tc>
        <w:tc>
          <w:tcPr>
            <w:tcW w:w="814" w:type="dxa"/>
            <w:shd w:val="clear" w:color="auto" w:fill="auto"/>
          </w:tcPr>
          <w:p w14:paraId="14E85DD0" w14:textId="3DF1BF7E" w:rsidR="00011197" w:rsidRPr="009235AF" w:rsidRDefault="00011197" w:rsidP="006E6045">
            <w:pPr>
              <w:pStyle w:val="Tablenumbers"/>
              <w:cnfStyle w:val="000000100000" w:firstRow="0" w:lastRow="0" w:firstColumn="0" w:lastColumn="0" w:oddVBand="0" w:evenVBand="0" w:oddHBand="1" w:evenHBand="0" w:firstRowFirstColumn="0" w:firstRowLastColumn="0" w:lastRowFirstColumn="0" w:lastRowLastColumn="0"/>
            </w:pPr>
            <w:r>
              <w:t>82</w:t>
            </w:r>
          </w:p>
        </w:tc>
        <w:tc>
          <w:tcPr>
            <w:tcW w:w="683" w:type="dxa"/>
            <w:shd w:val="clear" w:color="auto" w:fill="auto"/>
          </w:tcPr>
          <w:p w14:paraId="3163ACC3" w14:textId="204FA9F2" w:rsidR="00011197" w:rsidRDefault="00011197" w:rsidP="006E6045">
            <w:pPr>
              <w:pStyle w:val="Tablenumbers"/>
              <w:cnfStyle w:val="000000100000" w:firstRow="0" w:lastRow="0" w:firstColumn="0" w:lastColumn="0" w:oddVBand="0" w:evenVBand="0" w:oddHBand="1" w:evenHBand="0" w:firstRowFirstColumn="0" w:firstRowLastColumn="0" w:lastRowFirstColumn="0" w:lastRowLastColumn="0"/>
            </w:pPr>
            <w:r>
              <w:t>88</w:t>
            </w:r>
          </w:p>
        </w:tc>
        <w:tc>
          <w:tcPr>
            <w:tcW w:w="723" w:type="dxa"/>
          </w:tcPr>
          <w:p w14:paraId="57E77128" w14:textId="4AA95963" w:rsidR="00011197" w:rsidRDefault="00011197" w:rsidP="006E6045">
            <w:pPr>
              <w:pStyle w:val="Tablenumbers"/>
              <w:cnfStyle w:val="000000100000" w:firstRow="0" w:lastRow="0" w:firstColumn="0" w:lastColumn="0" w:oddVBand="0" w:evenVBand="0" w:oddHBand="1" w:evenHBand="0" w:firstRowFirstColumn="0" w:firstRowLastColumn="0" w:lastRowFirstColumn="0" w:lastRowLastColumn="0"/>
            </w:pPr>
            <w:r>
              <w:t>82</w:t>
            </w:r>
          </w:p>
        </w:tc>
      </w:tr>
      <w:tr w:rsidR="00011197" w:rsidRPr="00CD6245" w14:paraId="78AE8EC6" w14:textId="77777777" w:rsidTr="00011197">
        <w:tc>
          <w:tcPr>
            <w:cnfStyle w:val="001000000000" w:firstRow="0" w:lastRow="0" w:firstColumn="1" w:lastColumn="0" w:oddVBand="0" w:evenVBand="0" w:oddHBand="0" w:evenHBand="0" w:firstRowFirstColumn="0" w:firstRowLastColumn="0" w:lastRowFirstColumn="0" w:lastRowLastColumn="0"/>
            <w:tcW w:w="318" w:type="dxa"/>
            <w:vMerge/>
          </w:tcPr>
          <w:p w14:paraId="1589BD0E" w14:textId="77777777" w:rsidR="00011197" w:rsidRPr="00546DF9" w:rsidRDefault="00011197" w:rsidP="006E6045">
            <w:pPr>
              <w:pStyle w:val="TableText"/>
              <w:rPr>
                <w:b w:val="0"/>
              </w:rPr>
            </w:pPr>
          </w:p>
        </w:tc>
        <w:tc>
          <w:tcPr>
            <w:tcW w:w="1775" w:type="dxa"/>
          </w:tcPr>
          <w:p w14:paraId="60267350" w14:textId="2C7AA60D" w:rsidR="00011197" w:rsidRPr="00F23102" w:rsidRDefault="00011197" w:rsidP="006E6045">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Unsuccessful supplier satisfied (%)</w:t>
            </w:r>
          </w:p>
        </w:tc>
        <w:tc>
          <w:tcPr>
            <w:tcW w:w="683" w:type="dxa"/>
            <w:shd w:val="clear" w:color="auto" w:fill="auto"/>
          </w:tcPr>
          <w:p w14:paraId="5301C237" w14:textId="7866370C" w:rsidR="00011197" w:rsidRPr="00E65F21" w:rsidRDefault="00011197" w:rsidP="006E6045">
            <w:pPr>
              <w:pStyle w:val="Tablenumbers"/>
              <w:cnfStyle w:val="000000000000" w:firstRow="0" w:lastRow="0" w:firstColumn="0" w:lastColumn="0" w:oddVBand="0" w:evenVBand="0" w:oddHBand="0" w:evenHBand="0" w:firstRowFirstColumn="0" w:firstRowLastColumn="0" w:lastRowFirstColumn="0" w:lastRowLastColumn="0"/>
              <w:rPr>
                <w:highlight w:val="yellow"/>
              </w:rPr>
            </w:pPr>
            <w:r w:rsidRPr="00EA43F0">
              <w:t>45</w:t>
            </w:r>
          </w:p>
        </w:tc>
        <w:tc>
          <w:tcPr>
            <w:tcW w:w="772" w:type="dxa"/>
            <w:shd w:val="clear" w:color="auto" w:fill="auto"/>
          </w:tcPr>
          <w:p w14:paraId="0584A155" w14:textId="03AFDC37" w:rsidR="00011197" w:rsidRDefault="00011197" w:rsidP="006E6045">
            <w:pPr>
              <w:pStyle w:val="Tablenumbers"/>
              <w:cnfStyle w:val="000000000000" w:firstRow="0" w:lastRow="0" w:firstColumn="0" w:lastColumn="0" w:oddVBand="0" w:evenVBand="0" w:oddHBand="0" w:evenHBand="0" w:firstRowFirstColumn="0" w:firstRowLastColumn="0" w:lastRowFirstColumn="0" w:lastRowLastColumn="0"/>
            </w:pPr>
            <w:r>
              <w:t>42</w:t>
            </w:r>
          </w:p>
        </w:tc>
        <w:tc>
          <w:tcPr>
            <w:tcW w:w="683" w:type="dxa"/>
            <w:shd w:val="clear" w:color="auto" w:fill="auto"/>
          </w:tcPr>
          <w:p w14:paraId="4C2DFC31" w14:textId="0F7CF7B8" w:rsidR="00011197" w:rsidRDefault="00011197" w:rsidP="006E6045">
            <w:pPr>
              <w:pStyle w:val="Tablenumbers"/>
              <w:cnfStyle w:val="000000000000" w:firstRow="0" w:lastRow="0" w:firstColumn="0" w:lastColumn="0" w:oddVBand="0" w:evenVBand="0" w:oddHBand="0" w:evenHBand="0" w:firstRowFirstColumn="0" w:firstRowLastColumn="0" w:lastRowFirstColumn="0" w:lastRowLastColumn="0"/>
            </w:pPr>
            <w:r>
              <w:t>31</w:t>
            </w:r>
          </w:p>
        </w:tc>
        <w:tc>
          <w:tcPr>
            <w:tcW w:w="689" w:type="dxa"/>
            <w:shd w:val="clear" w:color="auto" w:fill="auto"/>
          </w:tcPr>
          <w:p w14:paraId="1B30B420" w14:textId="05F983A0" w:rsidR="00011197" w:rsidRDefault="00011197" w:rsidP="006E6045">
            <w:pPr>
              <w:pStyle w:val="Tablenumbers"/>
              <w:cnfStyle w:val="000000000000" w:firstRow="0" w:lastRow="0" w:firstColumn="0" w:lastColumn="0" w:oddVBand="0" w:evenVBand="0" w:oddHBand="0" w:evenHBand="0" w:firstRowFirstColumn="0" w:firstRowLastColumn="0" w:lastRowFirstColumn="0" w:lastRowLastColumn="0"/>
            </w:pPr>
            <w:r>
              <w:t>38</w:t>
            </w:r>
          </w:p>
        </w:tc>
        <w:tc>
          <w:tcPr>
            <w:tcW w:w="683" w:type="dxa"/>
            <w:shd w:val="clear" w:color="auto" w:fill="auto"/>
          </w:tcPr>
          <w:p w14:paraId="367AFEAD" w14:textId="43AE83F3" w:rsidR="00011197" w:rsidRPr="00597498" w:rsidRDefault="00011197" w:rsidP="006E6045">
            <w:pPr>
              <w:pStyle w:val="Tablenumbers"/>
              <w:cnfStyle w:val="000000000000" w:firstRow="0" w:lastRow="0" w:firstColumn="0" w:lastColumn="0" w:oddVBand="0" w:evenVBand="0" w:oddHBand="0" w:evenHBand="0" w:firstRowFirstColumn="0" w:firstRowLastColumn="0" w:lastRowFirstColumn="0" w:lastRowLastColumn="0"/>
            </w:pPr>
            <w:r>
              <w:t>40</w:t>
            </w:r>
          </w:p>
        </w:tc>
        <w:tc>
          <w:tcPr>
            <w:tcW w:w="683" w:type="dxa"/>
            <w:shd w:val="clear" w:color="auto" w:fill="auto"/>
          </w:tcPr>
          <w:p w14:paraId="2788FE87" w14:textId="2C7911F9" w:rsidR="00011197" w:rsidRDefault="00011197" w:rsidP="006E6045">
            <w:pPr>
              <w:pStyle w:val="Tablenumbers"/>
              <w:cnfStyle w:val="000000000000" w:firstRow="0" w:lastRow="0" w:firstColumn="0" w:lastColumn="0" w:oddVBand="0" w:evenVBand="0" w:oddHBand="0" w:evenHBand="0" w:firstRowFirstColumn="0" w:firstRowLastColumn="0" w:lastRowFirstColumn="0" w:lastRowLastColumn="0"/>
            </w:pPr>
            <w:r>
              <w:t>25</w:t>
            </w:r>
          </w:p>
        </w:tc>
        <w:tc>
          <w:tcPr>
            <w:tcW w:w="683" w:type="dxa"/>
            <w:shd w:val="clear" w:color="auto" w:fill="auto"/>
          </w:tcPr>
          <w:p w14:paraId="4D99460D" w14:textId="7C5B57C2" w:rsidR="00011197" w:rsidRDefault="00011197" w:rsidP="006E6045">
            <w:pPr>
              <w:pStyle w:val="Tablenumbers"/>
              <w:cnfStyle w:val="000000000000" w:firstRow="0" w:lastRow="0" w:firstColumn="0" w:lastColumn="0" w:oddVBand="0" w:evenVBand="0" w:oddHBand="0" w:evenHBand="0" w:firstRowFirstColumn="0" w:firstRowLastColumn="0" w:lastRowFirstColumn="0" w:lastRowLastColumn="0"/>
            </w:pPr>
            <w:r>
              <w:t>36</w:t>
            </w:r>
          </w:p>
        </w:tc>
        <w:tc>
          <w:tcPr>
            <w:tcW w:w="571" w:type="dxa"/>
          </w:tcPr>
          <w:p w14:paraId="59BF6481" w14:textId="6323938D" w:rsidR="00011197" w:rsidRDefault="00011197" w:rsidP="006E6045">
            <w:pPr>
              <w:pStyle w:val="Tablenumbers"/>
              <w:cnfStyle w:val="000000000000" w:firstRow="0" w:lastRow="0" w:firstColumn="0" w:lastColumn="0" w:oddVBand="0" w:evenVBand="0" w:oddHBand="0" w:evenHBand="0" w:firstRowFirstColumn="0" w:firstRowLastColumn="0" w:lastRowFirstColumn="0" w:lastRowLastColumn="0"/>
            </w:pPr>
            <w:r>
              <w:rPr>
                <w:rFonts w:cs="Calibri"/>
              </w:rPr>
              <w:t>33</w:t>
            </w:r>
          </w:p>
        </w:tc>
        <w:tc>
          <w:tcPr>
            <w:tcW w:w="814" w:type="dxa"/>
            <w:shd w:val="clear" w:color="auto" w:fill="auto"/>
          </w:tcPr>
          <w:p w14:paraId="0C2145BB" w14:textId="46DAFA41" w:rsidR="00011197" w:rsidRPr="009235AF" w:rsidRDefault="00011197" w:rsidP="006E6045">
            <w:pPr>
              <w:pStyle w:val="Tablenumbers"/>
              <w:cnfStyle w:val="000000000000" w:firstRow="0" w:lastRow="0" w:firstColumn="0" w:lastColumn="0" w:oddVBand="0" w:evenVBand="0" w:oddHBand="0" w:evenHBand="0" w:firstRowFirstColumn="0" w:firstRowLastColumn="0" w:lastRowFirstColumn="0" w:lastRowLastColumn="0"/>
            </w:pPr>
            <w:r>
              <w:t>23</w:t>
            </w:r>
          </w:p>
        </w:tc>
        <w:tc>
          <w:tcPr>
            <w:tcW w:w="683" w:type="dxa"/>
            <w:shd w:val="clear" w:color="auto" w:fill="auto"/>
          </w:tcPr>
          <w:p w14:paraId="737CC4B6" w14:textId="07A385B3" w:rsidR="00011197" w:rsidRDefault="00011197" w:rsidP="006E6045">
            <w:pPr>
              <w:pStyle w:val="Tablenumbers"/>
              <w:cnfStyle w:val="000000000000" w:firstRow="0" w:lastRow="0" w:firstColumn="0" w:lastColumn="0" w:oddVBand="0" w:evenVBand="0" w:oddHBand="0" w:evenHBand="0" w:firstRowFirstColumn="0" w:firstRowLastColumn="0" w:lastRowFirstColumn="0" w:lastRowLastColumn="0"/>
            </w:pPr>
            <w:r>
              <w:t>25</w:t>
            </w:r>
          </w:p>
        </w:tc>
        <w:tc>
          <w:tcPr>
            <w:tcW w:w="723" w:type="dxa"/>
          </w:tcPr>
          <w:p w14:paraId="149379A6" w14:textId="6864AA85" w:rsidR="00011197" w:rsidRDefault="00011197" w:rsidP="006E6045">
            <w:pPr>
              <w:pStyle w:val="Tablenumbers"/>
              <w:cnfStyle w:val="000000000000" w:firstRow="0" w:lastRow="0" w:firstColumn="0" w:lastColumn="0" w:oddVBand="0" w:evenVBand="0" w:oddHBand="0" w:evenHBand="0" w:firstRowFirstColumn="0" w:firstRowLastColumn="0" w:lastRowFirstColumn="0" w:lastRowLastColumn="0"/>
            </w:pPr>
            <w:r>
              <w:t>0</w:t>
            </w:r>
            <w:r>
              <w:rPr>
                <w:vertAlign w:val="superscript"/>
              </w:rPr>
              <w:t>(f)</w:t>
            </w:r>
          </w:p>
        </w:tc>
      </w:tr>
      <w:tr w:rsidR="00011197" w:rsidRPr="00CD6245" w14:paraId="4B9043AB" w14:textId="77777777" w:rsidTr="000111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8" w:type="dxa"/>
          </w:tcPr>
          <w:p w14:paraId="03952FD0" w14:textId="77777777" w:rsidR="00011197" w:rsidRPr="00546DF9" w:rsidRDefault="00011197" w:rsidP="006E6045">
            <w:pPr>
              <w:pStyle w:val="TableText"/>
              <w:rPr>
                <w:b w:val="0"/>
              </w:rPr>
            </w:pPr>
            <w:r w:rsidRPr="00546DF9">
              <w:rPr>
                <w:b w:val="0"/>
              </w:rPr>
              <w:t>6</w:t>
            </w:r>
          </w:p>
        </w:tc>
        <w:tc>
          <w:tcPr>
            <w:tcW w:w="1775" w:type="dxa"/>
          </w:tcPr>
          <w:p w14:paraId="0D580393" w14:textId="77777777" w:rsidR="00011197" w:rsidRPr="00F23102" w:rsidRDefault="00011197" w:rsidP="006E6045">
            <w:pPr>
              <w:pStyle w:val="TableText"/>
              <w:cnfStyle w:val="000000100000" w:firstRow="0" w:lastRow="0" w:firstColumn="0" w:lastColumn="0" w:oddVBand="0" w:evenVBand="0" w:oddHBand="1" w:evenHBand="0" w:firstRowFirstColumn="0" w:firstRowLastColumn="0" w:lastRowFirstColumn="0" w:lastRowLastColumn="0"/>
              <w:rPr>
                <w:sz w:val="16"/>
                <w:szCs w:val="16"/>
              </w:rPr>
            </w:pPr>
            <w:r w:rsidRPr="00F23102">
              <w:rPr>
                <w:sz w:val="16"/>
                <w:szCs w:val="16"/>
              </w:rPr>
              <w:t>Planned procurement activity as a percentage of actual procurement activity</w:t>
            </w:r>
            <w:r>
              <w:rPr>
                <w:sz w:val="16"/>
                <w:szCs w:val="16"/>
              </w:rPr>
              <w:t xml:space="preserve"> (%)</w:t>
            </w:r>
          </w:p>
        </w:tc>
        <w:tc>
          <w:tcPr>
            <w:tcW w:w="683" w:type="dxa"/>
            <w:shd w:val="clear" w:color="auto" w:fill="auto"/>
          </w:tcPr>
          <w:p w14:paraId="5165C324" w14:textId="25F21BBD" w:rsidR="00011197" w:rsidRPr="00F357B7" w:rsidRDefault="00011197" w:rsidP="006E6045">
            <w:pPr>
              <w:pStyle w:val="Tablenumbers"/>
              <w:cnfStyle w:val="000000100000" w:firstRow="0" w:lastRow="0" w:firstColumn="0" w:lastColumn="0" w:oddVBand="0" w:evenVBand="0" w:oddHBand="1" w:evenHBand="0" w:firstRowFirstColumn="0" w:firstRowLastColumn="0" w:lastRowFirstColumn="0" w:lastRowLastColumn="0"/>
              <w:rPr>
                <w:highlight w:val="yellow"/>
              </w:rPr>
            </w:pPr>
            <w:r>
              <w:t>40.0</w:t>
            </w:r>
          </w:p>
        </w:tc>
        <w:tc>
          <w:tcPr>
            <w:tcW w:w="772" w:type="dxa"/>
            <w:shd w:val="clear" w:color="auto" w:fill="auto"/>
          </w:tcPr>
          <w:p w14:paraId="47FC153E" w14:textId="77777777" w:rsidR="00011197" w:rsidRPr="00955AF3" w:rsidRDefault="00011197" w:rsidP="006E6045">
            <w:pPr>
              <w:pStyle w:val="Tablenumbers"/>
              <w:cnfStyle w:val="000000100000" w:firstRow="0" w:lastRow="0" w:firstColumn="0" w:lastColumn="0" w:oddVBand="0" w:evenVBand="0" w:oddHBand="1" w:evenHBand="0" w:firstRowFirstColumn="0" w:firstRowLastColumn="0" w:lastRowFirstColumn="0" w:lastRowLastColumn="0"/>
            </w:pPr>
            <w:r w:rsidRPr="008F27CC">
              <w:t>28.6</w:t>
            </w:r>
          </w:p>
        </w:tc>
        <w:tc>
          <w:tcPr>
            <w:tcW w:w="683" w:type="dxa"/>
            <w:shd w:val="clear" w:color="auto" w:fill="auto"/>
          </w:tcPr>
          <w:p w14:paraId="2CC7CB35" w14:textId="77777777" w:rsidR="00011197" w:rsidRPr="00EF4510" w:rsidRDefault="00011197" w:rsidP="006E6045">
            <w:pPr>
              <w:pStyle w:val="Tablenumbers"/>
              <w:cnfStyle w:val="000000100000" w:firstRow="0" w:lastRow="0" w:firstColumn="0" w:lastColumn="0" w:oddVBand="0" w:evenVBand="0" w:oddHBand="1" w:evenHBand="0" w:firstRowFirstColumn="0" w:firstRowLastColumn="0" w:lastRowFirstColumn="0" w:lastRowLastColumn="0"/>
              <w:rPr>
                <w:highlight w:val="yellow"/>
              </w:rPr>
            </w:pPr>
            <w:r>
              <w:t>52.8</w:t>
            </w:r>
          </w:p>
        </w:tc>
        <w:tc>
          <w:tcPr>
            <w:tcW w:w="689" w:type="dxa"/>
            <w:shd w:val="clear" w:color="auto" w:fill="auto"/>
          </w:tcPr>
          <w:p w14:paraId="07CB8860" w14:textId="77777777" w:rsidR="00011197" w:rsidRPr="00955AF3" w:rsidRDefault="00011197" w:rsidP="006E6045">
            <w:pPr>
              <w:pStyle w:val="Tablenumbers"/>
              <w:cnfStyle w:val="000000100000" w:firstRow="0" w:lastRow="0" w:firstColumn="0" w:lastColumn="0" w:oddVBand="0" w:evenVBand="0" w:oddHBand="1" w:evenHBand="0" w:firstRowFirstColumn="0" w:firstRowLastColumn="0" w:lastRowFirstColumn="0" w:lastRowLastColumn="0"/>
            </w:pPr>
            <w:r>
              <w:t>9.3</w:t>
            </w:r>
          </w:p>
        </w:tc>
        <w:tc>
          <w:tcPr>
            <w:tcW w:w="683" w:type="dxa"/>
            <w:shd w:val="clear" w:color="auto" w:fill="auto"/>
          </w:tcPr>
          <w:p w14:paraId="263B6F5E" w14:textId="77777777" w:rsidR="00011197" w:rsidRPr="00955AF3" w:rsidRDefault="00011197" w:rsidP="006E6045">
            <w:pPr>
              <w:pStyle w:val="Tablenumbers"/>
              <w:cnfStyle w:val="000000100000" w:firstRow="0" w:lastRow="0" w:firstColumn="0" w:lastColumn="0" w:oddVBand="0" w:evenVBand="0" w:oddHBand="1" w:evenHBand="0" w:firstRowFirstColumn="0" w:firstRowLastColumn="0" w:lastRowFirstColumn="0" w:lastRowLastColumn="0"/>
            </w:pPr>
            <w:r>
              <w:t>22.0</w:t>
            </w:r>
          </w:p>
        </w:tc>
        <w:tc>
          <w:tcPr>
            <w:tcW w:w="683" w:type="dxa"/>
            <w:shd w:val="clear" w:color="auto" w:fill="auto"/>
          </w:tcPr>
          <w:p w14:paraId="512C2E3B" w14:textId="77777777" w:rsidR="00011197" w:rsidRPr="00955AF3" w:rsidRDefault="00011197" w:rsidP="006E6045">
            <w:pPr>
              <w:pStyle w:val="Tablenumbers"/>
              <w:cnfStyle w:val="000000100000" w:firstRow="0" w:lastRow="0" w:firstColumn="0" w:lastColumn="0" w:oddVBand="0" w:evenVBand="0" w:oddHBand="1" w:evenHBand="0" w:firstRowFirstColumn="0" w:firstRowLastColumn="0" w:lastRowFirstColumn="0" w:lastRowLastColumn="0"/>
            </w:pPr>
            <w:r>
              <w:t>48.4</w:t>
            </w:r>
          </w:p>
        </w:tc>
        <w:tc>
          <w:tcPr>
            <w:tcW w:w="683" w:type="dxa"/>
            <w:shd w:val="clear" w:color="auto" w:fill="auto"/>
          </w:tcPr>
          <w:p w14:paraId="26F67968" w14:textId="77777777" w:rsidR="00011197" w:rsidRDefault="00011197" w:rsidP="006E6045">
            <w:pPr>
              <w:pStyle w:val="Tablenumbers"/>
              <w:cnfStyle w:val="000000100000" w:firstRow="0" w:lastRow="0" w:firstColumn="0" w:lastColumn="0" w:oddVBand="0" w:evenVBand="0" w:oddHBand="1" w:evenHBand="0" w:firstRowFirstColumn="0" w:firstRowLastColumn="0" w:lastRowFirstColumn="0" w:lastRowLastColumn="0"/>
              <w:rPr>
                <w:rFonts w:cs="Calibri"/>
              </w:rPr>
            </w:pPr>
            <w:r>
              <w:t>47.2</w:t>
            </w:r>
          </w:p>
        </w:tc>
        <w:tc>
          <w:tcPr>
            <w:tcW w:w="571" w:type="dxa"/>
          </w:tcPr>
          <w:p w14:paraId="215DB02C" w14:textId="66E079F6" w:rsidR="00011197" w:rsidRPr="002A23D6" w:rsidRDefault="00011197" w:rsidP="006E6045">
            <w:pPr>
              <w:pStyle w:val="Tablenumbers"/>
              <w:cnfStyle w:val="000000100000" w:firstRow="0" w:lastRow="0" w:firstColumn="0" w:lastColumn="0" w:oddVBand="0" w:evenVBand="0" w:oddHBand="1" w:evenHBand="0" w:firstRowFirstColumn="0" w:firstRowLastColumn="0" w:lastRowFirstColumn="0" w:lastRowLastColumn="0"/>
            </w:pPr>
            <w:r>
              <w:rPr>
                <w:rFonts w:cs="Calibri"/>
              </w:rPr>
              <w:t>18.0</w:t>
            </w:r>
          </w:p>
        </w:tc>
        <w:tc>
          <w:tcPr>
            <w:tcW w:w="814" w:type="dxa"/>
            <w:shd w:val="clear" w:color="auto" w:fill="auto"/>
          </w:tcPr>
          <w:p w14:paraId="01546A61" w14:textId="1E7FA15A" w:rsidR="00011197" w:rsidRPr="00955AF3" w:rsidRDefault="00011197" w:rsidP="006E6045">
            <w:pPr>
              <w:pStyle w:val="Tablenumbers"/>
              <w:cnfStyle w:val="000000100000" w:firstRow="0" w:lastRow="0" w:firstColumn="0" w:lastColumn="0" w:oddVBand="0" w:evenVBand="0" w:oddHBand="1" w:evenHBand="0" w:firstRowFirstColumn="0" w:firstRowLastColumn="0" w:lastRowFirstColumn="0" w:lastRowLastColumn="0"/>
            </w:pPr>
            <w:r w:rsidRPr="002A23D6">
              <w:t>4.5</w:t>
            </w:r>
          </w:p>
        </w:tc>
        <w:tc>
          <w:tcPr>
            <w:tcW w:w="683" w:type="dxa"/>
            <w:shd w:val="clear" w:color="auto" w:fill="auto"/>
          </w:tcPr>
          <w:p w14:paraId="1E81C10A" w14:textId="63F8DBF6" w:rsidR="00011197" w:rsidRPr="001660DC" w:rsidRDefault="00011197" w:rsidP="006E6045">
            <w:pPr>
              <w:pStyle w:val="Tablenumbers"/>
              <w:cnfStyle w:val="000000100000" w:firstRow="0" w:lastRow="0" w:firstColumn="0" w:lastColumn="0" w:oddVBand="0" w:evenVBand="0" w:oddHBand="1" w:evenHBand="0" w:firstRowFirstColumn="0" w:firstRowLastColumn="0" w:lastRowFirstColumn="0" w:lastRowLastColumn="0"/>
            </w:pPr>
            <w:r w:rsidRPr="001660DC">
              <w:t>22.6</w:t>
            </w:r>
          </w:p>
        </w:tc>
        <w:tc>
          <w:tcPr>
            <w:tcW w:w="723" w:type="dxa"/>
          </w:tcPr>
          <w:p w14:paraId="72D76024" w14:textId="77777777" w:rsidR="00011197" w:rsidRPr="001660DC" w:rsidRDefault="00011197" w:rsidP="006E6045">
            <w:pPr>
              <w:pStyle w:val="Tablenumbers"/>
              <w:cnfStyle w:val="000000100000" w:firstRow="0" w:lastRow="0" w:firstColumn="0" w:lastColumn="0" w:oddVBand="0" w:evenVBand="0" w:oddHBand="1" w:evenHBand="0" w:firstRowFirstColumn="0" w:firstRowLastColumn="0" w:lastRowFirstColumn="0" w:lastRowLastColumn="0"/>
            </w:pPr>
            <w:r w:rsidRPr="001660DC">
              <w:t>74.2</w:t>
            </w:r>
          </w:p>
        </w:tc>
      </w:tr>
    </w:tbl>
    <w:p w14:paraId="5BF3E59C" w14:textId="16344210" w:rsidR="005B2E7F" w:rsidRDefault="00477B20" w:rsidP="005B2E7F">
      <w:pPr>
        <w:pStyle w:val="Tablenotes"/>
      </w:pPr>
      <w:r>
        <w:t>Note</w:t>
      </w:r>
      <w:r w:rsidR="003B0168">
        <w:t>s</w:t>
      </w:r>
      <w:r>
        <w:t>:</w:t>
      </w:r>
    </w:p>
    <w:p w14:paraId="5D4BC8AE" w14:textId="205E498F" w:rsidR="00DE6307" w:rsidRPr="005B2E7F" w:rsidRDefault="005B2E7F" w:rsidP="005B2E7F">
      <w:pPr>
        <w:pStyle w:val="tablenote0"/>
      </w:pPr>
      <w:r w:rsidRPr="005B2E7F">
        <w:t>(</w:t>
      </w:r>
      <w:r w:rsidR="00DE6307" w:rsidRPr="005B2E7F">
        <w:t>a</w:t>
      </w:r>
      <w:r w:rsidRPr="005B2E7F">
        <w:t>)</w:t>
      </w:r>
      <w:r w:rsidR="00DE6307" w:rsidRPr="005B2E7F">
        <w:t xml:space="preserve"> </w:t>
      </w:r>
      <w:r w:rsidRPr="005B2E7F">
        <w:tab/>
      </w:r>
      <w:r w:rsidR="006919A6">
        <w:t xml:space="preserve">The </w:t>
      </w:r>
      <w:r w:rsidR="00DE6307" w:rsidRPr="005B2E7F">
        <w:t>D</w:t>
      </w:r>
      <w:r w:rsidR="006919A6">
        <w:t xml:space="preserve">epartment of Premier and </w:t>
      </w:r>
      <w:r w:rsidR="00DE6307" w:rsidRPr="005B2E7F">
        <w:t>C</w:t>
      </w:r>
      <w:r w:rsidR="006919A6">
        <w:t>abinet</w:t>
      </w:r>
      <w:r w:rsidR="00DE6307" w:rsidRPr="005B2E7F">
        <w:t xml:space="preserve"> does not use P-Cards.</w:t>
      </w:r>
    </w:p>
    <w:p w14:paraId="54370A55" w14:textId="4B0837A2" w:rsidR="006E6045" w:rsidRDefault="001A7320">
      <w:pPr>
        <w:pStyle w:val="Tablenotes"/>
      </w:pPr>
      <w:r w:rsidDel="001A7320">
        <w:t xml:space="preserve"> </w:t>
      </w:r>
      <w:r>
        <w:t>b</w:t>
      </w:r>
      <w:r w:rsidR="001660DC">
        <w:t xml:space="preserve">) </w:t>
      </w:r>
      <w:r w:rsidR="000A2781">
        <w:tab/>
      </w:r>
      <w:r w:rsidR="006E6045">
        <w:t xml:space="preserve">The </w:t>
      </w:r>
      <w:r w:rsidR="006E6045" w:rsidRPr="001631D3">
        <w:t>Department of Environment, Land, Water and Planning</w:t>
      </w:r>
      <w:r w:rsidR="006E6045" w:rsidRPr="006F0BF9">
        <w:t xml:space="preserve"> </w:t>
      </w:r>
      <w:r w:rsidR="006E6045">
        <w:t xml:space="preserve">used its own internal capability </w:t>
      </w:r>
      <w:r w:rsidR="006E6045" w:rsidRPr="006F0BF9">
        <w:t>tool for self-assessment by staff engaged in procurement</w:t>
      </w:r>
      <w:r w:rsidR="006E6045">
        <w:t>. The Department also used the VGPB capability calculator this year to use as a baseline in 2018–19.</w:t>
      </w:r>
      <w:r w:rsidR="001660DC">
        <w:tab/>
      </w:r>
    </w:p>
    <w:p w14:paraId="7F1B5228" w14:textId="52677589" w:rsidR="00DE6307" w:rsidRDefault="00E6642A" w:rsidP="005B2E7F">
      <w:pPr>
        <w:pStyle w:val="Tablenotes"/>
      </w:pPr>
      <w:r>
        <w:t>(</w:t>
      </w:r>
      <w:r w:rsidR="001A7320">
        <w:t>c</w:t>
      </w:r>
      <w:r>
        <w:t>)</w:t>
      </w:r>
      <w:r>
        <w:tab/>
      </w:r>
      <w:r w:rsidR="000A2781">
        <w:t>The Department of Health and Human Services</w:t>
      </w:r>
      <w:r w:rsidR="006E6045">
        <w:t xml:space="preserve"> scored full marks for capability so could not score higher than a 2.7 per cent increase.</w:t>
      </w:r>
    </w:p>
    <w:p w14:paraId="754CEDDE" w14:textId="4C1CF2F4" w:rsidR="0024067C" w:rsidRPr="00DE6307" w:rsidRDefault="00E6642A" w:rsidP="0024067C">
      <w:pPr>
        <w:pStyle w:val="Tablenotes"/>
      </w:pPr>
      <w:r>
        <w:t>(</w:t>
      </w:r>
      <w:r w:rsidR="001A7320">
        <w:t>d</w:t>
      </w:r>
      <w:r>
        <w:t>)</w:t>
      </w:r>
      <w:r w:rsidRPr="00DE6307">
        <w:t xml:space="preserve"> </w:t>
      </w:r>
      <w:r w:rsidR="000A2781">
        <w:tab/>
      </w:r>
      <w:r w:rsidR="00820DB7">
        <w:t>CenITex</w:t>
      </w:r>
      <w:r w:rsidR="006E6045" w:rsidRPr="001660DC">
        <w:t xml:space="preserve"> gained accreditation on 1 July 2017 </w:t>
      </w:r>
      <w:r w:rsidR="0070033A">
        <w:t xml:space="preserve">so </w:t>
      </w:r>
      <w:r w:rsidR="006E6045" w:rsidRPr="001660DC">
        <w:t>could not measure a capability increase from last year.</w:t>
      </w:r>
    </w:p>
    <w:p w14:paraId="4EE14F4B" w14:textId="4760453D" w:rsidR="00E6642A" w:rsidRDefault="0024067C" w:rsidP="00E6642A">
      <w:pPr>
        <w:pStyle w:val="Tablenotes"/>
      </w:pPr>
      <w:r>
        <w:t>(e)</w:t>
      </w:r>
      <w:r w:rsidR="000A2781">
        <w:tab/>
      </w:r>
      <w:r w:rsidR="00E6642A">
        <w:t xml:space="preserve">Public Transport Victoria gained accreditation on 1 January 2017 </w:t>
      </w:r>
      <w:r w:rsidR="0070033A">
        <w:t>so</w:t>
      </w:r>
      <w:r w:rsidR="00E6642A">
        <w:t xml:space="preserve"> </w:t>
      </w:r>
      <w:r w:rsidR="00E6642A" w:rsidRPr="001660DC">
        <w:t>could not measure a capability increase from last year.</w:t>
      </w:r>
    </w:p>
    <w:p w14:paraId="185B9279" w14:textId="50EAFC21" w:rsidR="0084448F" w:rsidRDefault="005B2E7F" w:rsidP="005B2E7F">
      <w:pPr>
        <w:pStyle w:val="Tablenotes"/>
      </w:pPr>
      <w:r>
        <w:t>(</w:t>
      </w:r>
      <w:r w:rsidR="00E6642A">
        <w:t>f</w:t>
      </w:r>
      <w:r>
        <w:t>)</w:t>
      </w:r>
      <w:r w:rsidR="00DE6307">
        <w:t xml:space="preserve"> </w:t>
      </w:r>
      <w:r w:rsidR="000F61E6">
        <w:tab/>
      </w:r>
      <w:r w:rsidR="00DE6307" w:rsidRPr="00477B20">
        <w:t>Insufficient sample size</w:t>
      </w:r>
      <w:r w:rsidR="00DE6307">
        <w:t>.</w:t>
      </w:r>
    </w:p>
    <w:p w14:paraId="0F6A0662" w14:textId="70FA7353" w:rsidR="00C26B50" w:rsidRPr="000F61E6" w:rsidRDefault="00C26B50" w:rsidP="000F61E6">
      <w:pPr>
        <w:pStyle w:val="Tablenotes"/>
      </w:pPr>
      <w:bookmarkStart w:id="119" w:name="_Hlk520470346"/>
    </w:p>
    <w:p w14:paraId="3F59B5FD" w14:textId="77777777" w:rsidR="001660DC" w:rsidRDefault="001660DC">
      <w:pPr>
        <w:rPr>
          <w:rFonts w:ascii="Calibri" w:hAnsi="Calibri" w:cs="Calibri"/>
          <w:color w:val="4D4D4D"/>
          <w:kern w:val="28"/>
          <w:sz w:val="30"/>
          <w:szCs w:val="22"/>
          <w:lang w:eastAsia="en-US"/>
        </w:rPr>
      </w:pPr>
      <w:r>
        <w:br w:type="page"/>
      </w:r>
    </w:p>
    <w:p w14:paraId="152D6E6A" w14:textId="58A14ED2" w:rsidR="00F10C7B" w:rsidRPr="00CD6245" w:rsidRDefault="00F10C7B" w:rsidP="00F2199C">
      <w:pPr>
        <w:pStyle w:val="Heading2NoNum"/>
      </w:pPr>
      <w:bookmarkStart w:id="120" w:name="_Toc524354075"/>
      <w:r w:rsidRPr="00CD6245">
        <w:lastRenderedPageBreak/>
        <w:t>Audits</w:t>
      </w:r>
      <w:bookmarkEnd w:id="120"/>
    </w:p>
    <w:p w14:paraId="0259698C" w14:textId="50A1AD88" w:rsidR="00FA5FE2" w:rsidRDefault="0028446E" w:rsidP="00E41631">
      <w:pPr>
        <w:pStyle w:val="Normal1"/>
      </w:pPr>
      <w:r>
        <w:t>Our</w:t>
      </w:r>
      <w:r w:rsidR="00F10C7B">
        <w:t xml:space="preserve"> </w:t>
      </w:r>
      <w:r w:rsidR="00F10C7B" w:rsidRPr="00CD6245">
        <w:t>three-year rolling audit program</w:t>
      </w:r>
      <w:r w:rsidR="00FA5FE2">
        <w:t>:</w:t>
      </w:r>
    </w:p>
    <w:p w14:paraId="4D4C6467" w14:textId="36C4EAA3" w:rsidR="00FA5FE2" w:rsidRDefault="00F10C7B" w:rsidP="00FA5FE2">
      <w:pPr>
        <w:pStyle w:val="Bullet1"/>
      </w:pPr>
      <w:r w:rsidRPr="00CD6245">
        <w:t>verif</w:t>
      </w:r>
      <w:r w:rsidR="0028446E">
        <w:t>ies</w:t>
      </w:r>
      <w:r w:rsidRPr="00CD6245">
        <w:t xml:space="preserve"> compliance with VGPB supply policies</w:t>
      </w:r>
      <w:r w:rsidR="00FA5FE2">
        <w:t>;</w:t>
      </w:r>
    </w:p>
    <w:p w14:paraId="525BC6F1" w14:textId="3B6A4B74" w:rsidR="00FA5FE2" w:rsidRDefault="00F10C7B" w:rsidP="00FA5FE2">
      <w:pPr>
        <w:pStyle w:val="Bullet1"/>
      </w:pPr>
      <w:r w:rsidRPr="00CD6245">
        <w:t>minimise</w:t>
      </w:r>
      <w:r w:rsidR="0028446E">
        <w:t>s</w:t>
      </w:r>
      <w:r w:rsidRPr="00CD6245">
        <w:t xml:space="preserve"> risks</w:t>
      </w:r>
      <w:r w:rsidR="00FA5FE2">
        <w:t>;</w:t>
      </w:r>
      <w:r w:rsidRPr="00CD6245">
        <w:t xml:space="preserve"> and</w:t>
      </w:r>
    </w:p>
    <w:p w14:paraId="507F596B" w14:textId="77DD6B9E" w:rsidR="00F10C7B" w:rsidRDefault="00F10C7B" w:rsidP="00FA5FE2">
      <w:pPr>
        <w:pStyle w:val="Bullet1"/>
      </w:pPr>
      <w:r w:rsidRPr="00CD6245">
        <w:t>improve</w:t>
      </w:r>
      <w:r w:rsidR="0028446E">
        <w:t>s</w:t>
      </w:r>
      <w:r w:rsidRPr="00CD6245">
        <w:t xml:space="preserve"> processes to drive better procurement outcomes.</w:t>
      </w:r>
    </w:p>
    <w:p w14:paraId="70DBC579" w14:textId="72D78111" w:rsidR="00F10C7B" w:rsidRPr="00CD6245" w:rsidRDefault="00F10C7B" w:rsidP="00E41631">
      <w:pPr>
        <w:pStyle w:val="Normal1"/>
      </w:pPr>
      <w:r w:rsidRPr="00CD6245">
        <w:t>The audit measures</w:t>
      </w:r>
      <w:r>
        <w:t xml:space="preserve"> how well </w:t>
      </w:r>
      <w:r w:rsidRPr="00CD6245">
        <w:t>organisations are achieving savings, efficiencies and better service delivery as a result of improved supplier engagement, increased market engagement and greater rigour in driving value from contracts.</w:t>
      </w:r>
    </w:p>
    <w:p w14:paraId="4AD00ECF" w14:textId="6A5850C4" w:rsidR="00BB2C99" w:rsidRPr="008D3D6C" w:rsidRDefault="0028446E" w:rsidP="00E41631">
      <w:pPr>
        <w:pStyle w:val="Normal1"/>
      </w:pPr>
      <w:r w:rsidRPr="008D3D6C">
        <w:t xml:space="preserve">The </w:t>
      </w:r>
      <w:r w:rsidR="00903850" w:rsidRPr="008D3D6C">
        <w:t>d</w:t>
      </w:r>
      <w:r w:rsidRPr="008D3D6C">
        <w:t>epartment</w:t>
      </w:r>
      <w:r w:rsidR="00903850" w:rsidRPr="008D3D6C">
        <w:t>s</w:t>
      </w:r>
      <w:r w:rsidRPr="008D3D6C">
        <w:t xml:space="preserve"> </w:t>
      </w:r>
      <w:r w:rsidR="00BB2C99" w:rsidRPr="008D3D6C">
        <w:t>that completed a VGPB audit in 2017–18 include:</w:t>
      </w:r>
    </w:p>
    <w:p w14:paraId="2E80B240" w14:textId="54FD9C46" w:rsidR="00BB2C99" w:rsidRPr="008D3D6C" w:rsidRDefault="00BB2C99" w:rsidP="00BB2C99">
      <w:pPr>
        <w:pStyle w:val="Bullet1"/>
        <w:rPr>
          <w:lang w:eastAsia="en-US"/>
        </w:rPr>
      </w:pPr>
      <w:r w:rsidRPr="008D3D6C">
        <w:t>Economic Development, Jobs, Transport and Resources;</w:t>
      </w:r>
    </w:p>
    <w:p w14:paraId="1A431971" w14:textId="328DF8A4" w:rsidR="00BB2C99" w:rsidRPr="008D3D6C" w:rsidRDefault="00BB2C99" w:rsidP="00BB2C99">
      <w:pPr>
        <w:pStyle w:val="Bullet1"/>
        <w:rPr>
          <w:lang w:eastAsia="en-US"/>
        </w:rPr>
      </w:pPr>
      <w:r w:rsidRPr="008D3D6C">
        <w:t>Environment, Land, Water and Planning;</w:t>
      </w:r>
    </w:p>
    <w:p w14:paraId="1B33D5E0" w14:textId="237DCCBD" w:rsidR="00BB2C99" w:rsidRPr="008D3D6C" w:rsidRDefault="00BB2C99" w:rsidP="00BB2C99">
      <w:pPr>
        <w:pStyle w:val="Bullet1"/>
        <w:rPr>
          <w:lang w:eastAsia="en-US"/>
        </w:rPr>
      </w:pPr>
      <w:r w:rsidRPr="008D3D6C">
        <w:t>Health and Human Service; and</w:t>
      </w:r>
    </w:p>
    <w:p w14:paraId="2EA0B357" w14:textId="73C1ED40" w:rsidR="00BB2C99" w:rsidRPr="008D3D6C" w:rsidRDefault="00BB2C99" w:rsidP="00BB2C99">
      <w:pPr>
        <w:pStyle w:val="Bullet1"/>
        <w:rPr>
          <w:lang w:eastAsia="en-US"/>
        </w:rPr>
      </w:pPr>
      <w:r w:rsidRPr="008D3D6C">
        <w:t>Justice and Regulation.</w:t>
      </w:r>
    </w:p>
    <w:p w14:paraId="3A33A945" w14:textId="53EFF5D1" w:rsidR="00F10C7B" w:rsidRPr="00CD6245" w:rsidRDefault="00847EDE" w:rsidP="00E41631">
      <w:pPr>
        <w:pStyle w:val="Normal1"/>
      </w:pPr>
      <w:r w:rsidRPr="008D3D6C">
        <w:rPr>
          <w:lang w:eastAsia="en-US"/>
        </w:rPr>
        <w:t>A</w:t>
      </w:r>
      <w:r w:rsidR="000660DA" w:rsidRPr="008D3D6C">
        <w:rPr>
          <w:lang w:eastAsia="en-US"/>
        </w:rPr>
        <w:t>ll organisations accepted the recommendations made to improve compliance</w:t>
      </w:r>
      <w:r w:rsidR="003B0168">
        <w:rPr>
          <w:lang w:eastAsia="en-US"/>
        </w:rPr>
        <w:t xml:space="preserve"> and i</w:t>
      </w:r>
      <w:r w:rsidR="00182E0D" w:rsidRPr="008D3D6C">
        <w:rPr>
          <w:lang w:eastAsia="en-US"/>
        </w:rPr>
        <w:t>mplementation is</w:t>
      </w:r>
      <w:r w:rsidR="000660DA" w:rsidRPr="008D3D6C">
        <w:rPr>
          <w:lang w:eastAsia="en-US"/>
        </w:rPr>
        <w:t xml:space="preserve"> either complete or in progress.</w:t>
      </w:r>
    </w:p>
    <w:p w14:paraId="6AF18EB6" w14:textId="08BC9BD5" w:rsidR="00F10C7B" w:rsidRDefault="00F10C7B" w:rsidP="00E41631">
      <w:pPr>
        <w:pStyle w:val="Normal1"/>
      </w:pPr>
      <w:r>
        <w:fldChar w:fldCharType="begin"/>
      </w:r>
      <w:r>
        <w:instrText xml:space="preserve"> REF _Ref457120742 \h  \* MERGEFORMAT </w:instrText>
      </w:r>
      <w:r>
        <w:fldChar w:fldCharType="separate"/>
      </w:r>
      <w:r w:rsidR="00A07703" w:rsidRPr="00CD6245">
        <w:t xml:space="preserve">Table </w:t>
      </w:r>
      <w:r w:rsidR="00A07703">
        <w:rPr>
          <w:noProof/>
        </w:rPr>
        <w:t>19</w:t>
      </w:r>
      <w:r>
        <w:fldChar w:fldCharType="end"/>
      </w:r>
      <w:r w:rsidRPr="00CD6245">
        <w:t xml:space="preserve"> lists the audit program schedule and results to date.</w:t>
      </w:r>
      <w:r w:rsidR="00191FB9">
        <w:t xml:space="preserve"> For more information on specific audit findings, refer to the relevant organisation’s procurement profile in the next section.</w:t>
      </w:r>
    </w:p>
    <w:p w14:paraId="642918CB" w14:textId="5A53D9BA" w:rsidR="00FA5FE2" w:rsidRDefault="00FA5FE2" w:rsidP="00FA5FE2">
      <w:pPr>
        <w:pStyle w:val="Caption"/>
      </w:pPr>
      <w:bookmarkStart w:id="121" w:name="_Ref457120742"/>
      <w:bookmarkStart w:id="122" w:name="_Toc524354012"/>
      <w:r w:rsidRPr="00CD6245">
        <w:t xml:space="preserve">Table </w:t>
      </w:r>
      <w:r w:rsidR="002407F7">
        <w:rPr>
          <w:noProof/>
        </w:rPr>
        <w:fldChar w:fldCharType="begin"/>
      </w:r>
      <w:r w:rsidR="002407F7">
        <w:rPr>
          <w:noProof/>
        </w:rPr>
        <w:instrText xml:space="preserve"> SEQ Table \* ARABIC </w:instrText>
      </w:r>
      <w:r w:rsidR="002407F7">
        <w:rPr>
          <w:noProof/>
        </w:rPr>
        <w:fldChar w:fldCharType="separate"/>
      </w:r>
      <w:r w:rsidR="00A07703">
        <w:rPr>
          <w:noProof/>
        </w:rPr>
        <w:t>19</w:t>
      </w:r>
      <w:r w:rsidR="002407F7">
        <w:rPr>
          <w:noProof/>
        </w:rPr>
        <w:fldChar w:fldCharType="end"/>
      </w:r>
      <w:bookmarkEnd w:id="121"/>
      <w:r w:rsidRPr="00CD6245">
        <w:t>: Audit program schedule and results at 30 June 201</w:t>
      </w:r>
      <w:r w:rsidR="0060519C">
        <w:t>8</w:t>
      </w:r>
      <w:bookmarkEnd w:id="122"/>
    </w:p>
    <w:tbl>
      <w:tblPr>
        <w:tblStyle w:val="ListTable31"/>
        <w:tblW w:w="4519" w:type="pct"/>
        <w:tblInd w:w="846" w:type="dxa"/>
        <w:tblLayout w:type="fixed"/>
        <w:tblLook w:val="04A0" w:firstRow="1" w:lastRow="0" w:firstColumn="1" w:lastColumn="0" w:noHBand="0" w:noVBand="1"/>
      </w:tblPr>
      <w:tblGrid>
        <w:gridCol w:w="663"/>
        <w:gridCol w:w="2217"/>
        <w:gridCol w:w="1087"/>
        <w:gridCol w:w="1404"/>
        <w:gridCol w:w="1664"/>
        <w:gridCol w:w="1661"/>
      </w:tblGrid>
      <w:tr w:rsidR="00820DB7" w:rsidRPr="00686733" w14:paraId="42598815" w14:textId="77777777" w:rsidTr="00011197">
        <w:trPr>
          <w:cnfStyle w:val="100000000000" w:firstRow="1" w:lastRow="0" w:firstColumn="0" w:lastColumn="0" w:oddVBand="0" w:evenVBand="0" w:oddHBand="0" w:evenHBand="0" w:firstRowFirstColumn="0" w:firstRowLastColumn="0" w:lastRowFirstColumn="0" w:lastRowLastColumn="0"/>
          <w:trHeight w:val="20"/>
        </w:trPr>
        <w:tc>
          <w:tcPr>
            <w:cnfStyle w:val="001000000100" w:firstRow="0" w:lastRow="0" w:firstColumn="1" w:lastColumn="0" w:oddVBand="0" w:evenVBand="0" w:oddHBand="0" w:evenHBand="0" w:firstRowFirstColumn="1" w:firstRowLastColumn="0" w:lastRowFirstColumn="0" w:lastRowLastColumn="0"/>
            <w:tcW w:w="381" w:type="pct"/>
            <w:noWrap/>
            <w:hideMark/>
          </w:tcPr>
          <w:p w14:paraId="2C3CF8BE" w14:textId="77777777" w:rsidR="00820DB7" w:rsidRPr="00686733" w:rsidRDefault="00820DB7" w:rsidP="0060519C">
            <w:pPr>
              <w:pStyle w:val="TableText"/>
              <w:rPr>
                <w:b w:val="0"/>
                <w:sz w:val="18"/>
                <w:szCs w:val="18"/>
              </w:rPr>
            </w:pPr>
            <w:r w:rsidRPr="00686733">
              <w:rPr>
                <w:b w:val="0"/>
                <w:sz w:val="18"/>
                <w:szCs w:val="18"/>
              </w:rPr>
              <w:t>Audit year</w:t>
            </w:r>
          </w:p>
        </w:tc>
        <w:tc>
          <w:tcPr>
            <w:tcW w:w="1275" w:type="pct"/>
            <w:noWrap/>
            <w:hideMark/>
          </w:tcPr>
          <w:p w14:paraId="3A1F652B" w14:textId="77777777" w:rsidR="00820DB7" w:rsidRPr="00686733" w:rsidRDefault="00820DB7" w:rsidP="0060519C">
            <w:pPr>
              <w:pStyle w:val="TableText"/>
              <w:cnfStyle w:val="100000000000" w:firstRow="1" w:lastRow="0" w:firstColumn="0" w:lastColumn="0" w:oddVBand="0" w:evenVBand="0" w:oddHBand="0" w:evenHBand="0" w:firstRowFirstColumn="0" w:firstRowLastColumn="0" w:lastRowFirstColumn="0" w:lastRowLastColumn="0"/>
              <w:rPr>
                <w:b w:val="0"/>
                <w:sz w:val="18"/>
                <w:szCs w:val="18"/>
              </w:rPr>
            </w:pPr>
            <w:r w:rsidRPr="00686733">
              <w:rPr>
                <w:b w:val="0"/>
                <w:sz w:val="18"/>
                <w:szCs w:val="18"/>
              </w:rPr>
              <w:t>Organisation</w:t>
            </w:r>
          </w:p>
        </w:tc>
        <w:tc>
          <w:tcPr>
            <w:tcW w:w="625" w:type="pct"/>
          </w:tcPr>
          <w:p w14:paraId="28F00A18" w14:textId="3CF1F8B9" w:rsidR="00820DB7" w:rsidRPr="00686733" w:rsidRDefault="00820DB7" w:rsidP="0060519C">
            <w:pPr>
              <w:pStyle w:val="TableText"/>
              <w:cnfStyle w:val="100000000000" w:firstRow="1" w:lastRow="0" w:firstColumn="0" w:lastColumn="0" w:oddVBand="0" w:evenVBand="0" w:oddHBand="0" w:evenHBand="0" w:firstRowFirstColumn="0" w:firstRowLastColumn="0" w:lastRowFirstColumn="0" w:lastRowLastColumn="0"/>
              <w:rPr>
                <w:sz w:val="18"/>
                <w:szCs w:val="18"/>
              </w:rPr>
            </w:pPr>
            <w:r w:rsidRPr="00686733">
              <w:rPr>
                <w:sz w:val="18"/>
                <w:szCs w:val="18"/>
              </w:rPr>
              <w:t>No. of findings</w:t>
            </w:r>
          </w:p>
        </w:tc>
        <w:tc>
          <w:tcPr>
            <w:tcW w:w="807" w:type="pct"/>
          </w:tcPr>
          <w:p w14:paraId="298E618B" w14:textId="2D2794FA" w:rsidR="00820DB7" w:rsidRPr="00686733" w:rsidRDefault="00820DB7" w:rsidP="0060519C">
            <w:pPr>
              <w:pStyle w:val="TableText"/>
              <w:cnfStyle w:val="100000000000" w:firstRow="1" w:lastRow="0" w:firstColumn="0" w:lastColumn="0" w:oddVBand="0" w:evenVBand="0" w:oddHBand="0" w:evenHBand="0" w:firstRowFirstColumn="0" w:firstRowLastColumn="0" w:lastRowFirstColumn="0" w:lastRowLastColumn="0"/>
              <w:rPr>
                <w:sz w:val="18"/>
                <w:szCs w:val="18"/>
              </w:rPr>
            </w:pPr>
            <w:r w:rsidRPr="00686733">
              <w:rPr>
                <w:sz w:val="18"/>
                <w:szCs w:val="18"/>
              </w:rPr>
              <w:t xml:space="preserve">Risk rating </w:t>
            </w:r>
            <w:r w:rsidR="00011197">
              <w:rPr>
                <w:sz w:val="18"/>
                <w:szCs w:val="18"/>
              </w:rPr>
              <w:t>of findings</w:t>
            </w:r>
          </w:p>
        </w:tc>
        <w:tc>
          <w:tcPr>
            <w:tcW w:w="957" w:type="pct"/>
          </w:tcPr>
          <w:p w14:paraId="138BCE1C" w14:textId="4A4A904B" w:rsidR="00820DB7" w:rsidRPr="00686733" w:rsidRDefault="00820DB7" w:rsidP="0060519C">
            <w:pPr>
              <w:pStyle w:val="TableText"/>
              <w:cnfStyle w:val="100000000000" w:firstRow="1" w:lastRow="0" w:firstColumn="0" w:lastColumn="0" w:oddVBand="0" w:evenVBand="0" w:oddHBand="0" w:evenHBand="0" w:firstRowFirstColumn="0" w:firstRowLastColumn="0" w:lastRowFirstColumn="0" w:lastRowLastColumn="0"/>
              <w:rPr>
                <w:sz w:val="18"/>
                <w:szCs w:val="18"/>
              </w:rPr>
            </w:pPr>
            <w:r w:rsidRPr="00686733">
              <w:rPr>
                <w:sz w:val="18"/>
                <w:szCs w:val="18"/>
              </w:rPr>
              <w:t>No. of recommendations</w:t>
            </w:r>
          </w:p>
        </w:tc>
        <w:tc>
          <w:tcPr>
            <w:tcW w:w="956" w:type="pct"/>
            <w:hideMark/>
          </w:tcPr>
          <w:p w14:paraId="79602DB3" w14:textId="4B4F4579" w:rsidR="00820DB7" w:rsidRPr="00686733" w:rsidRDefault="00820DB7" w:rsidP="0060519C">
            <w:pPr>
              <w:pStyle w:val="TableText"/>
              <w:cnfStyle w:val="100000000000" w:firstRow="1" w:lastRow="0" w:firstColumn="0" w:lastColumn="0" w:oddVBand="0" w:evenVBand="0" w:oddHBand="0" w:evenHBand="0" w:firstRowFirstColumn="0" w:firstRowLastColumn="0" w:lastRowFirstColumn="0" w:lastRowLastColumn="0"/>
              <w:rPr>
                <w:sz w:val="18"/>
                <w:szCs w:val="18"/>
              </w:rPr>
            </w:pPr>
            <w:r w:rsidRPr="00686733">
              <w:rPr>
                <w:sz w:val="18"/>
                <w:szCs w:val="18"/>
              </w:rPr>
              <w:t>Recommendations implemented</w:t>
            </w:r>
          </w:p>
        </w:tc>
      </w:tr>
      <w:tr w:rsidR="00820DB7" w:rsidRPr="0016613A" w14:paraId="0E34C738" w14:textId="77777777" w:rsidTr="0001119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81" w:type="pct"/>
            <w:vMerge w:val="restart"/>
            <w:noWrap/>
            <w:hideMark/>
          </w:tcPr>
          <w:p w14:paraId="7FC652C9" w14:textId="77777777" w:rsidR="00820DB7" w:rsidRPr="0055605E" w:rsidRDefault="00820DB7" w:rsidP="0060519C">
            <w:pPr>
              <w:pStyle w:val="TableText"/>
            </w:pPr>
            <w:r w:rsidRPr="0055605E">
              <w:t>2016</w:t>
            </w:r>
          </w:p>
        </w:tc>
        <w:tc>
          <w:tcPr>
            <w:tcW w:w="1275" w:type="pct"/>
            <w:noWrap/>
            <w:hideMark/>
          </w:tcPr>
          <w:p w14:paraId="7662DBF5" w14:textId="4AD91B6C" w:rsidR="00820DB7" w:rsidRPr="00CC430C" w:rsidRDefault="00820DB7" w:rsidP="0060519C">
            <w:pPr>
              <w:pStyle w:val="TableText"/>
              <w:cnfStyle w:val="000000100000" w:firstRow="0" w:lastRow="0" w:firstColumn="0" w:lastColumn="0" w:oddVBand="0" w:evenVBand="0" w:oddHBand="1" w:evenHBand="0" w:firstRowFirstColumn="0" w:firstRowLastColumn="0" w:lastRowFirstColumn="0" w:lastRowLastColumn="0"/>
            </w:pPr>
            <w:r>
              <w:t xml:space="preserve">Department of </w:t>
            </w:r>
            <w:r w:rsidRPr="00CC430C">
              <w:t>Treasury and Finance</w:t>
            </w:r>
            <w:r>
              <w:t xml:space="preserve"> </w:t>
            </w:r>
          </w:p>
        </w:tc>
        <w:tc>
          <w:tcPr>
            <w:tcW w:w="625" w:type="pct"/>
          </w:tcPr>
          <w:p w14:paraId="2DB17F5F" w14:textId="63E9979F" w:rsidR="00820DB7" w:rsidRDefault="00820DB7" w:rsidP="0060519C">
            <w:pPr>
              <w:pStyle w:val="TableText"/>
              <w:cnfStyle w:val="000000100000" w:firstRow="0" w:lastRow="0" w:firstColumn="0" w:lastColumn="0" w:oddVBand="0" w:evenVBand="0" w:oddHBand="1" w:evenHBand="0" w:firstRowFirstColumn="0" w:firstRowLastColumn="0" w:lastRowFirstColumn="0" w:lastRowLastColumn="0"/>
            </w:pPr>
            <w:r>
              <w:t>2</w:t>
            </w:r>
          </w:p>
        </w:tc>
        <w:tc>
          <w:tcPr>
            <w:tcW w:w="807" w:type="pct"/>
          </w:tcPr>
          <w:p w14:paraId="0FCE1F3E" w14:textId="700F2770" w:rsidR="00820DB7" w:rsidRDefault="00820DB7" w:rsidP="0060519C">
            <w:pPr>
              <w:pStyle w:val="TableText"/>
              <w:cnfStyle w:val="000000100000" w:firstRow="0" w:lastRow="0" w:firstColumn="0" w:lastColumn="0" w:oddVBand="0" w:evenVBand="0" w:oddHBand="1" w:evenHBand="0" w:firstRowFirstColumn="0" w:firstRowLastColumn="0" w:lastRowFirstColumn="0" w:lastRowLastColumn="0"/>
            </w:pPr>
            <w:r>
              <w:t>Low</w:t>
            </w:r>
          </w:p>
        </w:tc>
        <w:tc>
          <w:tcPr>
            <w:tcW w:w="957" w:type="pct"/>
          </w:tcPr>
          <w:p w14:paraId="368195A0" w14:textId="5640D23C" w:rsidR="00820DB7" w:rsidRDefault="00820DB7" w:rsidP="0060519C">
            <w:pPr>
              <w:pStyle w:val="TableText"/>
              <w:cnfStyle w:val="000000100000" w:firstRow="0" w:lastRow="0" w:firstColumn="0" w:lastColumn="0" w:oddVBand="0" w:evenVBand="0" w:oddHBand="1" w:evenHBand="0" w:firstRowFirstColumn="0" w:firstRowLastColumn="0" w:lastRowFirstColumn="0" w:lastRowLastColumn="0"/>
            </w:pPr>
            <w:r>
              <w:t>2</w:t>
            </w:r>
          </w:p>
        </w:tc>
        <w:tc>
          <w:tcPr>
            <w:tcW w:w="956" w:type="pct"/>
            <w:hideMark/>
          </w:tcPr>
          <w:p w14:paraId="2F8A48CC" w14:textId="54529142" w:rsidR="00820DB7" w:rsidRPr="0055605E" w:rsidRDefault="00820DB7" w:rsidP="0060519C">
            <w:pPr>
              <w:pStyle w:val="TableText"/>
              <w:cnfStyle w:val="000000100000" w:firstRow="0" w:lastRow="0" w:firstColumn="0" w:lastColumn="0" w:oddVBand="0" w:evenVBand="0" w:oddHBand="1" w:evenHBand="0" w:firstRowFirstColumn="0" w:firstRowLastColumn="0" w:lastRowFirstColumn="0" w:lastRowLastColumn="0"/>
            </w:pPr>
            <w:r>
              <w:t xml:space="preserve">Complete </w:t>
            </w:r>
          </w:p>
        </w:tc>
      </w:tr>
      <w:tr w:rsidR="00820DB7" w:rsidRPr="0016613A" w14:paraId="613538EB" w14:textId="77777777" w:rsidTr="00011197">
        <w:trPr>
          <w:trHeight w:val="20"/>
        </w:trPr>
        <w:tc>
          <w:tcPr>
            <w:cnfStyle w:val="001000000000" w:firstRow="0" w:lastRow="0" w:firstColumn="1" w:lastColumn="0" w:oddVBand="0" w:evenVBand="0" w:oddHBand="0" w:evenHBand="0" w:firstRowFirstColumn="0" w:firstRowLastColumn="0" w:lastRowFirstColumn="0" w:lastRowLastColumn="0"/>
            <w:tcW w:w="381" w:type="pct"/>
            <w:vMerge/>
            <w:noWrap/>
            <w:hideMark/>
          </w:tcPr>
          <w:p w14:paraId="19CB7747" w14:textId="77777777" w:rsidR="00820DB7" w:rsidRPr="0055605E" w:rsidRDefault="00820DB7" w:rsidP="0060519C">
            <w:pPr>
              <w:pStyle w:val="TableText"/>
            </w:pPr>
          </w:p>
        </w:tc>
        <w:tc>
          <w:tcPr>
            <w:tcW w:w="1275" w:type="pct"/>
            <w:noWrap/>
            <w:hideMark/>
          </w:tcPr>
          <w:p w14:paraId="2DABA0A8" w14:textId="77777777" w:rsidR="00820DB7" w:rsidRPr="00CC430C" w:rsidRDefault="00820DB7" w:rsidP="0060519C">
            <w:pPr>
              <w:pStyle w:val="TableText"/>
              <w:cnfStyle w:val="000000000000" w:firstRow="0" w:lastRow="0" w:firstColumn="0" w:lastColumn="0" w:oddVBand="0" w:evenVBand="0" w:oddHBand="0" w:evenHBand="0" w:firstRowFirstColumn="0" w:firstRowLastColumn="0" w:lastRowFirstColumn="0" w:lastRowLastColumn="0"/>
            </w:pPr>
            <w:r w:rsidRPr="00CC430C">
              <w:t>Victoria Police</w:t>
            </w:r>
          </w:p>
        </w:tc>
        <w:tc>
          <w:tcPr>
            <w:tcW w:w="625" w:type="pct"/>
          </w:tcPr>
          <w:p w14:paraId="23219CB8" w14:textId="0F4F577B" w:rsidR="00820DB7" w:rsidRDefault="00820DB7" w:rsidP="0060519C">
            <w:pPr>
              <w:pStyle w:val="TableText"/>
              <w:cnfStyle w:val="000000000000" w:firstRow="0" w:lastRow="0" w:firstColumn="0" w:lastColumn="0" w:oddVBand="0" w:evenVBand="0" w:oddHBand="0" w:evenHBand="0" w:firstRowFirstColumn="0" w:firstRowLastColumn="0" w:lastRowFirstColumn="0" w:lastRowLastColumn="0"/>
            </w:pPr>
            <w:r>
              <w:t xml:space="preserve">4 </w:t>
            </w:r>
          </w:p>
        </w:tc>
        <w:tc>
          <w:tcPr>
            <w:tcW w:w="807" w:type="pct"/>
          </w:tcPr>
          <w:p w14:paraId="6C52105A" w14:textId="1068F1F2" w:rsidR="00820DB7" w:rsidRDefault="00820DB7" w:rsidP="0060519C">
            <w:pPr>
              <w:pStyle w:val="TableText"/>
              <w:cnfStyle w:val="000000000000" w:firstRow="0" w:lastRow="0" w:firstColumn="0" w:lastColumn="0" w:oddVBand="0" w:evenVBand="0" w:oddHBand="0" w:evenHBand="0" w:firstRowFirstColumn="0" w:firstRowLastColumn="0" w:lastRowFirstColumn="0" w:lastRowLastColumn="0"/>
            </w:pPr>
            <w:r>
              <w:t xml:space="preserve">Low </w:t>
            </w:r>
          </w:p>
        </w:tc>
        <w:tc>
          <w:tcPr>
            <w:tcW w:w="957" w:type="pct"/>
          </w:tcPr>
          <w:p w14:paraId="0F5048AB" w14:textId="71914006" w:rsidR="00820DB7" w:rsidRDefault="00820DB7" w:rsidP="0060519C">
            <w:pPr>
              <w:pStyle w:val="TableText"/>
              <w:cnfStyle w:val="000000000000" w:firstRow="0" w:lastRow="0" w:firstColumn="0" w:lastColumn="0" w:oddVBand="0" w:evenVBand="0" w:oddHBand="0" w:evenHBand="0" w:firstRowFirstColumn="0" w:firstRowLastColumn="0" w:lastRowFirstColumn="0" w:lastRowLastColumn="0"/>
            </w:pPr>
            <w:r>
              <w:t>8</w:t>
            </w:r>
          </w:p>
        </w:tc>
        <w:tc>
          <w:tcPr>
            <w:tcW w:w="956" w:type="pct"/>
            <w:hideMark/>
          </w:tcPr>
          <w:p w14:paraId="08E825E2" w14:textId="251987AD" w:rsidR="00820DB7" w:rsidRPr="0055605E" w:rsidRDefault="00820DB7" w:rsidP="0060519C">
            <w:pPr>
              <w:pStyle w:val="TableText"/>
              <w:cnfStyle w:val="000000000000" w:firstRow="0" w:lastRow="0" w:firstColumn="0" w:lastColumn="0" w:oddVBand="0" w:evenVBand="0" w:oddHBand="0" w:evenHBand="0" w:firstRowFirstColumn="0" w:firstRowLastColumn="0" w:lastRowFirstColumn="0" w:lastRowLastColumn="0"/>
            </w:pPr>
            <w:r>
              <w:t>Complete</w:t>
            </w:r>
          </w:p>
        </w:tc>
      </w:tr>
      <w:tr w:rsidR="00820DB7" w:rsidRPr="0016613A" w14:paraId="4162DAB2" w14:textId="77777777" w:rsidTr="0001119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81" w:type="pct"/>
            <w:vMerge/>
            <w:noWrap/>
            <w:hideMark/>
          </w:tcPr>
          <w:p w14:paraId="51D57EA4" w14:textId="77777777" w:rsidR="00820DB7" w:rsidRPr="0055605E" w:rsidRDefault="00820DB7" w:rsidP="0060519C">
            <w:pPr>
              <w:pStyle w:val="TableText"/>
            </w:pPr>
          </w:p>
        </w:tc>
        <w:tc>
          <w:tcPr>
            <w:tcW w:w="1275" w:type="pct"/>
            <w:noWrap/>
            <w:hideMark/>
          </w:tcPr>
          <w:p w14:paraId="0668294E" w14:textId="05FDE9E9" w:rsidR="00820DB7" w:rsidRPr="00CC430C" w:rsidRDefault="00820DB7" w:rsidP="0060519C">
            <w:pPr>
              <w:pStyle w:val="TableText"/>
              <w:cnfStyle w:val="000000100000" w:firstRow="0" w:lastRow="0" w:firstColumn="0" w:lastColumn="0" w:oddVBand="0" w:evenVBand="0" w:oddHBand="1" w:evenHBand="0" w:firstRowFirstColumn="0" w:firstRowLastColumn="0" w:lastRowFirstColumn="0" w:lastRowLastColumn="0"/>
            </w:pPr>
            <w:r>
              <w:t xml:space="preserve">Department of </w:t>
            </w:r>
            <w:r w:rsidRPr="00CC430C">
              <w:t>Premier and Cabinet</w:t>
            </w:r>
            <w:r>
              <w:t xml:space="preserve"> </w:t>
            </w:r>
          </w:p>
        </w:tc>
        <w:tc>
          <w:tcPr>
            <w:tcW w:w="625" w:type="pct"/>
          </w:tcPr>
          <w:p w14:paraId="3CED429E" w14:textId="171CB240" w:rsidR="00820DB7" w:rsidRPr="0043680F" w:rsidRDefault="00820DB7" w:rsidP="0060519C">
            <w:pPr>
              <w:pStyle w:val="TableText"/>
              <w:cnfStyle w:val="000000100000" w:firstRow="0" w:lastRow="0" w:firstColumn="0" w:lastColumn="0" w:oddVBand="0" w:evenVBand="0" w:oddHBand="1" w:evenHBand="0" w:firstRowFirstColumn="0" w:firstRowLastColumn="0" w:lastRowFirstColumn="0" w:lastRowLastColumn="0"/>
            </w:pPr>
            <w:r>
              <w:t>2</w:t>
            </w:r>
          </w:p>
        </w:tc>
        <w:tc>
          <w:tcPr>
            <w:tcW w:w="807" w:type="pct"/>
          </w:tcPr>
          <w:p w14:paraId="70EE4DE8" w14:textId="6C437D9A" w:rsidR="00820DB7" w:rsidRDefault="00820DB7" w:rsidP="0060519C">
            <w:pPr>
              <w:pStyle w:val="TableText"/>
              <w:cnfStyle w:val="000000100000" w:firstRow="0" w:lastRow="0" w:firstColumn="0" w:lastColumn="0" w:oddVBand="0" w:evenVBand="0" w:oddHBand="1" w:evenHBand="0" w:firstRowFirstColumn="0" w:firstRowLastColumn="0" w:lastRowFirstColumn="0" w:lastRowLastColumn="0"/>
            </w:pPr>
            <w:r>
              <w:t xml:space="preserve">One low, one moderate </w:t>
            </w:r>
          </w:p>
        </w:tc>
        <w:tc>
          <w:tcPr>
            <w:tcW w:w="957" w:type="pct"/>
          </w:tcPr>
          <w:p w14:paraId="29A40480" w14:textId="234A355F" w:rsidR="00820DB7" w:rsidRPr="0043680F" w:rsidRDefault="00820DB7" w:rsidP="0060519C">
            <w:pPr>
              <w:pStyle w:val="TableText"/>
              <w:cnfStyle w:val="000000100000" w:firstRow="0" w:lastRow="0" w:firstColumn="0" w:lastColumn="0" w:oddVBand="0" w:evenVBand="0" w:oddHBand="1" w:evenHBand="0" w:firstRowFirstColumn="0" w:firstRowLastColumn="0" w:lastRowFirstColumn="0" w:lastRowLastColumn="0"/>
            </w:pPr>
            <w:r>
              <w:t>4</w:t>
            </w:r>
          </w:p>
        </w:tc>
        <w:tc>
          <w:tcPr>
            <w:tcW w:w="956" w:type="pct"/>
            <w:hideMark/>
          </w:tcPr>
          <w:p w14:paraId="06548952" w14:textId="476A4F56" w:rsidR="00820DB7" w:rsidRPr="0043680F" w:rsidRDefault="00820DB7" w:rsidP="0060519C">
            <w:pPr>
              <w:pStyle w:val="TableText"/>
              <w:cnfStyle w:val="000000100000" w:firstRow="0" w:lastRow="0" w:firstColumn="0" w:lastColumn="0" w:oddVBand="0" w:evenVBand="0" w:oddHBand="1" w:evenHBand="0" w:firstRowFirstColumn="0" w:firstRowLastColumn="0" w:lastRowFirstColumn="0" w:lastRowLastColumn="0"/>
            </w:pPr>
            <w:r>
              <w:t>Three complete, one in progress</w:t>
            </w:r>
          </w:p>
        </w:tc>
      </w:tr>
      <w:tr w:rsidR="00820DB7" w:rsidRPr="0016613A" w14:paraId="571923E4" w14:textId="77777777" w:rsidTr="00011197">
        <w:trPr>
          <w:trHeight w:val="20"/>
        </w:trPr>
        <w:tc>
          <w:tcPr>
            <w:cnfStyle w:val="001000000000" w:firstRow="0" w:lastRow="0" w:firstColumn="1" w:lastColumn="0" w:oddVBand="0" w:evenVBand="0" w:oddHBand="0" w:evenHBand="0" w:firstRowFirstColumn="0" w:firstRowLastColumn="0" w:lastRowFirstColumn="0" w:lastRowLastColumn="0"/>
            <w:tcW w:w="381" w:type="pct"/>
            <w:vMerge/>
            <w:noWrap/>
            <w:hideMark/>
          </w:tcPr>
          <w:p w14:paraId="086CA8EC" w14:textId="77777777" w:rsidR="00820DB7" w:rsidRPr="0055605E" w:rsidRDefault="00820DB7" w:rsidP="0060519C">
            <w:pPr>
              <w:pStyle w:val="TableText"/>
            </w:pPr>
          </w:p>
        </w:tc>
        <w:tc>
          <w:tcPr>
            <w:tcW w:w="1275" w:type="pct"/>
            <w:noWrap/>
            <w:hideMark/>
          </w:tcPr>
          <w:p w14:paraId="4B99196F" w14:textId="790343CB" w:rsidR="00820DB7" w:rsidRPr="00CC430C" w:rsidRDefault="00820DB7" w:rsidP="0060519C">
            <w:pPr>
              <w:pStyle w:val="TableText"/>
              <w:cnfStyle w:val="000000000000" w:firstRow="0" w:lastRow="0" w:firstColumn="0" w:lastColumn="0" w:oddVBand="0" w:evenVBand="0" w:oddHBand="0" w:evenHBand="0" w:firstRowFirstColumn="0" w:firstRowLastColumn="0" w:lastRowFirstColumn="0" w:lastRowLastColumn="0"/>
            </w:pPr>
            <w:r>
              <w:t xml:space="preserve">Department of </w:t>
            </w:r>
            <w:r w:rsidRPr="00CC430C">
              <w:t>Education and Training</w:t>
            </w:r>
            <w:r>
              <w:t xml:space="preserve"> </w:t>
            </w:r>
          </w:p>
        </w:tc>
        <w:tc>
          <w:tcPr>
            <w:tcW w:w="625" w:type="pct"/>
          </w:tcPr>
          <w:p w14:paraId="1F3FEBAA" w14:textId="63C21A28" w:rsidR="00820DB7" w:rsidRPr="0043680F" w:rsidRDefault="00820DB7" w:rsidP="0060519C">
            <w:pPr>
              <w:pStyle w:val="TableText"/>
              <w:cnfStyle w:val="000000000000" w:firstRow="0" w:lastRow="0" w:firstColumn="0" w:lastColumn="0" w:oddVBand="0" w:evenVBand="0" w:oddHBand="0" w:evenHBand="0" w:firstRowFirstColumn="0" w:firstRowLastColumn="0" w:lastRowFirstColumn="0" w:lastRowLastColumn="0"/>
            </w:pPr>
            <w:r>
              <w:t xml:space="preserve">6 </w:t>
            </w:r>
          </w:p>
        </w:tc>
        <w:tc>
          <w:tcPr>
            <w:tcW w:w="807" w:type="pct"/>
          </w:tcPr>
          <w:p w14:paraId="1EF27651" w14:textId="743663AB" w:rsidR="00820DB7" w:rsidRDefault="00820DB7" w:rsidP="0060519C">
            <w:pPr>
              <w:pStyle w:val="TableText"/>
              <w:cnfStyle w:val="000000000000" w:firstRow="0" w:lastRow="0" w:firstColumn="0" w:lastColumn="0" w:oddVBand="0" w:evenVBand="0" w:oddHBand="0" w:evenHBand="0" w:firstRowFirstColumn="0" w:firstRowLastColumn="0" w:lastRowFirstColumn="0" w:lastRowLastColumn="0"/>
            </w:pPr>
            <w:r>
              <w:t xml:space="preserve">Low </w:t>
            </w:r>
          </w:p>
        </w:tc>
        <w:tc>
          <w:tcPr>
            <w:tcW w:w="957" w:type="pct"/>
          </w:tcPr>
          <w:p w14:paraId="78944AB6" w14:textId="012FB9AB" w:rsidR="00820DB7" w:rsidRPr="0043680F" w:rsidRDefault="00820DB7" w:rsidP="0060519C">
            <w:pPr>
              <w:pStyle w:val="TableText"/>
              <w:cnfStyle w:val="000000000000" w:firstRow="0" w:lastRow="0" w:firstColumn="0" w:lastColumn="0" w:oddVBand="0" w:evenVBand="0" w:oddHBand="0" w:evenHBand="0" w:firstRowFirstColumn="0" w:firstRowLastColumn="0" w:lastRowFirstColumn="0" w:lastRowLastColumn="0"/>
            </w:pPr>
            <w:r>
              <w:t>6</w:t>
            </w:r>
          </w:p>
        </w:tc>
        <w:tc>
          <w:tcPr>
            <w:tcW w:w="956" w:type="pct"/>
            <w:hideMark/>
          </w:tcPr>
          <w:p w14:paraId="60C373F1" w14:textId="39F343D1" w:rsidR="00820DB7" w:rsidRPr="0043680F" w:rsidRDefault="00820DB7" w:rsidP="0060519C">
            <w:pPr>
              <w:pStyle w:val="TableText"/>
              <w:cnfStyle w:val="000000000000" w:firstRow="0" w:lastRow="0" w:firstColumn="0" w:lastColumn="0" w:oddVBand="0" w:evenVBand="0" w:oddHBand="0" w:evenHBand="0" w:firstRowFirstColumn="0" w:firstRowLastColumn="0" w:lastRowFirstColumn="0" w:lastRowLastColumn="0"/>
            </w:pPr>
            <w:r>
              <w:t>Complete</w:t>
            </w:r>
          </w:p>
        </w:tc>
      </w:tr>
      <w:tr w:rsidR="00820DB7" w:rsidRPr="0016613A" w14:paraId="3698A20A" w14:textId="77777777" w:rsidTr="0001119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81" w:type="pct"/>
            <w:vMerge w:val="restart"/>
            <w:noWrap/>
            <w:hideMark/>
          </w:tcPr>
          <w:p w14:paraId="7A82BCB7" w14:textId="285892EC" w:rsidR="00820DB7" w:rsidRPr="0055605E" w:rsidRDefault="00820DB7" w:rsidP="0060519C">
            <w:pPr>
              <w:pStyle w:val="TableText"/>
            </w:pPr>
            <w:r w:rsidRPr="0055605E">
              <w:t>2017</w:t>
            </w:r>
          </w:p>
        </w:tc>
        <w:tc>
          <w:tcPr>
            <w:tcW w:w="1275" w:type="pct"/>
            <w:noWrap/>
            <w:hideMark/>
          </w:tcPr>
          <w:p w14:paraId="048E9EFC" w14:textId="0D4CACC6" w:rsidR="00820DB7" w:rsidRPr="00CC430C" w:rsidRDefault="00820DB7" w:rsidP="0060519C">
            <w:pPr>
              <w:pStyle w:val="TableText"/>
              <w:cnfStyle w:val="000000100000" w:firstRow="0" w:lastRow="0" w:firstColumn="0" w:lastColumn="0" w:oddVBand="0" w:evenVBand="0" w:oddHBand="1" w:evenHBand="0" w:firstRowFirstColumn="0" w:firstRowLastColumn="0" w:lastRowFirstColumn="0" w:lastRowLastColumn="0"/>
            </w:pPr>
            <w:r>
              <w:t xml:space="preserve">Department of </w:t>
            </w:r>
            <w:r w:rsidRPr="00CC430C">
              <w:t>Health and Human Services</w:t>
            </w:r>
            <w:r>
              <w:t xml:space="preserve"> </w:t>
            </w:r>
          </w:p>
        </w:tc>
        <w:tc>
          <w:tcPr>
            <w:tcW w:w="625" w:type="pct"/>
          </w:tcPr>
          <w:p w14:paraId="34DD029A" w14:textId="44036B87" w:rsidR="00820DB7" w:rsidRDefault="00820DB7" w:rsidP="0060519C">
            <w:pPr>
              <w:pStyle w:val="TableText"/>
              <w:cnfStyle w:val="000000100000" w:firstRow="0" w:lastRow="0" w:firstColumn="0" w:lastColumn="0" w:oddVBand="0" w:evenVBand="0" w:oddHBand="1" w:evenHBand="0" w:firstRowFirstColumn="0" w:firstRowLastColumn="0" w:lastRowFirstColumn="0" w:lastRowLastColumn="0"/>
            </w:pPr>
            <w:r>
              <w:t>3</w:t>
            </w:r>
          </w:p>
        </w:tc>
        <w:tc>
          <w:tcPr>
            <w:tcW w:w="807" w:type="pct"/>
          </w:tcPr>
          <w:p w14:paraId="7D24E02E" w14:textId="76DA1AD4" w:rsidR="00820DB7" w:rsidRDefault="00820DB7" w:rsidP="0060519C">
            <w:pPr>
              <w:pStyle w:val="TableText"/>
              <w:cnfStyle w:val="000000100000" w:firstRow="0" w:lastRow="0" w:firstColumn="0" w:lastColumn="0" w:oddVBand="0" w:evenVBand="0" w:oddHBand="1" w:evenHBand="0" w:firstRowFirstColumn="0" w:firstRowLastColumn="0" w:lastRowFirstColumn="0" w:lastRowLastColumn="0"/>
            </w:pPr>
            <w:r>
              <w:t xml:space="preserve">Two low, one medium </w:t>
            </w:r>
          </w:p>
        </w:tc>
        <w:tc>
          <w:tcPr>
            <w:tcW w:w="957" w:type="pct"/>
          </w:tcPr>
          <w:p w14:paraId="4CDBC9D1" w14:textId="56B1C6CF" w:rsidR="00820DB7" w:rsidRDefault="00820DB7" w:rsidP="0060519C">
            <w:pPr>
              <w:pStyle w:val="TableText"/>
              <w:cnfStyle w:val="000000100000" w:firstRow="0" w:lastRow="0" w:firstColumn="0" w:lastColumn="0" w:oddVBand="0" w:evenVBand="0" w:oddHBand="1" w:evenHBand="0" w:firstRowFirstColumn="0" w:firstRowLastColumn="0" w:lastRowFirstColumn="0" w:lastRowLastColumn="0"/>
            </w:pPr>
            <w:r>
              <w:t>3</w:t>
            </w:r>
          </w:p>
        </w:tc>
        <w:tc>
          <w:tcPr>
            <w:tcW w:w="956" w:type="pct"/>
            <w:noWrap/>
            <w:hideMark/>
          </w:tcPr>
          <w:p w14:paraId="3D75E0C7" w14:textId="352C30DA" w:rsidR="00820DB7" w:rsidRPr="0043680F" w:rsidRDefault="00820DB7" w:rsidP="0060519C">
            <w:pPr>
              <w:pStyle w:val="TableText"/>
              <w:cnfStyle w:val="000000100000" w:firstRow="0" w:lastRow="0" w:firstColumn="0" w:lastColumn="0" w:oddVBand="0" w:evenVBand="0" w:oddHBand="1" w:evenHBand="0" w:firstRowFirstColumn="0" w:firstRowLastColumn="0" w:lastRowFirstColumn="0" w:lastRowLastColumn="0"/>
            </w:pPr>
            <w:r>
              <w:t>Complete</w:t>
            </w:r>
          </w:p>
        </w:tc>
      </w:tr>
      <w:tr w:rsidR="00820DB7" w:rsidRPr="0016613A" w14:paraId="3EC290B3" w14:textId="77777777" w:rsidTr="00011197">
        <w:trPr>
          <w:trHeight w:val="20"/>
        </w:trPr>
        <w:tc>
          <w:tcPr>
            <w:cnfStyle w:val="001000000000" w:firstRow="0" w:lastRow="0" w:firstColumn="1" w:lastColumn="0" w:oddVBand="0" w:evenVBand="0" w:oddHBand="0" w:evenHBand="0" w:firstRowFirstColumn="0" w:firstRowLastColumn="0" w:lastRowFirstColumn="0" w:lastRowLastColumn="0"/>
            <w:tcW w:w="381" w:type="pct"/>
            <w:vMerge/>
            <w:noWrap/>
          </w:tcPr>
          <w:p w14:paraId="188D2C82" w14:textId="77777777" w:rsidR="00820DB7" w:rsidRPr="0055605E" w:rsidRDefault="00820DB7" w:rsidP="0060519C">
            <w:pPr>
              <w:pStyle w:val="TableText"/>
            </w:pPr>
          </w:p>
        </w:tc>
        <w:tc>
          <w:tcPr>
            <w:tcW w:w="1275" w:type="pct"/>
            <w:noWrap/>
          </w:tcPr>
          <w:p w14:paraId="7AF126A7" w14:textId="518CDC4E" w:rsidR="00820DB7" w:rsidRPr="00CC430C" w:rsidRDefault="00820DB7" w:rsidP="0060519C">
            <w:pPr>
              <w:pStyle w:val="TableText"/>
              <w:cnfStyle w:val="000000000000" w:firstRow="0" w:lastRow="0" w:firstColumn="0" w:lastColumn="0" w:oddVBand="0" w:evenVBand="0" w:oddHBand="0" w:evenHBand="0" w:firstRowFirstColumn="0" w:firstRowLastColumn="0" w:lastRowFirstColumn="0" w:lastRowLastColumn="0"/>
            </w:pPr>
            <w:r>
              <w:t xml:space="preserve">Department of </w:t>
            </w:r>
            <w:r w:rsidRPr="00CC430C">
              <w:t>Environment, Land, Water and Planning</w:t>
            </w:r>
            <w:r>
              <w:t xml:space="preserve"> </w:t>
            </w:r>
          </w:p>
        </w:tc>
        <w:tc>
          <w:tcPr>
            <w:tcW w:w="625" w:type="pct"/>
          </w:tcPr>
          <w:p w14:paraId="76AB9896" w14:textId="218B2EC2" w:rsidR="00820DB7" w:rsidRDefault="00820DB7" w:rsidP="0060519C">
            <w:pPr>
              <w:pStyle w:val="TableText"/>
              <w:cnfStyle w:val="000000000000" w:firstRow="0" w:lastRow="0" w:firstColumn="0" w:lastColumn="0" w:oddVBand="0" w:evenVBand="0" w:oddHBand="0" w:evenHBand="0" w:firstRowFirstColumn="0" w:firstRowLastColumn="0" w:lastRowFirstColumn="0" w:lastRowLastColumn="0"/>
            </w:pPr>
            <w:r>
              <w:t>6</w:t>
            </w:r>
          </w:p>
        </w:tc>
        <w:tc>
          <w:tcPr>
            <w:tcW w:w="807" w:type="pct"/>
          </w:tcPr>
          <w:p w14:paraId="7ED80AB9" w14:textId="612553DD" w:rsidR="00820DB7" w:rsidRDefault="00820DB7" w:rsidP="0060519C">
            <w:pPr>
              <w:pStyle w:val="TableText"/>
              <w:cnfStyle w:val="000000000000" w:firstRow="0" w:lastRow="0" w:firstColumn="0" w:lastColumn="0" w:oddVBand="0" w:evenVBand="0" w:oddHBand="0" w:evenHBand="0" w:firstRowFirstColumn="0" w:firstRowLastColumn="0" w:lastRowFirstColumn="0" w:lastRowLastColumn="0"/>
            </w:pPr>
            <w:r>
              <w:t xml:space="preserve">One low, </w:t>
            </w:r>
            <w:r w:rsidR="007232A0">
              <w:t xml:space="preserve">four high, </w:t>
            </w:r>
            <w:r>
              <w:t xml:space="preserve">one </w:t>
            </w:r>
            <w:r w:rsidR="007232A0">
              <w:t>significant</w:t>
            </w:r>
          </w:p>
        </w:tc>
        <w:tc>
          <w:tcPr>
            <w:tcW w:w="957" w:type="pct"/>
          </w:tcPr>
          <w:p w14:paraId="1B5FA2F2" w14:textId="0D00593A" w:rsidR="00820DB7" w:rsidRDefault="007232A0" w:rsidP="0060519C">
            <w:pPr>
              <w:pStyle w:val="TableText"/>
              <w:cnfStyle w:val="000000000000" w:firstRow="0" w:lastRow="0" w:firstColumn="0" w:lastColumn="0" w:oddVBand="0" w:evenVBand="0" w:oddHBand="0" w:evenHBand="0" w:firstRowFirstColumn="0" w:firstRowLastColumn="0" w:lastRowFirstColumn="0" w:lastRowLastColumn="0"/>
            </w:pPr>
            <w:r>
              <w:t>7</w:t>
            </w:r>
          </w:p>
        </w:tc>
        <w:tc>
          <w:tcPr>
            <w:tcW w:w="956" w:type="pct"/>
            <w:noWrap/>
          </w:tcPr>
          <w:p w14:paraId="0727A21C" w14:textId="4A138120" w:rsidR="00820DB7" w:rsidRPr="0043680F" w:rsidRDefault="007232A0" w:rsidP="0060519C">
            <w:pPr>
              <w:pStyle w:val="TableText"/>
              <w:cnfStyle w:val="000000000000" w:firstRow="0" w:lastRow="0" w:firstColumn="0" w:lastColumn="0" w:oddVBand="0" w:evenVBand="0" w:oddHBand="0" w:evenHBand="0" w:firstRowFirstColumn="0" w:firstRowLastColumn="0" w:lastRowFirstColumn="0" w:lastRowLastColumn="0"/>
            </w:pPr>
            <w:r>
              <w:t>Six complete, one in progress</w:t>
            </w:r>
          </w:p>
        </w:tc>
      </w:tr>
      <w:tr w:rsidR="00820DB7" w:rsidRPr="0016613A" w14:paraId="6C14F63D" w14:textId="77777777" w:rsidTr="0001119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81" w:type="pct"/>
            <w:vMerge/>
            <w:noWrap/>
            <w:hideMark/>
          </w:tcPr>
          <w:p w14:paraId="4935EB7C" w14:textId="77777777" w:rsidR="00820DB7" w:rsidRPr="0055605E" w:rsidRDefault="00820DB7" w:rsidP="0060519C">
            <w:pPr>
              <w:pStyle w:val="TableText"/>
            </w:pPr>
          </w:p>
        </w:tc>
        <w:tc>
          <w:tcPr>
            <w:tcW w:w="1275" w:type="pct"/>
            <w:noWrap/>
            <w:hideMark/>
          </w:tcPr>
          <w:p w14:paraId="3497C053" w14:textId="23EC74E7" w:rsidR="00820DB7" w:rsidRPr="00CC430C" w:rsidRDefault="00820DB7" w:rsidP="0060519C">
            <w:pPr>
              <w:pStyle w:val="TableText"/>
              <w:cnfStyle w:val="000000100000" w:firstRow="0" w:lastRow="0" w:firstColumn="0" w:lastColumn="0" w:oddVBand="0" w:evenVBand="0" w:oddHBand="1" w:evenHBand="0" w:firstRowFirstColumn="0" w:firstRowLastColumn="0" w:lastRowFirstColumn="0" w:lastRowLastColumn="0"/>
            </w:pPr>
            <w:r>
              <w:t xml:space="preserve">Department of </w:t>
            </w:r>
            <w:r w:rsidRPr="00CC430C">
              <w:t>Economic Development, Jobs, Transport and Resources</w:t>
            </w:r>
            <w:r>
              <w:t xml:space="preserve"> </w:t>
            </w:r>
          </w:p>
        </w:tc>
        <w:tc>
          <w:tcPr>
            <w:tcW w:w="625" w:type="pct"/>
          </w:tcPr>
          <w:p w14:paraId="7BB50F77" w14:textId="17BBFB97" w:rsidR="00820DB7" w:rsidRDefault="00820DB7" w:rsidP="0060519C">
            <w:pPr>
              <w:pStyle w:val="TableText"/>
              <w:cnfStyle w:val="000000100000" w:firstRow="0" w:lastRow="0" w:firstColumn="0" w:lastColumn="0" w:oddVBand="0" w:evenVBand="0" w:oddHBand="1" w:evenHBand="0" w:firstRowFirstColumn="0" w:firstRowLastColumn="0" w:lastRowFirstColumn="0" w:lastRowLastColumn="0"/>
            </w:pPr>
            <w:r>
              <w:t>2</w:t>
            </w:r>
          </w:p>
        </w:tc>
        <w:tc>
          <w:tcPr>
            <w:tcW w:w="807" w:type="pct"/>
          </w:tcPr>
          <w:p w14:paraId="0F4BD4E5" w14:textId="478E1863" w:rsidR="00820DB7" w:rsidRDefault="00820DB7" w:rsidP="0060519C">
            <w:pPr>
              <w:pStyle w:val="TableText"/>
              <w:cnfStyle w:val="000000100000" w:firstRow="0" w:lastRow="0" w:firstColumn="0" w:lastColumn="0" w:oddVBand="0" w:evenVBand="0" w:oddHBand="1" w:evenHBand="0" w:firstRowFirstColumn="0" w:firstRowLastColumn="0" w:lastRowFirstColumn="0" w:lastRowLastColumn="0"/>
            </w:pPr>
            <w:r>
              <w:t>One low, one moderate</w:t>
            </w:r>
          </w:p>
        </w:tc>
        <w:tc>
          <w:tcPr>
            <w:tcW w:w="957" w:type="pct"/>
          </w:tcPr>
          <w:p w14:paraId="3B504C2F" w14:textId="5C14921A" w:rsidR="00820DB7" w:rsidRDefault="007232A0" w:rsidP="0060519C">
            <w:pPr>
              <w:pStyle w:val="TableText"/>
              <w:cnfStyle w:val="000000100000" w:firstRow="0" w:lastRow="0" w:firstColumn="0" w:lastColumn="0" w:oddVBand="0" w:evenVBand="0" w:oddHBand="1" w:evenHBand="0" w:firstRowFirstColumn="0" w:firstRowLastColumn="0" w:lastRowFirstColumn="0" w:lastRowLastColumn="0"/>
            </w:pPr>
            <w:r>
              <w:t>2</w:t>
            </w:r>
          </w:p>
        </w:tc>
        <w:tc>
          <w:tcPr>
            <w:tcW w:w="956" w:type="pct"/>
            <w:noWrap/>
            <w:hideMark/>
          </w:tcPr>
          <w:p w14:paraId="4799ECE5" w14:textId="7099758D" w:rsidR="00820DB7" w:rsidRPr="0043680F" w:rsidRDefault="007232A0" w:rsidP="0060519C">
            <w:pPr>
              <w:pStyle w:val="TableText"/>
              <w:cnfStyle w:val="000000100000" w:firstRow="0" w:lastRow="0" w:firstColumn="0" w:lastColumn="0" w:oddVBand="0" w:evenVBand="0" w:oddHBand="1" w:evenHBand="0" w:firstRowFirstColumn="0" w:firstRowLastColumn="0" w:lastRowFirstColumn="0" w:lastRowLastColumn="0"/>
            </w:pPr>
            <w:r>
              <w:t>Complete</w:t>
            </w:r>
          </w:p>
        </w:tc>
      </w:tr>
      <w:tr w:rsidR="00820DB7" w:rsidRPr="0016613A" w14:paraId="58C0BEB9" w14:textId="77777777" w:rsidTr="00011197">
        <w:trPr>
          <w:trHeight w:val="20"/>
        </w:trPr>
        <w:tc>
          <w:tcPr>
            <w:cnfStyle w:val="001000000000" w:firstRow="0" w:lastRow="0" w:firstColumn="1" w:lastColumn="0" w:oddVBand="0" w:evenVBand="0" w:oddHBand="0" w:evenHBand="0" w:firstRowFirstColumn="0" w:firstRowLastColumn="0" w:lastRowFirstColumn="0" w:lastRowLastColumn="0"/>
            <w:tcW w:w="381" w:type="pct"/>
            <w:vMerge w:val="restart"/>
            <w:noWrap/>
            <w:hideMark/>
          </w:tcPr>
          <w:p w14:paraId="7B377732" w14:textId="77777777" w:rsidR="00820DB7" w:rsidRPr="0055605E" w:rsidRDefault="00820DB7" w:rsidP="0060519C">
            <w:pPr>
              <w:pStyle w:val="TableText"/>
            </w:pPr>
            <w:r w:rsidRPr="0055605E">
              <w:t>2018</w:t>
            </w:r>
          </w:p>
        </w:tc>
        <w:tc>
          <w:tcPr>
            <w:tcW w:w="1275" w:type="pct"/>
            <w:noWrap/>
            <w:hideMark/>
          </w:tcPr>
          <w:p w14:paraId="19E4AEE1" w14:textId="414D9038" w:rsidR="00820DB7" w:rsidRPr="00CC430C" w:rsidRDefault="00820DB7" w:rsidP="0060519C">
            <w:pPr>
              <w:pStyle w:val="TableText"/>
              <w:cnfStyle w:val="000000000000" w:firstRow="0" w:lastRow="0" w:firstColumn="0" w:lastColumn="0" w:oddVBand="0" w:evenVBand="0" w:oddHBand="0" w:evenHBand="0" w:firstRowFirstColumn="0" w:firstRowLastColumn="0" w:lastRowFirstColumn="0" w:lastRowLastColumn="0"/>
            </w:pPr>
            <w:r>
              <w:t xml:space="preserve">Department of </w:t>
            </w:r>
            <w:r w:rsidRPr="00CC430C">
              <w:t>Justice and Regulation</w:t>
            </w:r>
            <w:r>
              <w:t xml:space="preserve"> </w:t>
            </w:r>
          </w:p>
        </w:tc>
        <w:tc>
          <w:tcPr>
            <w:tcW w:w="625" w:type="pct"/>
          </w:tcPr>
          <w:p w14:paraId="04EE95BC" w14:textId="64FDA92C" w:rsidR="00820DB7" w:rsidRDefault="00820DB7" w:rsidP="0060519C">
            <w:pPr>
              <w:pStyle w:val="TableText"/>
              <w:cnfStyle w:val="000000000000" w:firstRow="0" w:lastRow="0" w:firstColumn="0" w:lastColumn="0" w:oddVBand="0" w:evenVBand="0" w:oddHBand="0" w:evenHBand="0" w:firstRowFirstColumn="0" w:firstRowLastColumn="0" w:lastRowFirstColumn="0" w:lastRowLastColumn="0"/>
            </w:pPr>
            <w:r>
              <w:t>1</w:t>
            </w:r>
          </w:p>
        </w:tc>
        <w:tc>
          <w:tcPr>
            <w:tcW w:w="807" w:type="pct"/>
          </w:tcPr>
          <w:p w14:paraId="212AEAEC" w14:textId="2844222A" w:rsidR="00820DB7" w:rsidRDefault="00820DB7" w:rsidP="0060519C">
            <w:pPr>
              <w:pStyle w:val="TableText"/>
              <w:cnfStyle w:val="000000000000" w:firstRow="0" w:lastRow="0" w:firstColumn="0" w:lastColumn="0" w:oddVBand="0" w:evenVBand="0" w:oddHBand="0" w:evenHBand="0" w:firstRowFirstColumn="0" w:firstRowLastColumn="0" w:lastRowFirstColumn="0" w:lastRowLastColumn="0"/>
            </w:pPr>
            <w:r>
              <w:t xml:space="preserve">Low </w:t>
            </w:r>
          </w:p>
        </w:tc>
        <w:tc>
          <w:tcPr>
            <w:tcW w:w="957" w:type="pct"/>
          </w:tcPr>
          <w:p w14:paraId="73FEDBF4" w14:textId="6B331148" w:rsidR="00820DB7" w:rsidRDefault="00820DB7" w:rsidP="0060519C">
            <w:pPr>
              <w:pStyle w:val="TableText"/>
              <w:cnfStyle w:val="000000000000" w:firstRow="0" w:lastRow="0" w:firstColumn="0" w:lastColumn="0" w:oddVBand="0" w:evenVBand="0" w:oddHBand="0" w:evenHBand="0" w:firstRowFirstColumn="0" w:firstRowLastColumn="0" w:lastRowFirstColumn="0" w:lastRowLastColumn="0"/>
            </w:pPr>
            <w:r>
              <w:t>3</w:t>
            </w:r>
          </w:p>
        </w:tc>
        <w:tc>
          <w:tcPr>
            <w:tcW w:w="956" w:type="pct"/>
            <w:noWrap/>
            <w:hideMark/>
          </w:tcPr>
          <w:p w14:paraId="5BE774DB" w14:textId="6CB83DAA" w:rsidR="00820DB7" w:rsidRPr="0043680F" w:rsidRDefault="00820DB7" w:rsidP="0060519C">
            <w:pPr>
              <w:pStyle w:val="TableText"/>
              <w:cnfStyle w:val="000000000000" w:firstRow="0" w:lastRow="0" w:firstColumn="0" w:lastColumn="0" w:oddVBand="0" w:evenVBand="0" w:oddHBand="0" w:evenHBand="0" w:firstRowFirstColumn="0" w:firstRowLastColumn="0" w:lastRowFirstColumn="0" w:lastRowLastColumn="0"/>
            </w:pPr>
            <w:r>
              <w:t>In progress</w:t>
            </w:r>
          </w:p>
        </w:tc>
      </w:tr>
      <w:tr w:rsidR="00820DB7" w:rsidRPr="0016613A" w14:paraId="231E05DB" w14:textId="77777777" w:rsidTr="0001119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81" w:type="pct"/>
            <w:vMerge/>
            <w:noWrap/>
            <w:hideMark/>
          </w:tcPr>
          <w:p w14:paraId="7561AD46" w14:textId="77777777" w:rsidR="00820DB7" w:rsidRPr="0055605E" w:rsidRDefault="00820DB7" w:rsidP="0060519C">
            <w:pPr>
              <w:pStyle w:val="TableText"/>
            </w:pPr>
          </w:p>
        </w:tc>
        <w:tc>
          <w:tcPr>
            <w:tcW w:w="1275" w:type="pct"/>
            <w:noWrap/>
            <w:hideMark/>
          </w:tcPr>
          <w:p w14:paraId="3F41501D" w14:textId="77777777" w:rsidR="00820DB7" w:rsidRPr="00CC430C" w:rsidRDefault="00820DB7" w:rsidP="0060519C">
            <w:pPr>
              <w:pStyle w:val="TableText"/>
              <w:cnfStyle w:val="000000100000" w:firstRow="0" w:lastRow="0" w:firstColumn="0" w:lastColumn="0" w:oddVBand="0" w:evenVBand="0" w:oddHBand="1" w:evenHBand="0" w:firstRowFirstColumn="0" w:firstRowLastColumn="0" w:lastRowFirstColumn="0" w:lastRowLastColumn="0"/>
            </w:pPr>
            <w:r w:rsidRPr="00CC430C">
              <w:t>VicRoads</w:t>
            </w:r>
          </w:p>
        </w:tc>
        <w:tc>
          <w:tcPr>
            <w:tcW w:w="625" w:type="pct"/>
          </w:tcPr>
          <w:p w14:paraId="3A8DE54A" w14:textId="15872E9F" w:rsidR="00820DB7" w:rsidRDefault="007232A0" w:rsidP="0060519C">
            <w:pPr>
              <w:pStyle w:val="TableText"/>
              <w:cnfStyle w:val="000000100000" w:firstRow="0" w:lastRow="0" w:firstColumn="0" w:lastColumn="0" w:oddVBand="0" w:evenVBand="0" w:oddHBand="1" w:evenHBand="0" w:firstRowFirstColumn="0" w:firstRowLastColumn="0" w:lastRowFirstColumn="0" w:lastRowLastColumn="0"/>
            </w:pPr>
            <w:r>
              <w:t>tb</w:t>
            </w:r>
            <w:r w:rsidR="00D45403">
              <w:t>a</w:t>
            </w:r>
          </w:p>
        </w:tc>
        <w:tc>
          <w:tcPr>
            <w:tcW w:w="807" w:type="pct"/>
          </w:tcPr>
          <w:p w14:paraId="712DE620" w14:textId="6C807C2C" w:rsidR="00820DB7" w:rsidRDefault="007232A0" w:rsidP="0060519C">
            <w:pPr>
              <w:pStyle w:val="TableText"/>
              <w:cnfStyle w:val="000000100000" w:firstRow="0" w:lastRow="0" w:firstColumn="0" w:lastColumn="0" w:oddVBand="0" w:evenVBand="0" w:oddHBand="1" w:evenHBand="0" w:firstRowFirstColumn="0" w:firstRowLastColumn="0" w:lastRowFirstColumn="0" w:lastRowLastColumn="0"/>
            </w:pPr>
            <w:r>
              <w:t>tb</w:t>
            </w:r>
            <w:r w:rsidR="00D45403">
              <w:t>a</w:t>
            </w:r>
          </w:p>
        </w:tc>
        <w:tc>
          <w:tcPr>
            <w:tcW w:w="957" w:type="pct"/>
          </w:tcPr>
          <w:p w14:paraId="73E7DAC9" w14:textId="659ACBF2" w:rsidR="00820DB7" w:rsidRDefault="007232A0" w:rsidP="0060519C">
            <w:pPr>
              <w:pStyle w:val="TableText"/>
              <w:cnfStyle w:val="000000100000" w:firstRow="0" w:lastRow="0" w:firstColumn="0" w:lastColumn="0" w:oddVBand="0" w:evenVBand="0" w:oddHBand="1" w:evenHBand="0" w:firstRowFirstColumn="0" w:firstRowLastColumn="0" w:lastRowFirstColumn="0" w:lastRowLastColumn="0"/>
            </w:pPr>
            <w:r>
              <w:t>tb</w:t>
            </w:r>
            <w:r w:rsidR="00D45403">
              <w:t>a</w:t>
            </w:r>
          </w:p>
        </w:tc>
        <w:tc>
          <w:tcPr>
            <w:tcW w:w="956" w:type="pct"/>
            <w:noWrap/>
            <w:hideMark/>
          </w:tcPr>
          <w:p w14:paraId="10072F96" w14:textId="18CE2248" w:rsidR="00820DB7" w:rsidRPr="0055605E" w:rsidRDefault="00820DB7" w:rsidP="0060519C">
            <w:pPr>
              <w:pStyle w:val="TableText"/>
              <w:cnfStyle w:val="000000100000" w:firstRow="0" w:lastRow="0" w:firstColumn="0" w:lastColumn="0" w:oddVBand="0" w:evenVBand="0" w:oddHBand="1" w:evenHBand="0" w:firstRowFirstColumn="0" w:firstRowLastColumn="0" w:lastRowFirstColumn="0" w:lastRowLastColumn="0"/>
            </w:pPr>
            <w:r>
              <w:t>Draft audit report under review</w:t>
            </w:r>
          </w:p>
        </w:tc>
      </w:tr>
    </w:tbl>
    <w:p w14:paraId="3A62DCD7" w14:textId="5008A9E8" w:rsidR="00F66493" w:rsidRDefault="002A23D6" w:rsidP="00820DB7">
      <w:pPr>
        <w:pStyle w:val="Tablenotes"/>
        <w:ind w:left="1134"/>
      </w:pPr>
      <w:r>
        <w:t xml:space="preserve">Note: </w:t>
      </w:r>
      <w:r w:rsidR="00847EDE">
        <w:t xml:space="preserve">Public Transport Victoria and </w:t>
      </w:r>
      <w:r w:rsidR="00820DB7">
        <w:t>CenITex</w:t>
      </w:r>
      <w:r w:rsidR="00847EDE">
        <w:t xml:space="preserve"> were accredited in 2017 and have audits scheduled for 2020.</w:t>
      </w:r>
      <w:bookmarkStart w:id="123" w:name="_Hlk489100967"/>
      <w:bookmarkEnd w:id="119"/>
    </w:p>
    <w:p w14:paraId="532EE06F" w14:textId="77777777" w:rsidR="00F66493" w:rsidRDefault="00F66493">
      <w:pPr>
        <w:rPr>
          <w:rFonts w:ascii="Calibri" w:hAnsi="Calibri" w:cs="Calibri"/>
          <w:color w:val="4D4D4D"/>
          <w:kern w:val="28"/>
          <w:sz w:val="30"/>
          <w:szCs w:val="22"/>
          <w:lang w:eastAsia="en-US"/>
        </w:rPr>
      </w:pPr>
      <w:r>
        <w:br w:type="page"/>
      </w:r>
    </w:p>
    <w:p w14:paraId="7338D19B" w14:textId="4626A258" w:rsidR="00E844B0" w:rsidRPr="00CD6245" w:rsidRDefault="00E844B0" w:rsidP="00E844B0">
      <w:pPr>
        <w:pStyle w:val="Heading2NoNum"/>
      </w:pPr>
      <w:bookmarkStart w:id="124" w:name="_Toc524354076"/>
      <w:r w:rsidRPr="00CD6245">
        <w:lastRenderedPageBreak/>
        <w:t>Procurement activity subject to VGPB oversight</w:t>
      </w:r>
      <w:bookmarkEnd w:id="124"/>
    </w:p>
    <w:p w14:paraId="061D02A1" w14:textId="51DF4215" w:rsidR="005D5FB8" w:rsidRDefault="005D5FB8" w:rsidP="005D5FB8">
      <w:pPr>
        <w:pStyle w:val="Normal1"/>
      </w:pPr>
      <w:r>
        <w:t>The VGPB is changing its oversight process to</w:t>
      </w:r>
      <w:r w:rsidR="000F61E6">
        <w:t xml:space="preserve"> implement </w:t>
      </w:r>
      <w:r>
        <w:t xml:space="preserve">a more efficient engagement model in </w:t>
      </w:r>
      <w:r w:rsidR="003B0168">
        <w:br/>
      </w:r>
      <w:r>
        <w:t>2018–19.</w:t>
      </w:r>
    </w:p>
    <w:p w14:paraId="790C2FBC" w14:textId="28F8DB55" w:rsidR="005D5FB8" w:rsidRDefault="000F61E6" w:rsidP="005D5FB8">
      <w:pPr>
        <w:pStyle w:val="Normal1"/>
      </w:pPr>
      <w:r>
        <w:t>Previously</w:t>
      </w:r>
      <w:r w:rsidR="005D5FB8">
        <w:t>, o</w:t>
      </w:r>
      <w:r w:rsidR="005D5FB8" w:rsidRPr="00D26C10">
        <w:t>rganisations c</w:t>
      </w:r>
      <w:r w:rsidR="005D5FB8">
        <w:t>ould</w:t>
      </w:r>
      <w:r w:rsidR="005D5FB8" w:rsidRPr="00D26C10">
        <w:t xml:space="preserve"> nominate certain strategic procurements for VGPB oversight</w:t>
      </w:r>
      <w:r w:rsidR="005D5FB8">
        <w:t xml:space="preserve"> and t</w:t>
      </w:r>
      <w:r w:rsidR="005D5FB8" w:rsidRPr="00D26C10">
        <w:t>he VGPB c</w:t>
      </w:r>
      <w:r w:rsidR="005D5FB8">
        <w:t xml:space="preserve">ould also </w:t>
      </w:r>
      <w:r w:rsidR="005D5FB8" w:rsidRPr="00D26C10">
        <w:t>identify specific procurements for oversight</w:t>
      </w:r>
      <w:r w:rsidR="005D5FB8">
        <w:t>. The VGPB</w:t>
      </w:r>
      <w:r w:rsidR="005D5FB8" w:rsidRPr="00D26C10">
        <w:t xml:space="preserve"> review</w:t>
      </w:r>
      <w:r w:rsidR="007225D1">
        <w:t>ed</w:t>
      </w:r>
      <w:r w:rsidR="005D5FB8">
        <w:t xml:space="preserve"> these projects</w:t>
      </w:r>
      <w:r w:rsidR="005D5FB8" w:rsidRPr="00D26C10">
        <w:t xml:space="preserve"> at key st</w:t>
      </w:r>
      <w:r w:rsidR="005D5FB8">
        <w:t>ages of the procurement process and g</w:t>
      </w:r>
      <w:r w:rsidR="007225D1">
        <w:t>ave</w:t>
      </w:r>
      <w:r w:rsidR="005D5FB8" w:rsidRPr="00D26C10">
        <w:t xml:space="preserve"> recommendations for organisations to action.</w:t>
      </w:r>
      <w:r>
        <w:t xml:space="preserve"> The new model will continue to provide strategic oversight to SPCs.</w:t>
      </w:r>
    </w:p>
    <w:p w14:paraId="65CE17A0" w14:textId="75062849" w:rsidR="00E844B0" w:rsidRDefault="00E45003" w:rsidP="00E41631">
      <w:pPr>
        <w:pStyle w:val="Normal1"/>
        <w:rPr>
          <w:lang w:eastAsia="en-US"/>
        </w:rPr>
      </w:pPr>
      <w:r>
        <w:t xml:space="preserve">The </w:t>
      </w:r>
      <w:r w:rsidR="007225D1">
        <w:t xml:space="preserve">new </w:t>
      </w:r>
      <w:r>
        <w:t xml:space="preserve">engagement model is currently </w:t>
      </w:r>
      <w:r w:rsidR="008D3D6C">
        <w:t xml:space="preserve">being </w:t>
      </w:r>
      <w:r>
        <w:t>develop</w:t>
      </w:r>
      <w:r w:rsidR="008D3D6C">
        <w:t>ed</w:t>
      </w:r>
      <w:r>
        <w:t xml:space="preserve"> and will be rolled out in </w:t>
      </w:r>
      <w:r w:rsidR="008D3D6C">
        <w:t>2018–19</w:t>
      </w:r>
      <w:r>
        <w:t>.</w:t>
      </w:r>
    </w:p>
    <w:p w14:paraId="2312F98B" w14:textId="68488EE9" w:rsidR="00BD6666" w:rsidRDefault="007225D1" w:rsidP="00BD6666">
      <w:pPr>
        <w:pStyle w:val="Normal1"/>
        <w:rPr>
          <w:lang w:eastAsia="en-US"/>
        </w:rPr>
      </w:pPr>
      <w:r>
        <w:t>In 2017–18, t</w:t>
      </w:r>
      <w:r w:rsidR="00603BC0" w:rsidRPr="00CD6245">
        <w:t xml:space="preserve">he VGPB </w:t>
      </w:r>
      <w:r w:rsidR="00603BC0" w:rsidRPr="00CD6245">
        <w:rPr>
          <w:lang w:eastAsia="en-US"/>
        </w:rPr>
        <w:t>actively manag</w:t>
      </w:r>
      <w:r w:rsidR="00603BC0" w:rsidRPr="005D5FB8">
        <w:rPr>
          <w:lang w:eastAsia="en-US"/>
        </w:rPr>
        <w:t xml:space="preserve">ed </w:t>
      </w:r>
      <w:r w:rsidR="00C352D9" w:rsidRPr="005D5FB8">
        <w:rPr>
          <w:lang w:eastAsia="en-US"/>
        </w:rPr>
        <w:t>12</w:t>
      </w:r>
      <w:r w:rsidR="00603BC0" w:rsidRPr="005D5FB8">
        <w:rPr>
          <w:lang w:eastAsia="en-US"/>
        </w:rPr>
        <w:t xml:space="preserve"> ov</w:t>
      </w:r>
      <w:r w:rsidR="00603BC0" w:rsidRPr="00CD6245">
        <w:rPr>
          <w:lang w:eastAsia="en-US"/>
        </w:rPr>
        <w:t xml:space="preserve">ersight projects as listed in </w:t>
      </w:r>
      <w:r w:rsidR="00603BC0">
        <w:fldChar w:fldCharType="begin"/>
      </w:r>
      <w:r w:rsidR="00603BC0">
        <w:instrText xml:space="preserve"> REF _Ref417732048 \h  \* MERGEFORMAT </w:instrText>
      </w:r>
      <w:r w:rsidR="00603BC0">
        <w:fldChar w:fldCharType="separate"/>
      </w:r>
      <w:r w:rsidR="00A07703" w:rsidRPr="00CD6245">
        <w:t xml:space="preserve">Table </w:t>
      </w:r>
      <w:r w:rsidR="00A07703">
        <w:rPr>
          <w:noProof/>
        </w:rPr>
        <w:t>20</w:t>
      </w:r>
      <w:r w:rsidR="00603BC0">
        <w:fldChar w:fldCharType="end"/>
      </w:r>
      <w:r w:rsidR="00603BC0" w:rsidRPr="00CD6245">
        <w:rPr>
          <w:lang w:eastAsia="en-US"/>
        </w:rPr>
        <w:t>.</w:t>
      </w:r>
      <w:r w:rsidR="00FC3A08" w:rsidRPr="00CD6245">
        <w:rPr>
          <w:lang w:eastAsia="en-US"/>
        </w:rPr>
        <w:t xml:space="preserve"> </w:t>
      </w:r>
      <w:r w:rsidR="001C758F">
        <w:rPr>
          <w:lang w:eastAsia="en-US"/>
        </w:rPr>
        <w:t xml:space="preserve">Estimated contract </w:t>
      </w:r>
      <w:r w:rsidR="000F22DC" w:rsidRPr="000F22DC">
        <w:rPr>
          <w:lang w:eastAsia="en-US"/>
        </w:rPr>
        <w:t>value</w:t>
      </w:r>
      <w:r w:rsidR="001C758F">
        <w:rPr>
          <w:lang w:eastAsia="en-US"/>
        </w:rPr>
        <w:t>s are</w:t>
      </w:r>
      <w:r w:rsidR="000F22DC" w:rsidRPr="000F22DC">
        <w:rPr>
          <w:lang w:eastAsia="en-US"/>
        </w:rPr>
        <w:t xml:space="preserve"> not disclosed</w:t>
      </w:r>
      <w:r w:rsidR="004F7DF7">
        <w:rPr>
          <w:lang w:eastAsia="en-US"/>
        </w:rPr>
        <w:t xml:space="preserve"> </w:t>
      </w:r>
      <w:r w:rsidR="000F22DC" w:rsidRPr="000F22DC">
        <w:rPr>
          <w:lang w:eastAsia="en-US"/>
        </w:rPr>
        <w:t>due to commercial sensitivity</w:t>
      </w:r>
      <w:r w:rsidR="001C758F">
        <w:rPr>
          <w:lang w:eastAsia="en-US"/>
        </w:rPr>
        <w:t>.</w:t>
      </w:r>
    </w:p>
    <w:p w14:paraId="2F4D78C8" w14:textId="01D87404" w:rsidR="00E844B0" w:rsidRDefault="00E844B0" w:rsidP="00E844B0">
      <w:pPr>
        <w:pStyle w:val="Caption"/>
      </w:pPr>
      <w:bookmarkStart w:id="125" w:name="_Ref417732048"/>
      <w:bookmarkStart w:id="126" w:name="_Toc524354013"/>
      <w:bookmarkStart w:id="127" w:name="_Hlk489351923"/>
      <w:r w:rsidRPr="00CD6245">
        <w:t xml:space="preserve">Table </w:t>
      </w:r>
      <w:r w:rsidR="002407F7">
        <w:rPr>
          <w:noProof/>
        </w:rPr>
        <w:fldChar w:fldCharType="begin"/>
      </w:r>
      <w:r w:rsidR="002407F7">
        <w:rPr>
          <w:noProof/>
        </w:rPr>
        <w:instrText xml:space="preserve"> SEQ Table \* ARABIC </w:instrText>
      </w:r>
      <w:r w:rsidR="002407F7">
        <w:rPr>
          <w:noProof/>
        </w:rPr>
        <w:fldChar w:fldCharType="separate"/>
      </w:r>
      <w:r w:rsidR="00A07703">
        <w:rPr>
          <w:noProof/>
        </w:rPr>
        <w:t>20</w:t>
      </w:r>
      <w:r w:rsidR="002407F7">
        <w:rPr>
          <w:noProof/>
        </w:rPr>
        <w:fldChar w:fldCharType="end"/>
      </w:r>
      <w:bookmarkEnd w:id="125"/>
      <w:r w:rsidRPr="00CD6245">
        <w:t xml:space="preserve">: </w:t>
      </w:r>
      <w:r w:rsidR="009F2836">
        <w:t>P</w:t>
      </w:r>
      <w:r w:rsidRPr="00CD6245">
        <w:t xml:space="preserve">rocurement activities subject to VGPB oversight in </w:t>
      </w:r>
      <w:r w:rsidR="00FA0FB5">
        <w:t>201</w:t>
      </w:r>
      <w:r w:rsidR="00B631EB">
        <w:t>7–18</w:t>
      </w:r>
      <w:bookmarkEnd w:id="126"/>
    </w:p>
    <w:tbl>
      <w:tblPr>
        <w:tblStyle w:val="ListTable31"/>
        <w:tblW w:w="8930" w:type="dxa"/>
        <w:tblInd w:w="704" w:type="dxa"/>
        <w:tblLayout w:type="fixed"/>
        <w:tblLook w:val="04A0" w:firstRow="1" w:lastRow="0" w:firstColumn="1" w:lastColumn="0" w:noHBand="0" w:noVBand="1"/>
      </w:tblPr>
      <w:tblGrid>
        <w:gridCol w:w="1560"/>
        <w:gridCol w:w="851"/>
        <w:gridCol w:w="2550"/>
        <w:gridCol w:w="850"/>
        <w:gridCol w:w="1168"/>
        <w:gridCol w:w="850"/>
        <w:gridCol w:w="1101"/>
      </w:tblGrid>
      <w:tr w:rsidR="001C758F" w:rsidRPr="009203AF" w14:paraId="3390DC73" w14:textId="77777777" w:rsidTr="00EE4E0A">
        <w:trPr>
          <w:cnfStyle w:val="100000000000" w:firstRow="1" w:lastRow="0" w:firstColumn="0" w:lastColumn="0" w:oddVBand="0" w:evenVBand="0" w:oddHBand="0" w:evenHBand="0" w:firstRowFirstColumn="0" w:firstRowLastColumn="0" w:lastRowFirstColumn="0" w:lastRowLastColumn="0"/>
          <w:trHeight w:val="900"/>
        </w:trPr>
        <w:tc>
          <w:tcPr>
            <w:cnfStyle w:val="001000000100" w:firstRow="0" w:lastRow="0" w:firstColumn="1" w:lastColumn="0" w:oddVBand="0" w:evenVBand="0" w:oddHBand="0" w:evenHBand="0" w:firstRowFirstColumn="1" w:firstRowLastColumn="0" w:lastRowFirstColumn="0" w:lastRowLastColumn="0"/>
            <w:tcW w:w="1560" w:type="dxa"/>
            <w:noWrap/>
            <w:hideMark/>
          </w:tcPr>
          <w:p w14:paraId="7E2112CE" w14:textId="77777777" w:rsidR="001C758F" w:rsidRPr="009203AF" w:rsidRDefault="001C758F" w:rsidP="00C8604F">
            <w:pPr>
              <w:pStyle w:val="TableText"/>
              <w:rPr>
                <w:sz w:val="16"/>
                <w:szCs w:val="16"/>
              </w:rPr>
            </w:pPr>
            <w:r w:rsidRPr="009203AF">
              <w:rPr>
                <w:sz w:val="16"/>
                <w:szCs w:val="16"/>
              </w:rPr>
              <w:t>Organisation</w:t>
            </w:r>
          </w:p>
        </w:tc>
        <w:tc>
          <w:tcPr>
            <w:tcW w:w="851" w:type="dxa"/>
            <w:noWrap/>
            <w:hideMark/>
          </w:tcPr>
          <w:p w14:paraId="55DB593A" w14:textId="77777777" w:rsidR="001C758F" w:rsidRPr="009203AF" w:rsidRDefault="001C758F" w:rsidP="00C8604F">
            <w:pPr>
              <w:pStyle w:val="TableText"/>
              <w:cnfStyle w:val="100000000000" w:firstRow="1" w:lastRow="0" w:firstColumn="0" w:lastColumn="0" w:oddVBand="0" w:evenVBand="0" w:oddHBand="0" w:evenHBand="0" w:firstRowFirstColumn="0" w:firstRowLastColumn="0" w:lastRowFirstColumn="0" w:lastRowLastColumn="0"/>
              <w:rPr>
                <w:sz w:val="16"/>
                <w:szCs w:val="16"/>
              </w:rPr>
            </w:pPr>
            <w:r w:rsidRPr="009203AF">
              <w:rPr>
                <w:sz w:val="16"/>
                <w:szCs w:val="16"/>
              </w:rPr>
              <w:t>Total number</w:t>
            </w:r>
          </w:p>
        </w:tc>
        <w:tc>
          <w:tcPr>
            <w:tcW w:w="2550" w:type="dxa"/>
            <w:hideMark/>
          </w:tcPr>
          <w:p w14:paraId="681320CB" w14:textId="77777777" w:rsidR="001C758F" w:rsidRPr="009203AF" w:rsidRDefault="001C758F" w:rsidP="00C8604F">
            <w:pPr>
              <w:pStyle w:val="TableText"/>
              <w:cnfStyle w:val="100000000000" w:firstRow="1" w:lastRow="0" w:firstColumn="0" w:lastColumn="0" w:oddVBand="0" w:evenVBand="0" w:oddHBand="0" w:evenHBand="0" w:firstRowFirstColumn="0" w:firstRowLastColumn="0" w:lastRowFirstColumn="0" w:lastRowLastColumn="0"/>
              <w:rPr>
                <w:sz w:val="16"/>
                <w:szCs w:val="16"/>
              </w:rPr>
            </w:pPr>
            <w:r w:rsidRPr="009203AF">
              <w:rPr>
                <w:sz w:val="16"/>
                <w:szCs w:val="16"/>
              </w:rPr>
              <w:t>Title/description</w:t>
            </w:r>
          </w:p>
        </w:tc>
        <w:tc>
          <w:tcPr>
            <w:tcW w:w="850" w:type="dxa"/>
            <w:noWrap/>
            <w:hideMark/>
          </w:tcPr>
          <w:p w14:paraId="40DDFE03" w14:textId="77777777" w:rsidR="001C758F" w:rsidRPr="009203AF" w:rsidRDefault="001C758F" w:rsidP="00C8604F">
            <w:pPr>
              <w:pStyle w:val="TableText"/>
              <w:cnfStyle w:val="100000000000" w:firstRow="1" w:lastRow="0" w:firstColumn="0" w:lastColumn="0" w:oddVBand="0" w:evenVBand="0" w:oddHBand="0" w:evenHBand="0" w:firstRowFirstColumn="0" w:firstRowLastColumn="0" w:lastRowFirstColumn="0" w:lastRowLastColumn="0"/>
              <w:rPr>
                <w:sz w:val="16"/>
                <w:szCs w:val="16"/>
              </w:rPr>
            </w:pPr>
            <w:r w:rsidRPr="009203AF">
              <w:rPr>
                <w:sz w:val="16"/>
                <w:szCs w:val="16"/>
              </w:rPr>
              <w:t>Good/</w:t>
            </w:r>
          </w:p>
          <w:p w14:paraId="1F669302" w14:textId="77777777" w:rsidR="001C758F" w:rsidRPr="009203AF" w:rsidRDefault="001C758F" w:rsidP="00C8604F">
            <w:pPr>
              <w:pStyle w:val="TableText"/>
              <w:cnfStyle w:val="100000000000" w:firstRow="1" w:lastRow="0" w:firstColumn="0" w:lastColumn="0" w:oddVBand="0" w:evenVBand="0" w:oddHBand="0" w:evenHBand="0" w:firstRowFirstColumn="0" w:firstRowLastColumn="0" w:lastRowFirstColumn="0" w:lastRowLastColumn="0"/>
              <w:rPr>
                <w:sz w:val="16"/>
                <w:szCs w:val="16"/>
              </w:rPr>
            </w:pPr>
            <w:r w:rsidRPr="009203AF">
              <w:rPr>
                <w:sz w:val="16"/>
                <w:szCs w:val="16"/>
              </w:rPr>
              <w:t>Service</w:t>
            </w:r>
          </w:p>
        </w:tc>
        <w:tc>
          <w:tcPr>
            <w:tcW w:w="1168" w:type="dxa"/>
            <w:hideMark/>
          </w:tcPr>
          <w:p w14:paraId="3D226601" w14:textId="77777777" w:rsidR="001C758F" w:rsidRPr="009203AF" w:rsidRDefault="001C758F" w:rsidP="00C8604F">
            <w:pPr>
              <w:pStyle w:val="TableText"/>
              <w:cnfStyle w:val="100000000000" w:firstRow="1" w:lastRow="0" w:firstColumn="0" w:lastColumn="0" w:oddVBand="0" w:evenVBand="0" w:oddHBand="0" w:evenHBand="0" w:firstRowFirstColumn="0" w:firstRowLastColumn="0" w:lastRowFirstColumn="0" w:lastRowLastColumn="0"/>
              <w:rPr>
                <w:sz w:val="16"/>
                <w:szCs w:val="16"/>
              </w:rPr>
            </w:pPr>
            <w:r w:rsidRPr="009203AF">
              <w:rPr>
                <w:sz w:val="16"/>
                <w:szCs w:val="16"/>
              </w:rPr>
              <w:t>Complexity assessment outcome</w:t>
            </w:r>
          </w:p>
        </w:tc>
        <w:tc>
          <w:tcPr>
            <w:tcW w:w="850" w:type="dxa"/>
            <w:hideMark/>
          </w:tcPr>
          <w:p w14:paraId="6BB009A1" w14:textId="28F8A616" w:rsidR="001C758F" w:rsidRPr="009203AF" w:rsidRDefault="001C758F" w:rsidP="00C8604F">
            <w:pPr>
              <w:pStyle w:val="TableText"/>
              <w:cnfStyle w:val="100000000000" w:firstRow="1" w:lastRow="0" w:firstColumn="0" w:lastColumn="0" w:oddVBand="0" w:evenVBand="0" w:oddHBand="0" w:evenHBand="0" w:firstRowFirstColumn="0" w:firstRowLastColumn="0" w:lastRowFirstColumn="0" w:lastRowLastColumn="0"/>
              <w:rPr>
                <w:sz w:val="16"/>
                <w:szCs w:val="16"/>
              </w:rPr>
            </w:pPr>
            <w:r w:rsidRPr="009203AF">
              <w:rPr>
                <w:sz w:val="16"/>
                <w:szCs w:val="16"/>
              </w:rPr>
              <w:t>Proposed market approach</w:t>
            </w:r>
          </w:p>
        </w:tc>
        <w:tc>
          <w:tcPr>
            <w:tcW w:w="1101" w:type="dxa"/>
            <w:noWrap/>
            <w:hideMark/>
          </w:tcPr>
          <w:p w14:paraId="5B6E5A73" w14:textId="77777777" w:rsidR="001C758F" w:rsidRPr="009203AF" w:rsidRDefault="001C758F" w:rsidP="00C8604F">
            <w:pPr>
              <w:pStyle w:val="TableText"/>
              <w:cnfStyle w:val="100000000000" w:firstRow="1" w:lastRow="0" w:firstColumn="0" w:lastColumn="0" w:oddVBand="0" w:evenVBand="0" w:oddHBand="0" w:evenHBand="0" w:firstRowFirstColumn="0" w:firstRowLastColumn="0" w:lastRowFirstColumn="0" w:lastRowLastColumn="0"/>
              <w:rPr>
                <w:sz w:val="16"/>
                <w:szCs w:val="16"/>
              </w:rPr>
            </w:pPr>
            <w:r w:rsidRPr="009203AF">
              <w:rPr>
                <w:sz w:val="16"/>
                <w:szCs w:val="16"/>
              </w:rPr>
              <w:t>Oversight stage</w:t>
            </w:r>
          </w:p>
        </w:tc>
      </w:tr>
      <w:tr w:rsidR="001C758F" w:rsidRPr="00DD12A9" w14:paraId="52BFE60A" w14:textId="77777777" w:rsidTr="00EE4E0A">
        <w:trPr>
          <w:cnfStyle w:val="000000100000" w:firstRow="0" w:lastRow="0" w:firstColumn="0" w:lastColumn="0" w:oddVBand="0" w:evenVBand="0" w:oddHBand="1" w:evenHBand="0" w:firstRowFirstColumn="0" w:firstRowLastColumn="0" w:lastRowFirstColumn="0" w:lastRowLastColumn="0"/>
          <w:trHeight w:val="900"/>
        </w:trPr>
        <w:tc>
          <w:tcPr>
            <w:cnfStyle w:val="001000000000" w:firstRow="0" w:lastRow="0" w:firstColumn="1" w:lastColumn="0" w:oddVBand="0" w:evenVBand="0" w:oddHBand="0" w:evenHBand="0" w:firstRowFirstColumn="0" w:firstRowLastColumn="0" w:lastRowFirstColumn="0" w:lastRowLastColumn="0"/>
            <w:tcW w:w="1560" w:type="dxa"/>
            <w:hideMark/>
          </w:tcPr>
          <w:p w14:paraId="5765E61E" w14:textId="3DC4D186" w:rsidR="001C758F" w:rsidRPr="002A23D6" w:rsidRDefault="00546DF9" w:rsidP="00C8604F">
            <w:pPr>
              <w:pStyle w:val="TableText"/>
              <w:rPr>
                <w:b w:val="0"/>
              </w:rPr>
            </w:pPr>
            <w:r>
              <w:rPr>
                <w:b w:val="0"/>
              </w:rPr>
              <w:t xml:space="preserve">Department of </w:t>
            </w:r>
            <w:r w:rsidR="001C758F" w:rsidRPr="002A23D6">
              <w:rPr>
                <w:b w:val="0"/>
              </w:rPr>
              <w:t>Economic Development, Jobs, Transport and Resources</w:t>
            </w:r>
          </w:p>
        </w:tc>
        <w:tc>
          <w:tcPr>
            <w:tcW w:w="851" w:type="dxa"/>
            <w:noWrap/>
          </w:tcPr>
          <w:p w14:paraId="7B39EB88" w14:textId="77777777" w:rsidR="001C758F" w:rsidRPr="00DD12A9" w:rsidRDefault="001C758F" w:rsidP="002A23D6">
            <w:pPr>
              <w:pStyle w:val="Tablenumbers"/>
              <w:cnfStyle w:val="000000100000" w:firstRow="0" w:lastRow="0" w:firstColumn="0" w:lastColumn="0" w:oddVBand="0" w:evenVBand="0" w:oddHBand="1" w:evenHBand="0" w:firstRowFirstColumn="0" w:firstRowLastColumn="0" w:lastRowFirstColumn="0" w:lastRowLastColumn="0"/>
            </w:pPr>
            <w:r>
              <w:t>1</w:t>
            </w:r>
          </w:p>
        </w:tc>
        <w:tc>
          <w:tcPr>
            <w:tcW w:w="2550" w:type="dxa"/>
          </w:tcPr>
          <w:p w14:paraId="3F41B96C" w14:textId="411B35F5" w:rsidR="001C758F" w:rsidRPr="008047C7" w:rsidRDefault="001C758F" w:rsidP="00C8604F">
            <w:pPr>
              <w:pStyle w:val="TableText"/>
              <w:cnfStyle w:val="000000100000" w:firstRow="0" w:lastRow="0" w:firstColumn="0" w:lastColumn="0" w:oddVBand="0" w:evenVBand="0" w:oddHBand="1" w:evenHBand="0" w:firstRowFirstColumn="0" w:firstRowLastColumn="0" w:lastRowFirstColumn="0" w:lastRowLastColumn="0"/>
            </w:pPr>
            <w:r>
              <w:t xml:space="preserve">CarbonNet – </w:t>
            </w:r>
            <w:r w:rsidR="00A5167F">
              <w:t>offshore appraisal well</w:t>
            </w:r>
          </w:p>
        </w:tc>
        <w:tc>
          <w:tcPr>
            <w:tcW w:w="850" w:type="dxa"/>
            <w:noWrap/>
          </w:tcPr>
          <w:p w14:paraId="57733215" w14:textId="77777777" w:rsidR="001C758F" w:rsidRPr="00264138" w:rsidRDefault="001C758F" w:rsidP="00C8604F">
            <w:pPr>
              <w:pStyle w:val="TableText"/>
              <w:cnfStyle w:val="000000100000" w:firstRow="0" w:lastRow="0" w:firstColumn="0" w:lastColumn="0" w:oddVBand="0" w:evenVBand="0" w:oddHBand="1" w:evenHBand="0" w:firstRowFirstColumn="0" w:firstRowLastColumn="0" w:lastRowFirstColumn="0" w:lastRowLastColumn="0"/>
            </w:pPr>
            <w:r>
              <w:t>Service</w:t>
            </w:r>
          </w:p>
        </w:tc>
        <w:tc>
          <w:tcPr>
            <w:tcW w:w="1168" w:type="dxa"/>
            <w:noWrap/>
          </w:tcPr>
          <w:p w14:paraId="79554543" w14:textId="77777777" w:rsidR="001C758F" w:rsidRPr="00264138" w:rsidRDefault="001C758F" w:rsidP="00C8604F">
            <w:pPr>
              <w:pStyle w:val="TableText"/>
              <w:cnfStyle w:val="000000100000" w:firstRow="0" w:lastRow="0" w:firstColumn="0" w:lastColumn="0" w:oddVBand="0" w:evenVBand="0" w:oddHBand="1" w:evenHBand="0" w:firstRowFirstColumn="0" w:firstRowLastColumn="0" w:lastRowFirstColumn="0" w:lastRowLastColumn="0"/>
            </w:pPr>
            <w:r>
              <w:t>Strategic</w:t>
            </w:r>
          </w:p>
        </w:tc>
        <w:tc>
          <w:tcPr>
            <w:tcW w:w="850" w:type="dxa"/>
            <w:noWrap/>
          </w:tcPr>
          <w:p w14:paraId="574F2249" w14:textId="77777777" w:rsidR="001C758F" w:rsidRPr="0015462A" w:rsidRDefault="001C758F" w:rsidP="00C8604F">
            <w:pPr>
              <w:pStyle w:val="TableText"/>
              <w:cnfStyle w:val="000000100000" w:firstRow="0" w:lastRow="0" w:firstColumn="0" w:lastColumn="0" w:oddVBand="0" w:evenVBand="0" w:oddHBand="1" w:evenHBand="0" w:firstRowFirstColumn="0" w:firstRowLastColumn="0" w:lastRowFirstColumn="0" w:lastRowLastColumn="0"/>
            </w:pPr>
            <w:r>
              <w:t>RFT</w:t>
            </w:r>
          </w:p>
        </w:tc>
        <w:tc>
          <w:tcPr>
            <w:tcW w:w="1101" w:type="dxa"/>
            <w:noWrap/>
          </w:tcPr>
          <w:p w14:paraId="11E3299B" w14:textId="77777777" w:rsidR="001C758F" w:rsidRPr="00BF0291" w:rsidRDefault="001C758F" w:rsidP="00C8604F">
            <w:pPr>
              <w:pStyle w:val="TableText"/>
              <w:cnfStyle w:val="000000100000" w:firstRow="0" w:lastRow="0" w:firstColumn="0" w:lastColumn="0" w:oddVBand="0" w:evenVBand="0" w:oddHBand="1" w:evenHBand="0" w:firstRowFirstColumn="0" w:firstRowLastColumn="0" w:lastRowFirstColumn="0" w:lastRowLastColumn="0"/>
            </w:pPr>
            <w:r>
              <w:t>Stage 2</w:t>
            </w:r>
          </w:p>
        </w:tc>
      </w:tr>
      <w:tr w:rsidR="001C758F" w:rsidRPr="00DD12A9" w14:paraId="020C4AC3" w14:textId="77777777" w:rsidTr="00EE4E0A">
        <w:trPr>
          <w:trHeight w:val="900"/>
        </w:trPr>
        <w:tc>
          <w:tcPr>
            <w:cnfStyle w:val="001000000000" w:firstRow="0" w:lastRow="0" w:firstColumn="1" w:lastColumn="0" w:oddVBand="0" w:evenVBand="0" w:oddHBand="0" w:evenHBand="0" w:firstRowFirstColumn="0" w:firstRowLastColumn="0" w:lastRowFirstColumn="0" w:lastRowLastColumn="0"/>
            <w:tcW w:w="1560" w:type="dxa"/>
          </w:tcPr>
          <w:p w14:paraId="6CBA118B" w14:textId="49A64448" w:rsidR="001C758F" w:rsidRPr="002A23D6" w:rsidRDefault="00546DF9" w:rsidP="00BD6666">
            <w:pPr>
              <w:pStyle w:val="TableText"/>
              <w:rPr>
                <w:b w:val="0"/>
              </w:rPr>
            </w:pPr>
            <w:r>
              <w:rPr>
                <w:b w:val="0"/>
              </w:rPr>
              <w:t xml:space="preserve">Department of </w:t>
            </w:r>
            <w:r w:rsidR="001C758F" w:rsidRPr="002A23D6">
              <w:rPr>
                <w:b w:val="0"/>
              </w:rPr>
              <w:t>Education</w:t>
            </w:r>
            <w:r>
              <w:rPr>
                <w:b w:val="0"/>
              </w:rPr>
              <w:t xml:space="preserve"> and Training</w:t>
            </w:r>
          </w:p>
        </w:tc>
        <w:tc>
          <w:tcPr>
            <w:tcW w:w="851" w:type="dxa"/>
            <w:noWrap/>
          </w:tcPr>
          <w:p w14:paraId="393FE334" w14:textId="386FA29D" w:rsidR="001C758F" w:rsidRDefault="001C758F" w:rsidP="002A23D6">
            <w:pPr>
              <w:pStyle w:val="Tablenumbers"/>
              <w:cnfStyle w:val="000000000000" w:firstRow="0" w:lastRow="0" w:firstColumn="0" w:lastColumn="0" w:oddVBand="0" w:evenVBand="0" w:oddHBand="0" w:evenHBand="0" w:firstRowFirstColumn="0" w:firstRowLastColumn="0" w:lastRowFirstColumn="0" w:lastRowLastColumn="0"/>
            </w:pPr>
            <w:r>
              <w:t>1</w:t>
            </w:r>
          </w:p>
        </w:tc>
        <w:tc>
          <w:tcPr>
            <w:tcW w:w="2550" w:type="dxa"/>
          </w:tcPr>
          <w:p w14:paraId="7BF1AFEA" w14:textId="36830C16" w:rsidR="001C758F" w:rsidRDefault="00C53DC4" w:rsidP="00BD6666">
            <w:pPr>
              <w:pStyle w:val="TableText"/>
              <w:cnfStyle w:val="000000000000" w:firstRow="0" w:lastRow="0" w:firstColumn="0" w:lastColumn="0" w:oddVBand="0" w:evenVBand="0" w:oddHBand="0" w:evenHBand="0" w:firstRowFirstColumn="0" w:firstRowLastColumn="0" w:lastRowFirstColumn="0" w:lastRowLastColumn="0"/>
            </w:pPr>
            <w:r w:rsidRPr="00A9371D">
              <w:t xml:space="preserve">Technical </w:t>
            </w:r>
            <w:r>
              <w:t>s</w:t>
            </w:r>
            <w:r w:rsidRPr="00A9371D">
              <w:t xml:space="preserve">upport to Victorian </w:t>
            </w:r>
            <w:r>
              <w:t>s</w:t>
            </w:r>
            <w:r w:rsidRPr="00A9371D">
              <w:t>chools</w:t>
            </w:r>
            <w:r w:rsidR="001C758F">
              <w:t xml:space="preserve"> (eduSTAR)</w:t>
            </w:r>
          </w:p>
        </w:tc>
        <w:tc>
          <w:tcPr>
            <w:tcW w:w="850" w:type="dxa"/>
            <w:noWrap/>
          </w:tcPr>
          <w:p w14:paraId="01F69993" w14:textId="0331806A" w:rsidR="001C758F" w:rsidRDefault="001C758F" w:rsidP="00BD6666">
            <w:pPr>
              <w:pStyle w:val="TableText"/>
              <w:cnfStyle w:val="000000000000" w:firstRow="0" w:lastRow="0" w:firstColumn="0" w:lastColumn="0" w:oddVBand="0" w:evenVBand="0" w:oddHBand="0" w:evenHBand="0" w:firstRowFirstColumn="0" w:firstRowLastColumn="0" w:lastRowFirstColumn="0" w:lastRowLastColumn="0"/>
            </w:pPr>
            <w:r>
              <w:t>Service</w:t>
            </w:r>
          </w:p>
        </w:tc>
        <w:tc>
          <w:tcPr>
            <w:tcW w:w="1168" w:type="dxa"/>
            <w:noWrap/>
          </w:tcPr>
          <w:p w14:paraId="6C6E4FBA" w14:textId="1D181EAD" w:rsidR="001C758F" w:rsidRDefault="001C758F" w:rsidP="00BD6666">
            <w:pPr>
              <w:pStyle w:val="TableText"/>
              <w:cnfStyle w:val="000000000000" w:firstRow="0" w:lastRow="0" w:firstColumn="0" w:lastColumn="0" w:oddVBand="0" w:evenVBand="0" w:oddHBand="0" w:evenHBand="0" w:firstRowFirstColumn="0" w:firstRowLastColumn="0" w:lastRowFirstColumn="0" w:lastRowLastColumn="0"/>
            </w:pPr>
            <w:r>
              <w:t>Leveraged</w:t>
            </w:r>
          </w:p>
        </w:tc>
        <w:tc>
          <w:tcPr>
            <w:tcW w:w="850" w:type="dxa"/>
            <w:noWrap/>
          </w:tcPr>
          <w:p w14:paraId="5EF57CAB" w14:textId="415DA738" w:rsidR="001C758F" w:rsidRDefault="001C758F" w:rsidP="00BD6666">
            <w:pPr>
              <w:pStyle w:val="TableText"/>
              <w:cnfStyle w:val="000000000000" w:firstRow="0" w:lastRow="0" w:firstColumn="0" w:lastColumn="0" w:oddVBand="0" w:evenVBand="0" w:oddHBand="0" w:evenHBand="0" w:firstRowFirstColumn="0" w:firstRowLastColumn="0" w:lastRowFirstColumn="0" w:lastRowLastColumn="0"/>
            </w:pPr>
            <w:r>
              <w:t>Option to extend</w:t>
            </w:r>
          </w:p>
        </w:tc>
        <w:tc>
          <w:tcPr>
            <w:tcW w:w="1101" w:type="dxa"/>
            <w:noWrap/>
          </w:tcPr>
          <w:p w14:paraId="0ABCA4D6" w14:textId="40E4EE0E" w:rsidR="001C758F" w:rsidRDefault="001C758F" w:rsidP="00BD6666">
            <w:pPr>
              <w:pStyle w:val="TableText"/>
              <w:cnfStyle w:val="000000000000" w:firstRow="0" w:lastRow="0" w:firstColumn="0" w:lastColumn="0" w:oddVBand="0" w:evenVBand="0" w:oddHBand="0" w:evenHBand="0" w:firstRowFirstColumn="0" w:firstRowLastColumn="0" w:lastRowFirstColumn="0" w:lastRowLastColumn="0"/>
            </w:pPr>
            <w:r>
              <w:t>Stage 3</w:t>
            </w:r>
          </w:p>
        </w:tc>
      </w:tr>
      <w:tr w:rsidR="001C758F" w:rsidRPr="00DD12A9" w14:paraId="1349E4DC" w14:textId="77777777" w:rsidTr="00EE4E0A">
        <w:trPr>
          <w:cnfStyle w:val="000000100000" w:firstRow="0" w:lastRow="0" w:firstColumn="0" w:lastColumn="0" w:oddVBand="0" w:evenVBand="0" w:oddHBand="1"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1560" w:type="dxa"/>
            <w:noWrap/>
          </w:tcPr>
          <w:p w14:paraId="26E8F975" w14:textId="0A964C9C" w:rsidR="001C758F" w:rsidRPr="002A23D6" w:rsidRDefault="00546DF9" w:rsidP="00BD6666">
            <w:pPr>
              <w:pStyle w:val="TableText"/>
              <w:rPr>
                <w:b w:val="0"/>
              </w:rPr>
            </w:pPr>
            <w:r>
              <w:rPr>
                <w:b w:val="0"/>
              </w:rPr>
              <w:t xml:space="preserve">Department of </w:t>
            </w:r>
            <w:r w:rsidR="001C758F" w:rsidRPr="002A23D6">
              <w:rPr>
                <w:b w:val="0"/>
              </w:rPr>
              <w:t>Health and Human Services</w:t>
            </w:r>
          </w:p>
          <w:p w14:paraId="52B6BF97" w14:textId="77777777" w:rsidR="001C758F" w:rsidRPr="002A23D6" w:rsidRDefault="001C758F" w:rsidP="00BD6666">
            <w:pPr>
              <w:pStyle w:val="TableText"/>
              <w:rPr>
                <w:b w:val="0"/>
              </w:rPr>
            </w:pPr>
            <w:r w:rsidRPr="002A23D6">
              <w:rPr>
                <w:b w:val="0"/>
              </w:rPr>
              <w:t> </w:t>
            </w:r>
          </w:p>
        </w:tc>
        <w:tc>
          <w:tcPr>
            <w:tcW w:w="851" w:type="dxa"/>
            <w:noWrap/>
          </w:tcPr>
          <w:p w14:paraId="47E0E5A3" w14:textId="77777777" w:rsidR="001C758F" w:rsidRPr="008047C7" w:rsidRDefault="001C758F" w:rsidP="002A23D6">
            <w:pPr>
              <w:pStyle w:val="Tablenumbers"/>
              <w:cnfStyle w:val="000000100000" w:firstRow="0" w:lastRow="0" w:firstColumn="0" w:lastColumn="0" w:oddVBand="0" w:evenVBand="0" w:oddHBand="1" w:evenHBand="0" w:firstRowFirstColumn="0" w:firstRowLastColumn="0" w:lastRowFirstColumn="0" w:lastRowLastColumn="0"/>
            </w:pPr>
            <w:r>
              <w:t>1</w:t>
            </w:r>
          </w:p>
        </w:tc>
        <w:tc>
          <w:tcPr>
            <w:tcW w:w="2550" w:type="dxa"/>
          </w:tcPr>
          <w:p w14:paraId="5404E00B" w14:textId="77777777" w:rsidR="001C758F" w:rsidRPr="00264138" w:rsidRDefault="001C758F" w:rsidP="00BD6666">
            <w:pPr>
              <w:pStyle w:val="TableText"/>
              <w:cnfStyle w:val="000000100000" w:firstRow="0" w:lastRow="0" w:firstColumn="0" w:lastColumn="0" w:oddVBand="0" w:evenVBand="0" w:oddHBand="1" w:evenHBand="0" w:firstRowFirstColumn="0" w:firstRowLastColumn="0" w:lastRowFirstColumn="0" w:lastRowLastColumn="0"/>
            </w:pPr>
            <w:r>
              <w:t>Personal Alert Victoria</w:t>
            </w:r>
          </w:p>
        </w:tc>
        <w:tc>
          <w:tcPr>
            <w:tcW w:w="850" w:type="dxa"/>
            <w:noWrap/>
          </w:tcPr>
          <w:p w14:paraId="5A13D592" w14:textId="77777777" w:rsidR="001C758F" w:rsidRPr="0015462A" w:rsidRDefault="001C758F" w:rsidP="00BD6666">
            <w:pPr>
              <w:pStyle w:val="TableText"/>
              <w:cnfStyle w:val="000000100000" w:firstRow="0" w:lastRow="0" w:firstColumn="0" w:lastColumn="0" w:oddVBand="0" w:evenVBand="0" w:oddHBand="1" w:evenHBand="0" w:firstRowFirstColumn="0" w:firstRowLastColumn="0" w:lastRowFirstColumn="0" w:lastRowLastColumn="0"/>
            </w:pPr>
            <w:r>
              <w:t>Service</w:t>
            </w:r>
          </w:p>
        </w:tc>
        <w:tc>
          <w:tcPr>
            <w:tcW w:w="1168" w:type="dxa"/>
            <w:noWrap/>
          </w:tcPr>
          <w:p w14:paraId="45F51822" w14:textId="77777777" w:rsidR="001C758F" w:rsidRPr="009C7A1B" w:rsidRDefault="001C758F" w:rsidP="00BD6666">
            <w:pPr>
              <w:pStyle w:val="TableText"/>
              <w:cnfStyle w:val="000000100000" w:firstRow="0" w:lastRow="0" w:firstColumn="0" w:lastColumn="0" w:oddVBand="0" w:evenVBand="0" w:oddHBand="1" w:evenHBand="0" w:firstRowFirstColumn="0" w:firstRowLastColumn="0" w:lastRowFirstColumn="0" w:lastRowLastColumn="0"/>
            </w:pPr>
            <w:r>
              <w:t>Strategic</w:t>
            </w:r>
          </w:p>
        </w:tc>
        <w:tc>
          <w:tcPr>
            <w:tcW w:w="850" w:type="dxa"/>
            <w:noWrap/>
          </w:tcPr>
          <w:p w14:paraId="66AB9EE0" w14:textId="77777777" w:rsidR="001C758F" w:rsidRPr="00D92702" w:rsidRDefault="001C758F" w:rsidP="00BD6666">
            <w:pPr>
              <w:pStyle w:val="TableText"/>
              <w:cnfStyle w:val="000000100000" w:firstRow="0" w:lastRow="0" w:firstColumn="0" w:lastColumn="0" w:oddVBand="0" w:evenVBand="0" w:oddHBand="1" w:evenHBand="0" w:firstRowFirstColumn="0" w:firstRowLastColumn="0" w:lastRowFirstColumn="0" w:lastRowLastColumn="0"/>
            </w:pPr>
            <w:r>
              <w:t>RFT</w:t>
            </w:r>
          </w:p>
        </w:tc>
        <w:tc>
          <w:tcPr>
            <w:tcW w:w="1101" w:type="dxa"/>
          </w:tcPr>
          <w:p w14:paraId="60FADF00" w14:textId="77777777" w:rsidR="001C758F" w:rsidRPr="00947854" w:rsidRDefault="001C758F" w:rsidP="00BD6666">
            <w:pPr>
              <w:pStyle w:val="TableText"/>
              <w:cnfStyle w:val="000000100000" w:firstRow="0" w:lastRow="0" w:firstColumn="0" w:lastColumn="0" w:oddVBand="0" w:evenVBand="0" w:oddHBand="1" w:evenHBand="0" w:firstRowFirstColumn="0" w:firstRowLastColumn="0" w:lastRowFirstColumn="0" w:lastRowLastColumn="0"/>
            </w:pPr>
            <w:r>
              <w:t>Stage 3</w:t>
            </w:r>
          </w:p>
        </w:tc>
      </w:tr>
      <w:tr w:rsidR="001C758F" w:rsidRPr="00DD12A9" w14:paraId="15B2E76C" w14:textId="77777777" w:rsidTr="00EE4E0A">
        <w:trPr>
          <w:trHeight w:val="652"/>
        </w:trPr>
        <w:tc>
          <w:tcPr>
            <w:cnfStyle w:val="001000000000" w:firstRow="0" w:lastRow="0" w:firstColumn="1" w:lastColumn="0" w:oddVBand="0" w:evenVBand="0" w:oddHBand="0" w:evenHBand="0" w:firstRowFirstColumn="0" w:firstRowLastColumn="0" w:lastRowFirstColumn="0" w:lastRowLastColumn="0"/>
            <w:tcW w:w="1560" w:type="dxa"/>
            <w:noWrap/>
          </w:tcPr>
          <w:p w14:paraId="14DD87F1" w14:textId="05B98CC4" w:rsidR="001C758F" w:rsidRPr="002A23D6" w:rsidRDefault="00546DF9" w:rsidP="00BD6666">
            <w:pPr>
              <w:pStyle w:val="TableText"/>
              <w:rPr>
                <w:b w:val="0"/>
              </w:rPr>
            </w:pPr>
            <w:r>
              <w:rPr>
                <w:b w:val="0"/>
              </w:rPr>
              <w:t xml:space="preserve">Department of </w:t>
            </w:r>
            <w:r w:rsidR="001C758F" w:rsidRPr="002A23D6">
              <w:rPr>
                <w:b w:val="0"/>
              </w:rPr>
              <w:t>Premier and Cabinet</w:t>
            </w:r>
          </w:p>
          <w:p w14:paraId="11B4EEFD" w14:textId="77777777" w:rsidR="001C758F" w:rsidRPr="002A23D6" w:rsidRDefault="001C758F" w:rsidP="00BD6666">
            <w:pPr>
              <w:pStyle w:val="TableText"/>
              <w:rPr>
                <w:b w:val="0"/>
              </w:rPr>
            </w:pPr>
            <w:r w:rsidRPr="002A23D6">
              <w:rPr>
                <w:b w:val="0"/>
              </w:rPr>
              <w:t> </w:t>
            </w:r>
          </w:p>
        </w:tc>
        <w:tc>
          <w:tcPr>
            <w:tcW w:w="851" w:type="dxa"/>
            <w:noWrap/>
          </w:tcPr>
          <w:p w14:paraId="6541097E" w14:textId="77777777" w:rsidR="001C758F" w:rsidRDefault="001C758F" w:rsidP="002A23D6">
            <w:pPr>
              <w:pStyle w:val="Tablenumbers"/>
              <w:cnfStyle w:val="000000000000" w:firstRow="0" w:lastRow="0" w:firstColumn="0" w:lastColumn="0" w:oddVBand="0" w:evenVBand="0" w:oddHBand="0" w:evenHBand="0" w:firstRowFirstColumn="0" w:firstRowLastColumn="0" w:lastRowFirstColumn="0" w:lastRowLastColumn="0"/>
            </w:pPr>
            <w:r>
              <w:t>1</w:t>
            </w:r>
          </w:p>
        </w:tc>
        <w:tc>
          <w:tcPr>
            <w:tcW w:w="2550" w:type="dxa"/>
          </w:tcPr>
          <w:p w14:paraId="6ACB4309" w14:textId="6D15BEEE" w:rsidR="001C758F" w:rsidRPr="0015462A" w:rsidRDefault="00DA5821" w:rsidP="00BD6666">
            <w:pPr>
              <w:pStyle w:val="TableText"/>
              <w:cnfStyle w:val="000000000000" w:firstRow="0" w:lastRow="0" w:firstColumn="0" w:lastColumn="0" w:oddVBand="0" w:evenVBand="0" w:oddHBand="0" w:evenHBand="0" w:firstRowFirstColumn="0" w:firstRowLastColumn="0" w:lastRowFirstColumn="0" w:lastRowLastColumn="0"/>
            </w:pPr>
            <w:r>
              <w:t xml:space="preserve">End User Computing Equipment </w:t>
            </w:r>
            <w:r w:rsidR="001C758F">
              <w:t>SPC</w:t>
            </w:r>
          </w:p>
        </w:tc>
        <w:tc>
          <w:tcPr>
            <w:tcW w:w="850" w:type="dxa"/>
            <w:noWrap/>
          </w:tcPr>
          <w:p w14:paraId="12D799C6" w14:textId="77777777" w:rsidR="001C758F" w:rsidRPr="00BF0291" w:rsidRDefault="001C758F" w:rsidP="00BD6666">
            <w:pPr>
              <w:pStyle w:val="TableText"/>
              <w:cnfStyle w:val="000000000000" w:firstRow="0" w:lastRow="0" w:firstColumn="0" w:lastColumn="0" w:oddVBand="0" w:evenVBand="0" w:oddHBand="0" w:evenHBand="0" w:firstRowFirstColumn="0" w:firstRowLastColumn="0" w:lastRowFirstColumn="0" w:lastRowLastColumn="0"/>
            </w:pPr>
            <w:r>
              <w:t>Goods</w:t>
            </w:r>
          </w:p>
        </w:tc>
        <w:tc>
          <w:tcPr>
            <w:tcW w:w="1168" w:type="dxa"/>
            <w:noWrap/>
          </w:tcPr>
          <w:p w14:paraId="7432EAD0" w14:textId="77777777" w:rsidR="001C758F" w:rsidRPr="00D92702" w:rsidRDefault="001C758F" w:rsidP="00BD6666">
            <w:pPr>
              <w:pStyle w:val="TableText"/>
              <w:cnfStyle w:val="000000000000" w:firstRow="0" w:lastRow="0" w:firstColumn="0" w:lastColumn="0" w:oddVBand="0" w:evenVBand="0" w:oddHBand="0" w:evenHBand="0" w:firstRowFirstColumn="0" w:firstRowLastColumn="0" w:lastRowFirstColumn="0" w:lastRowLastColumn="0"/>
            </w:pPr>
            <w:r>
              <w:t>Strategic</w:t>
            </w:r>
          </w:p>
        </w:tc>
        <w:tc>
          <w:tcPr>
            <w:tcW w:w="850" w:type="dxa"/>
            <w:noWrap/>
          </w:tcPr>
          <w:p w14:paraId="60671C01" w14:textId="77777777" w:rsidR="001C758F" w:rsidRPr="00947854" w:rsidRDefault="001C758F" w:rsidP="00BD6666">
            <w:pPr>
              <w:pStyle w:val="TableText"/>
              <w:cnfStyle w:val="000000000000" w:firstRow="0" w:lastRow="0" w:firstColumn="0" w:lastColumn="0" w:oddVBand="0" w:evenVBand="0" w:oddHBand="0" w:evenHBand="0" w:firstRowFirstColumn="0" w:firstRowLastColumn="0" w:lastRowFirstColumn="0" w:lastRowLastColumn="0"/>
            </w:pPr>
            <w:r>
              <w:t>Option to extend</w:t>
            </w:r>
          </w:p>
        </w:tc>
        <w:tc>
          <w:tcPr>
            <w:tcW w:w="1101" w:type="dxa"/>
            <w:noWrap/>
          </w:tcPr>
          <w:p w14:paraId="6EAA48AC" w14:textId="77777777" w:rsidR="001C758F" w:rsidRPr="00947854" w:rsidRDefault="001C758F" w:rsidP="00BD6666">
            <w:pPr>
              <w:pStyle w:val="TableText"/>
              <w:cnfStyle w:val="000000000000" w:firstRow="0" w:lastRow="0" w:firstColumn="0" w:lastColumn="0" w:oddVBand="0" w:evenVBand="0" w:oddHBand="0" w:evenHBand="0" w:firstRowFirstColumn="0" w:firstRowLastColumn="0" w:lastRowFirstColumn="0" w:lastRowLastColumn="0"/>
            </w:pPr>
            <w:r>
              <w:t>Stage 3</w:t>
            </w:r>
          </w:p>
        </w:tc>
      </w:tr>
      <w:tr w:rsidR="000F61E6" w:rsidRPr="00DD12A9" w14:paraId="4C2BA493" w14:textId="77777777" w:rsidTr="00EE4E0A">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1560" w:type="dxa"/>
            <w:vMerge w:val="restart"/>
            <w:noWrap/>
            <w:hideMark/>
          </w:tcPr>
          <w:p w14:paraId="0B64D44F" w14:textId="3A59DECB" w:rsidR="000F61E6" w:rsidRPr="002A23D6" w:rsidRDefault="00546DF9" w:rsidP="000F61E6">
            <w:pPr>
              <w:pStyle w:val="TableText"/>
              <w:rPr>
                <w:b w:val="0"/>
              </w:rPr>
            </w:pPr>
            <w:r>
              <w:rPr>
                <w:b w:val="0"/>
              </w:rPr>
              <w:t xml:space="preserve">Department of </w:t>
            </w:r>
            <w:r w:rsidR="000F61E6" w:rsidRPr="002A23D6">
              <w:rPr>
                <w:b w:val="0"/>
              </w:rPr>
              <w:t>Treasury and Finance</w:t>
            </w:r>
          </w:p>
          <w:p w14:paraId="36318569" w14:textId="77777777" w:rsidR="000F61E6" w:rsidRPr="002A23D6" w:rsidRDefault="000F61E6" w:rsidP="000F61E6">
            <w:pPr>
              <w:pStyle w:val="TableText"/>
              <w:rPr>
                <w:b w:val="0"/>
              </w:rPr>
            </w:pPr>
          </w:p>
          <w:p w14:paraId="24D7D527" w14:textId="77777777" w:rsidR="000F61E6" w:rsidRPr="002A23D6" w:rsidRDefault="000F61E6" w:rsidP="000F61E6">
            <w:pPr>
              <w:pStyle w:val="TableText"/>
              <w:rPr>
                <w:b w:val="0"/>
              </w:rPr>
            </w:pPr>
            <w:r w:rsidRPr="002A23D6">
              <w:rPr>
                <w:b w:val="0"/>
              </w:rPr>
              <w:t> </w:t>
            </w:r>
          </w:p>
        </w:tc>
        <w:tc>
          <w:tcPr>
            <w:tcW w:w="851" w:type="dxa"/>
            <w:vMerge w:val="restart"/>
            <w:noWrap/>
          </w:tcPr>
          <w:p w14:paraId="07190201" w14:textId="77777777" w:rsidR="000F61E6" w:rsidRPr="00264138" w:rsidRDefault="000F61E6" w:rsidP="000F61E6">
            <w:pPr>
              <w:pStyle w:val="Tablenumbers"/>
              <w:cnfStyle w:val="000000100000" w:firstRow="0" w:lastRow="0" w:firstColumn="0" w:lastColumn="0" w:oddVBand="0" w:evenVBand="0" w:oddHBand="1" w:evenHBand="0" w:firstRowFirstColumn="0" w:firstRowLastColumn="0" w:lastRowFirstColumn="0" w:lastRowLastColumn="0"/>
            </w:pPr>
            <w:r>
              <w:t>3</w:t>
            </w:r>
          </w:p>
        </w:tc>
        <w:tc>
          <w:tcPr>
            <w:tcW w:w="2550" w:type="dxa"/>
          </w:tcPr>
          <w:p w14:paraId="5B9B0E43" w14:textId="764AA712" w:rsidR="000F61E6" w:rsidRPr="00BF0291" w:rsidRDefault="000F61E6" w:rsidP="000F61E6">
            <w:pPr>
              <w:pStyle w:val="TableText"/>
              <w:cnfStyle w:val="000000100000" w:firstRow="0" w:lastRow="0" w:firstColumn="0" w:lastColumn="0" w:oddVBand="0" w:evenVBand="0" w:oddHBand="1" w:evenHBand="0" w:firstRowFirstColumn="0" w:firstRowLastColumn="0" w:lastRowFirstColumn="0" w:lastRowLastColumn="0"/>
            </w:pPr>
            <w:r>
              <w:t>Master Agency Media Services SPC</w:t>
            </w:r>
          </w:p>
        </w:tc>
        <w:tc>
          <w:tcPr>
            <w:tcW w:w="850" w:type="dxa"/>
            <w:noWrap/>
          </w:tcPr>
          <w:p w14:paraId="667F0C9C" w14:textId="149CDF5D" w:rsidR="000F61E6" w:rsidRPr="009C7A1B" w:rsidRDefault="000F61E6" w:rsidP="000F61E6">
            <w:pPr>
              <w:pStyle w:val="TableText"/>
              <w:cnfStyle w:val="000000100000" w:firstRow="0" w:lastRow="0" w:firstColumn="0" w:lastColumn="0" w:oddVBand="0" w:evenVBand="0" w:oddHBand="1" w:evenHBand="0" w:firstRowFirstColumn="0" w:firstRowLastColumn="0" w:lastRowFirstColumn="0" w:lastRowLastColumn="0"/>
            </w:pPr>
            <w:r>
              <w:t>Service</w:t>
            </w:r>
          </w:p>
        </w:tc>
        <w:tc>
          <w:tcPr>
            <w:tcW w:w="1168" w:type="dxa"/>
            <w:noWrap/>
          </w:tcPr>
          <w:p w14:paraId="3313A892" w14:textId="6131BD43" w:rsidR="000F61E6" w:rsidRPr="00D92702" w:rsidRDefault="000F61E6" w:rsidP="000F61E6">
            <w:pPr>
              <w:pStyle w:val="TableText"/>
              <w:cnfStyle w:val="000000100000" w:firstRow="0" w:lastRow="0" w:firstColumn="0" w:lastColumn="0" w:oddVBand="0" w:evenVBand="0" w:oddHBand="1" w:evenHBand="0" w:firstRowFirstColumn="0" w:firstRowLastColumn="0" w:lastRowFirstColumn="0" w:lastRowLastColumn="0"/>
            </w:pPr>
            <w:r>
              <w:t>Strategic</w:t>
            </w:r>
          </w:p>
        </w:tc>
        <w:tc>
          <w:tcPr>
            <w:tcW w:w="850" w:type="dxa"/>
          </w:tcPr>
          <w:p w14:paraId="115B2062" w14:textId="66FD8AE9" w:rsidR="000F61E6" w:rsidRPr="00947854" w:rsidRDefault="000F61E6" w:rsidP="000F61E6">
            <w:pPr>
              <w:pStyle w:val="TableText"/>
              <w:cnfStyle w:val="000000100000" w:firstRow="0" w:lastRow="0" w:firstColumn="0" w:lastColumn="0" w:oddVBand="0" w:evenVBand="0" w:oddHBand="1" w:evenHBand="0" w:firstRowFirstColumn="0" w:firstRowLastColumn="0" w:lastRowFirstColumn="0" w:lastRowLastColumn="0"/>
            </w:pPr>
            <w:r w:rsidRPr="00011197">
              <w:t>RFT</w:t>
            </w:r>
          </w:p>
        </w:tc>
        <w:tc>
          <w:tcPr>
            <w:tcW w:w="1101" w:type="dxa"/>
            <w:noWrap/>
          </w:tcPr>
          <w:p w14:paraId="6FF60506" w14:textId="27C70129" w:rsidR="000F61E6" w:rsidRPr="00947854" w:rsidRDefault="000F61E6" w:rsidP="000F61E6">
            <w:pPr>
              <w:pStyle w:val="TableText"/>
              <w:cnfStyle w:val="000000100000" w:firstRow="0" w:lastRow="0" w:firstColumn="0" w:lastColumn="0" w:oddVBand="0" w:evenVBand="0" w:oddHBand="1" w:evenHBand="0" w:firstRowFirstColumn="0" w:firstRowLastColumn="0" w:lastRowFirstColumn="0" w:lastRowLastColumn="0"/>
            </w:pPr>
            <w:r>
              <w:t>Stage 2</w:t>
            </w:r>
          </w:p>
        </w:tc>
      </w:tr>
      <w:tr w:rsidR="000F61E6" w:rsidRPr="00DD12A9" w14:paraId="688D9432" w14:textId="77777777" w:rsidTr="00EE4E0A">
        <w:trPr>
          <w:trHeight w:val="300"/>
        </w:trPr>
        <w:tc>
          <w:tcPr>
            <w:cnfStyle w:val="001000000000" w:firstRow="0" w:lastRow="0" w:firstColumn="1" w:lastColumn="0" w:oddVBand="0" w:evenVBand="0" w:oddHBand="0" w:evenHBand="0" w:firstRowFirstColumn="0" w:firstRowLastColumn="0" w:lastRowFirstColumn="0" w:lastRowLastColumn="0"/>
            <w:tcW w:w="1560" w:type="dxa"/>
            <w:vMerge/>
            <w:noWrap/>
            <w:hideMark/>
          </w:tcPr>
          <w:p w14:paraId="41557CBC" w14:textId="77777777" w:rsidR="000F61E6" w:rsidRPr="002A23D6" w:rsidRDefault="000F61E6" w:rsidP="000F61E6">
            <w:pPr>
              <w:pStyle w:val="TableText"/>
              <w:rPr>
                <w:b w:val="0"/>
              </w:rPr>
            </w:pPr>
          </w:p>
        </w:tc>
        <w:tc>
          <w:tcPr>
            <w:tcW w:w="851" w:type="dxa"/>
            <w:vMerge/>
            <w:noWrap/>
          </w:tcPr>
          <w:p w14:paraId="079F1044" w14:textId="77777777" w:rsidR="000F61E6" w:rsidRPr="00DD12A9" w:rsidRDefault="000F61E6" w:rsidP="000F61E6">
            <w:pPr>
              <w:pStyle w:val="Tablenumbers"/>
              <w:cnfStyle w:val="000000000000" w:firstRow="0" w:lastRow="0" w:firstColumn="0" w:lastColumn="0" w:oddVBand="0" w:evenVBand="0" w:oddHBand="0" w:evenHBand="0" w:firstRowFirstColumn="0" w:firstRowLastColumn="0" w:lastRowFirstColumn="0" w:lastRowLastColumn="0"/>
            </w:pPr>
          </w:p>
        </w:tc>
        <w:tc>
          <w:tcPr>
            <w:tcW w:w="2550" w:type="dxa"/>
          </w:tcPr>
          <w:p w14:paraId="345A4A17" w14:textId="188446AE" w:rsidR="000F61E6" w:rsidRPr="00DD12A9" w:rsidRDefault="000F61E6" w:rsidP="000F61E6">
            <w:pPr>
              <w:pStyle w:val="TableText"/>
              <w:cnfStyle w:val="000000000000" w:firstRow="0" w:lastRow="0" w:firstColumn="0" w:lastColumn="0" w:oddVBand="0" w:evenVBand="0" w:oddHBand="0" w:evenHBand="0" w:firstRowFirstColumn="0" w:firstRowLastColumn="0" w:lastRowFirstColumn="0" w:lastRowLastColumn="0"/>
            </w:pPr>
            <w:r>
              <w:t>Motor Vehicles SPC</w:t>
            </w:r>
          </w:p>
        </w:tc>
        <w:tc>
          <w:tcPr>
            <w:tcW w:w="850" w:type="dxa"/>
            <w:noWrap/>
          </w:tcPr>
          <w:p w14:paraId="06D91938" w14:textId="25985150" w:rsidR="000F61E6" w:rsidRPr="00DD12A9" w:rsidRDefault="000F61E6" w:rsidP="000F61E6">
            <w:pPr>
              <w:pStyle w:val="TableText"/>
              <w:cnfStyle w:val="000000000000" w:firstRow="0" w:lastRow="0" w:firstColumn="0" w:lastColumn="0" w:oddVBand="0" w:evenVBand="0" w:oddHBand="0" w:evenHBand="0" w:firstRowFirstColumn="0" w:firstRowLastColumn="0" w:lastRowFirstColumn="0" w:lastRowLastColumn="0"/>
            </w:pPr>
            <w:r>
              <w:t>Goods</w:t>
            </w:r>
          </w:p>
        </w:tc>
        <w:tc>
          <w:tcPr>
            <w:tcW w:w="1168" w:type="dxa"/>
            <w:noWrap/>
          </w:tcPr>
          <w:p w14:paraId="51A92A0C" w14:textId="572BAFD5" w:rsidR="000F61E6" w:rsidRPr="00DD12A9" w:rsidRDefault="00284B26" w:rsidP="000F61E6">
            <w:pPr>
              <w:pStyle w:val="TableText"/>
              <w:cnfStyle w:val="000000000000" w:firstRow="0" w:lastRow="0" w:firstColumn="0" w:lastColumn="0" w:oddVBand="0" w:evenVBand="0" w:oddHBand="0" w:evenHBand="0" w:firstRowFirstColumn="0" w:firstRowLastColumn="0" w:lastRowFirstColumn="0" w:lastRowLastColumn="0"/>
            </w:pPr>
            <w:r>
              <w:t>Focused</w:t>
            </w:r>
          </w:p>
        </w:tc>
        <w:tc>
          <w:tcPr>
            <w:tcW w:w="850" w:type="dxa"/>
            <w:noWrap/>
          </w:tcPr>
          <w:p w14:paraId="61BEEABF" w14:textId="059DDD4C" w:rsidR="000F61E6" w:rsidRPr="00DD12A9" w:rsidRDefault="000F61E6" w:rsidP="000F61E6">
            <w:pPr>
              <w:pStyle w:val="TableText"/>
              <w:cnfStyle w:val="000000000000" w:firstRow="0" w:lastRow="0" w:firstColumn="0" w:lastColumn="0" w:oddVBand="0" w:evenVBand="0" w:oddHBand="0" w:evenHBand="0" w:firstRowFirstColumn="0" w:firstRowLastColumn="0" w:lastRowFirstColumn="0" w:lastRowLastColumn="0"/>
            </w:pPr>
            <w:r>
              <w:t>RFT</w:t>
            </w:r>
          </w:p>
        </w:tc>
        <w:tc>
          <w:tcPr>
            <w:tcW w:w="1101" w:type="dxa"/>
            <w:noWrap/>
          </w:tcPr>
          <w:p w14:paraId="744079CD" w14:textId="143F707F" w:rsidR="000F61E6" w:rsidRPr="00DD12A9" w:rsidRDefault="000F61E6" w:rsidP="000F61E6">
            <w:pPr>
              <w:pStyle w:val="TableText"/>
              <w:cnfStyle w:val="000000000000" w:firstRow="0" w:lastRow="0" w:firstColumn="0" w:lastColumn="0" w:oddVBand="0" w:evenVBand="0" w:oddHBand="0" w:evenHBand="0" w:firstRowFirstColumn="0" w:firstRowLastColumn="0" w:lastRowFirstColumn="0" w:lastRowLastColumn="0"/>
            </w:pPr>
            <w:r>
              <w:t>Stage 1</w:t>
            </w:r>
          </w:p>
        </w:tc>
      </w:tr>
      <w:tr w:rsidR="000F61E6" w:rsidRPr="00DD12A9" w14:paraId="13577E96" w14:textId="77777777" w:rsidTr="00EE4E0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60" w:type="dxa"/>
            <w:vMerge/>
            <w:noWrap/>
          </w:tcPr>
          <w:p w14:paraId="1A7B4391" w14:textId="77777777" w:rsidR="000F61E6" w:rsidRPr="002A23D6" w:rsidRDefault="000F61E6" w:rsidP="000F61E6">
            <w:pPr>
              <w:pStyle w:val="TableText"/>
              <w:rPr>
                <w:b w:val="0"/>
              </w:rPr>
            </w:pPr>
          </w:p>
        </w:tc>
        <w:tc>
          <w:tcPr>
            <w:tcW w:w="851" w:type="dxa"/>
            <w:vMerge/>
            <w:noWrap/>
          </w:tcPr>
          <w:p w14:paraId="05DBDFC1" w14:textId="77777777" w:rsidR="000F61E6" w:rsidRPr="00DD12A9" w:rsidRDefault="000F61E6" w:rsidP="000F61E6">
            <w:pPr>
              <w:pStyle w:val="Tablenumbers"/>
              <w:cnfStyle w:val="000000100000" w:firstRow="0" w:lastRow="0" w:firstColumn="0" w:lastColumn="0" w:oddVBand="0" w:evenVBand="0" w:oddHBand="1" w:evenHBand="0" w:firstRowFirstColumn="0" w:firstRowLastColumn="0" w:lastRowFirstColumn="0" w:lastRowLastColumn="0"/>
            </w:pPr>
          </w:p>
        </w:tc>
        <w:tc>
          <w:tcPr>
            <w:tcW w:w="2550" w:type="dxa"/>
          </w:tcPr>
          <w:p w14:paraId="76ADFAAD" w14:textId="744030C1" w:rsidR="000F61E6" w:rsidRDefault="000F61E6" w:rsidP="000F61E6">
            <w:pPr>
              <w:pStyle w:val="TableText"/>
              <w:cnfStyle w:val="000000100000" w:firstRow="0" w:lastRow="0" w:firstColumn="0" w:lastColumn="0" w:oddVBand="0" w:evenVBand="0" w:oddHBand="1" w:evenHBand="0" w:firstRowFirstColumn="0" w:firstRowLastColumn="0" w:lastRowFirstColumn="0" w:lastRowLastColumn="0"/>
            </w:pPr>
            <w:r>
              <w:t xml:space="preserve">Security Services SPC </w:t>
            </w:r>
          </w:p>
        </w:tc>
        <w:tc>
          <w:tcPr>
            <w:tcW w:w="850" w:type="dxa"/>
            <w:noWrap/>
          </w:tcPr>
          <w:p w14:paraId="0B76C559" w14:textId="5D9B51C0" w:rsidR="000F61E6" w:rsidRDefault="000F61E6" w:rsidP="000F61E6">
            <w:pPr>
              <w:pStyle w:val="TableText"/>
              <w:cnfStyle w:val="000000100000" w:firstRow="0" w:lastRow="0" w:firstColumn="0" w:lastColumn="0" w:oddVBand="0" w:evenVBand="0" w:oddHBand="1" w:evenHBand="0" w:firstRowFirstColumn="0" w:firstRowLastColumn="0" w:lastRowFirstColumn="0" w:lastRowLastColumn="0"/>
            </w:pPr>
            <w:r>
              <w:t>Service</w:t>
            </w:r>
          </w:p>
        </w:tc>
        <w:tc>
          <w:tcPr>
            <w:tcW w:w="1168" w:type="dxa"/>
            <w:noWrap/>
          </w:tcPr>
          <w:p w14:paraId="667D9C9B" w14:textId="5C7387C0" w:rsidR="000F61E6" w:rsidRDefault="00284B26" w:rsidP="00284B26">
            <w:pPr>
              <w:pStyle w:val="TableText"/>
              <w:cnfStyle w:val="000000100000" w:firstRow="0" w:lastRow="0" w:firstColumn="0" w:lastColumn="0" w:oddVBand="0" w:evenVBand="0" w:oddHBand="1" w:evenHBand="0" w:firstRowFirstColumn="0" w:firstRowLastColumn="0" w:lastRowFirstColumn="0" w:lastRowLastColumn="0"/>
            </w:pPr>
            <w:r>
              <w:t>Focused</w:t>
            </w:r>
          </w:p>
        </w:tc>
        <w:tc>
          <w:tcPr>
            <w:tcW w:w="850" w:type="dxa"/>
            <w:noWrap/>
          </w:tcPr>
          <w:p w14:paraId="7BEDC5C4" w14:textId="40A442A1" w:rsidR="000F61E6" w:rsidRDefault="000F61E6" w:rsidP="000F61E6">
            <w:pPr>
              <w:pStyle w:val="TableText"/>
              <w:cnfStyle w:val="000000100000" w:firstRow="0" w:lastRow="0" w:firstColumn="0" w:lastColumn="0" w:oddVBand="0" w:evenVBand="0" w:oddHBand="1" w:evenHBand="0" w:firstRowFirstColumn="0" w:firstRowLastColumn="0" w:lastRowFirstColumn="0" w:lastRowLastColumn="0"/>
            </w:pPr>
            <w:r>
              <w:t>RFQ</w:t>
            </w:r>
          </w:p>
        </w:tc>
        <w:tc>
          <w:tcPr>
            <w:tcW w:w="1101" w:type="dxa"/>
            <w:noWrap/>
          </w:tcPr>
          <w:p w14:paraId="6BC8D9C6" w14:textId="5BF6CAAC" w:rsidR="000F61E6" w:rsidRDefault="000F61E6" w:rsidP="000F61E6">
            <w:pPr>
              <w:pStyle w:val="TableText"/>
              <w:cnfStyle w:val="000000100000" w:firstRow="0" w:lastRow="0" w:firstColumn="0" w:lastColumn="0" w:oddVBand="0" w:evenVBand="0" w:oddHBand="1" w:evenHBand="0" w:firstRowFirstColumn="0" w:firstRowLastColumn="0" w:lastRowFirstColumn="0" w:lastRowLastColumn="0"/>
            </w:pPr>
            <w:r>
              <w:t xml:space="preserve">Stage </w:t>
            </w:r>
            <w:r w:rsidR="00C53DC4">
              <w:t>2</w:t>
            </w:r>
          </w:p>
        </w:tc>
      </w:tr>
      <w:tr w:rsidR="004D4B7C" w:rsidRPr="00DD12A9" w14:paraId="59CAABDA" w14:textId="77777777" w:rsidTr="00AC6DC4">
        <w:trPr>
          <w:trHeight w:val="652"/>
        </w:trPr>
        <w:tc>
          <w:tcPr>
            <w:cnfStyle w:val="001000000000" w:firstRow="0" w:lastRow="0" w:firstColumn="1" w:lastColumn="0" w:oddVBand="0" w:evenVBand="0" w:oddHBand="0" w:evenHBand="0" w:firstRowFirstColumn="0" w:firstRowLastColumn="0" w:lastRowFirstColumn="0" w:lastRowLastColumn="0"/>
            <w:tcW w:w="1560" w:type="dxa"/>
            <w:noWrap/>
          </w:tcPr>
          <w:p w14:paraId="0736B71F" w14:textId="77777777" w:rsidR="004D4B7C" w:rsidRPr="002A23D6" w:rsidRDefault="004D4B7C" w:rsidP="00AC6DC4">
            <w:pPr>
              <w:pStyle w:val="TableText"/>
              <w:rPr>
                <w:b w:val="0"/>
              </w:rPr>
            </w:pPr>
            <w:r w:rsidRPr="002A23D6">
              <w:rPr>
                <w:b w:val="0"/>
              </w:rPr>
              <w:t xml:space="preserve">Public Transport Victoria </w:t>
            </w:r>
          </w:p>
        </w:tc>
        <w:tc>
          <w:tcPr>
            <w:tcW w:w="851" w:type="dxa"/>
            <w:noWrap/>
          </w:tcPr>
          <w:p w14:paraId="591BE63E" w14:textId="77777777" w:rsidR="004D4B7C" w:rsidRDefault="004D4B7C" w:rsidP="00AC6DC4">
            <w:pPr>
              <w:pStyle w:val="Tablenumbers"/>
              <w:cnfStyle w:val="000000000000" w:firstRow="0" w:lastRow="0" w:firstColumn="0" w:lastColumn="0" w:oddVBand="0" w:evenVBand="0" w:oddHBand="0" w:evenHBand="0" w:firstRowFirstColumn="0" w:firstRowLastColumn="0" w:lastRowFirstColumn="0" w:lastRowLastColumn="0"/>
            </w:pPr>
            <w:r>
              <w:t>1</w:t>
            </w:r>
          </w:p>
        </w:tc>
        <w:tc>
          <w:tcPr>
            <w:tcW w:w="2550" w:type="dxa"/>
          </w:tcPr>
          <w:p w14:paraId="1E5CCB64" w14:textId="77777777" w:rsidR="004D4B7C" w:rsidRDefault="004D4B7C" w:rsidP="00AC6DC4">
            <w:pPr>
              <w:pStyle w:val="TableText"/>
              <w:cnfStyle w:val="000000000000" w:firstRow="0" w:lastRow="0" w:firstColumn="0" w:lastColumn="0" w:oddVBand="0" w:evenVBand="0" w:oddHBand="0" w:evenHBand="0" w:firstRowFirstColumn="0" w:firstRowLastColumn="0" w:lastRowFirstColumn="0" w:lastRowLastColumn="0"/>
            </w:pPr>
            <w:r>
              <w:t>Retail brand partner</w:t>
            </w:r>
          </w:p>
        </w:tc>
        <w:tc>
          <w:tcPr>
            <w:tcW w:w="850" w:type="dxa"/>
            <w:noWrap/>
          </w:tcPr>
          <w:p w14:paraId="68F38043" w14:textId="77777777" w:rsidR="004D4B7C" w:rsidRDefault="004D4B7C" w:rsidP="00AC6DC4">
            <w:pPr>
              <w:pStyle w:val="TableText"/>
              <w:cnfStyle w:val="000000000000" w:firstRow="0" w:lastRow="0" w:firstColumn="0" w:lastColumn="0" w:oddVBand="0" w:evenVBand="0" w:oddHBand="0" w:evenHBand="0" w:firstRowFirstColumn="0" w:firstRowLastColumn="0" w:lastRowFirstColumn="0" w:lastRowLastColumn="0"/>
            </w:pPr>
            <w:r>
              <w:t>Service</w:t>
            </w:r>
          </w:p>
        </w:tc>
        <w:tc>
          <w:tcPr>
            <w:tcW w:w="1168" w:type="dxa"/>
            <w:noWrap/>
          </w:tcPr>
          <w:p w14:paraId="608C6860" w14:textId="77777777" w:rsidR="004D4B7C" w:rsidRDefault="004D4B7C" w:rsidP="00AC6DC4">
            <w:pPr>
              <w:pStyle w:val="TableText"/>
              <w:cnfStyle w:val="000000000000" w:firstRow="0" w:lastRow="0" w:firstColumn="0" w:lastColumn="0" w:oddVBand="0" w:evenVBand="0" w:oddHBand="0" w:evenHBand="0" w:firstRowFirstColumn="0" w:firstRowLastColumn="0" w:lastRowFirstColumn="0" w:lastRowLastColumn="0"/>
            </w:pPr>
            <w:r>
              <w:t>Strategic</w:t>
            </w:r>
          </w:p>
        </w:tc>
        <w:tc>
          <w:tcPr>
            <w:tcW w:w="850" w:type="dxa"/>
            <w:noWrap/>
          </w:tcPr>
          <w:p w14:paraId="058D0325" w14:textId="77777777" w:rsidR="004D4B7C" w:rsidRDefault="004D4B7C" w:rsidP="00AC6DC4">
            <w:pPr>
              <w:pStyle w:val="TableText"/>
              <w:cnfStyle w:val="000000000000" w:firstRow="0" w:lastRow="0" w:firstColumn="0" w:lastColumn="0" w:oddVBand="0" w:evenVBand="0" w:oddHBand="0" w:evenHBand="0" w:firstRowFirstColumn="0" w:firstRowLastColumn="0" w:lastRowFirstColumn="0" w:lastRowLastColumn="0"/>
            </w:pPr>
            <w:r>
              <w:t>Sole Source</w:t>
            </w:r>
          </w:p>
        </w:tc>
        <w:tc>
          <w:tcPr>
            <w:tcW w:w="1101" w:type="dxa"/>
            <w:noWrap/>
          </w:tcPr>
          <w:p w14:paraId="0DBE54DF" w14:textId="77777777" w:rsidR="004D4B7C" w:rsidRDefault="004D4B7C" w:rsidP="00AC6DC4">
            <w:pPr>
              <w:pStyle w:val="TableText"/>
              <w:cnfStyle w:val="000000000000" w:firstRow="0" w:lastRow="0" w:firstColumn="0" w:lastColumn="0" w:oddVBand="0" w:evenVBand="0" w:oddHBand="0" w:evenHBand="0" w:firstRowFirstColumn="0" w:firstRowLastColumn="0" w:lastRowFirstColumn="0" w:lastRowLastColumn="0"/>
            </w:pPr>
            <w:r>
              <w:t>Stage 1,2</w:t>
            </w:r>
          </w:p>
        </w:tc>
      </w:tr>
      <w:tr w:rsidR="000F61E6" w:rsidRPr="00DD12A9" w14:paraId="425271D1" w14:textId="77777777" w:rsidTr="00EE4E0A">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560" w:type="dxa"/>
            <w:vMerge w:val="restart"/>
            <w:noWrap/>
            <w:hideMark/>
          </w:tcPr>
          <w:p w14:paraId="1EA00B7F" w14:textId="77777777" w:rsidR="000F61E6" w:rsidRPr="002A23D6" w:rsidRDefault="000F61E6" w:rsidP="000F61E6">
            <w:pPr>
              <w:pStyle w:val="TableText"/>
              <w:rPr>
                <w:b w:val="0"/>
              </w:rPr>
            </w:pPr>
            <w:r w:rsidRPr="002A23D6">
              <w:rPr>
                <w:b w:val="0"/>
              </w:rPr>
              <w:t>Victoria Police</w:t>
            </w:r>
          </w:p>
          <w:p w14:paraId="7CE5DA27" w14:textId="77777777" w:rsidR="000F61E6" w:rsidRPr="002A23D6" w:rsidRDefault="000F61E6" w:rsidP="000F61E6">
            <w:pPr>
              <w:pStyle w:val="TableText"/>
              <w:rPr>
                <w:b w:val="0"/>
              </w:rPr>
            </w:pPr>
          </w:p>
          <w:p w14:paraId="18EF1443" w14:textId="77777777" w:rsidR="000F61E6" w:rsidRPr="002A23D6" w:rsidRDefault="000F61E6" w:rsidP="000F61E6">
            <w:pPr>
              <w:pStyle w:val="TableText"/>
              <w:rPr>
                <w:b w:val="0"/>
              </w:rPr>
            </w:pPr>
          </w:p>
          <w:p w14:paraId="26E91F30" w14:textId="77777777" w:rsidR="000F61E6" w:rsidRPr="002A23D6" w:rsidRDefault="000F61E6" w:rsidP="000F61E6">
            <w:pPr>
              <w:pStyle w:val="TableText"/>
              <w:rPr>
                <w:b w:val="0"/>
              </w:rPr>
            </w:pPr>
            <w:r w:rsidRPr="002A23D6">
              <w:rPr>
                <w:b w:val="0"/>
              </w:rPr>
              <w:t> </w:t>
            </w:r>
          </w:p>
        </w:tc>
        <w:tc>
          <w:tcPr>
            <w:tcW w:w="851" w:type="dxa"/>
            <w:vMerge w:val="restart"/>
            <w:noWrap/>
          </w:tcPr>
          <w:p w14:paraId="585E4DE7" w14:textId="77777777" w:rsidR="000F61E6" w:rsidRPr="00BF0291" w:rsidRDefault="000F61E6" w:rsidP="000F61E6">
            <w:pPr>
              <w:pStyle w:val="Tablenumbers"/>
              <w:cnfStyle w:val="000000100000" w:firstRow="0" w:lastRow="0" w:firstColumn="0" w:lastColumn="0" w:oddVBand="0" w:evenVBand="0" w:oddHBand="1" w:evenHBand="0" w:firstRowFirstColumn="0" w:firstRowLastColumn="0" w:lastRowFirstColumn="0" w:lastRowLastColumn="0"/>
            </w:pPr>
            <w:r>
              <w:t>4</w:t>
            </w:r>
          </w:p>
        </w:tc>
        <w:tc>
          <w:tcPr>
            <w:tcW w:w="2550" w:type="dxa"/>
          </w:tcPr>
          <w:p w14:paraId="7A435C2A" w14:textId="613DEB2F" w:rsidR="000F61E6" w:rsidRPr="000C1E64" w:rsidRDefault="000F61E6" w:rsidP="000F61E6">
            <w:pPr>
              <w:pStyle w:val="TableText"/>
              <w:cnfStyle w:val="000000100000" w:firstRow="0" w:lastRow="0" w:firstColumn="0" w:lastColumn="0" w:oddVBand="0" w:evenVBand="0" w:oddHBand="1" w:evenHBand="0" w:firstRowFirstColumn="0" w:firstRowLastColumn="0" w:lastRowFirstColumn="0" w:lastRowLastColumn="0"/>
            </w:pPr>
            <w:r w:rsidRPr="000C1E64">
              <w:t xml:space="preserve">Body worn cameras </w:t>
            </w:r>
          </w:p>
        </w:tc>
        <w:tc>
          <w:tcPr>
            <w:tcW w:w="850" w:type="dxa"/>
            <w:noWrap/>
          </w:tcPr>
          <w:p w14:paraId="0533A9FA" w14:textId="77777777" w:rsidR="000F61E6" w:rsidRPr="000C1E64" w:rsidRDefault="000F61E6" w:rsidP="000F61E6">
            <w:pPr>
              <w:pStyle w:val="TableText"/>
              <w:cnfStyle w:val="000000100000" w:firstRow="0" w:lastRow="0" w:firstColumn="0" w:lastColumn="0" w:oddVBand="0" w:evenVBand="0" w:oddHBand="1" w:evenHBand="0" w:firstRowFirstColumn="0" w:firstRowLastColumn="0" w:lastRowFirstColumn="0" w:lastRowLastColumn="0"/>
            </w:pPr>
            <w:r w:rsidRPr="000C1E64">
              <w:t>Goods</w:t>
            </w:r>
          </w:p>
        </w:tc>
        <w:tc>
          <w:tcPr>
            <w:tcW w:w="1168" w:type="dxa"/>
            <w:noWrap/>
          </w:tcPr>
          <w:p w14:paraId="2A0C92E5" w14:textId="77777777" w:rsidR="000F61E6" w:rsidRPr="000C1E64" w:rsidRDefault="000F61E6" w:rsidP="000F61E6">
            <w:pPr>
              <w:pStyle w:val="TableText"/>
              <w:cnfStyle w:val="000000100000" w:firstRow="0" w:lastRow="0" w:firstColumn="0" w:lastColumn="0" w:oddVBand="0" w:evenVBand="0" w:oddHBand="1" w:evenHBand="0" w:firstRowFirstColumn="0" w:firstRowLastColumn="0" w:lastRowFirstColumn="0" w:lastRowLastColumn="0"/>
            </w:pPr>
            <w:r w:rsidRPr="000C1E64">
              <w:t>Strategic</w:t>
            </w:r>
          </w:p>
        </w:tc>
        <w:tc>
          <w:tcPr>
            <w:tcW w:w="850" w:type="dxa"/>
            <w:noWrap/>
          </w:tcPr>
          <w:p w14:paraId="3F6C2213" w14:textId="77777777" w:rsidR="000F61E6" w:rsidRPr="000C1E64" w:rsidRDefault="000F61E6" w:rsidP="000F61E6">
            <w:pPr>
              <w:pStyle w:val="TableText"/>
              <w:cnfStyle w:val="000000100000" w:firstRow="0" w:lastRow="0" w:firstColumn="0" w:lastColumn="0" w:oddVBand="0" w:evenVBand="0" w:oddHBand="1" w:evenHBand="0" w:firstRowFirstColumn="0" w:firstRowLastColumn="0" w:lastRowFirstColumn="0" w:lastRowLastColumn="0"/>
            </w:pPr>
            <w:r w:rsidRPr="000C1E64">
              <w:t>RFT</w:t>
            </w:r>
          </w:p>
        </w:tc>
        <w:tc>
          <w:tcPr>
            <w:tcW w:w="1101" w:type="dxa"/>
            <w:noWrap/>
          </w:tcPr>
          <w:p w14:paraId="3264064C" w14:textId="77777777" w:rsidR="000F61E6" w:rsidRPr="000C1E64" w:rsidRDefault="000F61E6" w:rsidP="000F61E6">
            <w:pPr>
              <w:pStyle w:val="TableText"/>
              <w:cnfStyle w:val="000000100000" w:firstRow="0" w:lastRow="0" w:firstColumn="0" w:lastColumn="0" w:oddVBand="0" w:evenVBand="0" w:oddHBand="1" w:evenHBand="0" w:firstRowFirstColumn="0" w:firstRowLastColumn="0" w:lastRowFirstColumn="0" w:lastRowLastColumn="0"/>
            </w:pPr>
            <w:r w:rsidRPr="000C1E64">
              <w:t>Stage 2</w:t>
            </w:r>
          </w:p>
        </w:tc>
      </w:tr>
      <w:tr w:rsidR="000F61E6" w:rsidRPr="00DD12A9" w14:paraId="3408D60F" w14:textId="77777777" w:rsidTr="00EE4E0A">
        <w:trPr>
          <w:trHeight w:val="322"/>
        </w:trPr>
        <w:tc>
          <w:tcPr>
            <w:cnfStyle w:val="001000000000" w:firstRow="0" w:lastRow="0" w:firstColumn="1" w:lastColumn="0" w:oddVBand="0" w:evenVBand="0" w:oddHBand="0" w:evenHBand="0" w:firstRowFirstColumn="0" w:firstRowLastColumn="0" w:lastRowFirstColumn="0" w:lastRowLastColumn="0"/>
            <w:tcW w:w="1560" w:type="dxa"/>
            <w:vMerge/>
            <w:noWrap/>
          </w:tcPr>
          <w:p w14:paraId="7494332D" w14:textId="77777777" w:rsidR="000F61E6" w:rsidRPr="00DD12A9" w:rsidRDefault="000F61E6" w:rsidP="000F61E6">
            <w:pPr>
              <w:pStyle w:val="TableText"/>
            </w:pPr>
          </w:p>
        </w:tc>
        <w:tc>
          <w:tcPr>
            <w:tcW w:w="851" w:type="dxa"/>
            <w:vMerge/>
            <w:noWrap/>
          </w:tcPr>
          <w:p w14:paraId="747C421A" w14:textId="77777777" w:rsidR="000F61E6" w:rsidRPr="00DD12A9" w:rsidRDefault="000F61E6" w:rsidP="000F61E6">
            <w:pPr>
              <w:pStyle w:val="Tablenumbers"/>
              <w:cnfStyle w:val="000000000000" w:firstRow="0" w:lastRow="0" w:firstColumn="0" w:lastColumn="0" w:oddVBand="0" w:evenVBand="0" w:oddHBand="0" w:evenHBand="0" w:firstRowFirstColumn="0" w:firstRowLastColumn="0" w:lastRowFirstColumn="0" w:lastRowLastColumn="0"/>
            </w:pPr>
          </w:p>
        </w:tc>
        <w:tc>
          <w:tcPr>
            <w:tcW w:w="2550" w:type="dxa"/>
          </w:tcPr>
          <w:p w14:paraId="5E00C9EB" w14:textId="1EDE0252" w:rsidR="000F61E6" w:rsidRPr="000C1E64" w:rsidRDefault="000F61E6" w:rsidP="000F61E6">
            <w:pPr>
              <w:pStyle w:val="TableText"/>
              <w:cnfStyle w:val="000000000000" w:firstRow="0" w:lastRow="0" w:firstColumn="0" w:lastColumn="0" w:oddVBand="0" w:evenVBand="0" w:oddHBand="0" w:evenHBand="0" w:firstRowFirstColumn="0" w:firstRowLastColumn="0" w:lastRowFirstColumn="0" w:lastRowLastColumn="0"/>
            </w:pPr>
            <w:r w:rsidRPr="000C1E64">
              <w:t>Helicopter contract replacement – aircraft, aircraft systems and aircraft support services</w:t>
            </w:r>
          </w:p>
        </w:tc>
        <w:tc>
          <w:tcPr>
            <w:tcW w:w="850" w:type="dxa"/>
            <w:noWrap/>
          </w:tcPr>
          <w:p w14:paraId="5F4F1A8E" w14:textId="152A22A1" w:rsidR="000F61E6" w:rsidRPr="000C1E64" w:rsidRDefault="000F61E6" w:rsidP="000F61E6">
            <w:pPr>
              <w:pStyle w:val="TableText"/>
              <w:cnfStyle w:val="000000000000" w:firstRow="0" w:lastRow="0" w:firstColumn="0" w:lastColumn="0" w:oddVBand="0" w:evenVBand="0" w:oddHBand="0" w:evenHBand="0" w:firstRowFirstColumn="0" w:firstRowLastColumn="0" w:lastRowFirstColumn="0" w:lastRowLastColumn="0"/>
            </w:pPr>
            <w:r w:rsidRPr="000C1E64">
              <w:t xml:space="preserve">Goods </w:t>
            </w:r>
          </w:p>
        </w:tc>
        <w:tc>
          <w:tcPr>
            <w:tcW w:w="1168" w:type="dxa"/>
            <w:noWrap/>
          </w:tcPr>
          <w:p w14:paraId="78BA9FC9" w14:textId="777A953C" w:rsidR="000F61E6" w:rsidRPr="000C1E64" w:rsidRDefault="000F61E6" w:rsidP="000F61E6">
            <w:pPr>
              <w:pStyle w:val="TableText"/>
              <w:cnfStyle w:val="000000000000" w:firstRow="0" w:lastRow="0" w:firstColumn="0" w:lastColumn="0" w:oddVBand="0" w:evenVBand="0" w:oddHBand="0" w:evenHBand="0" w:firstRowFirstColumn="0" w:firstRowLastColumn="0" w:lastRowFirstColumn="0" w:lastRowLastColumn="0"/>
            </w:pPr>
            <w:r w:rsidRPr="000C1E64">
              <w:t>Strategic</w:t>
            </w:r>
          </w:p>
        </w:tc>
        <w:tc>
          <w:tcPr>
            <w:tcW w:w="850" w:type="dxa"/>
            <w:noWrap/>
          </w:tcPr>
          <w:p w14:paraId="2A90D8EF" w14:textId="34BC151C" w:rsidR="000F61E6" w:rsidRPr="000C1E64" w:rsidRDefault="000F61E6" w:rsidP="000F61E6">
            <w:pPr>
              <w:pStyle w:val="TableText"/>
              <w:cnfStyle w:val="000000000000" w:firstRow="0" w:lastRow="0" w:firstColumn="0" w:lastColumn="0" w:oddVBand="0" w:evenVBand="0" w:oddHBand="0" w:evenHBand="0" w:firstRowFirstColumn="0" w:firstRowLastColumn="0" w:lastRowFirstColumn="0" w:lastRowLastColumn="0"/>
            </w:pPr>
            <w:r w:rsidRPr="000C1E64">
              <w:t>RFT</w:t>
            </w:r>
          </w:p>
        </w:tc>
        <w:tc>
          <w:tcPr>
            <w:tcW w:w="1101" w:type="dxa"/>
            <w:noWrap/>
          </w:tcPr>
          <w:p w14:paraId="11DF067E" w14:textId="2E82A5D2" w:rsidR="000F61E6" w:rsidRPr="000C1E64" w:rsidRDefault="000F61E6" w:rsidP="000F61E6">
            <w:pPr>
              <w:pStyle w:val="TableText"/>
              <w:cnfStyle w:val="000000000000" w:firstRow="0" w:lastRow="0" w:firstColumn="0" w:lastColumn="0" w:oddVBand="0" w:evenVBand="0" w:oddHBand="0" w:evenHBand="0" w:firstRowFirstColumn="0" w:firstRowLastColumn="0" w:lastRowFirstColumn="0" w:lastRowLastColumn="0"/>
            </w:pPr>
            <w:r w:rsidRPr="000C1E64">
              <w:t>Stage 1</w:t>
            </w:r>
          </w:p>
        </w:tc>
      </w:tr>
      <w:tr w:rsidR="000F61E6" w:rsidRPr="00DD12A9" w14:paraId="10A0DF02" w14:textId="77777777" w:rsidTr="00EE4E0A">
        <w:trPr>
          <w:cnfStyle w:val="000000100000" w:firstRow="0" w:lastRow="0" w:firstColumn="0" w:lastColumn="0" w:oddVBand="0" w:evenVBand="0" w:oddHBand="1" w:evenHBand="0" w:firstRowFirstColumn="0" w:firstRowLastColumn="0" w:lastRowFirstColumn="0" w:lastRowLastColumn="0"/>
          <w:trHeight w:val="322"/>
        </w:trPr>
        <w:tc>
          <w:tcPr>
            <w:cnfStyle w:val="001000000000" w:firstRow="0" w:lastRow="0" w:firstColumn="1" w:lastColumn="0" w:oddVBand="0" w:evenVBand="0" w:oddHBand="0" w:evenHBand="0" w:firstRowFirstColumn="0" w:firstRowLastColumn="0" w:lastRowFirstColumn="0" w:lastRowLastColumn="0"/>
            <w:tcW w:w="1560" w:type="dxa"/>
            <w:vMerge/>
            <w:noWrap/>
          </w:tcPr>
          <w:p w14:paraId="5208BF76" w14:textId="77777777" w:rsidR="000F61E6" w:rsidRPr="00DD12A9" w:rsidRDefault="000F61E6" w:rsidP="000F61E6">
            <w:pPr>
              <w:pStyle w:val="TableText"/>
            </w:pPr>
          </w:p>
        </w:tc>
        <w:tc>
          <w:tcPr>
            <w:tcW w:w="851" w:type="dxa"/>
            <w:vMerge/>
            <w:noWrap/>
          </w:tcPr>
          <w:p w14:paraId="34A5ECAE" w14:textId="77777777" w:rsidR="000F61E6" w:rsidRPr="00DD12A9" w:rsidRDefault="000F61E6" w:rsidP="000F61E6">
            <w:pPr>
              <w:pStyle w:val="Tablenumbers"/>
              <w:cnfStyle w:val="000000100000" w:firstRow="0" w:lastRow="0" w:firstColumn="0" w:lastColumn="0" w:oddVBand="0" w:evenVBand="0" w:oddHBand="1" w:evenHBand="0" w:firstRowFirstColumn="0" w:firstRowLastColumn="0" w:lastRowFirstColumn="0" w:lastRowLastColumn="0"/>
            </w:pPr>
          </w:p>
        </w:tc>
        <w:tc>
          <w:tcPr>
            <w:tcW w:w="2550" w:type="dxa"/>
          </w:tcPr>
          <w:p w14:paraId="5C75AEBE" w14:textId="759042EC" w:rsidR="000F61E6" w:rsidRPr="000C1E64" w:rsidRDefault="000F61E6" w:rsidP="000F61E6">
            <w:pPr>
              <w:pStyle w:val="TableText"/>
              <w:cnfStyle w:val="000000100000" w:firstRow="0" w:lastRow="0" w:firstColumn="0" w:lastColumn="0" w:oddVBand="0" w:evenVBand="0" w:oddHBand="1" w:evenHBand="0" w:firstRowFirstColumn="0" w:firstRowLastColumn="0" w:lastRowFirstColumn="0" w:lastRowLastColumn="0"/>
            </w:pPr>
            <w:r w:rsidRPr="000C1E64">
              <w:t>Mobile automated number plate recognition</w:t>
            </w:r>
          </w:p>
        </w:tc>
        <w:tc>
          <w:tcPr>
            <w:tcW w:w="850" w:type="dxa"/>
            <w:noWrap/>
          </w:tcPr>
          <w:p w14:paraId="29BD9F91" w14:textId="06C1AA1B" w:rsidR="000F61E6" w:rsidRPr="000C1E64" w:rsidRDefault="000F61E6" w:rsidP="000F61E6">
            <w:pPr>
              <w:pStyle w:val="TableText"/>
              <w:cnfStyle w:val="000000100000" w:firstRow="0" w:lastRow="0" w:firstColumn="0" w:lastColumn="0" w:oddVBand="0" w:evenVBand="0" w:oddHBand="1" w:evenHBand="0" w:firstRowFirstColumn="0" w:firstRowLastColumn="0" w:lastRowFirstColumn="0" w:lastRowLastColumn="0"/>
            </w:pPr>
            <w:r w:rsidRPr="000C1E64">
              <w:t>Goods</w:t>
            </w:r>
          </w:p>
        </w:tc>
        <w:tc>
          <w:tcPr>
            <w:tcW w:w="1168" w:type="dxa"/>
            <w:noWrap/>
          </w:tcPr>
          <w:p w14:paraId="6A9F50C5" w14:textId="4EA78F98" w:rsidR="000F61E6" w:rsidRPr="000C1E64" w:rsidRDefault="000F61E6" w:rsidP="000F61E6">
            <w:pPr>
              <w:pStyle w:val="TableText"/>
              <w:cnfStyle w:val="000000100000" w:firstRow="0" w:lastRow="0" w:firstColumn="0" w:lastColumn="0" w:oddVBand="0" w:evenVBand="0" w:oddHBand="1" w:evenHBand="0" w:firstRowFirstColumn="0" w:firstRowLastColumn="0" w:lastRowFirstColumn="0" w:lastRowLastColumn="0"/>
            </w:pPr>
            <w:r w:rsidRPr="000C1E64">
              <w:t>Strategic</w:t>
            </w:r>
          </w:p>
        </w:tc>
        <w:tc>
          <w:tcPr>
            <w:tcW w:w="850" w:type="dxa"/>
            <w:noWrap/>
          </w:tcPr>
          <w:p w14:paraId="7CEA8043" w14:textId="0D3CA67E" w:rsidR="000F61E6" w:rsidRPr="000C1E64" w:rsidRDefault="000F61E6" w:rsidP="000F61E6">
            <w:pPr>
              <w:pStyle w:val="TableText"/>
              <w:cnfStyle w:val="000000100000" w:firstRow="0" w:lastRow="0" w:firstColumn="0" w:lastColumn="0" w:oddVBand="0" w:evenVBand="0" w:oddHBand="1" w:evenHBand="0" w:firstRowFirstColumn="0" w:firstRowLastColumn="0" w:lastRowFirstColumn="0" w:lastRowLastColumn="0"/>
            </w:pPr>
            <w:r w:rsidRPr="000C1E64">
              <w:t>RFT</w:t>
            </w:r>
          </w:p>
        </w:tc>
        <w:tc>
          <w:tcPr>
            <w:tcW w:w="1101" w:type="dxa"/>
            <w:noWrap/>
          </w:tcPr>
          <w:p w14:paraId="4B477D5B" w14:textId="6ACBF54E" w:rsidR="000F61E6" w:rsidRPr="000C1E64" w:rsidRDefault="000F61E6" w:rsidP="000F61E6">
            <w:pPr>
              <w:pStyle w:val="TableText"/>
              <w:cnfStyle w:val="000000100000" w:firstRow="0" w:lastRow="0" w:firstColumn="0" w:lastColumn="0" w:oddVBand="0" w:evenVBand="0" w:oddHBand="1" w:evenHBand="0" w:firstRowFirstColumn="0" w:firstRowLastColumn="0" w:lastRowFirstColumn="0" w:lastRowLastColumn="0"/>
            </w:pPr>
            <w:r w:rsidRPr="000C1E64">
              <w:t>Stage 1</w:t>
            </w:r>
          </w:p>
        </w:tc>
      </w:tr>
      <w:tr w:rsidR="000F61E6" w:rsidRPr="00DD12A9" w14:paraId="16E5AED4" w14:textId="77777777" w:rsidTr="00EE4E0A">
        <w:trPr>
          <w:trHeight w:val="270"/>
        </w:trPr>
        <w:tc>
          <w:tcPr>
            <w:cnfStyle w:val="001000000000" w:firstRow="0" w:lastRow="0" w:firstColumn="1" w:lastColumn="0" w:oddVBand="0" w:evenVBand="0" w:oddHBand="0" w:evenHBand="0" w:firstRowFirstColumn="0" w:firstRowLastColumn="0" w:lastRowFirstColumn="0" w:lastRowLastColumn="0"/>
            <w:tcW w:w="1560" w:type="dxa"/>
            <w:vMerge/>
            <w:noWrap/>
          </w:tcPr>
          <w:p w14:paraId="26A0D73B" w14:textId="77777777" w:rsidR="000F61E6" w:rsidRPr="00DD12A9" w:rsidRDefault="000F61E6" w:rsidP="000F61E6">
            <w:pPr>
              <w:pStyle w:val="TableText"/>
            </w:pPr>
          </w:p>
        </w:tc>
        <w:tc>
          <w:tcPr>
            <w:tcW w:w="851" w:type="dxa"/>
            <w:vMerge/>
            <w:noWrap/>
          </w:tcPr>
          <w:p w14:paraId="036DA8B0" w14:textId="77777777" w:rsidR="000F61E6" w:rsidRPr="00DD12A9" w:rsidRDefault="000F61E6" w:rsidP="000F61E6">
            <w:pPr>
              <w:pStyle w:val="Tablenumbers"/>
              <w:cnfStyle w:val="000000000000" w:firstRow="0" w:lastRow="0" w:firstColumn="0" w:lastColumn="0" w:oddVBand="0" w:evenVBand="0" w:oddHBand="0" w:evenHBand="0" w:firstRowFirstColumn="0" w:firstRowLastColumn="0" w:lastRowFirstColumn="0" w:lastRowLastColumn="0"/>
            </w:pPr>
          </w:p>
        </w:tc>
        <w:tc>
          <w:tcPr>
            <w:tcW w:w="2550" w:type="dxa"/>
          </w:tcPr>
          <w:p w14:paraId="406D23C5" w14:textId="76C1FEA6" w:rsidR="000F61E6" w:rsidRPr="000C1E64" w:rsidRDefault="000F61E6" w:rsidP="000F61E6">
            <w:pPr>
              <w:pStyle w:val="TableText"/>
              <w:cnfStyle w:val="000000000000" w:firstRow="0" w:lastRow="0" w:firstColumn="0" w:lastColumn="0" w:oddVBand="0" w:evenVBand="0" w:oddHBand="0" w:evenHBand="0" w:firstRowFirstColumn="0" w:firstRowLastColumn="0" w:lastRowFirstColumn="0" w:lastRowLastColumn="0"/>
            </w:pPr>
            <w:r w:rsidRPr="000C1E64">
              <w:t xml:space="preserve">Replacement integrated operational equipment vests </w:t>
            </w:r>
          </w:p>
        </w:tc>
        <w:tc>
          <w:tcPr>
            <w:tcW w:w="850" w:type="dxa"/>
            <w:noWrap/>
          </w:tcPr>
          <w:p w14:paraId="0B53277C" w14:textId="77777777" w:rsidR="000F61E6" w:rsidRPr="000C1E64" w:rsidRDefault="000F61E6" w:rsidP="000F61E6">
            <w:pPr>
              <w:pStyle w:val="TableText"/>
              <w:cnfStyle w:val="000000000000" w:firstRow="0" w:lastRow="0" w:firstColumn="0" w:lastColumn="0" w:oddVBand="0" w:evenVBand="0" w:oddHBand="0" w:evenHBand="0" w:firstRowFirstColumn="0" w:firstRowLastColumn="0" w:lastRowFirstColumn="0" w:lastRowLastColumn="0"/>
            </w:pPr>
            <w:r w:rsidRPr="000C1E64">
              <w:t>Goods</w:t>
            </w:r>
          </w:p>
          <w:p w14:paraId="360218A7" w14:textId="284E78B1" w:rsidR="000F61E6" w:rsidRPr="000C1E64" w:rsidRDefault="000F61E6" w:rsidP="000F61E6">
            <w:pPr>
              <w:pStyle w:val="TableText"/>
              <w:cnfStyle w:val="000000000000" w:firstRow="0" w:lastRow="0" w:firstColumn="0" w:lastColumn="0" w:oddVBand="0" w:evenVBand="0" w:oddHBand="0" w:evenHBand="0" w:firstRowFirstColumn="0" w:firstRowLastColumn="0" w:lastRowFirstColumn="0" w:lastRowLastColumn="0"/>
            </w:pPr>
          </w:p>
        </w:tc>
        <w:tc>
          <w:tcPr>
            <w:tcW w:w="1168" w:type="dxa"/>
            <w:noWrap/>
          </w:tcPr>
          <w:p w14:paraId="0978A194" w14:textId="101E7938" w:rsidR="000F61E6" w:rsidRPr="000C1E64" w:rsidRDefault="000F61E6" w:rsidP="000F61E6">
            <w:pPr>
              <w:pStyle w:val="TableText"/>
              <w:cnfStyle w:val="000000000000" w:firstRow="0" w:lastRow="0" w:firstColumn="0" w:lastColumn="0" w:oddVBand="0" w:evenVBand="0" w:oddHBand="0" w:evenHBand="0" w:firstRowFirstColumn="0" w:firstRowLastColumn="0" w:lastRowFirstColumn="0" w:lastRowLastColumn="0"/>
            </w:pPr>
            <w:r w:rsidRPr="000C1E64">
              <w:t>Strategic</w:t>
            </w:r>
          </w:p>
        </w:tc>
        <w:tc>
          <w:tcPr>
            <w:tcW w:w="850" w:type="dxa"/>
            <w:noWrap/>
          </w:tcPr>
          <w:p w14:paraId="7C1D2385" w14:textId="77777777" w:rsidR="000F61E6" w:rsidRPr="000C1E64" w:rsidRDefault="000F61E6" w:rsidP="000F61E6">
            <w:pPr>
              <w:pStyle w:val="TableText"/>
              <w:cnfStyle w:val="000000000000" w:firstRow="0" w:lastRow="0" w:firstColumn="0" w:lastColumn="0" w:oddVBand="0" w:evenVBand="0" w:oddHBand="0" w:evenHBand="0" w:firstRowFirstColumn="0" w:firstRowLastColumn="0" w:lastRowFirstColumn="0" w:lastRowLastColumn="0"/>
            </w:pPr>
            <w:r w:rsidRPr="000C1E64">
              <w:t>RFT</w:t>
            </w:r>
          </w:p>
          <w:p w14:paraId="73DB553F" w14:textId="61A36EDB" w:rsidR="000F61E6" w:rsidRPr="00C352D9" w:rsidRDefault="000F61E6" w:rsidP="000F61E6">
            <w:pPr>
              <w:pStyle w:val="TableText"/>
              <w:cnfStyle w:val="000000000000" w:firstRow="0" w:lastRow="0" w:firstColumn="0" w:lastColumn="0" w:oddVBand="0" w:evenVBand="0" w:oddHBand="0" w:evenHBand="0" w:firstRowFirstColumn="0" w:firstRowLastColumn="0" w:lastRowFirstColumn="0" w:lastRowLastColumn="0"/>
            </w:pPr>
          </w:p>
        </w:tc>
        <w:tc>
          <w:tcPr>
            <w:tcW w:w="1101" w:type="dxa"/>
            <w:noWrap/>
          </w:tcPr>
          <w:p w14:paraId="04E89EC7" w14:textId="77777777" w:rsidR="000F61E6" w:rsidRPr="000C1E64" w:rsidRDefault="000F61E6" w:rsidP="000F61E6">
            <w:pPr>
              <w:pStyle w:val="TableText"/>
              <w:cnfStyle w:val="000000000000" w:firstRow="0" w:lastRow="0" w:firstColumn="0" w:lastColumn="0" w:oddVBand="0" w:evenVBand="0" w:oddHBand="0" w:evenHBand="0" w:firstRowFirstColumn="0" w:firstRowLastColumn="0" w:lastRowFirstColumn="0" w:lastRowLastColumn="0"/>
            </w:pPr>
            <w:r w:rsidRPr="000C1E64">
              <w:t>Stage 1</w:t>
            </w:r>
          </w:p>
          <w:p w14:paraId="6B1FFCB3" w14:textId="77777777" w:rsidR="000F61E6" w:rsidRPr="000C1E64" w:rsidRDefault="000F61E6" w:rsidP="000F61E6">
            <w:pPr>
              <w:pStyle w:val="TableText"/>
              <w:cnfStyle w:val="000000000000" w:firstRow="0" w:lastRow="0" w:firstColumn="0" w:lastColumn="0" w:oddVBand="0" w:evenVBand="0" w:oddHBand="0" w:evenHBand="0" w:firstRowFirstColumn="0" w:firstRowLastColumn="0" w:lastRowFirstColumn="0" w:lastRowLastColumn="0"/>
            </w:pPr>
          </w:p>
          <w:p w14:paraId="406251B7" w14:textId="7B1EA4C1" w:rsidR="000F61E6" w:rsidRPr="000C1E64" w:rsidRDefault="000F61E6" w:rsidP="000F61E6">
            <w:pPr>
              <w:pStyle w:val="TableText"/>
              <w:cnfStyle w:val="000000000000" w:firstRow="0" w:lastRow="0" w:firstColumn="0" w:lastColumn="0" w:oddVBand="0" w:evenVBand="0" w:oddHBand="0" w:evenHBand="0" w:firstRowFirstColumn="0" w:firstRowLastColumn="0" w:lastRowFirstColumn="0" w:lastRowLastColumn="0"/>
            </w:pPr>
          </w:p>
        </w:tc>
      </w:tr>
      <w:tr w:rsidR="000F61E6" w:rsidRPr="002A23D6" w14:paraId="646C1058" w14:textId="77777777" w:rsidTr="00EE4E0A">
        <w:trPr>
          <w:cnfStyle w:val="000000100000" w:firstRow="0" w:lastRow="0" w:firstColumn="0" w:lastColumn="0" w:oddVBand="0" w:evenVBand="0" w:oddHBand="1" w:evenHBand="0" w:firstRowFirstColumn="0" w:firstRowLastColumn="0" w:lastRowFirstColumn="0" w:lastRowLastColumn="0"/>
          <w:trHeight w:val="236"/>
        </w:trPr>
        <w:tc>
          <w:tcPr>
            <w:cnfStyle w:val="001000000000" w:firstRow="0" w:lastRow="0" w:firstColumn="1" w:lastColumn="0" w:oddVBand="0" w:evenVBand="0" w:oddHBand="0" w:evenHBand="0" w:firstRowFirstColumn="0" w:firstRowLastColumn="0" w:lastRowFirstColumn="0" w:lastRowLastColumn="0"/>
            <w:tcW w:w="1560" w:type="dxa"/>
            <w:noWrap/>
          </w:tcPr>
          <w:p w14:paraId="073D8A30" w14:textId="77777777" w:rsidR="000F61E6" w:rsidRPr="002A23D6" w:rsidRDefault="000F61E6" w:rsidP="000F61E6">
            <w:pPr>
              <w:pStyle w:val="TableText"/>
            </w:pPr>
            <w:r w:rsidRPr="002A23D6">
              <w:t>Total</w:t>
            </w:r>
          </w:p>
        </w:tc>
        <w:tc>
          <w:tcPr>
            <w:tcW w:w="851" w:type="dxa"/>
            <w:noWrap/>
          </w:tcPr>
          <w:p w14:paraId="5EEAFB00" w14:textId="77777777" w:rsidR="000F61E6" w:rsidRPr="002A23D6" w:rsidRDefault="000F61E6" w:rsidP="000F61E6">
            <w:pPr>
              <w:pStyle w:val="Tablenumbers"/>
              <w:cnfStyle w:val="000000100000" w:firstRow="0" w:lastRow="0" w:firstColumn="0" w:lastColumn="0" w:oddVBand="0" w:evenVBand="0" w:oddHBand="1" w:evenHBand="0" w:firstRowFirstColumn="0" w:firstRowLastColumn="0" w:lastRowFirstColumn="0" w:lastRowLastColumn="0"/>
              <w:rPr>
                <w:b/>
              </w:rPr>
            </w:pPr>
            <w:r w:rsidRPr="002A23D6">
              <w:rPr>
                <w:b/>
              </w:rPr>
              <w:t>12</w:t>
            </w:r>
          </w:p>
        </w:tc>
        <w:tc>
          <w:tcPr>
            <w:tcW w:w="2550" w:type="dxa"/>
          </w:tcPr>
          <w:p w14:paraId="1D51F7FD" w14:textId="77777777" w:rsidR="000F61E6" w:rsidRPr="002A23D6" w:rsidRDefault="000F61E6" w:rsidP="000F61E6">
            <w:pPr>
              <w:pStyle w:val="TableText"/>
              <w:cnfStyle w:val="000000100000" w:firstRow="0" w:lastRow="0" w:firstColumn="0" w:lastColumn="0" w:oddVBand="0" w:evenVBand="0" w:oddHBand="1" w:evenHBand="0" w:firstRowFirstColumn="0" w:firstRowLastColumn="0" w:lastRowFirstColumn="0" w:lastRowLastColumn="0"/>
              <w:rPr>
                <w:b/>
              </w:rPr>
            </w:pPr>
          </w:p>
        </w:tc>
        <w:tc>
          <w:tcPr>
            <w:tcW w:w="850" w:type="dxa"/>
            <w:noWrap/>
          </w:tcPr>
          <w:p w14:paraId="6CA35E14" w14:textId="77777777" w:rsidR="000F61E6" w:rsidRPr="002A23D6" w:rsidRDefault="000F61E6" w:rsidP="000F61E6">
            <w:pPr>
              <w:pStyle w:val="TableText"/>
              <w:cnfStyle w:val="000000100000" w:firstRow="0" w:lastRow="0" w:firstColumn="0" w:lastColumn="0" w:oddVBand="0" w:evenVBand="0" w:oddHBand="1" w:evenHBand="0" w:firstRowFirstColumn="0" w:firstRowLastColumn="0" w:lastRowFirstColumn="0" w:lastRowLastColumn="0"/>
              <w:rPr>
                <w:b/>
              </w:rPr>
            </w:pPr>
          </w:p>
        </w:tc>
        <w:tc>
          <w:tcPr>
            <w:tcW w:w="1168" w:type="dxa"/>
            <w:noWrap/>
          </w:tcPr>
          <w:p w14:paraId="525D15CF" w14:textId="77777777" w:rsidR="000F61E6" w:rsidRPr="002A23D6" w:rsidRDefault="000F61E6" w:rsidP="000F61E6">
            <w:pPr>
              <w:pStyle w:val="TableText"/>
              <w:cnfStyle w:val="000000100000" w:firstRow="0" w:lastRow="0" w:firstColumn="0" w:lastColumn="0" w:oddVBand="0" w:evenVBand="0" w:oddHBand="1" w:evenHBand="0" w:firstRowFirstColumn="0" w:firstRowLastColumn="0" w:lastRowFirstColumn="0" w:lastRowLastColumn="0"/>
              <w:rPr>
                <w:b/>
              </w:rPr>
            </w:pPr>
          </w:p>
        </w:tc>
        <w:tc>
          <w:tcPr>
            <w:tcW w:w="850" w:type="dxa"/>
            <w:noWrap/>
          </w:tcPr>
          <w:p w14:paraId="581A7972" w14:textId="77777777" w:rsidR="000F61E6" w:rsidRPr="002A23D6" w:rsidRDefault="000F61E6" w:rsidP="000F61E6">
            <w:pPr>
              <w:pStyle w:val="TableText"/>
              <w:cnfStyle w:val="000000100000" w:firstRow="0" w:lastRow="0" w:firstColumn="0" w:lastColumn="0" w:oddVBand="0" w:evenVBand="0" w:oddHBand="1" w:evenHBand="0" w:firstRowFirstColumn="0" w:firstRowLastColumn="0" w:lastRowFirstColumn="0" w:lastRowLastColumn="0"/>
              <w:rPr>
                <w:b/>
              </w:rPr>
            </w:pPr>
          </w:p>
        </w:tc>
        <w:tc>
          <w:tcPr>
            <w:tcW w:w="1101" w:type="dxa"/>
            <w:noWrap/>
          </w:tcPr>
          <w:p w14:paraId="0AB1DCB0" w14:textId="77777777" w:rsidR="000F61E6" w:rsidRPr="002A23D6" w:rsidRDefault="000F61E6" w:rsidP="000F61E6">
            <w:pPr>
              <w:pStyle w:val="TableText"/>
              <w:cnfStyle w:val="000000100000" w:firstRow="0" w:lastRow="0" w:firstColumn="0" w:lastColumn="0" w:oddVBand="0" w:evenVBand="0" w:oddHBand="1" w:evenHBand="0" w:firstRowFirstColumn="0" w:firstRowLastColumn="0" w:lastRowFirstColumn="0" w:lastRowLastColumn="0"/>
              <w:rPr>
                <w:b/>
              </w:rPr>
            </w:pPr>
          </w:p>
        </w:tc>
      </w:tr>
    </w:tbl>
    <w:p w14:paraId="6AB3530D" w14:textId="40EC30FC" w:rsidR="000660DA" w:rsidRDefault="0091365E" w:rsidP="00A5167F">
      <w:pPr>
        <w:pStyle w:val="Tablenotes"/>
        <w:ind w:left="993"/>
      </w:pPr>
      <w:r>
        <w:t xml:space="preserve">RFT </w:t>
      </w:r>
      <w:r w:rsidRPr="008D0B37">
        <w:t>=</w:t>
      </w:r>
      <w:r w:rsidR="008737A3" w:rsidRPr="008D0B37">
        <w:t xml:space="preserve"> Reque</w:t>
      </w:r>
      <w:r w:rsidR="008737A3" w:rsidRPr="000F22DC">
        <w:t>st for tender</w:t>
      </w:r>
    </w:p>
    <w:p w14:paraId="3BADE736" w14:textId="63E5A052" w:rsidR="00F66493" w:rsidRDefault="001C758F" w:rsidP="00F66493">
      <w:pPr>
        <w:pStyle w:val="Tablenotes"/>
        <w:ind w:left="993"/>
        <w:rPr>
          <w:rFonts w:cs="Calibri"/>
          <w:color w:val="4D4D4D"/>
          <w:kern w:val="28"/>
          <w:sz w:val="30"/>
          <w:szCs w:val="22"/>
        </w:rPr>
      </w:pPr>
      <w:r>
        <w:t>Stage 1:</w:t>
      </w:r>
      <w:r w:rsidRPr="001C758F">
        <w:t xml:space="preserve"> Planning</w:t>
      </w:r>
      <w:r w:rsidR="00A5167F">
        <w:t>;</w:t>
      </w:r>
      <w:r>
        <w:t xml:space="preserve"> </w:t>
      </w:r>
      <w:r w:rsidRPr="001C758F">
        <w:t>Stage 2: Before contract execution</w:t>
      </w:r>
      <w:r w:rsidR="00A5167F">
        <w:t>;</w:t>
      </w:r>
      <w:r>
        <w:t xml:space="preserve"> </w:t>
      </w:r>
      <w:r w:rsidRPr="001C758F">
        <w:t>Stage 3: Contract management</w:t>
      </w:r>
      <w:bookmarkStart w:id="128" w:name="_Toc366693329"/>
      <w:bookmarkEnd w:id="110"/>
      <w:bookmarkEnd w:id="123"/>
      <w:bookmarkEnd w:id="127"/>
      <w:r w:rsidR="00F66493">
        <w:br w:type="page"/>
      </w:r>
    </w:p>
    <w:p w14:paraId="2F823BA0" w14:textId="198BCB3A" w:rsidR="004569B2" w:rsidRPr="00CD6245" w:rsidRDefault="005E48D3" w:rsidP="00603BC0">
      <w:pPr>
        <w:pStyle w:val="Heading2NoNum"/>
      </w:pPr>
      <w:bookmarkStart w:id="129" w:name="_Toc524354077"/>
      <w:r>
        <w:lastRenderedPageBreak/>
        <w:t>N</w:t>
      </w:r>
      <w:r w:rsidR="00340D2B">
        <w:t>on-c</w:t>
      </w:r>
      <w:r w:rsidR="004569B2" w:rsidRPr="00CD6245">
        <w:t>ompliance</w:t>
      </w:r>
      <w:bookmarkEnd w:id="129"/>
    </w:p>
    <w:p w14:paraId="60A4649B" w14:textId="68C1788E" w:rsidR="00D65BAC" w:rsidRDefault="003B0168" w:rsidP="00E41631">
      <w:pPr>
        <w:pStyle w:val="Normal1"/>
      </w:pPr>
      <w:r>
        <w:t>O</w:t>
      </w:r>
      <w:r w:rsidR="00903850">
        <w:t xml:space="preserve">rganisations </w:t>
      </w:r>
      <w:r>
        <w:t xml:space="preserve">report non-compliance with </w:t>
      </w:r>
      <w:r w:rsidR="00903850">
        <w:t>the VGPB supply policy framework i</w:t>
      </w:r>
      <w:r>
        <w:t xml:space="preserve">n their ASR. </w:t>
      </w:r>
      <w:r w:rsidR="00903850">
        <w:t>Examples of n</w:t>
      </w:r>
      <w:r w:rsidR="004F7DF7">
        <w:t xml:space="preserve">on-compliance </w:t>
      </w:r>
      <w:r w:rsidR="00903850">
        <w:t>include</w:t>
      </w:r>
      <w:r w:rsidR="004F7DF7">
        <w:t xml:space="preserve"> failing to publish a procurement activity plan online, or not having </w:t>
      </w:r>
      <w:r w:rsidR="00903850">
        <w:t>all</w:t>
      </w:r>
      <w:r w:rsidR="004F7DF7">
        <w:t xml:space="preserve"> components of the governance structure</w:t>
      </w:r>
      <w:r w:rsidR="00903850">
        <w:t xml:space="preserve"> in place,</w:t>
      </w:r>
      <w:r w:rsidR="004F7DF7">
        <w:t xml:space="preserve"> such as a </w:t>
      </w:r>
      <w:r w:rsidR="00D91ED6" w:rsidRPr="0055634A">
        <w:t>chief procurement officer</w:t>
      </w:r>
      <w:r w:rsidR="004F7DF7">
        <w:t xml:space="preserve"> or </w:t>
      </w:r>
      <w:r w:rsidR="001E332D">
        <w:t>internal procurement un</w:t>
      </w:r>
      <w:r w:rsidR="00DA09FB">
        <w:t>it</w:t>
      </w:r>
      <w:r w:rsidR="00560F17">
        <w:t xml:space="preserve"> (</w:t>
      </w:r>
      <w:r w:rsidR="004F7DF7">
        <w:t>IPU</w:t>
      </w:r>
      <w:r w:rsidR="00560F17">
        <w:t>)</w:t>
      </w:r>
      <w:r w:rsidR="004F7DF7">
        <w:t xml:space="preserve">. It does not </w:t>
      </w:r>
      <w:r w:rsidR="00903850">
        <w:t>include i</w:t>
      </w:r>
      <w:r w:rsidR="004F7DF7">
        <w:t xml:space="preserve">nternal </w:t>
      </w:r>
      <w:r w:rsidR="00F25B16">
        <w:t xml:space="preserve">process </w:t>
      </w:r>
      <w:r w:rsidR="004F7DF7">
        <w:t>matters of non-compliance</w:t>
      </w:r>
      <w:r w:rsidR="00D72B0A">
        <w:t>.</w:t>
      </w:r>
    </w:p>
    <w:p w14:paraId="68C809C1" w14:textId="444CF3E0" w:rsidR="00883F3C" w:rsidRDefault="00883F3C" w:rsidP="00E41631">
      <w:pPr>
        <w:pStyle w:val="Normal1"/>
      </w:pPr>
      <w:r w:rsidRPr="008B71D5">
        <w:t>There w</w:t>
      </w:r>
      <w:r w:rsidR="008B71D5" w:rsidRPr="008B71D5">
        <w:t>as one</w:t>
      </w:r>
      <w:r w:rsidRPr="008B71D5">
        <w:t xml:space="preserve"> instance of non-compliance reported in 201</w:t>
      </w:r>
      <w:r w:rsidR="003058E0" w:rsidRPr="008B71D5">
        <w:t>7–18</w:t>
      </w:r>
      <w:r w:rsidRPr="008B71D5">
        <w:t xml:space="preserve">, as listed in </w:t>
      </w:r>
      <w:r w:rsidRPr="008B71D5">
        <w:fldChar w:fldCharType="begin"/>
      </w:r>
      <w:r w:rsidRPr="008B71D5">
        <w:instrText xml:space="preserve"> REF _Ref489463264 \h </w:instrText>
      </w:r>
      <w:r w:rsidR="00903850" w:rsidRPr="008B71D5">
        <w:instrText xml:space="preserve"> \* MERGEFORMAT </w:instrText>
      </w:r>
      <w:r w:rsidRPr="008B71D5">
        <w:fldChar w:fldCharType="separate"/>
      </w:r>
      <w:r w:rsidR="00A07703">
        <w:t xml:space="preserve">Table </w:t>
      </w:r>
      <w:r w:rsidR="00A07703">
        <w:rPr>
          <w:noProof/>
        </w:rPr>
        <w:t>21</w:t>
      </w:r>
      <w:r w:rsidRPr="008B71D5">
        <w:fldChar w:fldCharType="end"/>
      </w:r>
      <w:r w:rsidRPr="008B71D5">
        <w:t>.</w:t>
      </w:r>
    </w:p>
    <w:p w14:paraId="2FFA9728" w14:textId="15B5C7E1" w:rsidR="00A52D9D" w:rsidRDefault="00A52D9D" w:rsidP="00A52D9D">
      <w:pPr>
        <w:pStyle w:val="Caption"/>
      </w:pPr>
      <w:bookmarkStart w:id="130" w:name="_Ref489463264"/>
      <w:bookmarkStart w:id="131" w:name="_Toc524354014"/>
      <w:r>
        <w:t xml:space="preserve">Table </w:t>
      </w:r>
      <w:r w:rsidR="002407F7">
        <w:rPr>
          <w:noProof/>
        </w:rPr>
        <w:fldChar w:fldCharType="begin"/>
      </w:r>
      <w:r w:rsidR="002407F7">
        <w:rPr>
          <w:noProof/>
        </w:rPr>
        <w:instrText xml:space="preserve"> SEQ Table \* ARABIC </w:instrText>
      </w:r>
      <w:r w:rsidR="002407F7">
        <w:rPr>
          <w:noProof/>
        </w:rPr>
        <w:fldChar w:fldCharType="separate"/>
      </w:r>
      <w:r w:rsidR="00A07703">
        <w:rPr>
          <w:noProof/>
        </w:rPr>
        <w:t>21</w:t>
      </w:r>
      <w:r w:rsidR="002407F7">
        <w:rPr>
          <w:noProof/>
        </w:rPr>
        <w:fldChar w:fldCharType="end"/>
      </w:r>
      <w:bookmarkEnd w:id="130"/>
      <w:r>
        <w:t>: Non-compliance in 201</w:t>
      </w:r>
      <w:r w:rsidR="003058E0">
        <w:t>7–18</w:t>
      </w:r>
      <w:bookmarkEnd w:id="131"/>
    </w:p>
    <w:tbl>
      <w:tblPr>
        <w:tblStyle w:val="ListTable31"/>
        <w:tblW w:w="8930" w:type="dxa"/>
        <w:tblInd w:w="846" w:type="dxa"/>
        <w:tblLook w:val="04A0" w:firstRow="1" w:lastRow="0" w:firstColumn="1" w:lastColumn="0" w:noHBand="0" w:noVBand="1"/>
      </w:tblPr>
      <w:tblGrid>
        <w:gridCol w:w="1276"/>
        <w:gridCol w:w="897"/>
        <w:gridCol w:w="1513"/>
        <w:gridCol w:w="2409"/>
        <w:gridCol w:w="2835"/>
      </w:tblGrid>
      <w:tr w:rsidR="00AB666B" w:rsidRPr="00883F3C" w14:paraId="4D52CB71" w14:textId="77777777" w:rsidTr="00F25B1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276" w:type="dxa"/>
          </w:tcPr>
          <w:p w14:paraId="26320A8B" w14:textId="77777777" w:rsidR="00AB666B" w:rsidRPr="00883F3C" w:rsidRDefault="00AB666B" w:rsidP="00E14793">
            <w:pPr>
              <w:pStyle w:val="TableText"/>
              <w:rPr>
                <w:b w:val="0"/>
              </w:rPr>
            </w:pPr>
            <w:r w:rsidRPr="00883F3C">
              <w:rPr>
                <w:b w:val="0"/>
              </w:rPr>
              <w:t>Department</w:t>
            </w:r>
          </w:p>
        </w:tc>
        <w:tc>
          <w:tcPr>
            <w:tcW w:w="897" w:type="dxa"/>
          </w:tcPr>
          <w:p w14:paraId="68CB4372" w14:textId="77777777" w:rsidR="00AB666B" w:rsidRPr="00883F3C" w:rsidRDefault="00AB666B" w:rsidP="00E14793">
            <w:pPr>
              <w:pStyle w:val="TableText"/>
              <w:cnfStyle w:val="100000000000" w:firstRow="1" w:lastRow="0" w:firstColumn="0" w:lastColumn="0" w:oddVBand="0" w:evenVBand="0" w:oddHBand="0" w:evenHBand="0" w:firstRowFirstColumn="0" w:firstRowLastColumn="0" w:lastRowFirstColumn="0" w:lastRowLastColumn="0"/>
              <w:rPr>
                <w:b w:val="0"/>
              </w:rPr>
            </w:pPr>
            <w:r w:rsidRPr="00883F3C">
              <w:rPr>
                <w:b w:val="0"/>
              </w:rPr>
              <w:t>Number</w:t>
            </w:r>
          </w:p>
        </w:tc>
        <w:tc>
          <w:tcPr>
            <w:tcW w:w="1513" w:type="dxa"/>
          </w:tcPr>
          <w:p w14:paraId="58E75B28" w14:textId="398EAE1C" w:rsidR="00AB666B" w:rsidRPr="00883F3C" w:rsidRDefault="003B0168" w:rsidP="00E14793">
            <w:pPr>
              <w:pStyle w:val="TableText"/>
              <w:cnfStyle w:val="100000000000" w:firstRow="1" w:lastRow="0" w:firstColumn="0" w:lastColumn="0" w:oddVBand="0" w:evenVBand="0" w:oddHBand="0" w:evenHBand="0" w:firstRowFirstColumn="0" w:firstRowLastColumn="0" w:lastRowFirstColumn="0" w:lastRowLastColumn="0"/>
              <w:rPr>
                <w:b w:val="0"/>
              </w:rPr>
            </w:pPr>
            <w:r>
              <w:rPr>
                <w:b w:val="0"/>
              </w:rPr>
              <w:t>N</w:t>
            </w:r>
            <w:r w:rsidR="00AB666B" w:rsidRPr="00883F3C">
              <w:rPr>
                <w:b w:val="0"/>
              </w:rPr>
              <w:t>on-compliance</w:t>
            </w:r>
          </w:p>
        </w:tc>
        <w:tc>
          <w:tcPr>
            <w:tcW w:w="2409" w:type="dxa"/>
          </w:tcPr>
          <w:p w14:paraId="3EA0F934" w14:textId="4541A2C4" w:rsidR="00AB666B" w:rsidRPr="00883F3C" w:rsidRDefault="00AB666B" w:rsidP="00E14793">
            <w:pPr>
              <w:pStyle w:val="TableText"/>
              <w:cnfStyle w:val="100000000000" w:firstRow="1" w:lastRow="0" w:firstColumn="0" w:lastColumn="0" w:oddVBand="0" w:evenVBand="0" w:oddHBand="0" w:evenHBand="0" w:firstRowFirstColumn="0" w:firstRowLastColumn="0" w:lastRowFirstColumn="0" w:lastRowLastColumn="0"/>
              <w:rPr>
                <w:b w:val="0"/>
              </w:rPr>
            </w:pPr>
            <w:r w:rsidRPr="00883F3C">
              <w:rPr>
                <w:b w:val="0"/>
              </w:rPr>
              <w:t>Actions taken to resolve</w:t>
            </w:r>
            <w:r w:rsidR="003B0168">
              <w:rPr>
                <w:b w:val="0"/>
              </w:rPr>
              <w:t xml:space="preserve"> </w:t>
            </w:r>
            <w:r w:rsidRPr="00883F3C">
              <w:rPr>
                <w:b w:val="0"/>
              </w:rPr>
              <w:t>non-compliance</w:t>
            </w:r>
          </w:p>
        </w:tc>
        <w:tc>
          <w:tcPr>
            <w:tcW w:w="2835" w:type="dxa"/>
          </w:tcPr>
          <w:p w14:paraId="40851A67" w14:textId="77777777" w:rsidR="00AB666B" w:rsidRPr="00883F3C" w:rsidRDefault="00AB666B" w:rsidP="00E14793">
            <w:pPr>
              <w:pStyle w:val="TableText"/>
              <w:cnfStyle w:val="100000000000" w:firstRow="1" w:lastRow="0" w:firstColumn="0" w:lastColumn="0" w:oddVBand="0" w:evenVBand="0" w:oddHBand="0" w:evenHBand="0" w:firstRowFirstColumn="0" w:firstRowLastColumn="0" w:lastRowFirstColumn="0" w:lastRowLastColumn="0"/>
              <w:rPr>
                <w:b w:val="0"/>
              </w:rPr>
            </w:pPr>
            <w:r w:rsidRPr="00883F3C">
              <w:rPr>
                <w:b w:val="0"/>
              </w:rPr>
              <w:t>Actions taken to improve compliance in future</w:t>
            </w:r>
          </w:p>
        </w:tc>
      </w:tr>
      <w:tr w:rsidR="00C352D9" w:rsidRPr="00EE1893" w14:paraId="4BCC602B" w14:textId="77777777" w:rsidTr="00F25B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7C5388B6" w14:textId="24C4F64D" w:rsidR="00C352D9" w:rsidRPr="00362076" w:rsidRDefault="00546DF9" w:rsidP="00C352D9">
            <w:pPr>
              <w:pStyle w:val="TableText"/>
              <w:rPr>
                <w:b w:val="0"/>
              </w:rPr>
            </w:pPr>
            <w:r>
              <w:rPr>
                <w:b w:val="0"/>
              </w:rPr>
              <w:t xml:space="preserve">Department of </w:t>
            </w:r>
            <w:r w:rsidR="00C352D9" w:rsidRPr="00362076">
              <w:rPr>
                <w:b w:val="0"/>
              </w:rPr>
              <w:t>Premier and Cabinet</w:t>
            </w:r>
          </w:p>
        </w:tc>
        <w:tc>
          <w:tcPr>
            <w:tcW w:w="897" w:type="dxa"/>
          </w:tcPr>
          <w:p w14:paraId="2BB0A614" w14:textId="2EA63BF0" w:rsidR="00C352D9" w:rsidRDefault="00C352D9" w:rsidP="00C352D9">
            <w:pPr>
              <w:pStyle w:val="TableText"/>
              <w:cnfStyle w:val="000000100000" w:firstRow="0" w:lastRow="0" w:firstColumn="0" w:lastColumn="0" w:oddVBand="0" w:evenVBand="0" w:oddHBand="1" w:evenHBand="0" w:firstRowFirstColumn="0" w:firstRowLastColumn="0" w:lastRowFirstColumn="0" w:lastRowLastColumn="0"/>
            </w:pPr>
            <w:r>
              <w:t>1</w:t>
            </w:r>
          </w:p>
        </w:tc>
        <w:tc>
          <w:tcPr>
            <w:tcW w:w="1513" w:type="dxa"/>
          </w:tcPr>
          <w:p w14:paraId="32E01FC3" w14:textId="047A2A0F" w:rsidR="00C352D9" w:rsidRPr="00EE1893" w:rsidRDefault="00C352D9" w:rsidP="00C352D9">
            <w:pPr>
              <w:pStyle w:val="TableText"/>
              <w:cnfStyle w:val="000000100000" w:firstRow="0" w:lastRow="0" w:firstColumn="0" w:lastColumn="0" w:oddVBand="0" w:evenVBand="0" w:oddHBand="1" w:evenHBand="0" w:firstRowFirstColumn="0" w:firstRowLastColumn="0" w:lastRowFirstColumn="0" w:lastRowLastColumn="0"/>
            </w:pPr>
            <w:r>
              <w:t>IPU not in place</w:t>
            </w:r>
          </w:p>
        </w:tc>
        <w:tc>
          <w:tcPr>
            <w:tcW w:w="2409" w:type="dxa"/>
          </w:tcPr>
          <w:p w14:paraId="5B2F5527" w14:textId="61A057D1" w:rsidR="00C352D9" w:rsidRPr="00EE1893" w:rsidRDefault="00C352D9" w:rsidP="00C352D9">
            <w:pPr>
              <w:pStyle w:val="TableText"/>
              <w:cnfStyle w:val="000000100000" w:firstRow="0" w:lastRow="0" w:firstColumn="0" w:lastColumn="0" w:oddVBand="0" w:evenVBand="0" w:oddHBand="1" w:evenHBand="0" w:firstRowFirstColumn="0" w:firstRowLastColumn="0" w:lastRowFirstColumn="0" w:lastRowLastColumn="0"/>
            </w:pPr>
            <w:r>
              <w:t>Re-established the IPU</w:t>
            </w:r>
          </w:p>
        </w:tc>
        <w:tc>
          <w:tcPr>
            <w:tcW w:w="2835" w:type="dxa"/>
          </w:tcPr>
          <w:p w14:paraId="485DA694" w14:textId="10BB9E3E" w:rsidR="00C352D9" w:rsidRPr="00EE1893" w:rsidRDefault="00C352D9" w:rsidP="00C352D9">
            <w:pPr>
              <w:pStyle w:val="TableText"/>
              <w:cnfStyle w:val="000000100000" w:firstRow="0" w:lastRow="0" w:firstColumn="0" w:lastColumn="0" w:oddVBand="0" w:evenVBand="0" w:oddHBand="1" w:evenHBand="0" w:firstRowFirstColumn="0" w:firstRowLastColumn="0" w:lastRowFirstColumn="0" w:lastRowLastColumn="0"/>
            </w:pPr>
            <w:r>
              <w:t xml:space="preserve">IPU proposal approved by </w:t>
            </w:r>
            <w:r w:rsidR="006919A6">
              <w:t>the Department’s</w:t>
            </w:r>
            <w:r>
              <w:t xml:space="preserve"> Board of Management and </w:t>
            </w:r>
            <w:r w:rsidR="009556FC">
              <w:t>accountable officer</w:t>
            </w:r>
          </w:p>
        </w:tc>
      </w:tr>
      <w:tr w:rsidR="00C352D9" w:rsidRPr="00EE4E0A" w14:paraId="12C45833" w14:textId="77777777" w:rsidTr="00F25B16">
        <w:tc>
          <w:tcPr>
            <w:cnfStyle w:val="001000000000" w:firstRow="0" w:lastRow="0" w:firstColumn="1" w:lastColumn="0" w:oddVBand="0" w:evenVBand="0" w:oddHBand="0" w:evenHBand="0" w:firstRowFirstColumn="0" w:firstRowLastColumn="0" w:lastRowFirstColumn="0" w:lastRowLastColumn="0"/>
            <w:tcW w:w="1276" w:type="dxa"/>
          </w:tcPr>
          <w:p w14:paraId="05A17A37" w14:textId="77777777" w:rsidR="00C352D9" w:rsidRPr="00EE4E0A" w:rsidRDefault="00C352D9" w:rsidP="00C352D9">
            <w:pPr>
              <w:pStyle w:val="TableText"/>
            </w:pPr>
            <w:r w:rsidRPr="00EE4E0A">
              <w:t>Total</w:t>
            </w:r>
          </w:p>
        </w:tc>
        <w:tc>
          <w:tcPr>
            <w:tcW w:w="897" w:type="dxa"/>
          </w:tcPr>
          <w:p w14:paraId="1EDA48B4" w14:textId="16EF203B" w:rsidR="00C352D9" w:rsidRPr="00EE4E0A" w:rsidRDefault="00C352D9" w:rsidP="00C352D9">
            <w:pPr>
              <w:pStyle w:val="TableText"/>
              <w:cnfStyle w:val="000000000000" w:firstRow="0" w:lastRow="0" w:firstColumn="0" w:lastColumn="0" w:oddVBand="0" w:evenVBand="0" w:oddHBand="0" w:evenHBand="0" w:firstRowFirstColumn="0" w:firstRowLastColumn="0" w:lastRowFirstColumn="0" w:lastRowLastColumn="0"/>
              <w:rPr>
                <w:b/>
              </w:rPr>
            </w:pPr>
            <w:r w:rsidRPr="00EE4E0A">
              <w:rPr>
                <w:b/>
              </w:rPr>
              <w:t>1</w:t>
            </w:r>
          </w:p>
        </w:tc>
        <w:tc>
          <w:tcPr>
            <w:tcW w:w="1513" w:type="dxa"/>
          </w:tcPr>
          <w:p w14:paraId="3723E820" w14:textId="77777777" w:rsidR="00C352D9" w:rsidRPr="00EE4E0A" w:rsidRDefault="00C352D9" w:rsidP="00C352D9">
            <w:pPr>
              <w:pStyle w:val="TableText"/>
              <w:cnfStyle w:val="000000000000" w:firstRow="0" w:lastRow="0" w:firstColumn="0" w:lastColumn="0" w:oddVBand="0" w:evenVBand="0" w:oddHBand="0" w:evenHBand="0" w:firstRowFirstColumn="0" w:firstRowLastColumn="0" w:lastRowFirstColumn="0" w:lastRowLastColumn="0"/>
              <w:rPr>
                <w:b/>
              </w:rPr>
            </w:pPr>
          </w:p>
        </w:tc>
        <w:tc>
          <w:tcPr>
            <w:tcW w:w="2409" w:type="dxa"/>
          </w:tcPr>
          <w:p w14:paraId="778CD915" w14:textId="77777777" w:rsidR="00C352D9" w:rsidRPr="00EE4E0A" w:rsidRDefault="00C352D9" w:rsidP="00C352D9">
            <w:pPr>
              <w:pStyle w:val="TableText"/>
              <w:cnfStyle w:val="000000000000" w:firstRow="0" w:lastRow="0" w:firstColumn="0" w:lastColumn="0" w:oddVBand="0" w:evenVBand="0" w:oddHBand="0" w:evenHBand="0" w:firstRowFirstColumn="0" w:firstRowLastColumn="0" w:lastRowFirstColumn="0" w:lastRowLastColumn="0"/>
              <w:rPr>
                <w:b/>
              </w:rPr>
            </w:pPr>
          </w:p>
        </w:tc>
        <w:tc>
          <w:tcPr>
            <w:tcW w:w="2835" w:type="dxa"/>
          </w:tcPr>
          <w:p w14:paraId="7170E314" w14:textId="77777777" w:rsidR="00C352D9" w:rsidRPr="00EE4E0A" w:rsidRDefault="00C352D9" w:rsidP="00C352D9">
            <w:pPr>
              <w:pStyle w:val="TableText"/>
              <w:cnfStyle w:val="000000000000" w:firstRow="0" w:lastRow="0" w:firstColumn="0" w:lastColumn="0" w:oddVBand="0" w:evenVBand="0" w:oddHBand="0" w:evenHBand="0" w:firstRowFirstColumn="0" w:firstRowLastColumn="0" w:lastRowFirstColumn="0" w:lastRowLastColumn="0"/>
              <w:rPr>
                <w:b/>
              </w:rPr>
            </w:pPr>
          </w:p>
        </w:tc>
      </w:tr>
    </w:tbl>
    <w:p w14:paraId="1F20EC95" w14:textId="6B51525D" w:rsidR="004569B2" w:rsidRPr="00CD6245" w:rsidRDefault="00BC1652" w:rsidP="00E11F23">
      <w:pPr>
        <w:pStyle w:val="Heading2NoNum"/>
      </w:pPr>
      <w:bookmarkStart w:id="132" w:name="_Toc524354078"/>
      <w:r w:rsidRPr="00CD6245">
        <w:t>Complaints</w:t>
      </w:r>
      <w:bookmarkEnd w:id="132"/>
    </w:p>
    <w:p w14:paraId="6A0F0902" w14:textId="77777777" w:rsidR="007225D1" w:rsidRPr="00CD6245" w:rsidRDefault="007225D1" w:rsidP="007225D1">
      <w:pPr>
        <w:pStyle w:val="Normal1"/>
        <w:rPr>
          <w:lang w:eastAsia="en-US"/>
        </w:rPr>
      </w:pPr>
      <w:r>
        <w:rPr>
          <w:lang w:eastAsia="en-US"/>
        </w:rPr>
        <w:t>A complaint is</w:t>
      </w:r>
      <w:r w:rsidRPr="00CD6245">
        <w:rPr>
          <w:lang w:eastAsia="en-US"/>
        </w:rPr>
        <w:t xml:space="preserve"> define</w:t>
      </w:r>
      <w:r>
        <w:rPr>
          <w:lang w:eastAsia="en-US"/>
        </w:rPr>
        <w:t>d</w:t>
      </w:r>
      <w:r w:rsidRPr="00CD6245">
        <w:rPr>
          <w:lang w:eastAsia="en-US"/>
        </w:rPr>
        <w:t xml:space="preserve"> as an issue or concern expressed by a supplier in relation to the process and probity applied by an organisation when carrying out a procurement activity.</w:t>
      </w:r>
    </w:p>
    <w:p w14:paraId="4D20C434" w14:textId="37F989FF" w:rsidR="00904F12" w:rsidRPr="00CD6245" w:rsidRDefault="00903850" w:rsidP="00E41631">
      <w:pPr>
        <w:pStyle w:val="Normal1"/>
        <w:rPr>
          <w:lang w:eastAsia="en-US"/>
        </w:rPr>
      </w:pPr>
      <w:r>
        <w:rPr>
          <w:lang w:eastAsia="en-US"/>
        </w:rPr>
        <w:t>Every o</w:t>
      </w:r>
      <w:r w:rsidR="00FD0317" w:rsidRPr="00CD6245">
        <w:rPr>
          <w:lang w:eastAsia="en-US"/>
        </w:rPr>
        <w:t>rganisation</w:t>
      </w:r>
      <w:r w:rsidR="00AC764D" w:rsidRPr="00CD6245">
        <w:rPr>
          <w:lang w:eastAsia="en-US"/>
        </w:rPr>
        <w:t xml:space="preserve"> </w:t>
      </w:r>
      <w:r w:rsidR="00A5167F">
        <w:rPr>
          <w:lang w:eastAsia="en-US"/>
        </w:rPr>
        <w:t xml:space="preserve">should have </w:t>
      </w:r>
      <w:r w:rsidR="00AC764D" w:rsidRPr="00CD6245">
        <w:rPr>
          <w:lang w:eastAsia="en-US"/>
        </w:rPr>
        <w:t>a complaints management system</w:t>
      </w:r>
      <w:r>
        <w:rPr>
          <w:lang w:eastAsia="en-US"/>
        </w:rPr>
        <w:t xml:space="preserve">, setting </w:t>
      </w:r>
      <w:r w:rsidR="00AC764D" w:rsidRPr="00CD6245">
        <w:rPr>
          <w:lang w:eastAsia="en-US"/>
        </w:rPr>
        <w:t>out the process for addressing complaints by suppliers</w:t>
      </w:r>
      <w:r w:rsidR="00AC764D" w:rsidRPr="00011197">
        <w:t xml:space="preserve">. </w:t>
      </w:r>
      <w:r w:rsidR="00D91ED6" w:rsidRPr="00011197">
        <w:t>Chief procurement officers</w:t>
      </w:r>
      <w:r w:rsidR="00904F12" w:rsidRPr="00011197">
        <w:t xml:space="preserve"> are responsible for </w:t>
      </w:r>
      <w:r w:rsidRPr="00011197">
        <w:t>the</w:t>
      </w:r>
      <w:r w:rsidR="00904F12" w:rsidRPr="00011197">
        <w:t xml:space="preserve"> complaints management process.</w:t>
      </w:r>
    </w:p>
    <w:p w14:paraId="3331D716" w14:textId="46EA79F4" w:rsidR="008B71D5" w:rsidRPr="00CD6245" w:rsidRDefault="00791A53" w:rsidP="008B71D5">
      <w:pPr>
        <w:pStyle w:val="Normal1"/>
      </w:pPr>
      <w:r w:rsidRPr="00CD6245">
        <w:t>I</w:t>
      </w:r>
      <w:r w:rsidR="00846EC6" w:rsidRPr="00CD6245">
        <w:t xml:space="preserve">n </w:t>
      </w:r>
      <w:r w:rsidR="001B5365">
        <w:t>2017–18</w:t>
      </w:r>
      <w:r w:rsidR="008119D2" w:rsidRPr="00CD6245">
        <w:t>,</w:t>
      </w:r>
      <w:r w:rsidRPr="00CD6245">
        <w:t xml:space="preserve"> </w:t>
      </w:r>
      <w:r w:rsidR="00FD0317" w:rsidRPr="00CD6245">
        <w:t>organisation</w:t>
      </w:r>
      <w:r w:rsidR="003352E3" w:rsidRPr="00CD6245">
        <w:t>s report</w:t>
      </w:r>
      <w:r w:rsidR="003352E3" w:rsidRPr="00A53C9F">
        <w:t xml:space="preserve">ed </w:t>
      </w:r>
      <w:r w:rsidR="005E4AF7">
        <w:t>nine</w:t>
      </w:r>
      <w:r w:rsidR="00081854" w:rsidRPr="00A53C9F">
        <w:rPr>
          <w:lang w:eastAsia="en-US"/>
        </w:rPr>
        <w:t xml:space="preserve"> compl</w:t>
      </w:r>
      <w:r w:rsidR="00081854" w:rsidRPr="00CD6245">
        <w:rPr>
          <w:lang w:eastAsia="en-US"/>
        </w:rPr>
        <w:t xml:space="preserve">aints </w:t>
      </w:r>
      <w:r w:rsidR="00081854" w:rsidRPr="00CD6245">
        <w:t>r</w:t>
      </w:r>
      <w:r w:rsidR="00846EC6" w:rsidRPr="00CD6245">
        <w:t>elated to procurement activity</w:t>
      </w:r>
      <w:r w:rsidR="00F2199C">
        <w:t>,</w:t>
      </w:r>
      <w:r w:rsidR="00846EC6" w:rsidRPr="00CD6245">
        <w:t xml:space="preserve"> as shown in </w:t>
      </w:r>
      <w:r w:rsidR="00AC517C">
        <w:fldChar w:fldCharType="begin"/>
      </w:r>
      <w:r w:rsidR="00AC517C">
        <w:instrText xml:space="preserve"> REF _Ref425456874 \h  \* MERGEFORMAT </w:instrText>
      </w:r>
      <w:r w:rsidR="00AC517C">
        <w:fldChar w:fldCharType="separate"/>
      </w:r>
      <w:r w:rsidR="00A07703" w:rsidRPr="00CD6245">
        <w:t xml:space="preserve">Table </w:t>
      </w:r>
      <w:r w:rsidR="00A07703">
        <w:rPr>
          <w:noProof/>
        </w:rPr>
        <w:t>22</w:t>
      </w:r>
      <w:r w:rsidR="00AC517C">
        <w:fldChar w:fldCharType="end"/>
      </w:r>
      <w:r w:rsidR="009C3C92" w:rsidRPr="00CD6245">
        <w:t>.</w:t>
      </w:r>
      <w:r w:rsidR="00443A35" w:rsidRPr="00CD6245">
        <w:t xml:space="preserve"> </w:t>
      </w:r>
      <w:r w:rsidR="008B71D5">
        <w:t xml:space="preserve">Four </w:t>
      </w:r>
      <w:r w:rsidR="008E7768">
        <w:t>of the</w:t>
      </w:r>
      <w:r w:rsidR="007225D1">
        <w:t>se</w:t>
      </w:r>
      <w:r w:rsidR="008E7768">
        <w:t xml:space="preserve"> </w:t>
      </w:r>
      <w:r w:rsidR="008B71D5">
        <w:t xml:space="preserve">complaints related to </w:t>
      </w:r>
      <w:r w:rsidR="008E7768">
        <w:t xml:space="preserve">non-acceptance of </w:t>
      </w:r>
      <w:r w:rsidR="007225D1">
        <w:t>l</w:t>
      </w:r>
      <w:r w:rsidR="008B71D5">
        <w:t>ate tenders</w:t>
      </w:r>
      <w:r w:rsidR="007225D1">
        <w:t>. T</w:t>
      </w:r>
      <w:r w:rsidR="008B71D5">
        <w:t xml:space="preserve">he </w:t>
      </w:r>
      <w:r w:rsidR="00105FDC">
        <w:t xml:space="preserve">Victorian </w:t>
      </w:r>
      <w:r w:rsidR="007225D1">
        <w:t>G</w:t>
      </w:r>
      <w:r w:rsidR="008B71D5">
        <w:t xml:space="preserve">overnment has clear rules </w:t>
      </w:r>
      <w:r w:rsidR="007225D1">
        <w:t>around</w:t>
      </w:r>
      <w:r w:rsidR="008B71D5">
        <w:t xml:space="preserve"> </w:t>
      </w:r>
      <w:r w:rsidR="00105FDC">
        <w:t xml:space="preserve">submitting </w:t>
      </w:r>
      <w:r w:rsidR="008B71D5">
        <w:t>tender</w:t>
      </w:r>
      <w:r w:rsidR="00105FDC">
        <w:t xml:space="preserve"> documents</w:t>
      </w:r>
      <w:r w:rsidR="007225D1">
        <w:t>.</w:t>
      </w:r>
    </w:p>
    <w:p w14:paraId="7ECFDFB2" w14:textId="3D215E73" w:rsidR="00443A35" w:rsidRDefault="00443A35" w:rsidP="00E41631">
      <w:pPr>
        <w:pStyle w:val="Normal1"/>
      </w:pPr>
      <w:r w:rsidRPr="00CD6245">
        <w:rPr>
          <w:lang w:eastAsia="en-US"/>
        </w:rPr>
        <w:t>This compares to</w:t>
      </w:r>
      <w:r w:rsidR="003058E0">
        <w:rPr>
          <w:lang w:eastAsia="en-US"/>
        </w:rPr>
        <w:t xml:space="preserve"> five complaints in 2016</w:t>
      </w:r>
      <w:r w:rsidR="003E0702">
        <w:rPr>
          <w:lang w:eastAsia="en-US"/>
        </w:rPr>
        <w:t>–</w:t>
      </w:r>
      <w:r w:rsidR="003058E0">
        <w:rPr>
          <w:lang w:eastAsia="en-US"/>
        </w:rPr>
        <w:t xml:space="preserve">17, </w:t>
      </w:r>
      <w:r w:rsidR="002E7920">
        <w:rPr>
          <w:lang w:eastAsia="en-US"/>
        </w:rPr>
        <w:t>three complaints in 2015–16</w:t>
      </w:r>
      <w:r w:rsidR="00321731">
        <w:rPr>
          <w:lang w:eastAsia="en-US"/>
        </w:rPr>
        <w:t xml:space="preserve"> and </w:t>
      </w:r>
      <w:r w:rsidR="00844BC9" w:rsidRPr="00CD6245">
        <w:rPr>
          <w:lang w:eastAsia="en-US"/>
        </w:rPr>
        <w:t>six complaints in 2014–15</w:t>
      </w:r>
      <w:r w:rsidR="00321731">
        <w:rPr>
          <w:lang w:eastAsia="en-US"/>
        </w:rPr>
        <w:t>.</w:t>
      </w:r>
    </w:p>
    <w:p w14:paraId="7831E274" w14:textId="0284D3F3" w:rsidR="00A53C9F" w:rsidRDefault="009C3C92" w:rsidP="00C82F09">
      <w:pPr>
        <w:pStyle w:val="Caption"/>
      </w:pPr>
      <w:bookmarkStart w:id="133" w:name="_Ref425456874"/>
      <w:bookmarkStart w:id="134" w:name="_Toc524354015"/>
      <w:r w:rsidRPr="00CD6245">
        <w:t xml:space="preserve">Table </w:t>
      </w:r>
      <w:r w:rsidR="002407F7">
        <w:rPr>
          <w:noProof/>
        </w:rPr>
        <w:fldChar w:fldCharType="begin"/>
      </w:r>
      <w:r w:rsidR="002407F7">
        <w:rPr>
          <w:noProof/>
        </w:rPr>
        <w:instrText xml:space="preserve"> SEQ Table \* ARABIC </w:instrText>
      </w:r>
      <w:r w:rsidR="002407F7">
        <w:rPr>
          <w:noProof/>
        </w:rPr>
        <w:fldChar w:fldCharType="separate"/>
      </w:r>
      <w:r w:rsidR="00A07703">
        <w:rPr>
          <w:noProof/>
        </w:rPr>
        <w:t>22</w:t>
      </w:r>
      <w:r w:rsidR="002407F7">
        <w:rPr>
          <w:noProof/>
        </w:rPr>
        <w:fldChar w:fldCharType="end"/>
      </w:r>
      <w:bookmarkEnd w:id="133"/>
      <w:r w:rsidRPr="00CD6245">
        <w:t xml:space="preserve">: Complaints related to procurement activity in </w:t>
      </w:r>
      <w:r w:rsidR="00FA0FB5">
        <w:t>201</w:t>
      </w:r>
      <w:r w:rsidR="003058E0">
        <w:t>7–18</w:t>
      </w:r>
      <w:bookmarkEnd w:id="134"/>
    </w:p>
    <w:tbl>
      <w:tblPr>
        <w:tblStyle w:val="ListTable31"/>
        <w:tblW w:w="9058" w:type="dxa"/>
        <w:tblInd w:w="704" w:type="dxa"/>
        <w:tblLook w:val="04A0" w:firstRow="1" w:lastRow="0" w:firstColumn="1" w:lastColumn="0" w:noHBand="0" w:noVBand="1"/>
      </w:tblPr>
      <w:tblGrid>
        <w:gridCol w:w="1622"/>
        <w:gridCol w:w="897"/>
        <w:gridCol w:w="2383"/>
        <w:gridCol w:w="2894"/>
        <w:gridCol w:w="1262"/>
      </w:tblGrid>
      <w:tr w:rsidR="00A53C9F" w:rsidRPr="00A5167F" w14:paraId="409D489B" w14:textId="77777777" w:rsidTr="00F66493">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622" w:type="dxa"/>
          </w:tcPr>
          <w:p w14:paraId="38ADF932" w14:textId="77777777" w:rsidR="00A53C9F" w:rsidRPr="00A5167F" w:rsidRDefault="00A53C9F" w:rsidP="00C171EA">
            <w:pPr>
              <w:pStyle w:val="TableText"/>
              <w:rPr>
                <w:b w:val="0"/>
              </w:rPr>
            </w:pPr>
            <w:r w:rsidRPr="00A5167F">
              <w:rPr>
                <w:b w:val="0"/>
              </w:rPr>
              <w:t>Organisation</w:t>
            </w:r>
          </w:p>
        </w:tc>
        <w:tc>
          <w:tcPr>
            <w:tcW w:w="897" w:type="dxa"/>
          </w:tcPr>
          <w:p w14:paraId="053DD21A" w14:textId="77777777" w:rsidR="00A53C9F" w:rsidRPr="00A5167F" w:rsidRDefault="00A53C9F" w:rsidP="00C171EA">
            <w:pPr>
              <w:pStyle w:val="TableText"/>
              <w:cnfStyle w:val="100000000000" w:firstRow="1" w:lastRow="0" w:firstColumn="0" w:lastColumn="0" w:oddVBand="0" w:evenVBand="0" w:oddHBand="0" w:evenHBand="0" w:firstRowFirstColumn="0" w:firstRowLastColumn="0" w:lastRowFirstColumn="0" w:lastRowLastColumn="0"/>
              <w:rPr>
                <w:b w:val="0"/>
              </w:rPr>
            </w:pPr>
            <w:r w:rsidRPr="00A5167F">
              <w:rPr>
                <w:b w:val="0"/>
              </w:rPr>
              <w:t>Number</w:t>
            </w:r>
          </w:p>
        </w:tc>
        <w:tc>
          <w:tcPr>
            <w:tcW w:w="2383" w:type="dxa"/>
          </w:tcPr>
          <w:p w14:paraId="2FB1E83E" w14:textId="77777777" w:rsidR="00A53C9F" w:rsidRPr="00A5167F" w:rsidRDefault="00A53C9F" w:rsidP="00C171EA">
            <w:pPr>
              <w:pStyle w:val="TableText"/>
              <w:cnfStyle w:val="100000000000" w:firstRow="1" w:lastRow="0" w:firstColumn="0" w:lastColumn="0" w:oddVBand="0" w:evenVBand="0" w:oddHBand="0" w:evenHBand="0" w:firstRowFirstColumn="0" w:firstRowLastColumn="0" w:lastRowFirstColumn="0" w:lastRowLastColumn="0"/>
              <w:rPr>
                <w:b w:val="0"/>
              </w:rPr>
            </w:pPr>
            <w:r w:rsidRPr="00A5167F">
              <w:rPr>
                <w:b w:val="0"/>
              </w:rPr>
              <w:t>Nature of complaint</w:t>
            </w:r>
          </w:p>
        </w:tc>
        <w:tc>
          <w:tcPr>
            <w:tcW w:w="2894" w:type="dxa"/>
          </w:tcPr>
          <w:p w14:paraId="57276039" w14:textId="6987C95C" w:rsidR="00A53C9F" w:rsidRPr="00A5167F" w:rsidRDefault="00A53C9F" w:rsidP="00C171EA">
            <w:pPr>
              <w:pStyle w:val="TableText"/>
              <w:cnfStyle w:val="100000000000" w:firstRow="1" w:lastRow="0" w:firstColumn="0" w:lastColumn="0" w:oddVBand="0" w:evenVBand="0" w:oddHBand="0" w:evenHBand="0" w:firstRowFirstColumn="0" w:firstRowLastColumn="0" w:lastRowFirstColumn="0" w:lastRowLastColumn="0"/>
              <w:rPr>
                <w:b w:val="0"/>
              </w:rPr>
            </w:pPr>
            <w:r w:rsidRPr="00A5167F">
              <w:rPr>
                <w:b w:val="0"/>
              </w:rPr>
              <w:t>Action taken</w:t>
            </w:r>
          </w:p>
        </w:tc>
        <w:tc>
          <w:tcPr>
            <w:tcW w:w="1262" w:type="dxa"/>
          </w:tcPr>
          <w:p w14:paraId="1CA35269" w14:textId="77777777" w:rsidR="00A53C9F" w:rsidRPr="00A5167F" w:rsidRDefault="00A53C9F" w:rsidP="00C171EA">
            <w:pPr>
              <w:pStyle w:val="TableText"/>
              <w:cnfStyle w:val="100000000000" w:firstRow="1" w:lastRow="0" w:firstColumn="0" w:lastColumn="0" w:oddVBand="0" w:evenVBand="0" w:oddHBand="0" w:evenHBand="0" w:firstRowFirstColumn="0" w:firstRowLastColumn="0" w:lastRowFirstColumn="0" w:lastRowLastColumn="0"/>
              <w:rPr>
                <w:b w:val="0"/>
              </w:rPr>
            </w:pPr>
            <w:r w:rsidRPr="00A5167F">
              <w:rPr>
                <w:b w:val="0"/>
              </w:rPr>
              <w:t xml:space="preserve">Status </w:t>
            </w:r>
          </w:p>
        </w:tc>
      </w:tr>
      <w:tr w:rsidR="00A53C9F" w14:paraId="091C47DF" w14:textId="77777777" w:rsidTr="00F25B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2" w:type="dxa"/>
            <w:vMerge w:val="restart"/>
          </w:tcPr>
          <w:p w14:paraId="6CF74091" w14:textId="3329B8AC" w:rsidR="00A53C9F" w:rsidRPr="005E48D3" w:rsidRDefault="00546DF9" w:rsidP="00C171EA">
            <w:pPr>
              <w:pStyle w:val="TableText"/>
              <w:rPr>
                <w:b w:val="0"/>
              </w:rPr>
            </w:pPr>
            <w:r>
              <w:rPr>
                <w:b w:val="0"/>
              </w:rPr>
              <w:t xml:space="preserve">Department of </w:t>
            </w:r>
            <w:r w:rsidR="00A53C9F" w:rsidRPr="005E48D3">
              <w:rPr>
                <w:b w:val="0"/>
              </w:rPr>
              <w:t>Environment, Land, Water and Planning</w:t>
            </w:r>
          </w:p>
        </w:tc>
        <w:tc>
          <w:tcPr>
            <w:tcW w:w="897" w:type="dxa"/>
            <w:vMerge w:val="restart"/>
          </w:tcPr>
          <w:p w14:paraId="6474E7D8" w14:textId="77777777" w:rsidR="00A53C9F" w:rsidRPr="006619FA" w:rsidRDefault="00A53C9F" w:rsidP="00C171EA">
            <w:pPr>
              <w:pStyle w:val="Tablenumbers"/>
              <w:cnfStyle w:val="000000100000" w:firstRow="0" w:lastRow="0" w:firstColumn="0" w:lastColumn="0" w:oddVBand="0" w:evenVBand="0" w:oddHBand="1" w:evenHBand="0" w:firstRowFirstColumn="0" w:firstRowLastColumn="0" w:lastRowFirstColumn="0" w:lastRowLastColumn="0"/>
            </w:pPr>
            <w:r>
              <w:t>2</w:t>
            </w:r>
          </w:p>
        </w:tc>
        <w:tc>
          <w:tcPr>
            <w:tcW w:w="2383" w:type="dxa"/>
          </w:tcPr>
          <w:p w14:paraId="73EF3C55" w14:textId="77777777" w:rsidR="00A53C9F" w:rsidRPr="006619FA" w:rsidRDefault="00A53C9F" w:rsidP="00C171EA">
            <w:pPr>
              <w:pStyle w:val="TableText"/>
              <w:cnfStyle w:val="000000100000" w:firstRow="0" w:lastRow="0" w:firstColumn="0" w:lastColumn="0" w:oddVBand="0" w:evenVBand="0" w:oddHBand="1" w:evenHBand="0" w:firstRowFirstColumn="0" w:firstRowLastColumn="0" w:lastRowFirstColumn="0" w:lastRowLastColumn="0"/>
            </w:pPr>
            <w:r>
              <w:t>Non-acceptance of late tender due to tenderer having no internet connection</w:t>
            </w:r>
          </w:p>
        </w:tc>
        <w:tc>
          <w:tcPr>
            <w:tcW w:w="2894" w:type="dxa"/>
          </w:tcPr>
          <w:p w14:paraId="3BEA742D" w14:textId="739C30E7" w:rsidR="00A53C9F" w:rsidRPr="006619FA" w:rsidRDefault="00A53C9F" w:rsidP="00C171EA">
            <w:pPr>
              <w:pStyle w:val="TableText"/>
              <w:cnfStyle w:val="000000100000" w:firstRow="0" w:lastRow="0" w:firstColumn="0" w:lastColumn="0" w:oddVBand="0" w:evenVBand="0" w:oddHBand="1" w:evenHBand="0" w:firstRowFirstColumn="0" w:firstRowLastColumn="0" w:lastRowFirstColumn="0" w:lastRowLastColumn="0"/>
            </w:pPr>
            <w:r>
              <w:t>Examined issue and advised tender could not be admitted to evaluation process based on conditions of tender</w:t>
            </w:r>
            <w:r w:rsidR="0007325F">
              <w:t>.</w:t>
            </w:r>
          </w:p>
        </w:tc>
        <w:tc>
          <w:tcPr>
            <w:tcW w:w="1262" w:type="dxa"/>
          </w:tcPr>
          <w:p w14:paraId="2C77C062" w14:textId="77777777" w:rsidR="00A53C9F" w:rsidRPr="006619FA" w:rsidRDefault="00A53C9F" w:rsidP="00C171EA">
            <w:pPr>
              <w:pStyle w:val="TableText"/>
              <w:cnfStyle w:val="000000100000" w:firstRow="0" w:lastRow="0" w:firstColumn="0" w:lastColumn="0" w:oddVBand="0" w:evenVBand="0" w:oddHBand="1" w:evenHBand="0" w:firstRowFirstColumn="0" w:firstRowLastColumn="0" w:lastRowFirstColumn="0" w:lastRowLastColumn="0"/>
            </w:pPr>
            <w:r w:rsidRPr="008D58F4">
              <w:t>Matter resolved</w:t>
            </w:r>
          </w:p>
        </w:tc>
      </w:tr>
      <w:tr w:rsidR="00A53C9F" w14:paraId="2643410A" w14:textId="77777777" w:rsidTr="00F25B16">
        <w:tc>
          <w:tcPr>
            <w:cnfStyle w:val="001000000000" w:firstRow="0" w:lastRow="0" w:firstColumn="1" w:lastColumn="0" w:oddVBand="0" w:evenVBand="0" w:oddHBand="0" w:evenHBand="0" w:firstRowFirstColumn="0" w:firstRowLastColumn="0" w:lastRowFirstColumn="0" w:lastRowLastColumn="0"/>
            <w:tcW w:w="1622" w:type="dxa"/>
            <w:vMerge/>
          </w:tcPr>
          <w:p w14:paraId="1CFDE871" w14:textId="77777777" w:rsidR="00A53C9F" w:rsidRPr="005E48D3" w:rsidRDefault="00A53C9F" w:rsidP="00C171EA">
            <w:pPr>
              <w:pStyle w:val="TableText"/>
              <w:rPr>
                <w:b w:val="0"/>
              </w:rPr>
            </w:pPr>
          </w:p>
        </w:tc>
        <w:tc>
          <w:tcPr>
            <w:tcW w:w="897" w:type="dxa"/>
            <w:vMerge/>
          </w:tcPr>
          <w:p w14:paraId="53CAF3E4" w14:textId="77777777" w:rsidR="00A53C9F" w:rsidRPr="006619FA" w:rsidRDefault="00A53C9F" w:rsidP="00C171EA">
            <w:pPr>
              <w:pStyle w:val="Tablenumbers"/>
              <w:cnfStyle w:val="000000000000" w:firstRow="0" w:lastRow="0" w:firstColumn="0" w:lastColumn="0" w:oddVBand="0" w:evenVBand="0" w:oddHBand="0" w:evenHBand="0" w:firstRowFirstColumn="0" w:firstRowLastColumn="0" w:lastRowFirstColumn="0" w:lastRowLastColumn="0"/>
            </w:pPr>
          </w:p>
        </w:tc>
        <w:tc>
          <w:tcPr>
            <w:tcW w:w="2383" w:type="dxa"/>
          </w:tcPr>
          <w:p w14:paraId="2BFB5E8D" w14:textId="07CF025F" w:rsidR="00A53C9F" w:rsidRPr="006619FA" w:rsidRDefault="00A53C9F" w:rsidP="00C171EA">
            <w:pPr>
              <w:pStyle w:val="TableText"/>
              <w:cnfStyle w:val="000000000000" w:firstRow="0" w:lastRow="0" w:firstColumn="0" w:lastColumn="0" w:oddVBand="0" w:evenVBand="0" w:oddHBand="0" w:evenHBand="0" w:firstRowFirstColumn="0" w:firstRowLastColumn="0" w:lastRowFirstColumn="0" w:lastRowLastColumn="0"/>
            </w:pPr>
            <w:r>
              <w:t>Non-acceptance of late tender due to failure to comply with lodgement protocol (tender sent by email instead of Tenders V</w:t>
            </w:r>
            <w:r w:rsidR="00A5167F">
              <w:t>ic</w:t>
            </w:r>
            <w:r>
              <w:t>)</w:t>
            </w:r>
          </w:p>
        </w:tc>
        <w:tc>
          <w:tcPr>
            <w:tcW w:w="2894" w:type="dxa"/>
          </w:tcPr>
          <w:p w14:paraId="65671033" w14:textId="4A0D0A86" w:rsidR="00A53C9F" w:rsidRPr="006619FA" w:rsidRDefault="00A53C9F" w:rsidP="00C171EA">
            <w:pPr>
              <w:pStyle w:val="TableText"/>
              <w:cnfStyle w:val="000000000000" w:firstRow="0" w:lastRow="0" w:firstColumn="0" w:lastColumn="0" w:oddVBand="0" w:evenVBand="0" w:oddHBand="0" w:evenHBand="0" w:firstRowFirstColumn="0" w:firstRowLastColumn="0" w:lastRowFirstColumn="0" w:lastRowLastColumn="0"/>
            </w:pPr>
            <w:r>
              <w:t>Examined issue and advised tender could not be admitted to evaluation process based on conditions of tender</w:t>
            </w:r>
            <w:r w:rsidR="0007325F">
              <w:t>.</w:t>
            </w:r>
          </w:p>
        </w:tc>
        <w:tc>
          <w:tcPr>
            <w:tcW w:w="1262" w:type="dxa"/>
          </w:tcPr>
          <w:p w14:paraId="3DE57195" w14:textId="77777777" w:rsidR="00A53C9F" w:rsidRPr="006619FA" w:rsidRDefault="00A53C9F" w:rsidP="00C171EA">
            <w:pPr>
              <w:pStyle w:val="TableText"/>
              <w:cnfStyle w:val="000000000000" w:firstRow="0" w:lastRow="0" w:firstColumn="0" w:lastColumn="0" w:oddVBand="0" w:evenVBand="0" w:oddHBand="0" w:evenHBand="0" w:firstRowFirstColumn="0" w:firstRowLastColumn="0" w:lastRowFirstColumn="0" w:lastRowLastColumn="0"/>
            </w:pPr>
            <w:r>
              <w:t xml:space="preserve">Matter resolved </w:t>
            </w:r>
          </w:p>
        </w:tc>
      </w:tr>
      <w:tr w:rsidR="00A53C9F" w14:paraId="434EB762" w14:textId="77777777" w:rsidTr="00F25B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2" w:type="dxa"/>
          </w:tcPr>
          <w:p w14:paraId="7D22E349" w14:textId="629E6A03" w:rsidR="00A53C9F" w:rsidRPr="005E48D3" w:rsidRDefault="00546DF9" w:rsidP="00C171EA">
            <w:pPr>
              <w:pStyle w:val="TableText"/>
              <w:rPr>
                <w:b w:val="0"/>
              </w:rPr>
            </w:pPr>
            <w:r>
              <w:rPr>
                <w:b w:val="0"/>
              </w:rPr>
              <w:t xml:space="preserve">Department of </w:t>
            </w:r>
            <w:r w:rsidR="00A53C9F">
              <w:rPr>
                <w:b w:val="0"/>
              </w:rPr>
              <w:t>Health and Human Services</w:t>
            </w:r>
          </w:p>
        </w:tc>
        <w:tc>
          <w:tcPr>
            <w:tcW w:w="897" w:type="dxa"/>
          </w:tcPr>
          <w:p w14:paraId="3E7672BD" w14:textId="77777777" w:rsidR="00A53C9F" w:rsidRPr="006619FA" w:rsidRDefault="00A53C9F" w:rsidP="00C171EA">
            <w:pPr>
              <w:pStyle w:val="Tablenumbers"/>
              <w:cnfStyle w:val="000000100000" w:firstRow="0" w:lastRow="0" w:firstColumn="0" w:lastColumn="0" w:oddVBand="0" w:evenVBand="0" w:oddHBand="1" w:evenHBand="0" w:firstRowFirstColumn="0" w:firstRowLastColumn="0" w:lastRowFirstColumn="0" w:lastRowLastColumn="0"/>
            </w:pPr>
            <w:r w:rsidRPr="006619FA">
              <w:t>1</w:t>
            </w:r>
          </w:p>
        </w:tc>
        <w:tc>
          <w:tcPr>
            <w:tcW w:w="2383" w:type="dxa"/>
          </w:tcPr>
          <w:p w14:paraId="611C8304" w14:textId="3EF43911" w:rsidR="00A53C9F" w:rsidRPr="006619FA" w:rsidRDefault="00A53C9F" w:rsidP="00C171EA">
            <w:pPr>
              <w:pStyle w:val="TableText"/>
              <w:cnfStyle w:val="000000100000" w:firstRow="0" w:lastRow="0" w:firstColumn="0" w:lastColumn="0" w:oddVBand="0" w:evenVBand="0" w:oddHBand="1" w:evenHBand="0" w:firstRowFirstColumn="0" w:firstRowLastColumn="0" w:lastRowFirstColumn="0" w:lastRowLastColumn="0"/>
            </w:pPr>
            <w:r w:rsidRPr="008D58F4">
              <w:t xml:space="preserve">Appeal </w:t>
            </w:r>
            <w:r w:rsidR="0070033A">
              <w:t>on</w:t>
            </w:r>
            <w:r w:rsidRPr="008D58F4">
              <w:t xml:space="preserve"> non-acceptance of a late bid</w:t>
            </w:r>
          </w:p>
        </w:tc>
        <w:tc>
          <w:tcPr>
            <w:tcW w:w="2894" w:type="dxa"/>
          </w:tcPr>
          <w:p w14:paraId="1DDB1FCD" w14:textId="77777777" w:rsidR="00A53C9F" w:rsidRPr="006619FA" w:rsidRDefault="00A53C9F" w:rsidP="00C171EA">
            <w:pPr>
              <w:pStyle w:val="TableText"/>
              <w:cnfStyle w:val="000000100000" w:firstRow="0" w:lastRow="0" w:firstColumn="0" w:lastColumn="0" w:oddVBand="0" w:evenVBand="0" w:oddHBand="1" w:evenHBand="0" w:firstRowFirstColumn="0" w:firstRowLastColumn="0" w:lastRowFirstColumn="0" w:lastRowLastColumn="0"/>
            </w:pPr>
            <w:r w:rsidRPr="008D58F4">
              <w:t>Appeal was review</w:t>
            </w:r>
            <w:r>
              <w:t>ed</w:t>
            </w:r>
            <w:r w:rsidRPr="008D58F4">
              <w:t xml:space="preserve"> and confirmed as ineligible for any further consideration.</w:t>
            </w:r>
          </w:p>
        </w:tc>
        <w:tc>
          <w:tcPr>
            <w:tcW w:w="1262" w:type="dxa"/>
          </w:tcPr>
          <w:p w14:paraId="7A5FABCC" w14:textId="77777777" w:rsidR="00A53C9F" w:rsidRPr="006619FA" w:rsidRDefault="00A53C9F" w:rsidP="00C171EA">
            <w:pPr>
              <w:pStyle w:val="TableText"/>
              <w:cnfStyle w:val="000000100000" w:firstRow="0" w:lastRow="0" w:firstColumn="0" w:lastColumn="0" w:oddVBand="0" w:evenVBand="0" w:oddHBand="1" w:evenHBand="0" w:firstRowFirstColumn="0" w:firstRowLastColumn="0" w:lastRowFirstColumn="0" w:lastRowLastColumn="0"/>
            </w:pPr>
            <w:r w:rsidRPr="008D58F4">
              <w:t>Matter resolved</w:t>
            </w:r>
          </w:p>
        </w:tc>
      </w:tr>
      <w:tr w:rsidR="005E4AF7" w14:paraId="59DDCBE6" w14:textId="77777777" w:rsidTr="00F25B16">
        <w:tc>
          <w:tcPr>
            <w:cnfStyle w:val="001000000000" w:firstRow="0" w:lastRow="0" w:firstColumn="1" w:lastColumn="0" w:oddVBand="0" w:evenVBand="0" w:oddHBand="0" w:evenHBand="0" w:firstRowFirstColumn="0" w:firstRowLastColumn="0" w:lastRowFirstColumn="0" w:lastRowLastColumn="0"/>
            <w:tcW w:w="1622" w:type="dxa"/>
            <w:vMerge w:val="restart"/>
          </w:tcPr>
          <w:p w14:paraId="1EF2270F" w14:textId="7255D286" w:rsidR="005E4AF7" w:rsidRPr="005E48D3" w:rsidRDefault="00546DF9" w:rsidP="00C171EA">
            <w:pPr>
              <w:pStyle w:val="TableText"/>
              <w:rPr>
                <w:b w:val="0"/>
              </w:rPr>
            </w:pPr>
            <w:r>
              <w:rPr>
                <w:b w:val="0"/>
              </w:rPr>
              <w:t xml:space="preserve">Department of </w:t>
            </w:r>
            <w:r w:rsidR="005E4AF7">
              <w:rPr>
                <w:b w:val="0"/>
              </w:rPr>
              <w:t>Treasury and Finance</w:t>
            </w:r>
          </w:p>
        </w:tc>
        <w:tc>
          <w:tcPr>
            <w:tcW w:w="897" w:type="dxa"/>
            <w:vMerge w:val="restart"/>
          </w:tcPr>
          <w:p w14:paraId="4AD12F88" w14:textId="24270FBA" w:rsidR="005E4AF7" w:rsidRDefault="005E4AF7" w:rsidP="00C171EA">
            <w:pPr>
              <w:pStyle w:val="Tablenumbers"/>
              <w:cnfStyle w:val="000000000000" w:firstRow="0" w:lastRow="0" w:firstColumn="0" w:lastColumn="0" w:oddVBand="0" w:evenVBand="0" w:oddHBand="0" w:evenHBand="0" w:firstRowFirstColumn="0" w:firstRowLastColumn="0" w:lastRowFirstColumn="0" w:lastRowLastColumn="0"/>
            </w:pPr>
            <w:r>
              <w:t>2</w:t>
            </w:r>
          </w:p>
        </w:tc>
        <w:tc>
          <w:tcPr>
            <w:tcW w:w="2383" w:type="dxa"/>
          </w:tcPr>
          <w:p w14:paraId="56196060" w14:textId="32B9263C" w:rsidR="005E4AF7" w:rsidRDefault="005E4AF7" w:rsidP="00C171EA">
            <w:pPr>
              <w:pStyle w:val="TableText"/>
              <w:cnfStyle w:val="000000000000" w:firstRow="0" w:lastRow="0" w:firstColumn="0" w:lastColumn="0" w:oddVBand="0" w:evenVBand="0" w:oddHBand="0" w:evenHBand="0" w:firstRowFirstColumn="0" w:firstRowLastColumn="0" w:lastRowFirstColumn="0" w:lastRowLastColumn="0"/>
            </w:pPr>
            <w:r>
              <w:t>P</w:t>
            </w:r>
            <w:r w:rsidRPr="006E48ED">
              <w:t>rocedural issues relating to manag</w:t>
            </w:r>
            <w:r>
              <w:t>ing</w:t>
            </w:r>
            <w:r w:rsidRPr="006E48ED">
              <w:t xml:space="preserve"> tenders for the M</w:t>
            </w:r>
            <w:r w:rsidR="00F25B16">
              <w:t xml:space="preserve">aster </w:t>
            </w:r>
            <w:r w:rsidRPr="006E48ED">
              <w:t>A</w:t>
            </w:r>
            <w:r w:rsidR="00F25B16">
              <w:t xml:space="preserve">gency </w:t>
            </w:r>
            <w:r w:rsidRPr="006E48ED">
              <w:t>M</w:t>
            </w:r>
            <w:r w:rsidR="00F25B16">
              <w:t xml:space="preserve">edia </w:t>
            </w:r>
            <w:r w:rsidRPr="006E48ED">
              <w:t>S</w:t>
            </w:r>
            <w:r w:rsidR="00F25B16">
              <w:t>ervices</w:t>
            </w:r>
            <w:r w:rsidRPr="006E48ED">
              <w:t xml:space="preserve"> SPC</w:t>
            </w:r>
          </w:p>
        </w:tc>
        <w:tc>
          <w:tcPr>
            <w:tcW w:w="2894" w:type="dxa"/>
          </w:tcPr>
          <w:p w14:paraId="26933943" w14:textId="0C31A7BE" w:rsidR="005E4AF7" w:rsidRPr="005E4AF7" w:rsidRDefault="005E4AF7" w:rsidP="00C171EA">
            <w:pPr>
              <w:pStyle w:val="TableHeader"/>
              <w:cnfStyle w:val="000000000000" w:firstRow="0" w:lastRow="0" w:firstColumn="0" w:lastColumn="0" w:oddVBand="0" w:evenVBand="0" w:oddHBand="0" w:evenHBand="0" w:firstRowFirstColumn="0" w:firstRowLastColumn="0" w:lastRowFirstColumn="0" w:lastRowLastColumn="0"/>
              <w:rPr>
                <w:b w:val="0"/>
                <w:color w:val="auto"/>
                <w:sz w:val="20"/>
              </w:rPr>
            </w:pPr>
            <w:r>
              <w:rPr>
                <w:b w:val="0"/>
                <w:color w:val="auto"/>
                <w:sz w:val="20"/>
              </w:rPr>
              <w:t>C</w:t>
            </w:r>
            <w:r w:rsidRPr="005E4AF7">
              <w:rPr>
                <w:b w:val="0"/>
                <w:color w:val="auto"/>
                <w:sz w:val="20"/>
              </w:rPr>
              <w:t>omplaint was not substantiated</w:t>
            </w:r>
            <w:r>
              <w:rPr>
                <w:b w:val="0"/>
                <w:color w:val="auto"/>
                <w:sz w:val="20"/>
              </w:rPr>
              <w:t>. A</w:t>
            </w:r>
            <w:r w:rsidRPr="005E4AF7">
              <w:rPr>
                <w:b w:val="0"/>
                <w:color w:val="auto"/>
                <w:sz w:val="20"/>
              </w:rPr>
              <w:t>n internal report (confidential, independent) found no basis to the issues raised by the complainant.</w:t>
            </w:r>
          </w:p>
        </w:tc>
        <w:tc>
          <w:tcPr>
            <w:tcW w:w="1262" w:type="dxa"/>
          </w:tcPr>
          <w:p w14:paraId="790898E0" w14:textId="01143F6C" w:rsidR="005E4AF7" w:rsidRDefault="005E4AF7" w:rsidP="00C171EA">
            <w:pPr>
              <w:pStyle w:val="TableText"/>
              <w:cnfStyle w:val="000000000000" w:firstRow="0" w:lastRow="0" w:firstColumn="0" w:lastColumn="0" w:oddVBand="0" w:evenVBand="0" w:oddHBand="0" w:evenHBand="0" w:firstRowFirstColumn="0" w:firstRowLastColumn="0" w:lastRowFirstColumn="0" w:lastRowLastColumn="0"/>
            </w:pPr>
            <w:r w:rsidRPr="006E48ED">
              <w:rPr>
                <w:sz w:val="18"/>
                <w:szCs w:val="18"/>
              </w:rPr>
              <w:t>Matter resolved</w:t>
            </w:r>
          </w:p>
        </w:tc>
      </w:tr>
      <w:tr w:rsidR="005E4AF7" w14:paraId="5F2785FD" w14:textId="77777777" w:rsidTr="00F25B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2" w:type="dxa"/>
            <w:vMerge/>
          </w:tcPr>
          <w:p w14:paraId="778BF4D5" w14:textId="77777777" w:rsidR="005E4AF7" w:rsidRDefault="005E4AF7" w:rsidP="00C171EA">
            <w:pPr>
              <w:pStyle w:val="TableText"/>
              <w:rPr>
                <w:b w:val="0"/>
              </w:rPr>
            </w:pPr>
          </w:p>
        </w:tc>
        <w:tc>
          <w:tcPr>
            <w:tcW w:w="897" w:type="dxa"/>
            <w:vMerge/>
          </w:tcPr>
          <w:p w14:paraId="4F3C999F" w14:textId="77777777" w:rsidR="005E4AF7" w:rsidRDefault="005E4AF7" w:rsidP="00C171EA">
            <w:pPr>
              <w:pStyle w:val="Tablenumbers"/>
              <w:cnfStyle w:val="000000100000" w:firstRow="0" w:lastRow="0" w:firstColumn="0" w:lastColumn="0" w:oddVBand="0" w:evenVBand="0" w:oddHBand="1" w:evenHBand="0" w:firstRowFirstColumn="0" w:firstRowLastColumn="0" w:lastRowFirstColumn="0" w:lastRowLastColumn="0"/>
            </w:pPr>
          </w:p>
        </w:tc>
        <w:tc>
          <w:tcPr>
            <w:tcW w:w="2383" w:type="dxa"/>
          </w:tcPr>
          <w:p w14:paraId="62DE478B" w14:textId="74312085" w:rsidR="005E4AF7" w:rsidRDefault="005E4AF7" w:rsidP="00C171EA">
            <w:pPr>
              <w:pStyle w:val="TableText"/>
              <w:cnfStyle w:val="000000100000" w:firstRow="0" w:lastRow="0" w:firstColumn="0" w:lastColumn="0" w:oddVBand="0" w:evenVBand="0" w:oddHBand="1" w:evenHBand="0" w:firstRowFirstColumn="0" w:firstRowLastColumn="0" w:lastRowFirstColumn="0" w:lastRowLastColumn="0"/>
            </w:pPr>
            <w:r>
              <w:t>P</w:t>
            </w:r>
            <w:r w:rsidRPr="006E48ED">
              <w:t>rocedural issues relating to manag</w:t>
            </w:r>
            <w:r>
              <w:t>ing</w:t>
            </w:r>
            <w:r w:rsidRPr="006E48ED">
              <w:t xml:space="preserve"> tenders for the Security Services SPC</w:t>
            </w:r>
          </w:p>
        </w:tc>
        <w:tc>
          <w:tcPr>
            <w:tcW w:w="2894" w:type="dxa"/>
          </w:tcPr>
          <w:p w14:paraId="0F3E9E17" w14:textId="4CF7A247" w:rsidR="005E4AF7" w:rsidRPr="005E4AF7" w:rsidRDefault="005E4AF7" w:rsidP="005E4AF7">
            <w:pPr>
              <w:pStyle w:val="TableHeader"/>
              <w:cnfStyle w:val="000000100000" w:firstRow="0" w:lastRow="0" w:firstColumn="0" w:lastColumn="0" w:oddVBand="0" w:evenVBand="0" w:oddHBand="1" w:evenHBand="0" w:firstRowFirstColumn="0" w:firstRowLastColumn="0" w:lastRowFirstColumn="0" w:lastRowLastColumn="0"/>
              <w:rPr>
                <w:b w:val="0"/>
                <w:color w:val="auto"/>
                <w:sz w:val="20"/>
              </w:rPr>
            </w:pPr>
            <w:r>
              <w:rPr>
                <w:b w:val="0"/>
                <w:color w:val="auto"/>
                <w:sz w:val="20"/>
              </w:rPr>
              <w:t>C</w:t>
            </w:r>
            <w:r w:rsidRPr="005E4AF7">
              <w:rPr>
                <w:b w:val="0"/>
                <w:color w:val="auto"/>
                <w:sz w:val="20"/>
              </w:rPr>
              <w:t>omplaint was not substantiated</w:t>
            </w:r>
            <w:r>
              <w:rPr>
                <w:b w:val="0"/>
                <w:color w:val="auto"/>
                <w:sz w:val="20"/>
              </w:rPr>
              <w:t>. A</w:t>
            </w:r>
            <w:r w:rsidRPr="005E4AF7">
              <w:rPr>
                <w:b w:val="0"/>
                <w:color w:val="auto"/>
                <w:sz w:val="20"/>
              </w:rPr>
              <w:t xml:space="preserve">n internal report (confidential, independent) </w:t>
            </w:r>
            <w:r w:rsidRPr="005E4AF7">
              <w:rPr>
                <w:b w:val="0"/>
                <w:color w:val="auto"/>
                <w:sz w:val="20"/>
              </w:rPr>
              <w:lastRenderedPageBreak/>
              <w:t>found no basis to the issues raised by the complainant.</w:t>
            </w:r>
          </w:p>
          <w:p w14:paraId="70438EAD" w14:textId="5080F47E" w:rsidR="005E4AF7" w:rsidRPr="005E4AF7" w:rsidRDefault="005E4AF7" w:rsidP="005E4AF7">
            <w:pPr>
              <w:pStyle w:val="TableHeader"/>
              <w:cnfStyle w:val="000000100000" w:firstRow="0" w:lastRow="0" w:firstColumn="0" w:lastColumn="0" w:oddVBand="0" w:evenVBand="0" w:oddHBand="1" w:evenHBand="0" w:firstRowFirstColumn="0" w:firstRowLastColumn="0" w:lastRowFirstColumn="0" w:lastRowLastColumn="0"/>
              <w:rPr>
                <w:b w:val="0"/>
                <w:color w:val="auto"/>
                <w:sz w:val="20"/>
              </w:rPr>
            </w:pPr>
            <w:r>
              <w:rPr>
                <w:b w:val="0"/>
                <w:color w:val="auto"/>
                <w:sz w:val="20"/>
              </w:rPr>
              <w:t>C</w:t>
            </w:r>
            <w:r w:rsidRPr="005E4AF7">
              <w:rPr>
                <w:b w:val="0"/>
                <w:color w:val="auto"/>
                <w:sz w:val="20"/>
              </w:rPr>
              <w:t>omplainant was advised that escalati</w:t>
            </w:r>
            <w:r>
              <w:rPr>
                <w:b w:val="0"/>
                <w:color w:val="auto"/>
                <w:sz w:val="20"/>
              </w:rPr>
              <w:t>ng</w:t>
            </w:r>
            <w:r w:rsidRPr="005E4AF7">
              <w:rPr>
                <w:b w:val="0"/>
                <w:color w:val="auto"/>
                <w:sz w:val="20"/>
              </w:rPr>
              <w:t xml:space="preserve"> to the VGPB was the last avenue.</w:t>
            </w:r>
          </w:p>
          <w:p w14:paraId="046B9716" w14:textId="09DF7B8F" w:rsidR="005E4AF7" w:rsidRPr="005E4AF7" w:rsidRDefault="005E4AF7" w:rsidP="005E4AF7">
            <w:pPr>
              <w:pStyle w:val="TableHeader"/>
              <w:cnfStyle w:val="000000100000" w:firstRow="0" w:lastRow="0" w:firstColumn="0" w:lastColumn="0" w:oddVBand="0" w:evenVBand="0" w:oddHBand="1" w:evenHBand="0" w:firstRowFirstColumn="0" w:firstRowLastColumn="0" w:lastRowFirstColumn="0" w:lastRowLastColumn="0"/>
              <w:rPr>
                <w:b w:val="0"/>
                <w:color w:val="auto"/>
                <w:sz w:val="20"/>
              </w:rPr>
            </w:pPr>
            <w:r w:rsidRPr="001C758F">
              <w:rPr>
                <w:b w:val="0"/>
                <w:color w:val="auto"/>
                <w:sz w:val="20"/>
              </w:rPr>
              <w:t xml:space="preserve">The matter was referred to the VGPB by the complainant. </w:t>
            </w:r>
            <w:r w:rsidR="001D28F0" w:rsidRPr="001C758F">
              <w:rPr>
                <w:b w:val="0"/>
                <w:color w:val="auto"/>
                <w:sz w:val="20"/>
              </w:rPr>
              <w:t xml:space="preserve">The </w:t>
            </w:r>
            <w:r w:rsidRPr="001C758F">
              <w:rPr>
                <w:b w:val="0"/>
                <w:color w:val="auto"/>
                <w:sz w:val="20"/>
              </w:rPr>
              <w:t xml:space="preserve">VGPB is engaging an independent </w:t>
            </w:r>
            <w:r w:rsidR="006B53D6" w:rsidRPr="001C758F">
              <w:rPr>
                <w:b w:val="0"/>
                <w:color w:val="auto"/>
                <w:sz w:val="20"/>
              </w:rPr>
              <w:t>probity au</w:t>
            </w:r>
            <w:r w:rsidRPr="001C758F">
              <w:rPr>
                <w:b w:val="0"/>
                <w:color w:val="auto"/>
                <w:sz w:val="20"/>
              </w:rPr>
              <w:t>ditor to investigate and provide a report.</w:t>
            </w:r>
          </w:p>
        </w:tc>
        <w:tc>
          <w:tcPr>
            <w:tcW w:w="1262" w:type="dxa"/>
          </w:tcPr>
          <w:p w14:paraId="2E8FD693" w14:textId="021B3FEB" w:rsidR="005E4AF7" w:rsidRDefault="00105FDC" w:rsidP="00C171EA">
            <w:pPr>
              <w:pStyle w:val="TableText"/>
              <w:cnfStyle w:val="000000100000" w:firstRow="0" w:lastRow="0" w:firstColumn="0" w:lastColumn="0" w:oddVBand="0" w:evenVBand="0" w:oddHBand="1" w:evenHBand="0" w:firstRowFirstColumn="0" w:firstRowLastColumn="0" w:lastRowFirstColumn="0" w:lastRowLastColumn="0"/>
            </w:pPr>
            <w:r>
              <w:lastRenderedPageBreak/>
              <w:t>Referred to VGPB</w:t>
            </w:r>
          </w:p>
        </w:tc>
      </w:tr>
      <w:tr w:rsidR="001E332D" w14:paraId="595F57BC" w14:textId="77777777" w:rsidTr="00AC6DC4">
        <w:tc>
          <w:tcPr>
            <w:cnfStyle w:val="001000000000" w:firstRow="0" w:lastRow="0" w:firstColumn="1" w:lastColumn="0" w:oddVBand="0" w:evenVBand="0" w:oddHBand="0" w:evenHBand="0" w:firstRowFirstColumn="0" w:firstRowLastColumn="0" w:lastRowFirstColumn="0" w:lastRowLastColumn="0"/>
            <w:tcW w:w="1622" w:type="dxa"/>
            <w:vMerge w:val="restart"/>
          </w:tcPr>
          <w:p w14:paraId="102ACAD9" w14:textId="77777777" w:rsidR="001E332D" w:rsidRPr="007225D1" w:rsidRDefault="001E332D" w:rsidP="00AC6DC4">
            <w:pPr>
              <w:pStyle w:val="TableText"/>
              <w:rPr>
                <w:b w:val="0"/>
              </w:rPr>
            </w:pPr>
            <w:r w:rsidRPr="007225D1">
              <w:rPr>
                <w:b w:val="0"/>
              </w:rPr>
              <w:t>Public Transport Victoria</w:t>
            </w:r>
          </w:p>
        </w:tc>
        <w:tc>
          <w:tcPr>
            <w:tcW w:w="897" w:type="dxa"/>
            <w:vMerge w:val="restart"/>
          </w:tcPr>
          <w:p w14:paraId="54B4A326" w14:textId="77777777" w:rsidR="001E332D" w:rsidRPr="006619FA" w:rsidRDefault="001E332D" w:rsidP="00AC6DC4">
            <w:pPr>
              <w:pStyle w:val="Tablenumbers"/>
              <w:cnfStyle w:val="000000000000" w:firstRow="0" w:lastRow="0" w:firstColumn="0" w:lastColumn="0" w:oddVBand="0" w:evenVBand="0" w:oddHBand="0" w:evenHBand="0" w:firstRowFirstColumn="0" w:firstRowLastColumn="0" w:lastRowFirstColumn="0" w:lastRowLastColumn="0"/>
            </w:pPr>
            <w:r>
              <w:t>2</w:t>
            </w:r>
          </w:p>
        </w:tc>
        <w:tc>
          <w:tcPr>
            <w:tcW w:w="2383" w:type="dxa"/>
          </w:tcPr>
          <w:p w14:paraId="30E3CB1D" w14:textId="77777777" w:rsidR="001E332D" w:rsidRPr="008D58F4" w:rsidRDefault="001E332D" w:rsidP="00AC6DC4">
            <w:pPr>
              <w:pStyle w:val="TableText"/>
              <w:cnfStyle w:val="000000000000" w:firstRow="0" w:lastRow="0" w:firstColumn="0" w:lastColumn="0" w:oddVBand="0" w:evenVBand="0" w:oddHBand="0" w:evenHBand="0" w:firstRowFirstColumn="0" w:firstRowLastColumn="0" w:lastRowFirstColumn="0" w:lastRowLastColumn="0"/>
            </w:pPr>
            <w:r w:rsidRPr="004276F0">
              <w:t>Disput</w:t>
            </w:r>
            <w:r>
              <w:t xml:space="preserve">ed </w:t>
            </w:r>
            <w:r w:rsidRPr="004276F0">
              <w:t>the performance outcome of</w:t>
            </w:r>
            <w:r>
              <w:t xml:space="preserve"> a t</w:t>
            </w:r>
            <w:r w:rsidRPr="004276F0">
              <w:t>ender</w:t>
            </w:r>
          </w:p>
        </w:tc>
        <w:tc>
          <w:tcPr>
            <w:tcW w:w="2894" w:type="dxa"/>
          </w:tcPr>
          <w:p w14:paraId="2DF3D700" w14:textId="77777777" w:rsidR="001E332D" w:rsidRPr="008D58F4" w:rsidRDefault="001E332D" w:rsidP="00AC6DC4">
            <w:pPr>
              <w:pStyle w:val="TableText"/>
              <w:cnfStyle w:val="000000000000" w:firstRow="0" w:lastRow="0" w:firstColumn="0" w:lastColumn="0" w:oddVBand="0" w:evenVBand="0" w:oddHBand="0" w:evenHBand="0" w:firstRowFirstColumn="0" w:firstRowLastColumn="0" w:lastRowFirstColumn="0" w:lastRowLastColumn="0"/>
            </w:pPr>
            <w:r>
              <w:t xml:space="preserve">The complaint was related to the franchisee tender process so was referred to the franchisee for action. Discussed with complainant and no further action taken. </w:t>
            </w:r>
          </w:p>
        </w:tc>
        <w:tc>
          <w:tcPr>
            <w:tcW w:w="1262" w:type="dxa"/>
          </w:tcPr>
          <w:p w14:paraId="7E8BEF11" w14:textId="77777777" w:rsidR="001E332D" w:rsidRPr="008D58F4" w:rsidRDefault="001E332D" w:rsidP="00AC6DC4">
            <w:pPr>
              <w:pStyle w:val="TableText"/>
              <w:cnfStyle w:val="000000000000" w:firstRow="0" w:lastRow="0" w:firstColumn="0" w:lastColumn="0" w:oddVBand="0" w:evenVBand="0" w:oddHBand="0" w:evenHBand="0" w:firstRowFirstColumn="0" w:firstRowLastColumn="0" w:lastRowFirstColumn="0" w:lastRowLastColumn="0"/>
            </w:pPr>
            <w:r>
              <w:t xml:space="preserve">Matter resolved </w:t>
            </w:r>
          </w:p>
        </w:tc>
      </w:tr>
      <w:tr w:rsidR="001E332D" w14:paraId="7B28DBDE" w14:textId="77777777" w:rsidTr="00AC6D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2" w:type="dxa"/>
            <w:vMerge/>
          </w:tcPr>
          <w:p w14:paraId="39B5AB2D" w14:textId="77777777" w:rsidR="001E332D" w:rsidRDefault="001E332D" w:rsidP="00AC6DC4">
            <w:pPr>
              <w:pStyle w:val="TableText"/>
            </w:pPr>
          </w:p>
        </w:tc>
        <w:tc>
          <w:tcPr>
            <w:tcW w:w="897" w:type="dxa"/>
            <w:vMerge/>
          </w:tcPr>
          <w:p w14:paraId="0974BC10" w14:textId="77777777" w:rsidR="001E332D" w:rsidRDefault="001E332D" w:rsidP="00AC6DC4">
            <w:pPr>
              <w:pStyle w:val="Tablenumbers"/>
              <w:cnfStyle w:val="000000100000" w:firstRow="0" w:lastRow="0" w:firstColumn="0" w:lastColumn="0" w:oddVBand="0" w:evenVBand="0" w:oddHBand="1" w:evenHBand="0" w:firstRowFirstColumn="0" w:firstRowLastColumn="0" w:lastRowFirstColumn="0" w:lastRowLastColumn="0"/>
            </w:pPr>
          </w:p>
        </w:tc>
        <w:tc>
          <w:tcPr>
            <w:tcW w:w="2383" w:type="dxa"/>
          </w:tcPr>
          <w:p w14:paraId="5E5F55B4" w14:textId="77777777" w:rsidR="001E332D" w:rsidRPr="008D58F4" w:rsidRDefault="001E332D" w:rsidP="00AC6DC4">
            <w:pPr>
              <w:pStyle w:val="TableText"/>
              <w:cnfStyle w:val="000000100000" w:firstRow="0" w:lastRow="0" w:firstColumn="0" w:lastColumn="0" w:oddVBand="0" w:evenVBand="0" w:oddHBand="1" w:evenHBand="0" w:firstRowFirstColumn="0" w:firstRowLastColumn="0" w:lastRowFirstColumn="0" w:lastRowLastColumn="0"/>
            </w:pPr>
            <w:r w:rsidRPr="001C20A4">
              <w:t>Disput</w:t>
            </w:r>
            <w:r>
              <w:t xml:space="preserve">e of an </w:t>
            </w:r>
            <w:r w:rsidRPr="001C20A4">
              <w:t>RFT outcome</w:t>
            </w:r>
            <w:r>
              <w:t xml:space="preserve"> based on p</w:t>
            </w:r>
            <w:r w:rsidRPr="001C20A4">
              <w:t>rocess deficiencies and the rationale for</w:t>
            </w:r>
            <w:r>
              <w:t xml:space="preserve"> the market approach</w:t>
            </w:r>
          </w:p>
        </w:tc>
        <w:tc>
          <w:tcPr>
            <w:tcW w:w="2894" w:type="dxa"/>
          </w:tcPr>
          <w:p w14:paraId="0A67B475" w14:textId="77777777" w:rsidR="001E332D" w:rsidRPr="008D58F4" w:rsidRDefault="001E332D" w:rsidP="00AC6DC4">
            <w:pPr>
              <w:pStyle w:val="TableText"/>
              <w:cnfStyle w:val="000000100000" w:firstRow="0" w:lastRow="0" w:firstColumn="0" w:lastColumn="0" w:oddVBand="0" w:evenVBand="0" w:oddHBand="1" w:evenHBand="0" w:firstRowFirstColumn="0" w:firstRowLastColumn="0" w:lastRowFirstColumn="0" w:lastRowLastColumn="0"/>
            </w:pPr>
            <w:r>
              <w:t xml:space="preserve">Completed an internal independent review of procurement process, evaluating all tender submissions. Review concluded that the process was fair and proper. </w:t>
            </w:r>
          </w:p>
        </w:tc>
        <w:tc>
          <w:tcPr>
            <w:tcW w:w="1262" w:type="dxa"/>
          </w:tcPr>
          <w:p w14:paraId="4782ACB8" w14:textId="77777777" w:rsidR="001E332D" w:rsidRPr="008D58F4" w:rsidRDefault="001E332D" w:rsidP="00AC6DC4">
            <w:pPr>
              <w:pStyle w:val="TableText"/>
              <w:cnfStyle w:val="000000100000" w:firstRow="0" w:lastRow="0" w:firstColumn="0" w:lastColumn="0" w:oddVBand="0" w:evenVBand="0" w:oddHBand="1" w:evenHBand="0" w:firstRowFirstColumn="0" w:firstRowLastColumn="0" w:lastRowFirstColumn="0" w:lastRowLastColumn="0"/>
            </w:pPr>
            <w:r>
              <w:t>Matter resolved</w:t>
            </w:r>
          </w:p>
        </w:tc>
      </w:tr>
      <w:tr w:rsidR="00A53C9F" w14:paraId="65AC5FB5" w14:textId="77777777" w:rsidTr="00F25B16">
        <w:tc>
          <w:tcPr>
            <w:cnfStyle w:val="001000000000" w:firstRow="0" w:lastRow="0" w:firstColumn="1" w:lastColumn="0" w:oddVBand="0" w:evenVBand="0" w:oddHBand="0" w:evenHBand="0" w:firstRowFirstColumn="0" w:firstRowLastColumn="0" w:lastRowFirstColumn="0" w:lastRowLastColumn="0"/>
            <w:tcW w:w="1622" w:type="dxa"/>
            <w:vMerge w:val="restart"/>
          </w:tcPr>
          <w:p w14:paraId="4E6F8AD8" w14:textId="77777777" w:rsidR="00A53C9F" w:rsidRPr="005E48D3" w:rsidRDefault="00A53C9F" w:rsidP="00C171EA">
            <w:pPr>
              <w:pStyle w:val="TableText"/>
              <w:rPr>
                <w:b w:val="0"/>
              </w:rPr>
            </w:pPr>
            <w:r w:rsidRPr="005E48D3">
              <w:rPr>
                <w:b w:val="0"/>
              </w:rPr>
              <w:t>Victoria Police</w:t>
            </w:r>
          </w:p>
        </w:tc>
        <w:tc>
          <w:tcPr>
            <w:tcW w:w="897" w:type="dxa"/>
            <w:vMerge w:val="restart"/>
          </w:tcPr>
          <w:p w14:paraId="282E5C42" w14:textId="77777777" w:rsidR="00A53C9F" w:rsidRPr="006619FA" w:rsidRDefault="00A53C9F" w:rsidP="00C171EA">
            <w:pPr>
              <w:pStyle w:val="Tablenumbers"/>
              <w:cnfStyle w:val="000000000000" w:firstRow="0" w:lastRow="0" w:firstColumn="0" w:lastColumn="0" w:oddVBand="0" w:evenVBand="0" w:oddHBand="0" w:evenHBand="0" w:firstRowFirstColumn="0" w:firstRowLastColumn="0" w:lastRowFirstColumn="0" w:lastRowLastColumn="0"/>
            </w:pPr>
            <w:r>
              <w:t>2</w:t>
            </w:r>
          </w:p>
        </w:tc>
        <w:tc>
          <w:tcPr>
            <w:tcW w:w="2383" w:type="dxa"/>
          </w:tcPr>
          <w:p w14:paraId="15961703" w14:textId="77777777" w:rsidR="00A53C9F" w:rsidRPr="006619FA" w:rsidRDefault="00A53C9F" w:rsidP="00C171EA">
            <w:pPr>
              <w:pStyle w:val="TableText"/>
              <w:cnfStyle w:val="000000000000" w:firstRow="0" w:lastRow="0" w:firstColumn="0" w:lastColumn="0" w:oddVBand="0" w:evenVBand="0" w:oddHBand="0" w:evenHBand="0" w:firstRowFirstColumn="0" w:firstRowLastColumn="0" w:lastRowFirstColumn="0" w:lastRowLastColumn="0"/>
            </w:pPr>
            <w:r>
              <w:t>Tenderer lodged a complaint after their response to an RFT was disqualified for being late</w:t>
            </w:r>
          </w:p>
        </w:tc>
        <w:tc>
          <w:tcPr>
            <w:tcW w:w="2894" w:type="dxa"/>
          </w:tcPr>
          <w:p w14:paraId="39FD890F" w14:textId="77777777" w:rsidR="00A53C9F" w:rsidRPr="005E4AF7" w:rsidRDefault="00A53C9F" w:rsidP="00C171EA">
            <w:pPr>
              <w:pStyle w:val="TableHeader"/>
              <w:cnfStyle w:val="000000000000" w:firstRow="0" w:lastRow="0" w:firstColumn="0" w:lastColumn="0" w:oddVBand="0" w:evenVBand="0" w:oddHBand="0" w:evenHBand="0" w:firstRowFirstColumn="0" w:firstRowLastColumn="0" w:lastRowFirstColumn="0" w:lastRowLastColumn="0"/>
              <w:rPr>
                <w:b w:val="0"/>
                <w:color w:val="auto"/>
                <w:sz w:val="20"/>
              </w:rPr>
            </w:pPr>
            <w:r w:rsidRPr="005E4AF7">
              <w:rPr>
                <w:b w:val="0"/>
                <w:color w:val="auto"/>
                <w:sz w:val="20"/>
              </w:rPr>
              <w:t>Complaint was assessed in accordance with Victoria Police policy. Response provided to complainant.</w:t>
            </w:r>
          </w:p>
          <w:p w14:paraId="4E7FDC6A" w14:textId="77777777" w:rsidR="00A53C9F" w:rsidRPr="005E4AF7" w:rsidRDefault="00A53C9F" w:rsidP="00C171EA">
            <w:pPr>
              <w:pStyle w:val="TableText"/>
              <w:cnfStyle w:val="000000000000" w:firstRow="0" w:lastRow="0" w:firstColumn="0" w:lastColumn="0" w:oddVBand="0" w:evenVBand="0" w:oddHBand="0" w:evenHBand="0" w:firstRowFirstColumn="0" w:firstRowLastColumn="0" w:lastRowFirstColumn="0" w:lastRowLastColumn="0"/>
            </w:pPr>
          </w:p>
        </w:tc>
        <w:tc>
          <w:tcPr>
            <w:tcW w:w="1262" w:type="dxa"/>
          </w:tcPr>
          <w:p w14:paraId="1A37B1CA" w14:textId="77777777" w:rsidR="00A53C9F" w:rsidRPr="006619FA" w:rsidRDefault="00A53C9F" w:rsidP="00C171EA">
            <w:pPr>
              <w:pStyle w:val="TableText"/>
              <w:cnfStyle w:val="000000000000" w:firstRow="0" w:lastRow="0" w:firstColumn="0" w:lastColumn="0" w:oddVBand="0" w:evenVBand="0" w:oddHBand="0" w:evenHBand="0" w:firstRowFirstColumn="0" w:firstRowLastColumn="0" w:lastRowFirstColumn="0" w:lastRowLastColumn="0"/>
            </w:pPr>
            <w:r>
              <w:t>Matter r</w:t>
            </w:r>
            <w:r w:rsidRPr="005F39B8">
              <w:t>esolved</w:t>
            </w:r>
          </w:p>
        </w:tc>
      </w:tr>
      <w:tr w:rsidR="00A53C9F" w14:paraId="2CC0D6ED" w14:textId="77777777" w:rsidTr="00F25B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2" w:type="dxa"/>
            <w:vMerge/>
          </w:tcPr>
          <w:p w14:paraId="20E08DFA" w14:textId="77777777" w:rsidR="00A53C9F" w:rsidRPr="005E48D3" w:rsidRDefault="00A53C9F" w:rsidP="00C171EA">
            <w:pPr>
              <w:pStyle w:val="TableText"/>
            </w:pPr>
          </w:p>
        </w:tc>
        <w:tc>
          <w:tcPr>
            <w:tcW w:w="897" w:type="dxa"/>
            <w:vMerge/>
          </w:tcPr>
          <w:p w14:paraId="61B386E3" w14:textId="77777777" w:rsidR="00A53C9F" w:rsidRPr="006619FA" w:rsidRDefault="00A53C9F" w:rsidP="00C171EA">
            <w:pPr>
              <w:pStyle w:val="Tablenumbers"/>
              <w:cnfStyle w:val="000000100000" w:firstRow="0" w:lastRow="0" w:firstColumn="0" w:lastColumn="0" w:oddVBand="0" w:evenVBand="0" w:oddHBand="1" w:evenHBand="0" w:firstRowFirstColumn="0" w:firstRowLastColumn="0" w:lastRowFirstColumn="0" w:lastRowLastColumn="0"/>
            </w:pPr>
          </w:p>
        </w:tc>
        <w:tc>
          <w:tcPr>
            <w:tcW w:w="2383" w:type="dxa"/>
          </w:tcPr>
          <w:p w14:paraId="3F4A8EDA" w14:textId="77777777" w:rsidR="00A53C9F" w:rsidRPr="006619FA" w:rsidRDefault="00A53C9F" w:rsidP="00C171EA">
            <w:pPr>
              <w:pStyle w:val="TableText"/>
              <w:cnfStyle w:val="000000100000" w:firstRow="0" w:lastRow="0" w:firstColumn="0" w:lastColumn="0" w:oddVBand="0" w:evenVBand="0" w:oddHBand="1" w:evenHBand="0" w:firstRowFirstColumn="0" w:firstRowLastColumn="0" w:lastRowFirstColumn="0" w:lastRowLastColumn="0"/>
            </w:pPr>
            <w:r>
              <w:t>Tenderer lodged a complaint relating to a request for information on the evaluation status of their tender response</w:t>
            </w:r>
          </w:p>
        </w:tc>
        <w:tc>
          <w:tcPr>
            <w:tcW w:w="2894" w:type="dxa"/>
          </w:tcPr>
          <w:p w14:paraId="2A57199D" w14:textId="77777777" w:rsidR="00A53C9F" w:rsidRDefault="00A53C9F" w:rsidP="00C171EA">
            <w:pPr>
              <w:pStyle w:val="TableText"/>
              <w:cnfStyle w:val="000000100000" w:firstRow="0" w:lastRow="0" w:firstColumn="0" w:lastColumn="0" w:oddVBand="0" w:evenVBand="0" w:oddHBand="1" w:evenHBand="0" w:firstRowFirstColumn="0" w:firstRowLastColumn="0" w:lastRowFirstColumn="0" w:lastRowLastColumn="0"/>
            </w:pPr>
            <w:r>
              <w:t>Complaint was considered in accordance with Victoria Police policy.</w:t>
            </w:r>
          </w:p>
          <w:p w14:paraId="6A7E5C65" w14:textId="77777777" w:rsidR="00A53C9F" w:rsidRPr="006619FA" w:rsidRDefault="00A53C9F" w:rsidP="00C171EA">
            <w:pPr>
              <w:pStyle w:val="TableText"/>
              <w:cnfStyle w:val="000000100000" w:firstRow="0" w:lastRow="0" w:firstColumn="0" w:lastColumn="0" w:oddVBand="0" w:evenVBand="0" w:oddHBand="1" w:evenHBand="0" w:firstRowFirstColumn="0" w:firstRowLastColumn="0" w:lastRowFirstColumn="0" w:lastRowLastColumn="0"/>
            </w:pPr>
            <w:r>
              <w:t>Initial response provided to complainant.</w:t>
            </w:r>
          </w:p>
        </w:tc>
        <w:tc>
          <w:tcPr>
            <w:tcW w:w="1262" w:type="dxa"/>
          </w:tcPr>
          <w:p w14:paraId="0CAB9005" w14:textId="7180C1A2" w:rsidR="00A53C9F" w:rsidRPr="006619FA" w:rsidRDefault="009413EF" w:rsidP="00C171EA">
            <w:pPr>
              <w:pStyle w:val="TableText"/>
              <w:cnfStyle w:val="000000100000" w:firstRow="0" w:lastRow="0" w:firstColumn="0" w:lastColumn="0" w:oddVBand="0" w:evenVBand="0" w:oddHBand="1" w:evenHBand="0" w:firstRowFirstColumn="0" w:firstRowLastColumn="0" w:lastRowFirstColumn="0" w:lastRowLastColumn="0"/>
            </w:pPr>
            <w:r>
              <w:t>Still under investigation</w:t>
            </w:r>
          </w:p>
        </w:tc>
      </w:tr>
      <w:tr w:rsidR="00A53C9F" w:rsidRPr="00DD12A9" w14:paraId="5DD3033D" w14:textId="77777777" w:rsidTr="00F25B16">
        <w:tc>
          <w:tcPr>
            <w:cnfStyle w:val="001000000000" w:firstRow="0" w:lastRow="0" w:firstColumn="1" w:lastColumn="0" w:oddVBand="0" w:evenVBand="0" w:oddHBand="0" w:evenHBand="0" w:firstRowFirstColumn="0" w:firstRowLastColumn="0" w:lastRowFirstColumn="0" w:lastRowLastColumn="0"/>
            <w:tcW w:w="1622" w:type="dxa"/>
          </w:tcPr>
          <w:p w14:paraId="7D020408" w14:textId="77777777" w:rsidR="00A53C9F" w:rsidRPr="00DD12A9" w:rsidRDefault="00A53C9F" w:rsidP="00C171EA">
            <w:pPr>
              <w:pStyle w:val="TableText"/>
            </w:pPr>
            <w:r w:rsidRPr="00DD12A9">
              <w:t>Total</w:t>
            </w:r>
          </w:p>
        </w:tc>
        <w:tc>
          <w:tcPr>
            <w:tcW w:w="897" w:type="dxa"/>
          </w:tcPr>
          <w:p w14:paraId="5161A11D" w14:textId="68954971" w:rsidR="00A53C9F" w:rsidRPr="00DD12A9" w:rsidRDefault="005E4AF7" w:rsidP="00C171EA">
            <w:pPr>
              <w:pStyle w:val="Tablenumbers"/>
              <w:cnfStyle w:val="000000000000" w:firstRow="0" w:lastRow="0" w:firstColumn="0" w:lastColumn="0" w:oddVBand="0" w:evenVBand="0" w:oddHBand="0" w:evenHBand="0" w:firstRowFirstColumn="0" w:firstRowLastColumn="0" w:lastRowFirstColumn="0" w:lastRowLastColumn="0"/>
              <w:rPr>
                <w:b/>
              </w:rPr>
            </w:pPr>
            <w:r>
              <w:rPr>
                <w:b/>
              </w:rPr>
              <w:t>9</w:t>
            </w:r>
          </w:p>
        </w:tc>
        <w:tc>
          <w:tcPr>
            <w:tcW w:w="2383" w:type="dxa"/>
          </w:tcPr>
          <w:p w14:paraId="296EB944" w14:textId="77777777" w:rsidR="00A53C9F" w:rsidRPr="00DD12A9" w:rsidRDefault="00A53C9F" w:rsidP="00C171EA">
            <w:pPr>
              <w:pStyle w:val="TableText"/>
              <w:cnfStyle w:val="000000000000" w:firstRow="0" w:lastRow="0" w:firstColumn="0" w:lastColumn="0" w:oddVBand="0" w:evenVBand="0" w:oddHBand="0" w:evenHBand="0" w:firstRowFirstColumn="0" w:firstRowLastColumn="0" w:lastRowFirstColumn="0" w:lastRowLastColumn="0"/>
              <w:rPr>
                <w:b/>
              </w:rPr>
            </w:pPr>
          </w:p>
        </w:tc>
        <w:tc>
          <w:tcPr>
            <w:tcW w:w="2894" w:type="dxa"/>
          </w:tcPr>
          <w:p w14:paraId="17C6367B" w14:textId="77777777" w:rsidR="00A53C9F" w:rsidRPr="00DD12A9" w:rsidRDefault="00A53C9F" w:rsidP="00C171EA">
            <w:pPr>
              <w:pStyle w:val="TableText"/>
              <w:cnfStyle w:val="000000000000" w:firstRow="0" w:lastRow="0" w:firstColumn="0" w:lastColumn="0" w:oddVBand="0" w:evenVBand="0" w:oddHBand="0" w:evenHBand="0" w:firstRowFirstColumn="0" w:firstRowLastColumn="0" w:lastRowFirstColumn="0" w:lastRowLastColumn="0"/>
              <w:rPr>
                <w:b/>
              </w:rPr>
            </w:pPr>
          </w:p>
        </w:tc>
        <w:tc>
          <w:tcPr>
            <w:tcW w:w="1262" w:type="dxa"/>
          </w:tcPr>
          <w:p w14:paraId="2A24B8D1" w14:textId="77777777" w:rsidR="00A53C9F" w:rsidRPr="00DD12A9" w:rsidRDefault="00A53C9F" w:rsidP="00C171EA">
            <w:pPr>
              <w:pStyle w:val="TableText"/>
              <w:cnfStyle w:val="000000000000" w:firstRow="0" w:lastRow="0" w:firstColumn="0" w:lastColumn="0" w:oddVBand="0" w:evenVBand="0" w:oddHBand="0" w:evenHBand="0" w:firstRowFirstColumn="0" w:firstRowLastColumn="0" w:lastRowFirstColumn="0" w:lastRowLastColumn="0"/>
              <w:rPr>
                <w:b/>
              </w:rPr>
            </w:pPr>
          </w:p>
        </w:tc>
      </w:tr>
    </w:tbl>
    <w:p w14:paraId="14BA6021" w14:textId="79D9EFA0" w:rsidR="009413EF" w:rsidRPr="001C758F" w:rsidRDefault="006B53D6" w:rsidP="005B2E7F">
      <w:pPr>
        <w:pStyle w:val="Tablenotes"/>
        <w:ind w:left="709" w:firstLine="0"/>
      </w:pPr>
      <w:r w:rsidRPr="001C758F">
        <w:t xml:space="preserve">Note: </w:t>
      </w:r>
      <w:r w:rsidR="009413EF" w:rsidRPr="001C758F">
        <w:t>In the VGPB Annual Report 2016–17, two complaints were reported that were still under investigation at the end of the financial year. Both complaints were resolved in 2017–18.</w:t>
      </w:r>
    </w:p>
    <w:p w14:paraId="45561C29" w14:textId="77777777" w:rsidR="006B53D6" w:rsidRDefault="006B53D6" w:rsidP="006B53D6">
      <w:pPr>
        <w:pStyle w:val="Tablenote"/>
        <w:rPr>
          <w:highlight w:val="green"/>
        </w:rPr>
      </w:pPr>
    </w:p>
    <w:p w14:paraId="23F9151F" w14:textId="77777777" w:rsidR="00A53C9F" w:rsidRDefault="00A53C9F" w:rsidP="00C82F09">
      <w:pPr>
        <w:pStyle w:val="Caption"/>
      </w:pPr>
    </w:p>
    <w:p w14:paraId="07C5A754" w14:textId="25AC04C1" w:rsidR="00C82F09" w:rsidRDefault="00C82F09" w:rsidP="00C82F09">
      <w:pPr>
        <w:pStyle w:val="Caption"/>
      </w:pPr>
    </w:p>
    <w:p w14:paraId="542C4083" w14:textId="13108610" w:rsidR="00F83E44" w:rsidRPr="00CD6245" w:rsidRDefault="00462C18" w:rsidP="00F83E44">
      <w:pPr>
        <w:pStyle w:val="Heading1NoNum"/>
      </w:pPr>
      <w:bookmarkStart w:id="135" w:name="_Toc524354079"/>
      <w:r>
        <w:lastRenderedPageBreak/>
        <w:t>Organisational</w:t>
      </w:r>
      <w:r w:rsidR="006103E6">
        <w:t xml:space="preserve"> procurement profiles</w:t>
      </w:r>
      <w:bookmarkEnd w:id="135"/>
    </w:p>
    <w:p w14:paraId="31993341" w14:textId="572FB18F" w:rsidR="006103E6" w:rsidRDefault="00C40D46" w:rsidP="00E41631">
      <w:pPr>
        <w:pStyle w:val="Normal1"/>
      </w:pPr>
      <w:bookmarkStart w:id="136" w:name="_Toc366693335"/>
      <w:r>
        <w:t xml:space="preserve">Organisations can have vastly different procurement profiles. </w:t>
      </w:r>
      <w:r w:rsidR="006103E6">
        <w:t xml:space="preserve">This section provides a </w:t>
      </w:r>
      <w:r>
        <w:t xml:space="preserve">procurement </w:t>
      </w:r>
      <w:r w:rsidR="006103E6">
        <w:t xml:space="preserve">summary of each </w:t>
      </w:r>
      <w:r w:rsidR="00C16A0E">
        <w:t>organisation</w:t>
      </w:r>
      <w:r w:rsidR="006103E6">
        <w:t xml:space="preserve"> including:</w:t>
      </w:r>
    </w:p>
    <w:p w14:paraId="165C7D1D" w14:textId="49EDDD32" w:rsidR="006103E6" w:rsidRDefault="006103E6" w:rsidP="006103E6">
      <w:pPr>
        <w:pStyle w:val="Bullet1"/>
      </w:pPr>
      <w:r>
        <w:t>procurement profile</w:t>
      </w:r>
      <w:r w:rsidR="00C16A0E">
        <w:t>;</w:t>
      </w:r>
    </w:p>
    <w:p w14:paraId="472C4BAC" w14:textId="77777777" w:rsidR="00C40D46" w:rsidRDefault="00C40D46" w:rsidP="006103E6">
      <w:pPr>
        <w:pStyle w:val="Bullet1"/>
      </w:pPr>
      <w:r>
        <w:t>compliance with VGPB policies;</w:t>
      </w:r>
    </w:p>
    <w:p w14:paraId="1A398497" w14:textId="2F5C0A2E" w:rsidR="006103E6" w:rsidRDefault="006103E6" w:rsidP="00035570">
      <w:pPr>
        <w:pStyle w:val="Bullet1"/>
      </w:pPr>
      <w:r>
        <w:t xml:space="preserve">performance </w:t>
      </w:r>
      <w:r w:rsidR="003058E0">
        <w:t>during the year</w:t>
      </w:r>
      <w:r w:rsidR="00C16A0E">
        <w:t>;</w:t>
      </w:r>
      <w:r w:rsidR="00C40D46">
        <w:t xml:space="preserve"> </w:t>
      </w:r>
      <w:r w:rsidR="00C16A0E">
        <w:t>and</w:t>
      </w:r>
    </w:p>
    <w:p w14:paraId="6F6D5641" w14:textId="5EDFDE0C" w:rsidR="00C9672A" w:rsidRDefault="00C9672A" w:rsidP="006103E6">
      <w:pPr>
        <w:pStyle w:val="Bullet1"/>
      </w:pPr>
      <w:r>
        <w:t xml:space="preserve">activities planned for </w:t>
      </w:r>
      <w:r w:rsidR="003058E0">
        <w:t>the next financial year</w:t>
      </w:r>
      <w:r w:rsidR="00C16A0E">
        <w:t>.</w:t>
      </w:r>
    </w:p>
    <w:p w14:paraId="5D9F3F46" w14:textId="388509B3" w:rsidR="00B233EF" w:rsidRDefault="00B233EF" w:rsidP="00E41631">
      <w:pPr>
        <w:pStyle w:val="Normal1"/>
      </w:pPr>
      <w:r w:rsidRPr="003F151D">
        <w:t xml:space="preserve">The </w:t>
      </w:r>
      <w:r w:rsidR="00FF4B36">
        <w:t>accountable officer (AO)</w:t>
      </w:r>
      <w:r w:rsidR="00895C76">
        <w:t xml:space="preserve">, </w:t>
      </w:r>
      <w:r w:rsidR="00342CD1">
        <w:t>chief procurement officer (</w:t>
      </w:r>
      <w:r w:rsidRPr="003F151D">
        <w:t>CPO</w:t>
      </w:r>
      <w:r w:rsidR="00342CD1">
        <w:t>)</w:t>
      </w:r>
      <w:r w:rsidRPr="003F151D">
        <w:t xml:space="preserve"> and IPU Chair listed under each organisation </w:t>
      </w:r>
      <w:r w:rsidR="009D1EAB">
        <w:t>are</w:t>
      </w:r>
      <w:r w:rsidRPr="003F151D">
        <w:t xml:space="preserve"> the pe</w:t>
      </w:r>
      <w:r w:rsidR="00C40D46">
        <w:t>ople</w:t>
      </w:r>
      <w:r w:rsidRPr="003F151D">
        <w:t xml:space="preserve"> in th</w:t>
      </w:r>
      <w:r w:rsidR="009D1EAB">
        <w:t>ose</w:t>
      </w:r>
      <w:r w:rsidRPr="003F151D">
        <w:t xml:space="preserve"> role</w:t>
      </w:r>
      <w:r w:rsidR="009D1EAB">
        <w:t>s</w:t>
      </w:r>
      <w:r w:rsidRPr="003F151D">
        <w:t xml:space="preserve"> at 30</w:t>
      </w:r>
      <w:r w:rsidRPr="00A64F1B">
        <w:t> </w:t>
      </w:r>
      <w:r w:rsidRPr="003F151D">
        <w:t>June</w:t>
      </w:r>
      <w:r w:rsidRPr="00A64F1B">
        <w:t> </w:t>
      </w:r>
      <w:r w:rsidR="00AF0CB8">
        <w:t>201</w:t>
      </w:r>
      <w:r w:rsidR="003058E0">
        <w:t>8</w:t>
      </w:r>
      <w:r w:rsidRPr="003F151D">
        <w:t>.</w:t>
      </w:r>
    </w:p>
    <w:p w14:paraId="44F29AE8" w14:textId="52DCEAAF" w:rsidR="00137244" w:rsidRDefault="00137244" w:rsidP="00137244">
      <w:pPr>
        <w:pStyle w:val="Heading2NoNum"/>
      </w:pPr>
      <w:bookmarkStart w:id="137" w:name="_Toc524354080"/>
      <w:r>
        <w:t>Performance measures methodology</w:t>
      </w:r>
      <w:bookmarkEnd w:id="137"/>
    </w:p>
    <w:p w14:paraId="2A2D9405" w14:textId="36A564CF" w:rsidR="00137244" w:rsidRPr="00CD6245" w:rsidRDefault="00137244" w:rsidP="00137244">
      <w:pPr>
        <w:pStyle w:val="Normal1"/>
      </w:pPr>
      <w:r>
        <w:fldChar w:fldCharType="begin"/>
      </w:r>
      <w:r>
        <w:instrText xml:space="preserve"> REF _Ref477188393 \h </w:instrText>
      </w:r>
      <w:r>
        <w:fldChar w:fldCharType="separate"/>
      </w:r>
      <w:r w:rsidR="00A07703" w:rsidRPr="00CD6245">
        <w:t xml:space="preserve">Table </w:t>
      </w:r>
      <w:r w:rsidR="00A07703">
        <w:rPr>
          <w:noProof/>
        </w:rPr>
        <w:t>23</w:t>
      </w:r>
      <w:r>
        <w:fldChar w:fldCharType="end"/>
      </w:r>
      <w:r>
        <w:t xml:space="preserve"> </w:t>
      </w:r>
      <w:r w:rsidRPr="00CD6245">
        <w:t>summarises the methodology for calculatin</w:t>
      </w:r>
      <w:r>
        <w:t>g the six</w:t>
      </w:r>
      <w:r w:rsidR="009D1EAB">
        <w:t xml:space="preserve"> </w:t>
      </w:r>
      <w:r>
        <w:t>performance measures</w:t>
      </w:r>
      <w:r w:rsidR="00C53DC4">
        <w:t xml:space="preserve">. </w:t>
      </w:r>
      <w:r w:rsidR="00C53DC4" w:rsidRPr="00C53DC4">
        <w:t>Organisations track their procurement performance each year using these measures.</w:t>
      </w:r>
    </w:p>
    <w:p w14:paraId="31944036" w14:textId="1E4CAB9F" w:rsidR="00137244" w:rsidRPr="00CD6245" w:rsidRDefault="00137244" w:rsidP="00137244">
      <w:pPr>
        <w:pStyle w:val="Caption"/>
      </w:pPr>
      <w:bookmarkStart w:id="138" w:name="_Ref477188393"/>
      <w:bookmarkStart w:id="139" w:name="_Toc524354016"/>
      <w:r w:rsidRPr="00CD6245">
        <w:t xml:space="preserve">Table </w:t>
      </w:r>
      <w:r w:rsidR="002407F7">
        <w:rPr>
          <w:noProof/>
        </w:rPr>
        <w:fldChar w:fldCharType="begin"/>
      </w:r>
      <w:r w:rsidR="002407F7">
        <w:rPr>
          <w:noProof/>
        </w:rPr>
        <w:instrText xml:space="preserve"> SEQ Table \* ARABIC </w:instrText>
      </w:r>
      <w:r w:rsidR="002407F7">
        <w:rPr>
          <w:noProof/>
        </w:rPr>
        <w:fldChar w:fldCharType="separate"/>
      </w:r>
      <w:r w:rsidR="00A07703">
        <w:rPr>
          <w:noProof/>
        </w:rPr>
        <w:t>23</w:t>
      </w:r>
      <w:r w:rsidR="002407F7">
        <w:rPr>
          <w:noProof/>
        </w:rPr>
        <w:fldChar w:fldCharType="end"/>
      </w:r>
      <w:bookmarkEnd w:id="138"/>
      <w:r w:rsidRPr="00CD6245">
        <w:t xml:space="preserve">: </w:t>
      </w:r>
      <w:r>
        <w:t>P</w:t>
      </w:r>
      <w:r w:rsidRPr="00CD6245">
        <w:t>erformance measure</w:t>
      </w:r>
      <w:r>
        <w:t xml:space="preserve"> methodology</w:t>
      </w:r>
      <w:bookmarkEnd w:id="139"/>
    </w:p>
    <w:tbl>
      <w:tblPr>
        <w:tblStyle w:val="ListTable31"/>
        <w:tblW w:w="8788" w:type="dxa"/>
        <w:tblInd w:w="846" w:type="dxa"/>
        <w:tblLook w:val="04A0" w:firstRow="1" w:lastRow="0" w:firstColumn="1" w:lastColumn="0" w:noHBand="0" w:noVBand="1"/>
      </w:tblPr>
      <w:tblGrid>
        <w:gridCol w:w="425"/>
        <w:gridCol w:w="2410"/>
        <w:gridCol w:w="5953"/>
      </w:tblGrid>
      <w:tr w:rsidR="00137244" w:rsidRPr="00CD6245" w14:paraId="388F3032" w14:textId="77777777" w:rsidTr="00C35FD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835" w:type="dxa"/>
            <w:gridSpan w:val="2"/>
          </w:tcPr>
          <w:p w14:paraId="1F701A88" w14:textId="77777777" w:rsidR="00137244" w:rsidRPr="00CD6245" w:rsidRDefault="00137244" w:rsidP="00C35FD0">
            <w:pPr>
              <w:pStyle w:val="TableText"/>
            </w:pPr>
            <w:r w:rsidRPr="00CD6245">
              <w:t>Performance measure</w:t>
            </w:r>
          </w:p>
        </w:tc>
        <w:tc>
          <w:tcPr>
            <w:tcW w:w="5953" w:type="dxa"/>
          </w:tcPr>
          <w:p w14:paraId="2AB68EC0" w14:textId="77777777" w:rsidR="00137244" w:rsidRPr="00CD6245" w:rsidRDefault="00137244" w:rsidP="00C35FD0">
            <w:pPr>
              <w:pStyle w:val="TableText"/>
              <w:cnfStyle w:val="100000000000" w:firstRow="1" w:lastRow="0" w:firstColumn="0" w:lastColumn="0" w:oddVBand="0" w:evenVBand="0" w:oddHBand="0" w:evenHBand="0" w:firstRowFirstColumn="0" w:firstRowLastColumn="0" w:lastRowFirstColumn="0" w:lastRowLastColumn="0"/>
            </w:pPr>
            <w:r w:rsidRPr="00CD6245">
              <w:t>Definition</w:t>
            </w:r>
          </w:p>
        </w:tc>
      </w:tr>
      <w:tr w:rsidR="00137244" w:rsidRPr="00CD6245" w14:paraId="34F23D69" w14:textId="77777777" w:rsidTr="00C35F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5" w:type="dxa"/>
          </w:tcPr>
          <w:p w14:paraId="6838BCD6" w14:textId="77777777" w:rsidR="00137244" w:rsidRPr="00CD6245" w:rsidRDefault="00137244" w:rsidP="00FF2D35">
            <w:pPr>
              <w:pStyle w:val="TableText"/>
            </w:pPr>
            <w:r w:rsidRPr="00CD6245">
              <w:t>1</w:t>
            </w:r>
          </w:p>
        </w:tc>
        <w:tc>
          <w:tcPr>
            <w:tcW w:w="2410" w:type="dxa"/>
          </w:tcPr>
          <w:p w14:paraId="63B1534E" w14:textId="77777777" w:rsidR="00137244" w:rsidRPr="00CD6245" w:rsidRDefault="00137244" w:rsidP="00FF2D35">
            <w:pPr>
              <w:pStyle w:val="TableText"/>
              <w:cnfStyle w:val="000000100000" w:firstRow="0" w:lastRow="0" w:firstColumn="0" w:lastColumn="0" w:oddVBand="0" w:evenVBand="0" w:oddHBand="1" w:evenHBand="0" w:firstRowFirstColumn="0" w:firstRowLastColumn="0" w:lastRowFirstColumn="0" w:lastRowLastColumn="0"/>
            </w:pPr>
            <w:r w:rsidRPr="00CD6245">
              <w:t>Value created as a consequence of department procurement activity</w:t>
            </w:r>
          </w:p>
        </w:tc>
        <w:tc>
          <w:tcPr>
            <w:tcW w:w="5953" w:type="dxa"/>
          </w:tcPr>
          <w:p w14:paraId="24D5B0F4" w14:textId="77777777" w:rsidR="00137244" w:rsidRPr="00CD6245" w:rsidRDefault="00137244" w:rsidP="00FF2D35">
            <w:pPr>
              <w:pStyle w:val="TableText"/>
              <w:cnfStyle w:val="000000100000" w:firstRow="0" w:lastRow="0" w:firstColumn="0" w:lastColumn="0" w:oddVBand="0" w:evenVBand="0" w:oddHBand="1" w:evenHBand="0" w:firstRowFirstColumn="0" w:firstRowLastColumn="0" w:lastRowFirstColumn="0" w:lastRowLastColumn="0"/>
            </w:pPr>
            <w:r w:rsidRPr="00CD6245">
              <w:t xml:space="preserve">Value of direct cost savings and potential costs avoided for department procurements of $100 000 and greater, conducted during the financial year as a percentage of the total value of department total contracted spend during the financial year. </w:t>
            </w:r>
          </w:p>
        </w:tc>
      </w:tr>
      <w:tr w:rsidR="00137244" w:rsidRPr="00CD6245" w14:paraId="65B13EF2" w14:textId="77777777" w:rsidTr="00C35FD0">
        <w:tc>
          <w:tcPr>
            <w:cnfStyle w:val="001000000000" w:firstRow="0" w:lastRow="0" w:firstColumn="1" w:lastColumn="0" w:oddVBand="0" w:evenVBand="0" w:oddHBand="0" w:evenHBand="0" w:firstRowFirstColumn="0" w:firstRowLastColumn="0" w:lastRowFirstColumn="0" w:lastRowLastColumn="0"/>
            <w:tcW w:w="425" w:type="dxa"/>
          </w:tcPr>
          <w:p w14:paraId="4C2AA489" w14:textId="77777777" w:rsidR="00137244" w:rsidRPr="00CD6245" w:rsidRDefault="00137244" w:rsidP="00FF2D35">
            <w:pPr>
              <w:pStyle w:val="TableText"/>
            </w:pPr>
            <w:r w:rsidRPr="00CD6245">
              <w:t>2</w:t>
            </w:r>
          </w:p>
        </w:tc>
        <w:tc>
          <w:tcPr>
            <w:tcW w:w="2410" w:type="dxa"/>
          </w:tcPr>
          <w:p w14:paraId="1AF6E8E0" w14:textId="77777777" w:rsidR="00137244" w:rsidRPr="00CD6245" w:rsidRDefault="00137244" w:rsidP="00FF2D35">
            <w:pPr>
              <w:pStyle w:val="TableText"/>
              <w:cnfStyle w:val="000000000000" w:firstRow="0" w:lastRow="0" w:firstColumn="0" w:lastColumn="0" w:oddVBand="0" w:evenVBand="0" w:oddHBand="0" w:evenHBand="0" w:firstRowFirstColumn="0" w:firstRowLastColumn="0" w:lastRowFirstColumn="0" w:lastRowLastColumn="0"/>
            </w:pPr>
            <w:r w:rsidRPr="00CD6245">
              <w:t xml:space="preserve">Proportion of the number of transactions at or below $2 000 through a P-Card or equivalent </w:t>
            </w:r>
          </w:p>
        </w:tc>
        <w:tc>
          <w:tcPr>
            <w:tcW w:w="5953" w:type="dxa"/>
          </w:tcPr>
          <w:p w14:paraId="0D508955" w14:textId="4E2D0BC7" w:rsidR="00137244" w:rsidRPr="00CD6245" w:rsidRDefault="00805EA4" w:rsidP="00FF2D35">
            <w:pPr>
              <w:pStyle w:val="TableText"/>
              <w:cnfStyle w:val="000000000000" w:firstRow="0" w:lastRow="0" w:firstColumn="0" w:lastColumn="0" w:oddVBand="0" w:evenVBand="0" w:oddHBand="0" w:evenHBand="0" w:firstRowFirstColumn="0" w:firstRowLastColumn="0" w:lastRowFirstColumn="0" w:lastRowLastColumn="0"/>
            </w:pPr>
            <w:r w:rsidRPr="00805EA4">
              <w:t>Percentage of P-card or equivalent contracted automated electronic transactions at or below $2 000 against percentage of total department transactions at or below $2 000.</w:t>
            </w:r>
          </w:p>
        </w:tc>
      </w:tr>
      <w:tr w:rsidR="00137244" w:rsidRPr="00CD6245" w14:paraId="23C42A39" w14:textId="77777777" w:rsidTr="00C35F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5" w:type="dxa"/>
          </w:tcPr>
          <w:p w14:paraId="5BC8A52D" w14:textId="77777777" w:rsidR="00137244" w:rsidRPr="00CD6245" w:rsidRDefault="00137244" w:rsidP="00FF2D35">
            <w:pPr>
              <w:pStyle w:val="TableText"/>
            </w:pPr>
            <w:r w:rsidRPr="00CD6245">
              <w:t>3</w:t>
            </w:r>
          </w:p>
        </w:tc>
        <w:tc>
          <w:tcPr>
            <w:tcW w:w="2410" w:type="dxa"/>
          </w:tcPr>
          <w:p w14:paraId="3B759254" w14:textId="77777777" w:rsidR="00137244" w:rsidRPr="00CD6245" w:rsidRDefault="00137244" w:rsidP="00FF2D35">
            <w:pPr>
              <w:pStyle w:val="TableText"/>
              <w:cnfStyle w:val="000000100000" w:firstRow="0" w:lastRow="0" w:firstColumn="0" w:lastColumn="0" w:oddVBand="0" w:evenVBand="0" w:oddHBand="1" w:evenHBand="0" w:firstRowFirstColumn="0" w:firstRowLastColumn="0" w:lastRowFirstColumn="0" w:lastRowLastColumn="0"/>
            </w:pPr>
            <w:r w:rsidRPr="00CD6245">
              <w:t>Increase in procurement capability</w:t>
            </w:r>
          </w:p>
        </w:tc>
        <w:tc>
          <w:tcPr>
            <w:tcW w:w="5953" w:type="dxa"/>
          </w:tcPr>
          <w:p w14:paraId="287B7855" w14:textId="77777777" w:rsidR="00137244" w:rsidRPr="00CD6245" w:rsidRDefault="00137244" w:rsidP="00FF2D35">
            <w:pPr>
              <w:pStyle w:val="TableText"/>
              <w:cnfStyle w:val="000000100000" w:firstRow="0" w:lastRow="0" w:firstColumn="0" w:lastColumn="0" w:oddVBand="0" w:evenVBand="0" w:oddHBand="1" w:evenHBand="0" w:firstRowFirstColumn="0" w:firstRowLastColumn="0" w:lastRowFirstColumn="0" w:lastRowLastColumn="0"/>
            </w:pPr>
            <w:r w:rsidRPr="00CD6245">
              <w:t>Annual assessment of the improvement in departmental procurement capability year on year, measured by the department score on the VGPB capability assessment tool and template.</w:t>
            </w:r>
          </w:p>
        </w:tc>
      </w:tr>
      <w:tr w:rsidR="00137244" w:rsidRPr="00CD6245" w14:paraId="279800C7" w14:textId="77777777" w:rsidTr="00C35FD0">
        <w:tc>
          <w:tcPr>
            <w:cnfStyle w:val="001000000000" w:firstRow="0" w:lastRow="0" w:firstColumn="1" w:lastColumn="0" w:oddVBand="0" w:evenVBand="0" w:oddHBand="0" w:evenHBand="0" w:firstRowFirstColumn="0" w:firstRowLastColumn="0" w:lastRowFirstColumn="0" w:lastRowLastColumn="0"/>
            <w:tcW w:w="425" w:type="dxa"/>
          </w:tcPr>
          <w:p w14:paraId="3794A247" w14:textId="77777777" w:rsidR="00137244" w:rsidRPr="00CD6245" w:rsidRDefault="00137244" w:rsidP="00FF2D35">
            <w:pPr>
              <w:pStyle w:val="TableText"/>
            </w:pPr>
            <w:r w:rsidRPr="00CD6245">
              <w:t>4</w:t>
            </w:r>
          </w:p>
        </w:tc>
        <w:tc>
          <w:tcPr>
            <w:tcW w:w="2410" w:type="dxa"/>
          </w:tcPr>
          <w:p w14:paraId="5C2241E7" w14:textId="77777777" w:rsidR="00137244" w:rsidRPr="00CD6245" w:rsidRDefault="00137244" w:rsidP="00FF2D35">
            <w:pPr>
              <w:pStyle w:val="TableText"/>
              <w:cnfStyle w:val="000000000000" w:firstRow="0" w:lastRow="0" w:firstColumn="0" w:lastColumn="0" w:oddVBand="0" w:evenVBand="0" w:oddHBand="0" w:evenHBand="0" w:firstRowFirstColumn="0" w:firstRowLastColumn="0" w:lastRowFirstColumn="0" w:lastRowLastColumn="0"/>
            </w:pPr>
            <w:r w:rsidRPr="00CD6245">
              <w:t>Cost of department’s procurement resources as a percentage of total contract spend</w:t>
            </w:r>
          </w:p>
        </w:tc>
        <w:tc>
          <w:tcPr>
            <w:tcW w:w="5953" w:type="dxa"/>
          </w:tcPr>
          <w:p w14:paraId="29471908" w14:textId="4E5CF762" w:rsidR="00137244" w:rsidRPr="00CD6245" w:rsidRDefault="00BC68E3" w:rsidP="00FF2D35">
            <w:pPr>
              <w:pStyle w:val="TableText"/>
              <w:cnfStyle w:val="000000000000" w:firstRow="0" w:lastRow="0" w:firstColumn="0" w:lastColumn="0" w:oddVBand="0" w:evenVBand="0" w:oddHBand="0" w:evenHBand="0" w:firstRowFirstColumn="0" w:firstRowLastColumn="0" w:lastRowFirstColumn="0" w:lastRowLastColumn="0"/>
            </w:pPr>
            <w:r w:rsidRPr="00BC68E3">
              <w:t xml:space="preserve">For all staff who spend minimum 80 per cent of their time on procurement, total wage and salary expense (total remuneration package, exclusive of on-costs) as a percentage of total department contracted spend for the financial year. </w:t>
            </w:r>
          </w:p>
        </w:tc>
      </w:tr>
      <w:tr w:rsidR="00137244" w:rsidRPr="00CD6245" w14:paraId="44098A46" w14:textId="77777777" w:rsidTr="00C35F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5" w:type="dxa"/>
          </w:tcPr>
          <w:p w14:paraId="0D62A6F7" w14:textId="77777777" w:rsidR="00137244" w:rsidRPr="00CD6245" w:rsidRDefault="00137244" w:rsidP="00FF2D35">
            <w:pPr>
              <w:pStyle w:val="TableText"/>
            </w:pPr>
            <w:r w:rsidRPr="00CD6245">
              <w:t>5</w:t>
            </w:r>
          </w:p>
        </w:tc>
        <w:tc>
          <w:tcPr>
            <w:tcW w:w="2410" w:type="dxa"/>
          </w:tcPr>
          <w:p w14:paraId="1CAC0EF3" w14:textId="77777777" w:rsidR="00137244" w:rsidRPr="00CD6245" w:rsidRDefault="00137244" w:rsidP="00FF2D35">
            <w:pPr>
              <w:pStyle w:val="TableText"/>
              <w:cnfStyle w:val="000000100000" w:firstRow="0" w:lastRow="0" w:firstColumn="0" w:lastColumn="0" w:oddVBand="0" w:evenVBand="0" w:oddHBand="1" w:evenHBand="0" w:firstRowFirstColumn="0" w:firstRowLastColumn="0" w:lastRowFirstColumn="0" w:lastRowLastColumn="0"/>
            </w:pPr>
            <w:r w:rsidRPr="00CD6245">
              <w:t>Supplier satisfaction assessment</w:t>
            </w:r>
          </w:p>
        </w:tc>
        <w:tc>
          <w:tcPr>
            <w:tcW w:w="5953" w:type="dxa"/>
          </w:tcPr>
          <w:p w14:paraId="0FC6431E" w14:textId="77777777" w:rsidR="00137244" w:rsidRPr="00CD6245" w:rsidRDefault="00137244" w:rsidP="00FF2D35">
            <w:pPr>
              <w:pStyle w:val="TableText"/>
              <w:cnfStyle w:val="000000100000" w:firstRow="0" w:lastRow="0" w:firstColumn="0" w:lastColumn="0" w:oddVBand="0" w:evenVBand="0" w:oddHBand="1" w:evenHBand="0" w:firstRowFirstColumn="0" w:firstRowLastColumn="0" w:lastRowFirstColumn="0" w:lastRowLastColumn="0"/>
            </w:pPr>
            <w:r w:rsidRPr="00CD6245">
              <w:t xml:space="preserve">Satisfaction with quality of service provided by the department procurement function as provided by an annual survey of supplier perception of experience over time. </w:t>
            </w:r>
          </w:p>
        </w:tc>
      </w:tr>
      <w:tr w:rsidR="00137244" w:rsidRPr="00CD6245" w14:paraId="2DED2E81" w14:textId="77777777" w:rsidTr="00C35FD0">
        <w:tc>
          <w:tcPr>
            <w:cnfStyle w:val="001000000000" w:firstRow="0" w:lastRow="0" w:firstColumn="1" w:lastColumn="0" w:oddVBand="0" w:evenVBand="0" w:oddHBand="0" w:evenHBand="0" w:firstRowFirstColumn="0" w:firstRowLastColumn="0" w:lastRowFirstColumn="0" w:lastRowLastColumn="0"/>
            <w:tcW w:w="425" w:type="dxa"/>
          </w:tcPr>
          <w:p w14:paraId="3D0A77FF" w14:textId="77777777" w:rsidR="00137244" w:rsidRPr="00CD6245" w:rsidRDefault="00137244" w:rsidP="00FF2D35">
            <w:pPr>
              <w:pStyle w:val="TableText"/>
            </w:pPr>
            <w:r w:rsidRPr="00CD6245">
              <w:t>6</w:t>
            </w:r>
          </w:p>
        </w:tc>
        <w:tc>
          <w:tcPr>
            <w:tcW w:w="2410" w:type="dxa"/>
          </w:tcPr>
          <w:p w14:paraId="55AA3FF0" w14:textId="77777777" w:rsidR="00137244" w:rsidRPr="00CD6245" w:rsidRDefault="00137244" w:rsidP="00FF2D35">
            <w:pPr>
              <w:pStyle w:val="TableText"/>
              <w:cnfStyle w:val="000000000000" w:firstRow="0" w:lastRow="0" w:firstColumn="0" w:lastColumn="0" w:oddVBand="0" w:evenVBand="0" w:oddHBand="0" w:evenHBand="0" w:firstRowFirstColumn="0" w:firstRowLastColumn="0" w:lastRowFirstColumn="0" w:lastRowLastColumn="0"/>
            </w:pPr>
            <w:r w:rsidRPr="00CD6245">
              <w:t>Planned procurement activity as a percentage of actual procurement activity</w:t>
            </w:r>
          </w:p>
        </w:tc>
        <w:tc>
          <w:tcPr>
            <w:tcW w:w="5953" w:type="dxa"/>
          </w:tcPr>
          <w:p w14:paraId="7F63ACE8" w14:textId="6C4E2744" w:rsidR="00137244" w:rsidRPr="00CD6245" w:rsidRDefault="00137244" w:rsidP="00FF2D35">
            <w:pPr>
              <w:pStyle w:val="TableText"/>
              <w:cnfStyle w:val="000000000000" w:firstRow="0" w:lastRow="0" w:firstColumn="0" w:lastColumn="0" w:oddVBand="0" w:evenVBand="0" w:oddHBand="0" w:evenHBand="0" w:firstRowFirstColumn="0" w:firstRowLastColumn="0" w:lastRowFirstColumn="0" w:lastRowLastColumn="0"/>
            </w:pPr>
            <w:r w:rsidRPr="00CD6245">
              <w:t xml:space="preserve">Number of planned procurements captured in a department’s internal forward </w:t>
            </w:r>
            <w:r w:rsidR="0093299B">
              <w:t xml:space="preserve">procurement </w:t>
            </w:r>
            <w:r w:rsidRPr="00CD6245">
              <w:t xml:space="preserve">activity plan against the number of procurement activities awarded to the market. </w:t>
            </w:r>
          </w:p>
        </w:tc>
      </w:tr>
    </w:tbl>
    <w:p w14:paraId="35B40073" w14:textId="77777777" w:rsidR="00137244" w:rsidRDefault="00137244" w:rsidP="00E41631">
      <w:pPr>
        <w:pStyle w:val="Normal1"/>
      </w:pPr>
    </w:p>
    <w:bookmarkEnd w:id="128"/>
    <w:bookmarkEnd w:id="136"/>
    <w:p w14:paraId="0C049F82" w14:textId="66FD02D2" w:rsidR="00D8117A" w:rsidRDefault="00C16A0E">
      <w:pPr>
        <w:rPr>
          <w:rFonts w:ascii="Calibri" w:hAnsi="Calibri" w:cs="Calibri"/>
          <w:color w:val="4D4D4D"/>
          <w:kern w:val="28"/>
          <w:sz w:val="30"/>
          <w:szCs w:val="22"/>
          <w:lang w:eastAsia="en-US"/>
        </w:rPr>
      </w:pPr>
      <w:r>
        <w:br w:type="page"/>
      </w:r>
      <w:bookmarkStart w:id="140" w:name="_Toc521259944"/>
      <w:bookmarkStart w:id="141" w:name="_Hlk521606354"/>
      <w:bookmarkStart w:id="142" w:name="_Toc521259951"/>
    </w:p>
    <w:p w14:paraId="33D5BFEC" w14:textId="58493860" w:rsidR="00EA43F0" w:rsidRDefault="00EA43F0" w:rsidP="00EA43F0">
      <w:pPr>
        <w:pStyle w:val="Heading2NoNum"/>
      </w:pPr>
      <w:bookmarkStart w:id="143" w:name="_Toc524354081"/>
      <w:bookmarkStart w:id="144" w:name="_Hlk522701023"/>
      <w:bookmarkStart w:id="145" w:name="_Hlk521916401"/>
      <w:r w:rsidRPr="00CD6245">
        <w:lastRenderedPageBreak/>
        <w:t>Department of Economic Development, Jobs, Transport and Resources</w:t>
      </w:r>
      <w:bookmarkEnd w:id="140"/>
      <w:bookmarkEnd w:id="143"/>
    </w:p>
    <w:p w14:paraId="2A3098B4" w14:textId="5FCDCA07" w:rsidR="00EA43F0" w:rsidRDefault="00EA43F0" w:rsidP="00EA43F0">
      <w:pPr>
        <w:pStyle w:val="Normal1"/>
      </w:pPr>
      <w:r w:rsidRPr="000E63EC">
        <w:t>The Department of Economic Development, Jobs, Transport and Resources (DEDJTR) drives economic development and job creation across Victoria, incorporating transport and ports, investment attraction and facilitation, trade, agriculture, creative industries</w:t>
      </w:r>
      <w:r>
        <w:t xml:space="preserve"> and</w:t>
      </w:r>
      <w:r w:rsidRPr="000E63EC">
        <w:t xml:space="preserve"> resources.</w:t>
      </w:r>
    </w:p>
    <w:p w14:paraId="255EEE4F" w14:textId="74CC4EF9" w:rsidR="00EA43F0" w:rsidRDefault="00EA43F0" w:rsidP="00EA43F0">
      <w:pPr>
        <w:pStyle w:val="Heading3NoNum"/>
      </w:pPr>
      <w:r>
        <w:rPr>
          <w:noProof/>
          <w:lang w:val="en-US"/>
        </w:rPr>
        <mc:AlternateContent>
          <mc:Choice Requires="wps">
            <w:drawing>
              <wp:anchor distT="0" distB="0" distL="114300" distR="114300" simplePos="0" relativeHeight="251664896" behindDoc="0" locked="0" layoutInCell="1" allowOverlap="1" wp14:anchorId="27C0F293" wp14:editId="532E020A">
                <wp:simplePos x="0" y="0"/>
                <wp:positionH relativeFrom="margin">
                  <wp:posOffset>4239895</wp:posOffset>
                </wp:positionH>
                <wp:positionV relativeFrom="margin">
                  <wp:posOffset>1013460</wp:posOffset>
                </wp:positionV>
                <wp:extent cx="1695450" cy="1172845"/>
                <wp:effectExtent l="0" t="0" r="19050" b="27305"/>
                <wp:wrapSquare wrapText="bothSides"/>
                <wp:docPr id="63" name="Text Box 63"/>
                <wp:cNvGraphicFramePr/>
                <a:graphic xmlns:a="http://schemas.openxmlformats.org/drawingml/2006/main">
                  <a:graphicData uri="http://schemas.microsoft.com/office/word/2010/wordprocessingShape">
                    <wps:wsp>
                      <wps:cNvSpPr txBox="1"/>
                      <wps:spPr>
                        <a:xfrm>
                          <a:off x="0" y="0"/>
                          <a:ext cx="1695450" cy="1172845"/>
                        </a:xfrm>
                        <a:prstGeom prst="rect">
                          <a:avLst/>
                        </a:prstGeom>
                        <a:solidFill>
                          <a:schemeClr val="lt1"/>
                        </a:solidFill>
                        <a:ln w="6350">
                          <a:solidFill>
                            <a:prstClr val="black"/>
                          </a:solidFill>
                        </a:ln>
                      </wps:spPr>
                      <wps:txbx>
                        <w:txbxContent>
                          <w:p w14:paraId="2A3C90B4" w14:textId="77777777" w:rsidR="001206E5" w:rsidRPr="005A253C" w:rsidRDefault="001206E5" w:rsidP="00EA43F0">
                            <w:pPr>
                              <w:spacing w:before="40" w:after="40"/>
                              <w:rPr>
                                <w:rFonts w:asciiTheme="majorHAnsi" w:hAnsiTheme="majorHAnsi" w:cstheme="majorHAnsi"/>
                                <w:b/>
                                <w:sz w:val="20"/>
                                <w:szCs w:val="20"/>
                              </w:rPr>
                            </w:pPr>
                            <w:r w:rsidRPr="005A253C">
                              <w:rPr>
                                <w:rFonts w:asciiTheme="majorHAnsi" w:hAnsiTheme="majorHAnsi" w:cstheme="majorHAnsi"/>
                                <w:b/>
                                <w:sz w:val="20"/>
                                <w:szCs w:val="20"/>
                              </w:rPr>
                              <w:t xml:space="preserve">AO: </w:t>
                            </w:r>
                            <w:r w:rsidRPr="005A253C">
                              <w:rPr>
                                <w:rFonts w:asciiTheme="majorHAnsi" w:hAnsiTheme="majorHAnsi" w:cstheme="majorHAnsi"/>
                                <w:sz w:val="20"/>
                                <w:szCs w:val="20"/>
                              </w:rPr>
                              <w:t>Richard Bolt, Secretary</w:t>
                            </w:r>
                          </w:p>
                          <w:p w14:paraId="70880F4C" w14:textId="77777777" w:rsidR="001206E5" w:rsidRPr="005A253C" w:rsidRDefault="001206E5" w:rsidP="00EA43F0">
                            <w:pPr>
                              <w:spacing w:before="40" w:after="40"/>
                              <w:rPr>
                                <w:rFonts w:asciiTheme="majorHAnsi" w:hAnsiTheme="majorHAnsi" w:cstheme="majorHAnsi"/>
                                <w:sz w:val="20"/>
                                <w:szCs w:val="20"/>
                              </w:rPr>
                            </w:pPr>
                            <w:r w:rsidRPr="005A253C">
                              <w:rPr>
                                <w:rFonts w:asciiTheme="majorHAnsi" w:hAnsiTheme="majorHAnsi" w:cstheme="majorHAnsi"/>
                                <w:b/>
                                <w:sz w:val="20"/>
                                <w:szCs w:val="20"/>
                              </w:rPr>
                              <w:t>CPO</w:t>
                            </w:r>
                            <w:r w:rsidRPr="005A253C">
                              <w:rPr>
                                <w:rFonts w:asciiTheme="majorHAnsi" w:hAnsiTheme="majorHAnsi" w:cstheme="majorHAnsi"/>
                                <w:sz w:val="20"/>
                                <w:szCs w:val="20"/>
                              </w:rPr>
                              <w:t>: Lisa Williams, CPO, Corporate Services</w:t>
                            </w:r>
                          </w:p>
                          <w:p w14:paraId="44B1ADD1" w14:textId="6A7D0AA6" w:rsidR="001206E5" w:rsidRDefault="001206E5" w:rsidP="00EA43F0">
                            <w:pPr>
                              <w:spacing w:before="40" w:after="40"/>
                              <w:rPr>
                                <w:rFonts w:asciiTheme="majorHAnsi" w:hAnsiTheme="majorHAnsi" w:cstheme="majorHAnsi"/>
                                <w:sz w:val="20"/>
                                <w:szCs w:val="20"/>
                              </w:rPr>
                            </w:pPr>
                            <w:r w:rsidRPr="00AA56EC">
                              <w:rPr>
                                <w:rFonts w:asciiTheme="majorHAnsi" w:hAnsiTheme="majorHAnsi" w:cstheme="majorHAnsi"/>
                                <w:b/>
                                <w:sz w:val="20"/>
                                <w:szCs w:val="20"/>
                              </w:rPr>
                              <w:t>IPU Chair</w:t>
                            </w:r>
                            <w:r w:rsidRPr="00AA56EC">
                              <w:rPr>
                                <w:rFonts w:asciiTheme="majorHAnsi" w:hAnsiTheme="majorHAnsi" w:cstheme="majorHAnsi"/>
                                <w:sz w:val="20"/>
                                <w:szCs w:val="20"/>
                              </w:rPr>
                              <w:t xml:space="preserve">: </w:t>
                            </w:r>
                            <w:r>
                              <w:rPr>
                                <w:rFonts w:asciiTheme="majorHAnsi" w:hAnsiTheme="majorHAnsi" w:cstheme="majorHAnsi"/>
                                <w:sz w:val="20"/>
                                <w:szCs w:val="20"/>
                              </w:rPr>
                              <w:t xml:space="preserve"> </w:t>
                            </w:r>
                            <w:r w:rsidRPr="008C55F3">
                              <w:rPr>
                                <w:rFonts w:asciiTheme="majorHAnsi" w:hAnsiTheme="majorHAnsi" w:cstheme="majorHAnsi"/>
                                <w:sz w:val="20"/>
                                <w:szCs w:val="20"/>
                              </w:rPr>
                              <w:t>Luke Wilson, Lead Deputy Secretary Corporate Services</w:t>
                            </w:r>
                          </w:p>
                          <w:p w14:paraId="6F6606B6" w14:textId="77777777" w:rsidR="001206E5" w:rsidRPr="005A253C" w:rsidRDefault="001206E5" w:rsidP="00EA43F0">
                            <w:pPr>
                              <w:spacing w:before="40" w:after="40"/>
                              <w:rPr>
                                <w:rFonts w:asciiTheme="majorHAnsi" w:hAnsiTheme="majorHAnsi" w:cstheme="majorHAnsi"/>
                                <w:sz w:val="20"/>
                                <w:szCs w:val="20"/>
                              </w:rPr>
                            </w:pPr>
                          </w:p>
                          <w:p w14:paraId="381C6183" w14:textId="77777777" w:rsidR="001206E5" w:rsidRDefault="001206E5" w:rsidP="00EA43F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C0F293" id="Text Box 63" o:spid="_x0000_s1076" type="#_x0000_t202" style="position:absolute;left:0;text-align:left;margin-left:333.85pt;margin-top:79.8pt;width:133.5pt;height:92.35pt;z-index:25166489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" fillcolor="white [3201]" strokeweight=".5pt">
                <v:textbox>
                  <w:txbxContent>
                    <w:p w14:paraId="2A3C90B4" w14:textId="77777777" w:rsidR="001206E5" w:rsidRPr="005A253C" w:rsidRDefault="001206E5" w:rsidP="00EA43F0">
                      <w:pPr>
                        <w:spacing w:before="40" w:after="40"/>
                        <w:rPr>
                          <w:rFonts w:asciiTheme="majorHAnsi" w:hAnsiTheme="majorHAnsi" w:cstheme="majorHAnsi"/>
                          <w:b/>
                          <w:sz w:val="20"/>
                          <w:szCs w:val="20"/>
                        </w:rPr>
                      </w:pPr>
                      <w:r w:rsidRPr="005A253C">
                        <w:rPr>
                          <w:rFonts w:asciiTheme="majorHAnsi" w:hAnsiTheme="majorHAnsi" w:cstheme="majorHAnsi"/>
                          <w:b/>
                          <w:sz w:val="20"/>
                          <w:szCs w:val="20"/>
                        </w:rPr>
                        <w:t xml:space="preserve">AO: </w:t>
                      </w:r>
                      <w:r w:rsidRPr="005A253C">
                        <w:rPr>
                          <w:rFonts w:asciiTheme="majorHAnsi" w:hAnsiTheme="majorHAnsi" w:cstheme="majorHAnsi"/>
                          <w:sz w:val="20"/>
                          <w:szCs w:val="20"/>
                        </w:rPr>
                        <w:t>Richard Bolt, Secretary</w:t>
                      </w:r>
                    </w:p>
                    <w:p w14:paraId="70880F4C" w14:textId="77777777" w:rsidR="001206E5" w:rsidRPr="005A253C" w:rsidRDefault="001206E5" w:rsidP="00EA43F0">
                      <w:pPr>
                        <w:spacing w:before="40" w:after="40"/>
                        <w:rPr>
                          <w:rFonts w:asciiTheme="majorHAnsi" w:hAnsiTheme="majorHAnsi" w:cstheme="majorHAnsi"/>
                          <w:sz w:val="20"/>
                          <w:szCs w:val="20"/>
                        </w:rPr>
                      </w:pPr>
                      <w:r w:rsidRPr="005A253C">
                        <w:rPr>
                          <w:rFonts w:asciiTheme="majorHAnsi" w:hAnsiTheme="majorHAnsi" w:cstheme="majorHAnsi"/>
                          <w:b/>
                          <w:sz w:val="20"/>
                          <w:szCs w:val="20"/>
                        </w:rPr>
                        <w:t>CPO</w:t>
                      </w:r>
                      <w:r w:rsidRPr="005A253C">
                        <w:rPr>
                          <w:rFonts w:asciiTheme="majorHAnsi" w:hAnsiTheme="majorHAnsi" w:cstheme="majorHAnsi"/>
                          <w:sz w:val="20"/>
                          <w:szCs w:val="20"/>
                        </w:rPr>
                        <w:t>: Lisa Williams, CPO, Corporate Services</w:t>
                      </w:r>
                    </w:p>
                    <w:p w14:paraId="44B1ADD1" w14:textId="6A7D0AA6" w:rsidR="001206E5" w:rsidRDefault="001206E5" w:rsidP="00EA43F0">
                      <w:pPr>
                        <w:spacing w:before="40" w:after="40"/>
                        <w:rPr>
                          <w:rFonts w:asciiTheme="majorHAnsi" w:hAnsiTheme="majorHAnsi" w:cstheme="majorHAnsi"/>
                          <w:sz w:val="20"/>
                          <w:szCs w:val="20"/>
                        </w:rPr>
                      </w:pPr>
                      <w:r w:rsidRPr="00AA56EC">
                        <w:rPr>
                          <w:rFonts w:asciiTheme="majorHAnsi" w:hAnsiTheme="majorHAnsi" w:cstheme="majorHAnsi"/>
                          <w:b/>
                          <w:sz w:val="20"/>
                          <w:szCs w:val="20"/>
                        </w:rPr>
                        <w:t>IPU Chair</w:t>
                      </w:r>
                      <w:r w:rsidRPr="00AA56EC">
                        <w:rPr>
                          <w:rFonts w:asciiTheme="majorHAnsi" w:hAnsiTheme="majorHAnsi" w:cstheme="majorHAnsi"/>
                          <w:sz w:val="20"/>
                          <w:szCs w:val="20"/>
                        </w:rPr>
                        <w:t xml:space="preserve">: </w:t>
                      </w:r>
                      <w:r>
                        <w:rPr>
                          <w:rFonts w:asciiTheme="majorHAnsi" w:hAnsiTheme="majorHAnsi" w:cstheme="majorHAnsi"/>
                          <w:sz w:val="20"/>
                          <w:szCs w:val="20"/>
                        </w:rPr>
                        <w:t xml:space="preserve"> </w:t>
                      </w:r>
                      <w:r w:rsidRPr="008C55F3">
                        <w:rPr>
                          <w:rFonts w:asciiTheme="majorHAnsi" w:hAnsiTheme="majorHAnsi" w:cstheme="majorHAnsi"/>
                          <w:sz w:val="20"/>
                          <w:szCs w:val="20"/>
                        </w:rPr>
                        <w:t>Luke Wilson, Lead Deputy Secretary Corporate Services</w:t>
                      </w:r>
                    </w:p>
                    <w:p w14:paraId="6F6606B6" w14:textId="77777777" w:rsidR="001206E5" w:rsidRPr="005A253C" w:rsidRDefault="001206E5" w:rsidP="00EA43F0">
                      <w:pPr>
                        <w:spacing w:before="40" w:after="40"/>
                        <w:rPr>
                          <w:rFonts w:asciiTheme="majorHAnsi" w:hAnsiTheme="majorHAnsi" w:cstheme="majorHAnsi"/>
                          <w:sz w:val="20"/>
                          <w:szCs w:val="20"/>
                        </w:rPr>
                      </w:pPr>
                    </w:p>
                    <w:p w14:paraId="381C6183" w14:textId="77777777" w:rsidR="001206E5" w:rsidRDefault="001206E5" w:rsidP="00EA43F0"/>
                  </w:txbxContent>
                </v:textbox>
                <w10:wrap type="square" anchorx="margin" anchory="margin"/>
              </v:shape>
            </w:pict>
          </mc:Fallback>
        </mc:AlternateContent>
      </w:r>
      <w:r w:rsidRPr="00CD6245">
        <w:t>Procurement profile</w:t>
      </w:r>
    </w:p>
    <w:p w14:paraId="45E91A06" w14:textId="71F44E0E" w:rsidR="00EA43F0" w:rsidRDefault="00EA43F0" w:rsidP="00EA43F0">
      <w:pPr>
        <w:pStyle w:val="Normal1"/>
      </w:pPr>
      <w:r>
        <w:t xml:space="preserve">DEDJTR’s current procurement approach is a centre-led model with responsibility for procurement strategy, policy, governance and delivery of strategic sourcing for goods and services across the </w:t>
      </w:r>
      <w:r w:rsidR="0072562D">
        <w:t>D</w:t>
      </w:r>
      <w:r>
        <w:t>epartment.</w:t>
      </w:r>
    </w:p>
    <w:p w14:paraId="1A984368" w14:textId="271E5104" w:rsidR="00EA43F0" w:rsidRDefault="00EA43F0" w:rsidP="00EA43F0">
      <w:pPr>
        <w:pStyle w:val="Normal1"/>
      </w:pPr>
      <w:r>
        <w:t xml:space="preserve">DEDJTR has an annual goods and services spend of approximately </w:t>
      </w:r>
      <w:r w:rsidRPr="00FC0012">
        <w:t>$950</w:t>
      </w:r>
      <w:r w:rsidRPr="002550BA">
        <w:t xml:space="preserve"> </w:t>
      </w:r>
      <w:r>
        <w:t xml:space="preserve">million, which has increased by approximately </w:t>
      </w:r>
      <w:r w:rsidRPr="00FE3438">
        <w:t>$</w:t>
      </w:r>
      <w:r w:rsidR="00284B26">
        <w:t>5</w:t>
      </w:r>
      <w:r w:rsidRPr="005267A9">
        <w:t>20</w:t>
      </w:r>
      <w:r>
        <w:t xml:space="preserve"> million compared to 2016–17 spend, primarily due to the increase of spend within the Major Transport Infrastructure Program (MTIP) and the novation of contracts from Public Transport Victoria to Transport for Victoria.</w:t>
      </w:r>
    </w:p>
    <w:p w14:paraId="5E5E9D7C" w14:textId="61C6A9B6" w:rsidR="00EA43F0" w:rsidRDefault="00EA43F0" w:rsidP="00EA43F0">
      <w:pPr>
        <w:pStyle w:val="Normal1"/>
      </w:pPr>
      <w:r>
        <w:t xml:space="preserve">This spend </w:t>
      </w:r>
      <w:r w:rsidR="0070407E">
        <w:t xml:space="preserve">also </w:t>
      </w:r>
      <w:r>
        <w:t xml:space="preserve">spans a complex portfolio of services a diverse range of spend categories which are segmented at a high level into the following: agriculture and marine, facilities management, general business services, human resources, IT and telecommunications, marketing, </w:t>
      </w:r>
      <w:r w:rsidR="0070407E">
        <w:t xml:space="preserve">business </w:t>
      </w:r>
      <w:r>
        <w:t>events, professional services, scientific research, travel and utilities.</w:t>
      </w:r>
    </w:p>
    <w:p w14:paraId="6ECC7A6E" w14:textId="0FAE6035" w:rsidR="00EA43F0" w:rsidRDefault="00CA5FA6" w:rsidP="00EA43F0">
      <w:pPr>
        <w:pStyle w:val="Normal1"/>
      </w:pPr>
      <w:bookmarkStart w:id="146" w:name="_Hlk521917027"/>
      <w:r>
        <w:t>MTIP is a</w:t>
      </w:r>
      <w:bookmarkEnd w:id="146"/>
      <w:r w:rsidR="00EA43F0">
        <w:t xml:space="preserve"> key program of work within DEDJTR, which</w:t>
      </w:r>
      <w:r w:rsidR="00EA43F0" w:rsidRPr="00582478">
        <w:t xml:space="preserve"> is </w:t>
      </w:r>
      <w:r w:rsidR="00EA43F0">
        <w:t>delivered through the Office of the Coordinator-General. T</w:t>
      </w:r>
      <w:r w:rsidR="00EA43F0" w:rsidRPr="00582478">
        <w:t xml:space="preserve">he </w:t>
      </w:r>
      <w:r w:rsidR="00EA43F0">
        <w:t xml:space="preserve">MTIP </w:t>
      </w:r>
      <w:r w:rsidR="00EA43F0" w:rsidRPr="00582478">
        <w:t xml:space="preserve">investment program </w:t>
      </w:r>
      <w:r w:rsidR="00EA43F0">
        <w:t xml:space="preserve">is </w:t>
      </w:r>
      <w:r w:rsidR="00EA43F0" w:rsidRPr="00582478">
        <w:t xml:space="preserve">delivered by </w:t>
      </w:r>
      <w:r w:rsidR="00EA43F0">
        <w:t>four</w:t>
      </w:r>
      <w:r w:rsidR="00EA43F0" w:rsidRPr="00582478">
        <w:t xml:space="preserve"> </w:t>
      </w:r>
      <w:r w:rsidR="00EA43F0">
        <w:t xml:space="preserve">authorities overseen by the </w:t>
      </w:r>
      <w:r w:rsidR="00EA43F0" w:rsidRPr="00582478">
        <w:t>Coordinator-General.</w:t>
      </w:r>
    </w:p>
    <w:p w14:paraId="3581CCBE" w14:textId="31CC28F3" w:rsidR="00EA43F0" w:rsidRDefault="00EA43F0" w:rsidP="00EA43F0">
      <w:pPr>
        <w:pStyle w:val="Normal1"/>
      </w:pPr>
      <w:r>
        <w:t xml:space="preserve">A dedicated MTIP procurement </w:t>
      </w:r>
      <w:r w:rsidR="00AA56EC">
        <w:t xml:space="preserve">framework </w:t>
      </w:r>
      <w:r>
        <w:t>was established in March 2018 to manage the complexities</w:t>
      </w:r>
      <w:r w:rsidRPr="00513AE4">
        <w:t xml:space="preserve"> in process requirements and approvals</w:t>
      </w:r>
      <w:r>
        <w:t xml:space="preserve"> associated with coordinating expenditure under both the VGPB supply policy framework and the</w:t>
      </w:r>
      <w:r w:rsidRPr="00EA43F0">
        <w:rPr>
          <w:i/>
        </w:rPr>
        <w:t xml:space="preserve"> Project Development and Construction</w:t>
      </w:r>
      <w:r>
        <w:rPr>
          <w:i/>
        </w:rPr>
        <w:t xml:space="preserve"> </w:t>
      </w:r>
      <w:r w:rsidRPr="00EA43F0">
        <w:rPr>
          <w:rStyle w:val="ilfuvd"/>
          <w:bCs/>
          <w:i/>
        </w:rPr>
        <w:t>Management</w:t>
      </w:r>
      <w:r w:rsidRPr="00EA43F0">
        <w:rPr>
          <w:i/>
        </w:rPr>
        <w:t xml:space="preserve"> Act 1994</w:t>
      </w:r>
      <w:r>
        <w:t>.</w:t>
      </w:r>
      <w:r w:rsidR="0070407E">
        <w:t xml:space="preserve"> The MTIP framework is fully aligned with DEDJTR’s procurement policies and processes.</w:t>
      </w:r>
    </w:p>
    <w:p w14:paraId="281B000A" w14:textId="3F935B96" w:rsidR="0070407E" w:rsidRPr="00EA43F0" w:rsidRDefault="0070407E" w:rsidP="0070407E">
      <w:pPr>
        <w:pStyle w:val="Normal1"/>
      </w:pPr>
      <w:r w:rsidRPr="0045260F">
        <w:t xml:space="preserve">The DEDJTR </w:t>
      </w:r>
      <w:r w:rsidR="009556FC" w:rsidRPr="0045260F">
        <w:t>accountable offic</w:t>
      </w:r>
      <w:r w:rsidRPr="0045260F">
        <w:t>er has appointed two CPOs</w:t>
      </w:r>
      <w:r>
        <w:t xml:space="preserve"> –</w:t>
      </w:r>
      <w:r w:rsidRPr="0045260F">
        <w:t xml:space="preserve"> the overall DEDJTR CPO and</w:t>
      </w:r>
      <w:r>
        <w:t xml:space="preserve"> a dedicated</w:t>
      </w:r>
      <w:r w:rsidRPr="0045260F">
        <w:t xml:space="preserve"> MTIP CPO.</w:t>
      </w:r>
    </w:p>
    <w:p w14:paraId="70BB1E91" w14:textId="77777777" w:rsidR="00EA43F0" w:rsidRPr="007A584B" w:rsidRDefault="00EA43F0" w:rsidP="00EA43F0">
      <w:pPr>
        <w:pStyle w:val="Heading3NoNum"/>
      </w:pPr>
      <w:r w:rsidRPr="007A584B">
        <w:t>Compliance with VGPB policies</w:t>
      </w:r>
      <w:r>
        <w:t xml:space="preserve"> </w:t>
      </w:r>
      <w:r w:rsidRPr="007A584B">
        <w:t>and related activities</w:t>
      </w:r>
    </w:p>
    <w:p w14:paraId="00EF9520" w14:textId="77777777" w:rsidR="00A07703" w:rsidRDefault="00EA43F0" w:rsidP="00EA43F0">
      <w:pPr>
        <w:pStyle w:val="Caption"/>
      </w:pPr>
      <w:r>
        <w:rPr>
          <w:lang w:eastAsia="en-US"/>
        </w:rPr>
        <w:fldChar w:fldCharType="begin"/>
      </w:r>
      <w:r>
        <w:rPr>
          <w:lang w:eastAsia="en-US"/>
        </w:rPr>
        <w:instrText xml:space="preserve"> REF _Ref488668672 \h </w:instrText>
      </w:r>
      <w:r>
        <w:rPr>
          <w:lang w:eastAsia="en-US"/>
        </w:rPr>
      </w:r>
      <w:r>
        <w:rPr>
          <w:lang w:eastAsia="en-US"/>
        </w:rPr>
        <w:fldChar w:fldCharType="separate"/>
      </w:r>
    </w:p>
    <w:p w14:paraId="02389B9C" w14:textId="77777777" w:rsidR="00A07703" w:rsidRDefault="00A07703" w:rsidP="00EA43F0">
      <w:pPr>
        <w:pStyle w:val="Caption"/>
      </w:pPr>
    </w:p>
    <w:p w14:paraId="50B65EE1" w14:textId="77777777" w:rsidR="00A07703" w:rsidRDefault="00A07703" w:rsidP="00EA43F0">
      <w:pPr>
        <w:pStyle w:val="Caption"/>
      </w:pPr>
    </w:p>
    <w:p w14:paraId="7F62AD58" w14:textId="77777777" w:rsidR="00A07703" w:rsidRDefault="00A07703">
      <w:pPr>
        <w:rPr>
          <w:rFonts w:ascii="Calibri" w:hAnsi="Calibri" w:cs="Calibri"/>
          <w:b/>
          <w:sz w:val="22"/>
          <w:szCs w:val="22"/>
        </w:rPr>
      </w:pPr>
      <w:r>
        <w:br w:type="page"/>
      </w:r>
    </w:p>
    <w:p w14:paraId="07A10521" w14:textId="77777777" w:rsidR="00A07703" w:rsidRDefault="00A07703" w:rsidP="00EA43F0">
      <w:pPr>
        <w:pStyle w:val="Caption"/>
      </w:pPr>
    </w:p>
    <w:p w14:paraId="559088FA" w14:textId="2806C633" w:rsidR="00EA43F0" w:rsidRDefault="00A07703" w:rsidP="00EA43F0">
      <w:pPr>
        <w:pStyle w:val="Normal1"/>
        <w:rPr>
          <w:lang w:eastAsia="en-US"/>
        </w:rPr>
      </w:pPr>
      <w:r w:rsidRPr="007A584B">
        <w:t xml:space="preserve">Table </w:t>
      </w:r>
      <w:r>
        <w:rPr>
          <w:noProof/>
        </w:rPr>
        <w:t>24</w:t>
      </w:r>
      <w:r w:rsidR="00EA43F0">
        <w:rPr>
          <w:lang w:eastAsia="en-US"/>
        </w:rPr>
        <w:fldChar w:fldCharType="end"/>
      </w:r>
      <w:r w:rsidR="00EA43F0">
        <w:rPr>
          <w:lang w:eastAsia="en-US"/>
        </w:rPr>
        <w:t xml:space="preserve"> lists DEDJTR’s activities to ensure and improve compliance with VGPB supply policies</w:t>
      </w:r>
      <w:r w:rsidR="00EA43F0" w:rsidRPr="00072550">
        <w:t xml:space="preserve">. </w:t>
      </w:r>
      <w:r w:rsidR="00EA43F0" w:rsidRPr="00212617">
        <w:rPr>
          <w:lang w:eastAsia="en-US"/>
        </w:rPr>
        <w:t xml:space="preserve">Compliance activities are </w:t>
      </w:r>
      <w:r w:rsidR="00EA43F0">
        <w:rPr>
          <w:lang w:eastAsia="en-US"/>
        </w:rPr>
        <w:t xml:space="preserve">grouped against VGPB supply policies, </w:t>
      </w:r>
      <w:r w:rsidR="00EA43F0" w:rsidRPr="00212617">
        <w:rPr>
          <w:lang w:eastAsia="en-US"/>
        </w:rPr>
        <w:t>though activities often overlap with multiple policies.</w:t>
      </w:r>
    </w:p>
    <w:p w14:paraId="24E3B2AB" w14:textId="3A3E1CAA" w:rsidR="00EA43F0" w:rsidRDefault="00EA43F0" w:rsidP="00EA43F0">
      <w:pPr>
        <w:pStyle w:val="Normal1"/>
        <w:rPr>
          <w:lang w:eastAsia="en-US"/>
        </w:rPr>
      </w:pPr>
      <w:r>
        <w:rPr>
          <w:lang w:eastAsia="en-US"/>
        </w:rPr>
        <w:t>DEDJTR completed an audit as part of the VGPB’s compliance progra</w:t>
      </w:r>
      <w:r w:rsidRPr="00011197">
        <w:rPr>
          <w:lang w:eastAsia="en-US"/>
        </w:rPr>
        <w:t>m in July 2017. T</w:t>
      </w:r>
      <w:r>
        <w:rPr>
          <w:lang w:eastAsia="en-US"/>
        </w:rPr>
        <w:t xml:space="preserve">he audit found that </w:t>
      </w:r>
      <w:r w:rsidRPr="00C82396">
        <w:rPr>
          <w:lang w:eastAsia="en-US"/>
        </w:rPr>
        <w:t xml:space="preserve">the </w:t>
      </w:r>
      <w:r w:rsidR="0072562D">
        <w:rPr>
          <w:lang w:eastAsia="en-US"/>
        </w:rPr>
        <w:t>D</w:t>
      </w:r>
      <w:r w:rsidRPr="00C82396">
        <w:rPr>
          <w:lang w:eastAsia="en-US"/>
        </w:rPr>
        <w:t>epartment’s overall procurement maturity has significantly improved through the</w:t>
      </w:r>
      <w:r>
        <w:rPr>
          <w:lang w:eastAsia="en-US"/>
        </w:rPr>
        <w:t xml:space="preserve"> VGPB’s</w:t>
      </w:r>
      <w:r w:rsidRPr="00C82396">
        <w:rPr>
          <w:lang w:eastAsia="en-US"/>
        </w:rPr>
        <w:t xml:space="preserve"> procurement reform program</w:t>
      </w:r>
      <w:r>
        <w:rPr>
          <w:lang w:eastAsia="en-US"/>
        </w:rPr>
        <w:t>. T</w:t>
      </w:r>
      <w:r w:rsidRPr="001A5606">
        <w:rPr>
          <w:lang w:eastAsia="en-US"/>
        </w:rPr>
        <w:t>wo opportunities for further improvement</w:t>
      </w:r>
      <w:r w:rsidR="0070033A">
        <w:rPr>
          <w:lang w:eastAsia="en-US"/>
        </w:rPr>
        <w:t>s</w:t>
      </w:r>
      <w:r w:rsidRPr="001A5606">
        <w:rPr>
          <w:lang w:eastAsia="en-US"/>
        </w:rPr>
        <w:t xml:space="preserve"> were identified and related actions completed:</w:t>
      </w:r>
    </w:p>
    <w:p w14:paraId="4E4A0769" w14:textId="77777777" w:rsidR="00EA43F0" w:rsidRDefault="00EA43F0" w:rsidP="00EA43F0">
      <w:pPr>
        <w:pStyle w:val="Normal1"/>
        <w:numPr>
          <w:ilvl w:val="0"/>
          <w:numId w:val="21"/>
        </w:numPr>
        <w:rPr>
          <w:lang w:eastAsia="en-US"/>
        </w:rPr>
      </w:pPr>
      <w:r>
        <w:rPr>
          <w:lang w:eastAsia="en-US"/>
        </w:rPr>
        <w:t>improve DEDJTR’s contract management framework; and</w:t>
      </w:r>
    </w:p>
    <w:p w14:paraId="090B3751" w14:textId="0F5B4784" w:rsidR="00EA43F0" w:rsidRDefault="00EA43F0" w:rsidP="00EA43F0">
      <w:pPr>
        <w:pStyle w:val="Normal1"/>
        <w:numPr>
          <w:ilvl w:val="0"/>
          <w:numId w:val="21"/>
        </w:numPr>
        <w:rPr>
          <w:lang w:eastAsia="en-US"/>
        </w:rPr>
      </w:pPr>
      <w:r>
        <w:rPr>
          <w:lang w:eastAsia="en-US"/>
        </w:rPr>
        <w:t>enhance compliance and staff capability on procurement and contract management activities.</w:t>
      </w:r>
    </w:p>
    <w:p w14:paraId="065EB818" w14:textId="77777777" w:rsidR="00F66493" w:rsidRDefault="00F66493" w:rsidP="00EA43F0">
      <w:pPr>
        <w:pStyle w:val="Caption"/>
      </w:pPr>
      <w:bookmarkStart w:id="147" w:name="_Ref488668672"/>
      <w:bookmarkStart w:id="148" w:name="_Toc503949258"/>
      <w:bookmarkStart w:id="149" w:name="_Toc521260353"/>
    </w:p>
    <w:p w14:paraId="106A7041" w14:textId="77777777" w:rsidR="00F66493" w:rsidRDefault="00F66493" w:rsidP="00EA43F0">
      <w:pPr>
        <w:pStyle w:val="Caption"/>
      </w:pPr>
    </w:p>
    <w:p w14:paraId="6C62B8AE" w14:textId="77777777" w:rsidR="00F66493" w:rsidRDefault="00F66493" w:rsidP="00EA43F0">
      <w:pPr>
        <w:pStyle w:val="Caption"/>
      </w:pPr>
    </w:p>
    <w:p w14:paraId="048740C8" w14:textId="53CCEB75" w:rsidR="00F66493" w:rsidRDefault="00F66493">
      <w:pPr>
        <w:rPr>
          <w:rFonts w:ascii="Calibri" w:hAnsi="Calibri" w:cs="Calibri"/>
          <w:b/>
          <w:sz w:val="22"/>
          <w:szCs w:val="22"/>
        </w:rPr>
      </w:pPr>
      <w:r>
        <w:br w:type="page"/>
      </w:r>
    </w:p>
    <w:p w14:paraId="7771C72F" w14:textId="77777777" w:rsidR="00F66493" w:rsidRDefault="00F66493" w:rsidP="00EA43F0">
      <w:pPr>
        <w:pStyle w:val="Caption"/>
      </w:pPr>
    </w:p>
    <w:p w14:paraId="0E55CEAF" w14:textId="2FCA1C11" w:rsidR="00EA43F0" w:rsidRDefault="00EA43F0" w:rsidP="00EA43F0">
      <w:pPr>
        <w:pStyle w:val="Caption"/>
      </w:pPr>
      <w:bookmarkStart w:id="150" w:name="_Toc524354017"/>
      <w:r w:rsidRPr="007A584B">
        <w:t xml:space="preserve">Table </w:t>
      </w:r>
      <w:r>
        <w:rPr>
          <w:noProof/>
        </w:rPr>
        <w:fldChar w:fldCharType="begin"/>
      </w:r>
      <w:r>
        <w:rPr>
          <w:noProof/>
        </w:rPr>
        <w:instrText xml:space="preserve"> SEQ Table \* ARABIC </w:instrText>
      </w:r>
      <w:r>
        <w:rPr>
          <w:noProof/>
        </w:rPr>
        <w:fldChar w:fldCharType="separate"/>
      </w:r>
      <w:r w:rsidR="00A07703">
        <w:rPr>
          <w:noProof/>
        </w:rPr>
        <w:t>24</w:t>
      </w:r>
      <w:r>
        <w:rPr>
          <w:noProof/>
        </w:rPr>
        <w:fldChar w:fldCharType="end"/>
      </w:r>
      <w:bookmarkEnd w:id="147"/>
      <w:r w:rsidRPr="007A584B">
        <w:t>: DEDJTR’</w:t>
      </w:r>
      <w:r>
        <w:t>s compliance activities in 2017–18</w:t>
      </w:r>
      <w:bookmarkEnd w:id="148"/>
      <w:bookmarkEnd w:id="149"/>
      <w:bookmarkEnd w:id="150"/>
    </w:p>
    <w:tbl>
      <w:tblPr>
        <w:tblStyle w:val="ListTable31"/>
        <w:tblW w:w="8789" w:type="dxa"/>
        <w:tblInd w:w="704" w:type="dxa"/>
        <w:tblLook w:val="04A0" w:firstRow="1" w:lastRow="0" w:firstColumn="1" w:lastColumn="0" w:noHBand="0" w:noVBand="1"/>
      </w:tblPr>
      <w:tblGrid>
        <w:gridCol w:w="1559"/>
        <w:gridCol w:w="7230"/>
      </w:tblGrid>
      <w:tr w:rsidR="00EA43F0" w14:paraId="716A5464" w14:textId="77777777" w:rsidTr="006919A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559" w:type="dxa"/>
          </w:tcPr>
          <w:p w14:paraId="0CE6C227" w14:textId="77777777" w:rsidR="00EA43F0" w:rsidRDefault="00EA43F0" w:rsidP="006919A6">
            <w:pPr>
              <w:pStyle w:val="TableText"/>
            </w:pPr>
            <w:r>
              <w:t>VGPB policy</w:t>
            </w:r>
          </w:p>
        </w:tc>
        <w:tc>
          <w:tcPr>
            <w:tcW w:w="7230" w:type="dxa"/>
          </w:tcPr>
          <w:p w14:paraId="0BB31CF3" w14:textId="77777777" w:rsidR="00EA43F0" w:rsidRDefault="00EA43F0" w:rsidP="006919A6">
            <w:pPr>
              <w:pStyle w:val="TableText"/>
              <w:cnfStyle w:val="100000000000" w:firstRow="1" w:lastRow="0" w:firstColumn="0" w:lastColumn="0" w:oddVBand="0" w:evenVBand="0" w:oddHBand="0" w:evenHBand="0" w:firstRowFirstColumn="0" w:firstRowLastColumn="0" w:lastRowFirstColumn="0" w:lastRowLastColumn="0"/>
            </w:pPr>
            <w:r>
              <w:t>Activities</w:t>
            </w:r>
          </w:p>
        </w:tc>
      </w:tr>
      <w:tr w:rsidR="00EA43F0" w14:paraId="609CB451" w14:textId="77777777" w:rsidTr="006919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9" w:type="dxa"/>
          </w:tcPr>
          <w:p w14:paraId="1734706C" w14:textId="77777777" w:rsidR="00EA43F0" w:rsidRPr="002550BA" w:rsidRDefault="00EA43F0" w:rsidP="006919A6">
            <w:pPr>
              <w:pStyle w:val="TableText"/>
            </w:pPr>
            <w:r w:rsidRPr="002550BA">
              <w:t>Governance</w:t>
            </w:r>
          </w:p>
        </w:tc>
        <w:tc>
          <w:tcPr>
            <w:tcW w:w="7230" w:type="dxa"/>
          </w:tcPr>
          <w:p w14:paraId="51C9AEE2" w14:textId="7E96EA79" w:rsidR="00EA43F0" w:rsidRPr="002550BA" w:rsidRDefault="00EA43F0" w:rsidP="006919A6">
            <w:pPr>
              <w:pStyle w:val="TableBullet"/>
              <w:cnfStyle w:val="000000100000" w:firstRow="0" w:lastRow="0" w:firstColumn="0" w:lastColumn="0" w:oddVBand="0" w:evenVBand="0" w:oddHBand="1" w:evenHBand="0" w:firstRowFirstColumn="0" w:firstRowLastColumn="0" w:lastRowFirstColumn="0" w:lastRowLastColumn="0"/>
            </w:pPr>
            <w:r w:rsidRPr="002550BA">
              <w:t xml:space="preserve">Improved DEDJTR’s procurement governance process by creating a smaller, focused Procurement Advisory Group. The Group is engaged for all goods and services procurement activities of $3.5 million and above in accordance with </w:t>
            </w:r>
            <w:r w:rsidR="005F7BF9">
              <w:t>its</w:t>
            </w:r>
            <w:r w:rsidRPr="002550BA">
              <w:t xml:space="preserve"> terms of reference</w:t>
            </w:r>
            <w:r w:rsidRPr="002550BA">
              <w:rPr>
                <w:rStyle w:val="CommentReference"/>
                <w:rFonts w:asciiTheme="minorHAnsi" w:eastAsiaTheme="minorHAnsi" w:hAnsiTheme="minorHAnsi" w:cstheme="minorBidi"/>
              </w:rPr>
              <w:t>.</w:t>
            </w:r>
          </w:p>
          <w:p w14:paraId="4146F12A" w14:textId="6E0470F9" w:rsidR="00EA43F0" w:rsidRPr="002550BA" w:rsidRDefault="00EA43F0" w:rsidP="006919A6">
            <w:pPr>
              <w:pStyle w:val="TableBullet"/>
              <w:cnfStyle w:val="000000100000" w:firstRow="0" w:lastRow="0" w:firstColumn="0" w:lastColumn="0" w:oddVBand="0" w:evenVBand="0" w:oddHBand="1" w:evenHBand="0" w:firstRowFirstColumn="0" w:firstRowLastColumn="0" w:lastRowFirstColumn="0" w:lastRowLastColumn="0"/>
            </w:pPr>
            <w:r w:rsidRPr="002550BA">
              <w:t xml:space="preserve">Launched a Social Procurement Policy in February 2018 and provided training to the </w:t>
            </w:r>
            <w:r w:rsidR="005F7BF9">
              <w:t>Strategic Procurement Division (SPD)</w:t>
            </w:r>
            <w:r w:rsidRPr="002550BA">
              <w:t xml:space="preserve"> to promote working with suppliers owned by or employing Victorians who are underrepresented in the economy in alignment with Victoria’s Social Procurement Framework.</w:t>
            </w:r>
          </w:p>
          <w:p w14:paraId="599EA2A9" w14:textId="6BDA4E87" w:rsidR="00EA43F0" w:rsidRPr="002550BA" w:rsidRDefault="00EA43F0" w:rsidP="006919A6">
            <w:pPr>
              <w:pStyle w:val="TableBullet"/>
              <w:cnfStyle w:val="000000100000" w:firstRow="0" w:lastRow="0" w:firstColumn="0" w:lastColumn="0" w:oddVBand="0" w:evenVBand="0" w:oddHBand="1" w:evenHBand="0" w:firstRowFirstColumn="0" w:firstRowLastColumn="0" w:lastRowFirstColumn="0" w:lastRowLastColumn="0"/>
            </w:pPr>
            <w:r w:rsidRPr="002550BA">
              <w:t xml:space="preserve">To support </w:t>
            </w:r>
            <w:r w:rsidR="006919A6">
              <w:t>the Department of Premier and Cabinet’s</w:t>
            </w:r>
            <w:r w:rsidRPr="002550BA">
              <w:t xml:space="preserve"> review of consultancy spend in government, the SPD updated the procurement policy, process and documentation to ensure Secretary</w:t>
            </w:r>
            <w:r w:rsidR="00686733">
              <w:t xml:space="preserve"> (accountable officer)</w:t>
            </w:r>
            <w:r w:rsidRPr="002550BA">
              <w:t xml:space="preserve"> oversight is applied to all new consultancy engagements costing more than $100 000.</w:t>
            </w:r>
          </w:p>
          <w:p w14:paraId="35D31565" w14:textId="7EAE3204" w:rsidR="00EA43F0" w:rsidRPr="00FC0012" w:rsidRDefault="00DD5CF6" w:rsidP="006919A6">
            <w:pPr>
              <w:pStyle w:val="TableBullet"/>
              <w:cnfStyle w:val="000000100000" w:firstRow="0" w:lastRow="0" w:firstColumn="0" w:lastColumn="0" w:oddVBand="0" w:evenVBand="0" w:oddHBand="1" w:evenHBand="0" w:firstRowFirstColumn="0" w:firstRowLastColumn="0" w:lastRowFirstColumn="0" w:lastRowLastColumn="0"/>
            </w:pPr>
            <w:r>
              <w:t xml:space="preserve">The </w:t>
            </w:r>
            <w:r w:rsidR="00AA56EC">
              <w:t>MTIP</w:t>
            </w:r>
            <w:r w:rsidR="00AA56EC" w:rsidRPr="00FC0012">
              <w:t xml:space="preserve"> CPO </w:t>
            </w:r>
            <w:r w:rsidR="00AA56EC">
              <w:t xml:space="preserve">was appointed </w:t>
            </w:r>
            <w:r w:rsidR="00AA56EC" w:rsidRPr="00FC0012">
              <w:t xml:space="preserve">in </w:t>
            </w:r>
            <w:r w:rsidR="00EA43F0" w:rsidRPr="00FC0012">
              <w:t>July 2017 and a</w:t>
            </w:r>
            <w:r w:rsidR="005F7BF9">
              <w:t xml:space="preserve">n IPU (the </w:t>
            </w:r>
            <w:r w:rsidR="00AA56EC">
              <w:t xml:space="preserve">MTIP </w:t>
            </w:r>
            <w:r w:rsidR="00EA43F0">
              <w:t>Procurement Oversight Committee</w:t>
            </w:r>
            <w:r w:rsidR="005F7BF9">
              <w:t>)</w:t>
            </w:r>
            <w:r w:rsidR="00AA56EC">
              <w:t xml:space="preserve"> was established</w:t>
            </w:r>
            <w:r w:rsidR="00EA43F0" w:rsidRPr="00FC0012">
              <w:t xml:space="preserve"> in February 2018 to govern MTIP’s goods and services and construction-related procurement activities.</w:t>
            </w:r>
          </w:p>
          <w:p w14:paraId="7DE8A206" w14:textId="7BC1D2A3" w:rsidR="00EA43F0" w:rsidRPr="002550BA" w:rsidRDefault="00EA43F0" w:rsidP="006919A6">
            <w:pPr>
              <w:pStyle w:val="TableBullet"/>
              <w:cnfStyle w:val="000000100000" w:firstRow="0" w:lastRow="0" w:firstColumn="0" w:lastColumn="0" w:oddVBand="0" w:evenVBand="0" w:oddHBand="1" w:evenHBand="0" w:firstRowFirstColumn="0" w:firstRowLastColumn="0" w:lastRowFirstColumn="0" w:lastRowLastColumn="0"/>
            </w:pPr>
            <w:r w:rsidRPr="00FC0012">
              <w:t>Launched MTIP’s procurement framework including ancillary documents in March</w:t>
            </w:r>
            <w:r w:rsidR="00E77180">
              <w:t> </w:t>
            </w:r>
            <w:r w:rsidRPr="00FC0012">
              <w:t>2018 to bridge the gap between goods and services procurement and construction-related procurement.</w:t>
            </w:r>
          </w:p>
        </w:tc>
      </w:tr>
      <w:tr w:rsidR="00EA43F0" w14:paraId="664027E4" w14:textId="77777777" w:rsidTr="006919A6">
        <w:tc>
          <w:tcPr>
            <w:cnfStyle w:val="001000000000" w:firstRow="0" w:lastRow="0" w:firstColumn="1" w:lastColumn="0" w:oddVBand="0" w:evenVBand="0" w:oddHBand="0" w:evenHBand="0" w:firstRowFirstColumn="0" w:firstRowLastColumn="0" w:lastRowFirstColumn="0" w:lastRowLastColumn="0"/>
            <w:tcW w:w="1559" w:type="dxa"/>
          </w:tcPr>
          <w:p w14:paraId="76BE763E" w14:textId="77777777" w:rsidR="00EA43F0" w:rsidRPr="003058E0" w:rsidRDefault="00EA43F0" w:rsidP="006919A6">
            <w:pPr>
              <w:pStyle w:val="TableText"/>
            </w:pPr>
            <w:r w:rsidRPr="003058E0">
              <w:t>Complexity and capability</w:t>
            </w:r>
          </w:p>
        </w:tc>
        <w:tc>
          <w:tcPr>
            <w:tcW w:w="7230" w:type="dxa"/>
          </w:tcPr>
          <w:p w14:paraId="03CB1B2B" w14:textId="16F79360" w:rsidR="00EA43F0" w:rsidRPr="00420A51" w:rsidRDefault="00EA43F0" w:rsidP="006919A6">
            <w:pPr>
              <w:pStyle w:val="TableBullet"/>
              <w:cnfStyle w:val="000000000000" w:firstRow="0" w:lastRow="0" w:firstColumn="0" w:lastColumn="0" w:oddVBand="0" w:evenVBand="0" w:oddHBand="0" w:evenHBand="0" w:firstRowFirstColumn="0" w:firstRowLastColumn="0" w:lastRowFirstColumn="0" w:lastRowLastColumn="0"/>
              <w:rPr>
                <w:b/>
              </w:rPr>
            </w:pPr>
            <w:r>
              <w:t>D</w:t>
            </w:r>
            <w:r w:rsidRPr="00420A51">
              <w:t>eveloped a proposal for an ear</w:t>
            </w:r>
            <w:r w:rsidRPr="00822FA3">
              <w:t xml:space="preserve">ly discovery phase project to prepare a DEDJTR </w:t>
            </w:r>
            <w:r w:rsidR="005F7BF9">
              <w:br/>
            </w:r>
            <w:r w:rsidRPr="00822FA3">
              <w:t>e-sourcing (source to contract) technology systems road</w:t>
            </w:r>
            <w:r w:rsidRPr="00420A51">
              <w:t>ma</w:t>
            </w:r>
            <w:r w:rsidRPr="00513AE4">
              <w:t>p, aligned with the WoVG Statement of Directions for Procurement Systems. The D</w:t>
            </w:r>
            <w:r w:rsidRPr="00420A51">
              <w:t>EDJTR Executive Board has approved the proposal.</w:t>
            </w:r>
          </w:p>
          <w:p w14:paraId="21DDF0CD" w14:textId="22D733FB" w:rsidR="00EA43F0" w:rsidRPr="00420A51" w:rsidRDefault="00EA43F0" w:rsidP="006919A6">
            <w:pPr>
              <w:pStyle w:val="TableBullet"/>
              <w:cnfStyle w:val="000000000000" w:firstRow="0" w:lastRow="0" w:firstColumn="0" w:lastColumn="0" w:oddVBand="0" w:evenVBand="0" w:oddHBand="0" w:evenHBand="0" w:firstRowFirstColumn="0" w:firstRowLastColumn="0" w:lastRowFirstColumn="0" w:lastRowLastColumn="0"/>
            </w:pPr>
            <w:r>
              <w:t>L</w:t>
            </w:r>
            <w:r w:rsidRPr="00420A51">
              <w:t xml:space="preserve">aunched four procurement training modules and provided training across the </w:t>
            </w:r>
            <w:r w:rsidR="0072562D">
              <w:t>D</w:t>
            </w:r>
            <w:r w:rsidRPr="00420A51">
              <w:t>epartment to build procurement knowledge and skills. These training modules were:</w:t>
            </w:r>
          </w:p>
          <w:p w14:paraId="5A6BBA71" w14:textId="77777777" w:rsidR="00EA43F0" w:rsidRPr="00420A51" w:rsidRDefault="00EA43F0" w:rsidP="00EA43F0">
            <w:pPr>
              <w:pStyle w:val="TableBullet"/>
              <w:numPr>
                <w:ilvl w:val="1"/>
                <w:numId w:val="4"/>
              </w:numPr>
              <w:cnfStyle w:val="000000000000" w:firstRow="0" w:lastRow="0" w:firstColumn="0" w:lastColumn="0" w:oddVBand="0" w:evenVBand="0" w:oddHBand="0" w:evenHBand="0" w:firstRowFirstColumn="0" w:firstRowLastColumn="0" w:lastRowFirstColumn="0" w:lastRowLastColumn="0"/>
            </w:pPr>
            <w:r w:rsidRPr="00420A51">
              <w:t>procurement policy and processes;</w:t>
            </w:r>
          </w:p>
          <w:p w14:paraId="71DC7650" w14:textId="77777777" w:rsidR="00EA43F0" w:rsidRPr="00420A51" w:rsidRDefault="00EA43F0" w:rsidP="00EA43F0">
            <w:pPr>
              <w:pStyle w:val="TableBullet"/>
              <w:numPr>
                <w:ilvl w:val="1"/>
                <w:numId w:val="4"/>
              </w:numPr>
              <w:cnfStyle w:val="000000000000" w:firstRow="0" w:lastRow="0" w:firstColumn="0" w:lastColumn="0" w:oddVBand="0" w:evenVBand="0" w:oddHBand="0" w:evenHBand="0" w:firstRowFirstColumn="0" w:firstRowLastColumn="0" w:lastRowFirstColumn="0" w:lastRowLastColumn="0"/>
            </w:pPr>
            <w:r w:rsidRPr="00420A51">
              <w:t>procurement principles;</w:t>
            </w:r>
          </w:p>
          <w:p w14:paraId="31B3BF2B" w14:textId="77777777" w:rsidR="00EA43F0" w:rsidRPr="00420A51" w:rsidRDefault="00EA43F0" w:rsidP="00EA43F0">
            <w:pPr>
              <w:pStyle w:val="TableBullet"/>
              <w:numPr>
                <w:ilvl w:val="1"/>
                <w:numId w:val="4"/>
              </w:numPr>
              <w:cnfStyle w:val="000000000000" w:firstRow="0" w:lastRow="0" w:firstColumn="0" w:lastColumn="0" w:oddVBand="0" w:evenVBand="0" w:oddHBand="0" w:evenHBand="0" w:firstRowFirstColumn="0" w:firstRowLastColumn="0" w:lastRowFirstColumn="0" w:lastRowLastColumn="0"/>
            </w:pPr>
            <w:r w:rsidRPr="00420A51">
              <w:t>evaluating tender responses; and</w:t>
            </w:r>
          </w:p>
          <w:p w14:paraId="57B9A1DF" w14:textId="77777777" w:rsidR="00EA43F0" w:rsidRPr="00420A51" w:rsidRDefault="00EA43F0" w:rsidP="00EA43F0">
            <w:pPr>
              <w:pStyle w:val="TableBullet"/>
              <w:numPr>
                <w:ilvl w:val="1"/>
                <w:numId w:val="4"/>
              </w:numPr>
              <w:cnfStyle w:val="000000000000" w:firstRow="0" w:lastRow="0" w:firstColumn="0" w:lastColumn="0" w:oddVBand="0" w:evenVBand="0" w:oddHBand="0" w:evenHBand="0" w:firstRowFirstColumn="0" w:firstRowLastColumn="0" w:lastRowFirstColumn="0" w:lastRowLastColumn="0"/>
            </w:pPr>
            <w:r w:rsidRPr="00420A51">
              <w:t>contract management.</w:t>
            </w:r>
          </w:p>
          <w:p w14:paraId="0783CC45" w14:textId="47314032" w:rsidR="00EA43F0" w:rsidRPr="00420A51" w:rsidRDefault="00EA43F0" w:rsidP="00284B26">
            <w:pPr>
              <w:pStyle w:val="TableBullet"/>
              <w:cnfStyle w:val="000000000000" w:firstRow="0" w:lastRow="0" w:firstColumn="0" w:lastColumn="0" w:oddVBand="0" w:evenVBand="0" w:oddHBand="0" w:evenHBand="0" w:firstRowFirstColumn="0" w:firstRowLastColumn="0" w:lastRowFirstColumn="0" w:lastRowLastColumn="0"/>
            </w:pPr>
            <w:r w:rsidRPr="00420A51">
              <w:t>To create a more efficient and agile procurement process for high-volume</w:t>
            </w:r>
            <w:r w:rsidR="00E77180">
              <w:t>,</w:t>
            </w:r>
            <w:r w:rsidRPr="00420A51">
              <w:t xml:space="preserve"> low-value/risk spend, </w:t>
            </w:r>
            <w:r>
              <w:t>DEDJTR</w:t>
            </w:r>
            <w:r w:rsidRPr="00420A51">
              <w:t xml:space="preserve"> consolidated the procurement process from six </w:t>
            </w:r>
            <w:r w:rsidR="00284B26">
              <w:t xml:space="preserve">individual </w:t>
            </w:r>
            <w:r w:rsidRPr="00420A51">
              <w:t xml:space="preserve">forms to be completed by the requestor, to one new procurement brief for low-value procurements. </w:t>
            </w:r>
          </w:p>
        </w:tc>
      </w:tr>
      <w:tr w:rsidR="00EA43F0" w14:paraId="777937F6" w14:textId="77777777" w:rsidTr="006919A6">
        <w:trPr>
          <w:cnfStyle w:val="000000100000" w:firstRow="0" w:lastRow="0" w:firstColumn="0" w:lastColumn="0" w:oddVBand="0" w:evenVBand="0" w:oddHBand="1" w:evenHBand="0" w:firstRowFirstColumn="0" w:firstRowLastColumn="0" w:lastRowFirstColumn="0" w:lastRowLastColumn="0"/>
          <w:trHeight w:val="762"/>
        </w:trPr>
        <w:tc>
          <w:tcPr>
            <w:cnfStyle w:val="001000000000" w:firstRow="0" w:lastRow="0" w:firstColumn="1" w:lastColumn="0" w:oddVBand="0" w:evenVBand="0" w:oddHBand="0" w:evenHBand="0" w:firstRowFirstColumn="0" w:firstRowLastColumn="0" w:lastRowFirstColumn="0" w:lastRowLastColumn="0"/>
            <w:tcW w:w="1559" w:type="dxa"/>
          </w:tcPr>
          <w:p w14:paraId="464731D7" w14:textId="77777777" w:rsidR="00EA43F0" w:rsidRPr="00A741F8" w:rsidRDefault="00EA43F0" w:rsidP="006919A6">
            <w:pPr>
              <w:pStyle w:val="TableText"/>
            </w:pPr>
            <w:r w:rsidRPr="00A741F8">
              <w:t>Market analysis and review</w:t>
            </w:r>
          </w:p>
        </w:tc>
        <w:tc>
          <w:tcPr>
            <w:tcW w:w="7230" w:type="dxa"/>
          </w:tcPr>
          <w:p w14:paraId="344FE10B" w14:textId="7974A422" w:rsidR="00EA43F0" w:rsidRPr="00A741F8" w:rsidRDefault="00EA43F0" w:rsidP="006919A6">
            <w:pPr>
              <w:pStyle w:val="TableBullet"/>
              <w:cnfStyle w:val="000000100000" w:firstRow="0" w:lastRow="0" w:firstColumn="0" w:lastColumn="0" w:oddVBand="0" w:evenVBand="0" w:oddHBand="1" w:evenHBand="0" w:firstRowFirstColumn="0" w:firstRowLastColumn="0" w:lastRowFirstColumn="0" w:lastRowLastColumn="0"/>
            </w:pPr>
            <w:r w:rsidRPr="00A741F8">
              <w:t>Supported collaboration across transport</w:t>
            </w:r>
            <w:r w:rsidR="00D0498D">
              <w:t>-</w:t>
            </w:r>
            <w:r w:rsidRPr="00A741F8">
              <w:t>related business areas in DEDJTR and other agencies, to conduct market analysis and identify opportunities for consolidated/leverage</w:t>
            </w:r>
            <w:r w:rsidR="00AA56EC">
              <w:t>d</w:t>
            </w:r>
            <w:r w:rsidRPr="00A741F8">
              <w:t xml:space="preserve"> procurement.</w:t>
            </w:r>
          </w:p>
        </w:tc>
      </w:tr>
      <w:tr w:rsidR="00EA43F0" w14:paraId="5437A993" w14:textId="77777777" w:rsidTr="006919A6">
        <w:trPr>
          <w:trHeight w:val="367"/>
        </w:trPr>
        <w:tc>
          <w:tcPr>
            <w:cnfStyle w:val="001000000000" w:firstRow="0" w:lastRow="0" w:firstColumn="1" w:lastColumn="0" w:oddVBand="0" w:evenVBand="0" w:oddHBand="0" w:evenHBand="0" w:firstRowFirstColumn="0" w:firstRowLastColumn="0" w:lastRowFirstColumn="0" w:lastRowLastColumn="0"/>
            <w:tcW w:w="1559" w:type="dxa"/>
          </w:tcPr>
          <w:p w14:paraId="0064D7D3" w14:textId="77777777" w:rsidR="00EA43F0" w:rsidRPr="003058E0" w:rsidRDefault="00EA43F0" w:rsidP="006919A6">
            <w:pPr>
              <w:pStyle w:val="TableText"/>
            </w:pPr>
            <w:r w:rsidRPr="003058E0">
              <w:t>Market approach</w:t>
            </w:r>
          </w:p>
        </w:tc>
        <w:tc>
          <w:tcPr>
            <w:tcW w:w="7230" w:type="dxa"/>
          </w:tcPr>
          <w:p w14:paraId="37B86C14" w14:textId="7688CE59" w:rsidR="00EA43F0" w:rsidRPr="00E36FC8" w:rsidRDefault="00284B26" w:rsidP="006919A6">
            <w:pPr>
              <w:pStyle w:val="TableBullet"/>
              <w:cnfStyle w:val="000000000000" w:firstRow="0" w:lastRow="0" w:firstColumn="0" w:lastColumn="0" w:oddVBand="0" w:evenVBand="0" w:oddHBand="0" w:evenHBand="0" w:firstRowFirstColumn="0" w:firstRowLastColumn="0" w:lastRowFirstColumn="0" w:lastRowLastColumn="0"/>
            </w:pPr>
            <w:r>
              <w:t>Implement</w:t>
            </w:r>
            <w:r w:rsidR="00EA43F0" w:rsidRPr="00E36FC8">
              <w:t>ed a new negotiation plan template at the end of 2017 to help DEDJTR staff with negotiati</w:t>
            </w:r>
            <w:r w:rsidR="005F7BF9">
              <w:t>on</w:t>
            </w:r>
            <w:r w:rsidR="00EA43F0" w:rsidRPr="00E36FC8">
              <w:t xml:space="preserve"> during the procurement process.</w:t>
            </w:r>
          </w:p>
          <w:p w14:paraId="39171E79" w14:textId="77777777" w:rsidR="00EA43F0" w:rsidRDefault="00EA43F0" w:rsidP="006919A6">
            <w:pPr>
              <w:pStyle w:val="TableBullet"/>
              <w:cnfStyle w:val="000000000000" w:firstRow="0" w:lastRow="0" w:firstColumn="0" w:lastColumn="0" w:oddVBand="0" w:evenVBand="0" w:oddHBand="0" w:evenHBand="0" w:firstRowFirstColumn="0" w:firstRowLastColumn="0" w:lastRowFirstColumn="0" w:lastRowLastColumn="0"/>
            </w:pPr>
            <w:r w:rsidRPr="00822FA3">
              <w:t>I</w:t>
            </w:r>
            <w:r w:rsidRPr="00E36FC8">
              <w:t xml:space="preserve">mplemented a new evaluation tool to provide a streamlined and more effective evaluation process for both weighted criteria and pricing. This tool helps staff to evaluate submissions and ensures </w:t>
            </w:r>
            <w:r>
              <w:t xml:space="preserve">the Department is </w:t>
            </w:r>
            <w:r w:rsidRPr="00E36FC8">
              <w:t>systematically applying evaluation criteria and scoring.</w:t>
            </w:r>
          </w:p>
          <w:p w14:paraId="46F8DCB3" w14:textId="77777777" w:rsidR="00EA43F0" w:rsidRPr="00E36FC8" w:rsidRDefault="00EA43F0" w:rsidP="006919A6">
            <w:pPr>
              <w:pStyle w:val="TableBullet"/>
              <w:cnfStyle w:val="000000000000" w:firstRow="0" w:lastRow="0" w:firstColumn="0" w:lastColumn="0" w:oddVBand="0" w:evenVBand="0" w:oddHBand="0" w:evenHBand="0" w:firstRowFirstColumn="0" w:firstRowLastColumn="0" w:lastRowFirstColumn="0" w:lastRowLastColumn="0"/>
            </w:pPr>
            <w:r w:rsidRPr="00822FA3">
              <w:t>D</w:t>
            </w:r>
            <w:r w:rsidRPr="00E36FC8">
              <w:t xml:space="preserve">eveloped </w:t>
            </w:r>
            <w:bookmarkStart w:id="151" w:name="_Hlk519671907"/>
            <w:r w:rsidRPr="00E36FC8">
              <w:t xml:space="preserve">a new </w:t>
            </w:r>
            <w:r>
              <w:t>benefits management f</w:t>
            </w:r>
            <w:r w:rsidRPr="00E36FC8">
              <w:t>ramework to make it easier to measure cost and value-for-money benefits achieved from procurement activities</w:t>
            </w:r>
            <w:r>
              <w:t>.</w:t>
            </w:r>
            <w:bookmarkEnd w:id="151"/>
          </w:p>
        </w:tc>
      </w:tr>
      <w:tr w:rsidR="00EA43F0" w14:paraId="7F12AA88" w14:textId="77777777" w:rsidTr="00D8117A">
        <w:trPr>
          <w:cnfStyle w:val="000000100000" w:firstRow="0" w:lastRow="0" w:firstColumn="0" w:lastColumn="0" w:oddVBand="0" w:evenVBand="0" w:oddHBand="1" w:evenHBand="0" w:firstRowFirstColumn="0" w:firstRowLastColumn="0" w:lastRowFirstColumn="0" w:lastRowLastColumn="0"/>
          <w:trHeight w:val="1804"/>
        </w:trPr>
        <w:tc>
          <w:tcPr>
            <w:cnfStyle w:val="001000000000" w:firstRow="0" w:lastRow="0" w:firstColumn="1" w:lastColumn="0" w:oddVBand="0" w:evenVBand="0" w:oddHBand="0" w:evenHBand="0" w:firstRowFirstColumn="0" w:firstRowLastColumn="0" w:lastRowFirstColumn="0" w:lastRowLastColumn="0"/>
            <w:tcW w:w="1559" w:type="dxa"/>
          </w:tcPr>
          <w:p w14:paraId="7671517A" w14:textId="77777777" w:rsidR="00EA43F0" w:rsidRPr="003058E0" w:rsidRDefault="00EA43F0" w:rsidP="006919A6">
            <w:pPr>
              <w:pStyle w:val="TableText"/>
            </w:pPr>
            <w:r w:rsidRPr="003058E0">
              <w:t>Contract management and disclosure</w:t>
            </w:r>
          </w:p>
        </w:tc>
        <w:tc>
          <w:tcPr>
            <w:tcW w:w="7230" w:type="dxa"/>
          </w:tcPr>
          <w:p w14:paraId="744FB6CB" w14:textId="77777777" w:rsidR="00EA43F0" w:rsidRPr="00E36FC8" w:rsidRDefault="00EA43F0" w:rsidP="006919A6">
            <w:pPr>
              <w:pStyle w:val="TableBullet"/>
              <w:cnfStyle w:val="000000100000" w:firstRow="0" w:lastRow="0" w:firstColumn="0" w:lastColumn="0" w:oddVBand="0" w:evenVBand="0" w:oddHBand="1" w:evenHBand="0" w:firstRowFirstColumn="0" w:firstRowLastColumn="0" w:lastRowFirstColumn="0" w:lastRowLastColumn="0"/>
            </w:pPr>
            <w:r>
              <w:t>D</w:t>
            </w:r>
            <w:r w:rsidRPr="00E36FC8">
              <w:t>eveloped a new contract management framework to guide and support all departmental staff who manage contracts.</w:t>
            </w:r>
          </w:p>
          <w:p w14:paraId="31248527" w14:textId="77777777" w:rsidR="00EA43F0" w:rsidRPr="00E36FC8" w:rsidRDefault="00EA43F0" w:rsidP="006919A6">
            <w:pPr>
              <w:pStyle w:val="TableBullet"/>
              <w:cnfStyle w:val="000000100000" w:firstRow="0" w:lastRow="0" w:firstColumn="0" w:lastColumn="0" w:oddVBand="0" w:evenVBand="0" w:oddHBand="1" w:evenHBand="0" w:firstRowFirstColumn="0" w:firstRowLastColumn="0" w:lastRowFirstColumn="0" w:lastRowLastColumn="0"/>
            </w:pPr>
            <w:r w:rsidRPr="00822FA3">
              <w:t>C</w:t>
            </w:r>
            <w:r w:rsidRPr="00E36FC8">
              <w:t xml:space="preserve">reated a new user guide for </w:t>
            </w:r>
            <w:r>
              <w:t>DEDJTR’s</w:t>
            </w:r>
            <w:r w:rsidRPr="00E36FC8">
              <w:t xml:space="preserve"> contract management system to ensure staff have the support and capability to use the system.</w:t>
            </w:r>
          </w:p>
          <w:p w14:paraId="6115094D" w14:textId="79611454" w:rsidR="00EA43F0" w:rsidRPr="007C4DEE" w:rsidRDefault="00EA43F0" w:rsidP="00284B26">
            <w:pPr>
              <w:pStyle w:val="TableBullet"/>
              <w:cnfStyle w:val="000000100000" w:firstRow="0" w:lastRow="0" w:firstColumn="0" w:lastColumn="0" w:oddVBand="0" w:evenVBand="0" w:oddHBand="1" w:evenHBand="0" w:firstRowFirstColumn="0" w:firstRowLastColumn="0" w:lastRowFirstColumn="0" w:lastRowLastColumn="0"/>
              <w:rPr>
                <w:b/>
              </w:rPr>
            </w:pPr>
            <w:r w:rsidRPr="00822FA3">
              <w:t>S</w:t>
            </w:r>
            <w:r w:rsidRPr="00E36FC8">
              <w:t xml:space="preserve">et up a quarterly compliance dashboard for reporting to the DEDJTR Executive Board. The dashboard identifies areas of non-compliance in the </w:t>
            </w:r>
            <w:r w:rsidR="005F7BF9">
              <w:t>D</w:t>
            </w:r>
            <w:r w:rsidRPr="00E36FC8">
              <w:t xml:space="preserve">epartment, which are then followed up with the respective divisions </w:t>
            </w:r>
          </w:p>
        </w:tc>
      </w:tr>
    </w:tbl>
    <w:p w14:paraId="11BB7562" w14:textId="77777777" w:rsidR="00D8117A" w:rsidRDefault="00D8117A" w:rsidP="00D8117A">
      <w:pPr>
        <w:pStyle w:val="Heading4NoNum"/>
      </w:pPr>
    </w:p>
    <w:p w14:paraId="1FF733F1" w14:textId="77777777" w:rsidR="00D8117A" w:rsidRDefault="00D8117A">
      <w:pPr>
        <w:rPr>
          <w:rFonts w:ascii="Calibri" w:hAnsi="Calibri" w:cs="Calibri"/>
          <w:b/>
          <w:color w:val="4D4D4D"/>
          <w:kern w:val="28"/>
          <w:sz w:val="22"/>
          <w:szCs w:val="22"/>
          <w:lang w:eastAsia="en-US"/>
        </w:rPr>
      </w:pPr>
      <w:r>
        <w:br w:type="page"/>
      </w:r>
    </w:p>
    <w:p w14:paraId="0A252243" w14:textId="77777777" w:rsidR="00EA43F0" w:rsidRPr="00CD6245" w:rsidRDefault="00EA43F0" w:rsidP="00EA43F0">
      <w:pPr>
        <w:pStyle w:val="Heading3NoNum"/>
      </w:pPr>
      <w:r w:rsidRPr="00CD6245">
        <w:lastRenderedPageBreak/>
        <w:t>Performance</w:t>
      </w:r>
    </w:p>
    <w:p w14:paraId="4DA02BBF" w14:textId="67E44AC8" w:rsidR="00EA43F0" w:rsidRPr="00CD6245" w:rsidRDefault="00EA43F0" w:rsidP="00EA43F0">
      <w:pPr>
        <w:pStyle w:val="Normal1"/>
      </w:pPr>
      <w:r>
        <w:fldChar w:fldCharType="begin"/>
      </w:r>
      <w:r>
        <w:instrText xml:space="preserve"> REF _Ref457241496 \h  \* MERGEFORMAT </w:instrText>
      </w:r>
      <w:r>
        <w:fldChar w:fldCharType="separate"/>
      </w:r>
      <w:r w:rsidR="00A07703" w:rsidRPr="00CD6245">
        <w:t xml:space="preserve">Table </w:t>
      </w:r>
      <w:r w:rsidR="00A07703">
        <w:rPr>
          <w:noProof/>
        </w:rPr>
        <w:t>25</w:t>
      </w:r>
      <w:r>
        <w:fldChar w:fldCharType="end"/>
      </w:r>
      <w:r w:rsidRPr="00CD6245">
        <w:t xml:space="preserve"> </w:t>
      </w:r>
      <w:r>
        <w:t>sets out DEDJTR’s performance in 2017–18, compared with the two previous years.</w:t>
      </w:r>
    </w:p>
    <w:p w14:paraId="14BB1C33" w14:textId="67E2681B" w:rsidR="00EA43F0" w:rsidRDefault="00EA43F0" w:rsidP="00EA43F0">
      <w:pPr>
        <w:pStyle w:val="Caption"/>
      </w:pPr>
      <w:bookmarkStart w:id="152" w:name="_Ref457241496"/>
      <w:bookmarkStart w:id="153" w:name="_Toc503949259"/>
      <w:bookmarkStart w:id="154" w:name="_Toc521260354"/>
      <w:bookmarkStart w:id="155" w:name="_Toc524354018"/>
      <w:r w:rsidRPr="00CD6245">
        <w:t xml:space="preserve">Table </w:t>
      </w:r>
      <w:r>
        <w:rPr>
          <w:noProof/>
        </w:rPr>
        <w:fldChar w:fldCharType="begin"/>
      </w:r>
      <w:r>
        <w:rPr>
          <w:noProof/>
        </w:rPr>
        <w:instrText xml:space="preserve"> SEQ Table \* ARABIC </w:instrText>
      </w:r>
      <w:r>
        <w:rPr>
          <w:noProof/>
        </w:rPr>
        <w:fldChar w:fldCharType="separate"/>
      </w:r>
      <w:r w:rsidR="00A07703">
        <w:rPr>
          <w:noProof/>
        </w:rPr>
        <w:t>25</w:t>
      </w:r>
      <w:r>
        <w:rPr>
          <w:noProof/>
        </w:rPr>
        <w:fldChar w:fldCharType="end"/>
      </w:r>
      <w:bookmarkEnd w:id="152"/>
      <w:r w:rsidRPr="00CD6245">
        <w:t>: DEDJTR</w:t>
      </w:r>
      <w:r>
        <w:t>’s</w:t>
      </w:r>
      <w:r w:rsidRPr="00CD6245">
        <w:t xml:space="preserve"> performance in </w:t>
      </w:r>
      <w:r>
        <w:t>2017–18</w:t>
      </w:r>
      <w:bookmarkEnd w:id="153"/>
      <w:bookmarkEnd w:id="154"/>
      <w:bookmarkEnd w:id="155"/>
    </w:p>
    <w:tbl>
      <w:tblPr>
        <w:tblStyle w:val="ListTable31"/>
        <w:tblW w:w="8930" w:type="dxa"/>
        <w:tblInd w:w="704" w:type="dxa"/>
        <w:tblLook w:val="04A0" w:firstRow="1" w:lastRow="0" w:firstColumn="1" w:lastColumn="0" w:noHBand="0" w:noVBand="1"/>
      </w:tblPr>
      <w:tblGrid>
        <w:gridCol w:w="359"/>
        <w:gridCol w:w="2001"/>
        <w:gridCol w:w="617"/>
        <w:gridCol w:w="699"/>
        <w:gridCol w:w="576"/>
        <w:gridCol w:w="4678"/>
      </w:tblGrid>
      <w:tr w:rsidR="00EA43F0" w:rsidRPr="00546DF9" w14:paraId="7F354E18" w14:textId="77777777" w:rsidTr="00AD06A8">
        <w:trPr>
          <w:cnfStyle w:val="100000000000" w:firstRow="1" w:lastRow="0" w:firstColumn="0" w:lastColumn="0" w:oddVBand="0" w:evenVBand="0" w:oddHBand="0" w:evenHBand="0" w:firstRowFirstColumn="0" w:firstRowLastColumn="0" w:lastRowFirstColumn="0" w:lastRowLastColumn="0"/>
          <w:trHeight w:val="1661"/>
        </w:trPr>
        <w:tc>
          <w:tcPr>
            <w:cnfStyle w:val="001000000100" w:firstRow="0" w:lastRow="0" w:firstColumn="1" w:lastColumn="0" w:oddVBand="0" w:evenVBand="0" w:oddHBand="0" w:evenHBand="0" w:firstRowFirstColumn="1" w:firstRowLastColumn="0" w:lastRowFirstColumn="0" w:lastRowLastColumn="0"/>
            <w:tcW w:w="2360" w:type="dxa"/>
            <w:gridSpan w:val="2"/>
            <w:vMerge w:val="restart"/>
            <w:tcBorders>
              <w:right w:val="single" w:sz="4" w:space="0" w:color="auto"/>
            </w:tcBorders>
          </w:tcPr>
          <w:p w14:paraId="693593E3" w14:textId="77777777" w:rsidR="00EA43F0" w:rsidRPr="00546DF9" w:rsidRDefault="00EA43F0" w:rsidP="006919A6">
            <w:pPr>
              <w:pStyle w:val="TableText"/>
            </w:pPr>
            <w:r w:rsidRPr="00546DF9">
              <w:t>Performance measure</w:t>
            </w:r>
          </w:p>
        </w:tc>
        <w:tc>
          <w:tcPr>
            <w:tcW w:w="617" w:type="dxa"/>
            <w:tcBorders>
              <w:left w:val="single" w:sz="4" w:space="0" w:color="auto"/>
            </w:tcBorders>
            <w:textDirection w:val="btLr"/>
            <w:vAlign w:val="bottom"/>
          </w:tcPr>
          <w:p w14:paraId="4777509E" w14:textId="77777777" w:rsidR="00EA43F0" w:rsidRPr="00546DF9" w:rsidRDefault="00EA43F0" w:rsidP="00115146">
            <w:pPr>
              <w:pStyle w:val="TableText"/>
              <w:jc w:val="center"/>
              <w:cnfStyle w:val="100000000000" w:firstRow="1" w:lastRow="0" w:firstColumn="0" w:lastColumn="0" w:oddVBand="0" w:evenVBand="0" w:oddHBand="0" w:evenHBand="0" w:firstRowFirstColumn="0" w:firstRowLastColumn="0" w:lastRowFirstColumn="0" w:lastRowLastColumn="0"/>
            </w:pPr>
            <w:r w:rsidRPr="00546DF9">
              <w:t>Year 1: 2015–16</w:t>
            </w:r>
          </w:p>
        </w:tc>
        <w:tc>
          <w:tcPr>
            <w:tcW w:w="699" w:type="dxa"/>
            <w:textDirection w:val="btLr"/>
            <w:vAlign w:val="bottom"/>
          </w:tcPr>
          <w:p w14:paraId="475C9F7B" w14:textId="77777777" w:rsidR="00EA43F0" w:rsidRPr="00546DF9" w:rsidRDefault="00EA43F0" w:rsidP="00115146">
            <w:pPr>
              <w:pStyle w:val="TableText"/>
              <w:jc w:val="center"/>
              <w:cnfStyle w:val="100000000000" w:firstRow="1" w:lastRow="0" w:firstColumn="0" w:lastColumn="0" w:oddVBand="0" w:evenVBand="0" w:oddHBand="0" w:evenHBand="0" w:firstRowFirstColumn="0" w:firstRowLastColumn="0" w:lastRowFirstColumn="0" w:lastRowLastColumn="0"/>
            </w:pPr>
            <w:r w:rsidRPr="00546DF9">
              <w:t>Year 2: 2016–17</w:t>
            </w:r>
          </w:p>
        </w:tc>
        <w:tc>
          <w:tcPr>
            <w:tcW w:w="576" w:type="dxa"/>
            <w:textDirection w:val="btLr"/>
            <w:vAlign w:val="bottom"/>
          </w:tcPr>
          <w:p w14:paraId="475F029B" w14:textId="77777777" w:rsidR="00EA43F0" w:rsidRPr="00546DF9" w:rsidRDefault="00EA43F0" w:rsidP="00115146">
            <w:pPr>
              <w:pStyle w:val="TableText"/>
              <w:jc w:val="center"/>
              <w:cnfStyle w:val="100000000000" w:firstRow="1" w:lastRow="0" w:firstColumn="0" w:lastColumn="0" w:oddVBand="0" w:evenVBand="0" w:oddHBand="0" w:evenHBand="0" w:firstRowFirstColumn="0" w:firstRowLastColumn="0" w:lastRowFirstColumn="0" w:lastRowLastColumn="0"/>
            </w:pPr>
            <w:r w:rsidRPr="00546DF9">
              <w:t>Year 3: 2017–18</w:t>
            </w:r>
          </w:p>
        </w:tc>
        <w:tc>
          <w:tcPr>
            <w:tcW w:w="4678" w:type="dxa"/>
            <w:vMerge w:val="restart"/>
          </w:tcPr>
          <w:p w14:paraId="22F3D4BE" w14:textId="77777777" w:rsidR="00EA43F0" w:rsidRPr="00546DF9" w:rsidRDefault="00EA43F0" w:rsidP="006919A6">
            <w:pPr>
              <w:pStyle w:val="TableText"/>
              <w:cnfStyle w:val="100000000000" w:firstRow="1" w:lastRow="0" w:firstColumn="0" w:lastColumn="0" w:oddVBand="0" w:evenVBand="0" w:oddHBand="0" w:evenHBand="0" w:firstRowFirstColumn="0" w:firstRowLastColumn="0" w:lastRowFirstColumn="0" w:lastRowLastColumn="0"/>
            </w:pPr>
            <w:r w:rsidRPr="00546DF9">
              <w:t>Explanation</w:t>
            </w:r>
          </w:p>
        </w:tc>
      </w:tr>
      <w:tr w:rsidR="00EA43F0" w:rsidRPr="00546DF9" w14:paraId="7194F8FE" w14:textId="77777777" w:rsidTr="00AD06A8">
        <w:trPr>
          <w:cnfStyle w:val="000000100000" w:firstRow="0" w:lastRow="0" w:firstColumn="0" w:lastColumn="0" w:oddVBand="0" w:evenVBand="0" w:oddHBand="1" w:evenHBand="0" w:firstRowFirstColumn="0" w:firstRowLastColumn="0" w:lastRowFirstColumn="0" w:lastRowLastColumn="0"/>
          <w:trHeight w:val="281"/>
        </w:trPr>
        <w:tc>
          <w:tcPr>
            <w:cnfStyle w:val="001000000000" w:firstRow="0" w:lastRow="0" w:firstColumn="1" w:lastColumn="0" w:oddVBand="0" w:evenVBand="0" w:oddHBand="0" w:evenHBand="0" w:firstRowFirstColumn="0" w:firstRowLastColumn="0" w:lastRowFirstColumn="0" w:lastRowLastColumn="0"/>
            <w:tcW w:w="2360" w:type="dxa"/>
            <w:gridSpan w:val="2"/>
            <w:vMerge/>
            <w:tcBorders>
              <w:right w:val="single" w:sz="4" w:space="0" w:color="auto"/>
            </w:tcBorders>
          </w:tcPr>
          <w:p w14:paraId="3B01DD17" w14:textId="77777777" w:rsidR="00EA43F0" w:rsidRPr="00546DF9" w:rsidRDefault="00EA43F0" w:rsidP="006919A6">
            <w:pPr>
              <w:pStyle w:val="TableHeader"/>
              <w:rPr>
                <w:b/>
              </w:rPr>
            </w:pPr>
          </w:p>
        </w:tc>
        <w:tc>
          <w:tcPr>
            <w:tcW w:w="617" w:type="dxa"/>
            <w:tcBorders>
              <w:left w:val="single" w:sz="4" w:space="0" w:color="auto"/>
            </w:tcBorders>
            <w:shd w:val="clear" w:color="auto" w:fill="000000" w:themeFill="text1"/>
            <w:vAlign w:val="center"/>
          </w:tcPr>
          <w:p w14:paraId="518B8443" w14:textId="77777777" w:rsidR="00EA43F0" w:rsidRPr="00546DF9" w:rsidRDefault="00EA43F0" w:rsidP="00115146">
            <w:pPr>
              <w:pStyle w:val="TableHeader"/>
              <w:jc w:val="right"/>
              <w:cnfStyle w:val="000000100000" w:firstRow="0" w:lastRow="0" w:firstColumn="0" w:lastColumn="0" w:oddVBand="0" w:evenVBand="0" w:oddHBand="1" w:evenHBand="0" w:firstRowFirstColumn="0" w:firstRowLastColumn="0" w:lastRowFirstColumn="0" w:lastRowLastColumn="0"/>
              <w:rPr>
                <w:bCs/>
                <w:color w:val="auto"/>
                <w:sz w:val="20"/>
                <w:szCs w:val="20"/>
              </w:rPr>
            </w:pPr>
            <w:r w:rsidRPr="00546DF9">
              <w:rPr>
                <w:bCs/>
                <w:color w:val="auto"/>
                <w:sz w:val="20"/>
                <w:szCs w:val="20"/>
              </w:rPr>
              <w:t>%</w:t>
            </w:r>
          </w:p>
        </w:tc>
        <w:tc>
          <w:tcPr>
            <w:tcW w:w="699" w:type="dxa"/>
            <w:shd w:val="clear" w:color="auto" w:fill="000000" w:themeFill="text1"/>
            <w:vAlign w:val="center"/>
          </w:tcPr>
          <w:p w14:paraId="705DCE10" w14:textId="77777777" w:rsidR="00EA43F0" w:rsidRPr="00546DF9" w:rsidRDefault="00EA43F0" w:rsidP="00115146">
            <w:pPr>
              <w:pStyle w:val="TableHeader"/>
              <w:jc w:val="right"/>
              <w:cnfStyle w:val="000000100000" w:firstRow="0" w:lastRow="0" w:firstColumn="0" w:lastColumn="0" w:oddVBand="0" w:evenVBand="0" w:oddHBand="1" w:evenHBand="0" w:firstRowFirstColumn="0" w:firstRowLastColumn="0" w:lastRowFirstColumn="0" w:lastRowLastColumn="0"/>
              <w:rPr>
                <w:bCs/>
                <w:color w:val="auto"/>
                <w:sz w:val="20"/>
                <w:szCs w:val="20"/>
              </w:rPr>
            </w:pPr>
            <w:r w:rsidRPr="00546DF9">
              <w:rPr>
                <w:bCs/>
                <w:color w:val="auto"/>
                <w:sz w:val="20"/>
                <w:szCs w:val="20"/>
              </w:rPr>
              <w:t>%</w:t>
            </w:r>
          </w:p>
        </w:tc>
        <w:tc>
          <w:tcPr>
            <w:tcW w:w="576" w:type="dxa"/>
            <w:shd w:val="clear" w:color="auto" w:fill="000000" w:themeFill="text1"/>
            <w:vAlign w:val="center"/>
          </w:tcPr>
          <w:p w14:paraId="59B71FD7" w14:textId="77777777" w:rsidR="00EA43F0" w:rsidRPr="00546DF9" w:rsidRDefault="00EA43F0" w:rsidP="00115146">
            <w:pPr>
              <w:pStyle w:val="TableHeader"/>
              <w:jc w:val="right"/>
              <w:cnfStyle w:val="000000100000" w:firstRow="0" w:lastRow="0" w:firstColumn="0" w:lastColumn="0" w:oddVBand="0" w:evenVBand="0" w:oddHBand="1" w:evenHBand="0" w:firstRowFirstColumn="0" w:firstRowLastColumn="0" w:lastRowFirstColumn="0" w:lastRowLastColumn="0"/>
              <w:rPr>
                <w:bCs/>
                <w:color w:val="auto"/>
                <w:sz w:val="20"/>
                <w:szCs w:val="20"/>
              </w:rPr>
            </w:pPr>
            <w:r w:rsidRPr="00546DF9">
              <w:rPr>
                <w:bCs/>
                <w:color w:val="auto"/>
                <w:sz w:val="20"/>
                <w:szCs w:val="20"/>
              </w:rPr>
              <w:t>%</w:t>
            </w:r>
          </w:p>
        </w:tc>
        <w:tc>
          <w:tcPr>
            <w:tcW w:w="4678" w:type="dxa"/>
            <w:vMerge/>
          </w:tcPr>
          <w:p w14:paraId="614D67D3" w14:textId="77777777" w:rsidR="00EA43F0" w:rsidRPr="00546DF9" w:rsidRDefault="00EA43F0" w:rsidP="006919A6">
            <w:pPr>
              <w:pStyle w:val="TableHeader"/>
              <w:cnfStyle w:val="000000100000" w:firstRow="0" w:lastRow="0" w:firstColumn="0" w:lastColumn="0" w:oddVBand="0" w:evenVBand="0" w:oddHBand="1" w:evenHBand="0" w:firstRowFirstColumn="0" w:firstRowLastColumn="0" w:lastRowFirstColumn="0" w:lastRowLastColumn="0"/>
              <w:rPr>
                <w:sz w:val="20"/>
                <w:szCs w:val="20"/>
              </w:rPr>
            </w:pPr>
          </w:p>
        </w:tc>
      </w:tr>
      <w:tr w:rsidR="00EA43F0" w:rsidRPr="00CD6245" w14:paraId="7FF4AFF2" w14:textId="77777777" w:rsidTr="005C6BD3">
        <w:tc>
          <w:tcPr>
            <w:cnfStyle w:val="001000000000" w:firstRow="0" w:lastRow="0" w:firstColumn="1" w:lastColumn="0" w:oddVBand="0" w:evenVBand="0" w:oddHBand="0" w:evenHBand="0" w:firstRowFirstColumn="0" w:firstRowLastColumn="0" w:lastRowFirstColumn="0" w:lastRowLastColumn="0"/>
            <w:tcW w:w="359" w:type="dxa"/>
          </w:tcPr>
          <w:p w14:paraId="7B212553" w14:textId="77777777" w:rsidR="00EA43F0" w:rsidRPr="00CD6245" w:rsidRDefault="00EA43F0" w:rsidP="006919A6">
            <w:pPr>
              <w:pStyle w:val="TableText"/>
            </w:pPr>
            <w:r w:rsidRPr="00CD6245">
              <w:t>1</w:t>
            </w:r>
          </w:p>
        </w:tc>
        <w:tc>
          <w:tcPr>
            <w:tcW w:w="2001" w:type="dxa"/>
          </w:tcPr>
          <w:p w14:paraId="41A1E780" w14:textId="77777777" w:rsidR="00EA43F0" w:rsidRPr="00726E77" w:rsidRDefault="00EA43F0" w:rsidP="006919A6">
            <w:pPr>
              <w:pStyle w:val="TableText"/>
              <w:cnfStyle w:val="000000000000" w:firstRow="0" w:lastRow="0" w:firstColumn="0" w:lastColumn="0" w:oddVBand="0" w:evenVBand="0" w:oddHBand="0" w:evenHBand="0" w:firstRowFirstColumn="0" w:firstRowLastColumn="0" w:lastRowFirstColumn="0" w:lastRowLastColumn="0"/>
            </w:pPr>
            <w:r w:rsidRPr="00726E77">
              <w:t xml:space="preserve">Value created </w:t>
            </w:r>
          </w:p>
        </w:tc>
        <w:tc>
          <w:tcPr>
            <w:tcW w:w="617" w:type="dxa"/>
          </w:tcPr>
          <w:p w14:paraId="7B3AE733" w14:textId="77777777" w:rsidR="00EA43F0" w:rsidRDefault="00EA43F0" w:rsidP="00EA43F0">
            <w:pPr>
              <w:pStyle w:val="Tablenumbers"/>
              <w:cnfStyle w:val="000000000000" w:firstRow="0" w:lastRow="0" w:firstColumn="0" w:lastColumn="0" w:oddVBand="0" w:evenVBand="0" w:oddHBand="0" w:evenHBand="0" w:firstRowFirstColumn="0" w:firstRowLastColumn="0" w:lastRowFirstColumn="0" w:lastRowLastColumn="0"/>
            </w:pPr>
            <w:r>
              <w:t>..</w:t>
            </w:r>
          </w:p>
        </w:tc>
        <w:tc>
          <w:tcPr>
            <w:tcW w:w="699" w:type="dxa"/>
          </w:tcPr>
          <w:p w14:paraId="1DC4773B" w14:textId="77777777" w:rsidR="00EA43F0" w:rsidRPr="00CD6245" w:rsidRDefault="00EA43F0" w:rsidP="00EA43F0">
            <w:pPr>
              <w:pStyle w:val="Tablenumbers"/>
              <w:cnfStyle w:val="000000000000" w:firstRow="0" w:lastRow="0" w:firstColumn="0" w:lastColumn="0" w:oddVBand="0" w:evenVBand="0" w:oddHBand="0" w:evenHBand="0" w:firstRowFirstColumn="0" w:firstRowLastColumn="0" w:lastRowFirstColumn="0" w:lastRowLastColumn="0"/>
            </w:pPr>
            <w:r>
              <w:t>..</w:t>
            </w:r>
          </w:p>
        </w:tc>
        <w:tc>
          <w:tcPr>
            <w:tcW w:w="576" w:type="dxa"/>
          </w:tcPr>
          <w:p w14:paraId="151ED4E6" w14:textId="77777777" w:rsidR="00EA43F0" w:rsidRPr="00CD6245" w:rsidRDefault="00EA43F0" w:rsidP="00EA43F0">
            <w:pPr>
              <w:pStyle w:val="Tablenumbers"/>
              <w:cnfStyle w:val="000000000000" w:firstRow="0" w:lastRow="0" w:firstColumn="0" w:lastColumn="0" w:oddVBand="0" w:evenVBand="0" w:oddHBand="0" w:evenHBand="0" w:firstRowFirstColumn="0" w:firstRowLastColumn="0" w:lastRowFirstColumn="0" w:lastRowLastColumn="0"/>
            </w:pPr>
            <w:r>
              <w:t>5.3</w:t>
            </w:r>
          </w:p>
        </w:tc>
        <w:tc>
          <w:tcPr>
            <w:tcW w:w="4678" w:type="dxa"/>
          </w:tcPr>
          <w:p w14:paraId="5ADA3373" w14:textId="3802E0B3" w:rsidR="00EA43F0" w:rsidRPr="00CD6245" w:rsidRDefault="00EA43F0" w:rsidP="006919A6">
            <w:pPr>
              <w:pStyle w:val="TableText"/>
              <w:cnfStyle w:val="000000000000" w:firstRow="0" w:lastRow="0" w:firstColumn="0" w:lastColumn="0" w:oddVBand="0" w:evenVBand="0" w:oddHBand="0" w:evenHBand="0" w:firstRowFirstColumn="0" w:firstRowLastColumn="0" w:lastRowFirstColumn="0" w:lastRowLastColumn="0"/>
            </w:pPr>
            <w:r>
              <w:t>The Department had no formal mechanism in place to measure value before the end of 2016–17 so ha</w:t>
            </w:r>
            <w:r w:rsidR="005F7BF9">
              <w:t>s</w:t>
            </w:r>
            <w:r>
              <w:t xml:space="preserve"> no comparison with previous years. </w:t>
            </w:r>
          </w:p>
        </w:tc>
      </w:tr>
      <w:tr w:rsidR="00EA43F0" w:rsidRPr="00CD6245" w14:paraId="1EBAAF03" w14:textId="77777777" w:rsidTr="005C6B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 w:type="dxa"/>
          </w:tcPr>
          <w:p w14:paraId="690EC9B4" w14:textId="77777777" w:rsidR="00EA43F0" w:rsidRPr="00CD6245" w:rsidRDefault="00EA43F0" w:rsidP="006919A6">
            <w:pPr>
              <w:pStyle w:val="TableText"/>
            </w:pPr>
            <w:r w:rsidRPr="00CD6245">
              <w:t>2</w:t>
            </w:r>
          </w:p>
        </w:tc>
        <w:tc>
          <w:tcPr>
            <w:tcW w:w="2001" w:type="dxa"/>
          </w:tcPr>
          <w:p w14:paraId="775CE2B7" w14:textId="5F8B3F92" w:rsidR="00EA43F0" w:rsidRPr="00726E77" w:rsidRDefault="00EA43F0" w:rsidP="006919A6">
            <w:pPr>
              <w:pStyle w:val="TableText"/>
              <w:cnfStyle w:val="000000100000" w:firstRow="0" w:lastRow="0" w:firstColumn="0" w:lastColumn="0" w:oddVBand="0" w:evenVBand="0" w:oddHBand="1" w:evenHBand="0" w:firstRowFirstColumn="0" w:firstRowLastColumn="0" w:lastRowFirstColumn="0" w:lastRowLastColumn="0"/>
            </w:pPr>
            <w:r w:rsidRPr="00726E77">
              <w:t xml:space="preserve">Proportion of P-Card </w:t>
            </w:r>
            <w:r w:rsidR="00D11C9B">
              <w:t xml:space="preserve">(or equivalent) </w:t>
            </w:r>
            <w:r w:rsidRPr="00726E77">
              <w:t>transactions</w:t>
            </w:r>
          </w:p>
        </w:tc>
        <w:tc>
          <w:tcPr>
            <w:tcW w:w="617" w:type="dxa"/>
          </w:tcPr>
          <w:p w14:paraId="41728F00" w14:textId="77777777" w:rsidR="00EA43F0" w:rsidRDefault="00EA43F0" w:rsidP="00EA43F0">
            <w:pPr>
              <w:pStyle w:val="Tablenumbers"/>
              <w:cnfStyle w:val="000000100000" w:firstRow="0" w:lastRow="0" w:firstColumn="0" w:lastColumn="0" w:oddVBand="0" w:evenVBand="0" w:oddHBand="1" w:evenHBand="0" w:firstRowFirstColumn="0" w:firstRowLastColumn="0" w:lastRowFirstColumn="0" w:lastRowLastColumn="0"/>
            </w:pPr>
            <w:r>
              <w:t>28</w:t>
            </w:r>
          </w:p>
        </w:tc>
        <w:tc>
          <w:tcPr>
            <w:tcW w:w="699" w:type="dxa"/>
          </w:tcPr>
          <w:p w14:paraId="62E4CB0A" w14:textId="77777777" w:rsidR="00EA43F0" w:rsidRPr="00CD6245" w:rsidRDefault="00EA43F0" w:rsidP="00EA43F0">
            <w:pPr>
              <w:pStyle w:val="Tablenumbers"/>
              <w:cnfStyle w:val="000000100000" w:firstRow="0" w:lastRow="0" w:firstColumn="0" w:lastColumn="0" w:oddVBand="0" w:evenVBand="0" w:oddHBand="1" w:evenHBand="0" w:firstRowFirstColumn="0" w:firstRowLastColumn="0" w:lastRowFirstColumn="0" w:lastRowLastColumn="0"/>
            </w:pPr>
            <w:r>
              <w:t>29.9</w:t>
            </w:r>
          </w:p>
        </w:tc>
        <w:tc>
          <w:tcPr>
            <w:tcW w:w="576" w:type="dxa"/>
          </w:tcPr>
          <w:p w14:paraId="7E4E28E1" w14:textId="77777777" w:rsidR="00EA43F0" w:rsidRPr="00CD6245" w:rsidRDefault="00EA43F0" w:rsidP="00EA43F0">
            <w:pPr>
              <w:pStyle w:val="Tablenumbers"/>
              <w:cnfStyle w:val="000000100000" w:firstRow="0" w:lastRow="0" w:firstColumn="0" w:lastColumn="0" w:oddVBand="0" w:evenVBand="0" w:oddHBand="1" w:evenHBand="0" w:firstRowFirstColumn="0" w:firstRowLastColumn="0" w:lastRowFirstColumn="0" w:lastRowLastColumn="0"/>
            </w:pPr>
            <w:r>
              <w:t>44.6</w:t>
            </w:r>
          </w:p>
        </w:tc>
        <w:tc>
          <w:tcPr>
            <w:tcW w:w="4678" w:type="dxa"/>
          </w:tcPr>
          <w:p w14:paraId="17832F4F" w14:textId="77777777" w:rsidR="00EA43F0" w:rsidRPr="00CD6245" w:rsidRDefault="00EA43F0" w:rsidP="006919A6">
            <w:pPr>
              <w:pStyle w:val="TableText"/>
              <w:cnfStyle w:val="000000100000" w:firstRow="0" w:lastRow="0" w:firstColumn="0" w:lastColumn="0" w:oddVBand="0" w:evenVBand="0" w:oddHBand="1" w:evenHBand="0" w:firstRowFirstColumn="0" w:firstRowLastColumn="0" w:lastRowFirstColumn="0" w:lastRowLastColumn="0"/>
            </w:pPr>
            <w:r w:rsidRPr="00BF1E20">
              <w:t>The increase in transactions is due to an improved reporting process.</w:t>
            </w:r>
          </w:p>
        </w:tc>
      </w:tr>
      <w:tr w:rsidR="00EA43F0" w:rsidRPr="00CD6245" w14:paraId="6D0063F2" w14:textId="77777777" w:rsidTr="005C6BD3">
        <w:tc>
          <w:tcPr>
            <w:cnfStyle w:val="001000000000" w:firstRow="0" w:lastRow="0" w:firstColumn="1" w:lastColumn="0" w:oddVBand="0" w:evenVBand="0" w:oddHBand="0" w:evenHBand="0" w:firstRowFirstColumn="0" w:firstRowLastColumn="0" w:lastRowFirstColumn="0" w:lastRowLastColumn="0"/>
            <w:tcW w:w="359" w:type="dxa"/>
          </w:tcPr>
          <w:p w14:paraId="7AD8BA3D" w14:textId="77777777" w:rsidR="00EA43F0" w:rsidRPr="00CD6245" w:rsidRDefault="00EA43F0" w:rsidP="006919A6">
            <w:pPr>
              <w:pStyle w:val="TableText"/>
            </w:pPr>
            <w:r w:rsidRPr="00CD6245">
              <w:t>3</w:t>
            </w:r>
          </w:p>
        </w:tc>
        <w:tc>
          <w:tcPr>
            <w:tcW w:w="2001" w:type="dxa"/>
          </w:tcPr>
          <w:p w14:paraId="676DA02E" w14:textId="77777777" w:rsidR="00EA43F0" w:rsidRPr="00726E77" w:rsidRDefault="00EA43F0" w:rsidP="006919A6">
            <w:pPr>
              <w:pStyle w:val="TableText"/>
              <w:cnfStyle w:val="000000000000" w:firstRow="0" w:lastRow="0" w:firstColumn="0" w:lastColumn="0" w:oddVBand="0" w:evenVBand="0" w:oddHBand="0" w:evenHBand="0" w:firstRowFirstColumn="0" w:firstRowLastColumn="0" w:lastRowFirstColumn="0" w:lastRowLastColumn="0"/>
            </w:pPr>
            <w:r w:rsidRPr="00726E77">
              <w:t>Increase in procurement capability</w:t>
            </w:r>
          </w:p>
        </w:tc>
        <w:tc>
          <w:tcPr>
            <w:tcW w:w="617" w:type="dxa"/>
          </w:tcPr>
          <w:p w14:paraId="73A705CF" w14:textId="77777777" w:rsidR="00EA43F0" w:rsidRDefault="00EA43F0" w:rsidP="00EA43F0">
            <w:pPr>
              <w:pStyle w:val="Tablenumbers"/>
              <w:cnfStyle w:val="000000000000" w:firstRow="0" w:lastRow="0" w:firstColumn="0" w:lastColumn="0" w:oddVBand="0" w:evenVBand="0" w:oddHBand="0" w:evenHBand="0" w:firstRowFirstColumn="0" w:firstRowLastColumn="0" w:lastRowFirstColumn="0" w:lastRowLastColumn="0"/>
            </w:pPr>
            <w:r>
              <w:t>..</w:t>
            </w:r>
          </w:p>
        </w:tc>
        <w:tc>
          <w:tcPr>
            <w:tcW w:w="699" w:type="dxa"/>
          </w:tcPr>
          <w:p w14:paraId="6996D520" w14:textId="77777777" w:rsidR="00EA43F0" w:rsidRPr="00CD6245" w:rsidRDefault="00EA43F0" w:rsidP="00EA43F0">
            <w:pPr>
              <w:pStyle w:val="Tablenumbers"/>
              <w:cnfStyle w:val="000000000000" w:firstRow="0" w:lastRow="0" w:firstColumn="0" w:lastColumn="0" w:oddVBand="0" w:evenVBand="0" w:oddHBand="0" w:evenHBand="0" w:firstRowFirstColumn="0" w:firstRowLastColumn="0" w:lastRowFirstColumn="0" w:lastRowLastColumn="0"/>
            </w:pPr>
            <w:r>
              <w:t>..</w:t>
            </w:r>
          </w:p>
        </w:tc>
        <w:tc>
          <w:tcPr>
            <w:tcW w:w="576" w:type="dxa"/>
          </w:tcPr>
          <w:p w14:paraId="5A7B2170" w14:textId="77777777" w:rsidR="00EA43F0" w:rsidRPr="00CD6245" w:rsidRDefault="00EA43F0" w:rsidP="00EA43F0">
            <w:pPr>
              <w:pStyle w:val="Tablenumbers"/>
              <w:cnfStyle w:val="000000000000" w:firstRow="0" w:lastRow="0" w:firstColumn="0" w:lastColumn="0" w:oddVBand="0" w:evenVBand="0" w:oddHBand="0" w:evenHBand="0" w:firstRowFirstColumn="0" w:firstRowLastColumn="0" w:lastRowFirstColumn="0" w:lastRowLastColumn="0"/>
            </w:pPr>
            <w:r>
              <w:t>3.0</w:t>
            </w:r>
          </w:p>
        </w:tc>
        <w:tc>
          <w:tcPr>
            <w:tcW w:w="4678" w:type="dxa"/>
          </w:tcPr>
          <w:p w14:paraId="40BEA658" w14:textId="720BA66A" w:rsidR="00EA43F0" w:rsidRPr="00CD6245" w:rsidRDefault="00EA43F0" w:rsidP="006919A6">
            <w:pPr>
              <w:pStyle w:val="TableText"/>
              <w:cnfStyle w:val="000000000000" w:firstRow="0" w:lastRow="0" w:firstColumn="0" w:lastColumn="0" w:oddVBand="0" w:evenVBand="0" w:oddHBand="0" w:evenHBand="0" w:firstRowFirstColumn="0" w:firstRowLastColumn="0" w:lastRowFirstColumn="0" w:lastRowLastColumn="0"/>
            </w:pPr>
            <w:r>
              <w:t>DEDJTR d</w:t>
            </w:r>
            <w:r w:rsidRPr="00665B7C">
              <w:t xml:space="preserve">eveloped a new </w:t>
            </w:r>
            <w:r>
              <w:t>c</w:t>
            </w:r>
            <w:r w:rsidRPr="00665B7C">
              <w:t xml:space="preserve">ontract </w:t>
            </w:r>
            <w:r>
              <w:t>m</w:t>
            </w:r>
            <w:r w:rsidRPr="00665B7C">
              <w:t xml:space="preserve">anagement </w:t>
            </w:r>
            <w:r>
              <w:t>f</w:t>
            </w:r>
            <w:r w:rsidRPr="00665B7C">
              <w:t>ramework</w:t>
            </w:r>
            <w:r>
              <w:t xml:space="preserve">, </w:t>
            </w:r>
            <w:r w:rsidRPr="00665B7C">
              <w:t>deploy</w:t>
            </w:r>
            <w:r>
              <w:t>ed</w:t>
            </w:r>
            <w:r w:rsidRPr="00665B7C">
              <w:t xml:space="preserve"> four procurement </w:t>
            </w:r>
            <w:r w:rsidR="005F7BF9">
              <w:br/>
            </w:r>
            <w:r>
              <w:t>e-learning</w:t>
            </w:r>
            <w:r w:rsidRPr="00665B7C">
              <w:t xml:space="preserve"> modules and an improved performance management process.</w:t>
            </w:r>
            <w:r>
              <w:t xml:space="preserve"> The Department should see another increase in capability in 2018–19 as it educates the business to </w:t>
            </w:r>
            <w:r w:rsidRPr="00DB7F12">
              <w:t xml:space="preserve">embed the </w:t>
            </w:r>
            <w:r>
              <w:t>c</w:t>
            </w:r>
            <w:r w:rsidRPr="00DB7F12">
              <w:t xml:space="preserve">ontract </w:t>
            </w:r>
            <w:r>
              <w:t>m</w:t>
            </w:r>
            <w:r w:rsidRPr="00DB7F12">
              <w:t xml:space="preserve">anagement </w:t>
            </w:r>
            <w:r>
              <w:t>f</w:t>
            </w:r>
            <w:r w:rsidRPr="00DB7F12">
              <w:t>ramework and invest</w:t>
            </w:r>
            <w:r w:rsidR="005F7BF9">
              <w:t>s</w:t>
            </w:r>
            <w:r w:rsidRPr="00DB7F12">
              <w:t xml:space="preserve"> in improved systems and technology.</w:t>
            </w:r>
          </w:p>
        </w:tc>
      </w:tr>
      <w:tr w:rsidR="00EA43F0" w:rsidRPr="00CD6245" w14:paraId="32ECAC5D" w14:textId="77777777" w:rsidTr="005C6B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 w:type="dxa"/>
          </w:tcPr>
          <w:p w14:paraId="43071CEC" w14:textId="77777777" w:rsidR="00EA43F0" w:rsidRPr="00CD6245" w:rsidRDefault="00EA43F0" w:rsidP="006919A6">
            <w:pPr>
              <w:pStyle w:val="TableText"/>
            </w:pPr>
            <w:r w:rsidRPr="00CD6245">
              <w:t>4</w:t>
            </w:r>
          </w:p>
        </w:tc>
        <w:tc>
          <w:tcPr>
            <w:tcW w:w="2001" w:type="dxa"/>
          </w:tcPr>
          <w:p w14:paraId="02ED53B1" w14:textId="77777777" w:rsidR="00EA43F0" w:rsidRPr="00726E77" w:rsidRDefault="00EA43F0" w:rsidP="006919A6">
            <w:pPr>
              <w:pStyle w:val="TableText"/>
              <w:cnfStyle w:val="000000100000" w:firstRow="0" w:lastRow="0" w:firstColumn="0" w:lastColumn="0" w:oddVBand="0" w:evenVBand="0" w:oddHBand="1" w:evenHBand="0" w:firstRowFirstColumn="0" w:firstRowLastColumn="0" w:lastRowFirstColumn="0" w:lastRowLastColumn="0"/>
            </w:pPr>
            <w:r w:rsidRPr="00726E77">
              <w:t>Cost of procurement resources</w:t>
            </w:r>
          </w:p>
        </w:tc>
        <w:tc>
          <w:tcPr>
            <w:tcW w:w="617" w:type="dxa"/>
          </w:tcPr>
          <w:p w14:paraId="65B06B7D" w14:textId="77777777" w:rsidR="00EA43F0" w:rsidRDefault="00EA43F0" w:rsidP="00EA43F0">
            <w:pPr>
              <w:pStyle w:val="Tablenumbers"/>
              <w:cnfStyle w:val="000000100000" w:firstRow="0" w:lastRow="0" w:firstColumn="0" w:lastColumn="0" w:oddVBand="0" w:evenVBand="0" w:oddHBand="1" w:evenHBand="0" w:firstRowFirstColumn="0" w:firstRowLastColumn="0" w:lastRowFirstColumn="0" w:lastRowLastColumn="0"/>
            </w:pPr>
            <w:r>
              <w:t>0.6</w:t>
            </w:r>
          </w:p>
        </w:tc>
        <w:tc>
          <w:tcPr>
            <w:tcW w:w="699" w:type="dxa"/>
          </w:tcPr>
          <w:p w14:paraId="3C189179" w14:textId="77777777" w:rsidR="00EA43F0" w:rsidRPr="00CD6245" w:rsidRDefault="00EA43F0" w:rsidP="00EA43F0">
            <w:pPr>
              <w:pStyle w:val="Tablenumbers"/>
              <w:cnfStyle w:val="000000100000" w:firstRow="0" w:lastRow="0" w:firstColumn="0" w:lastColumn="0" w:oddVBand="0" w:evenVBand="0" w:oddHBand="1" w:evenHBand="0" w:firstRowFirstColumn="0" w:firstRowLastColumn="0" w:lastRowFirstColumn="0" w:lastRowLastColumn="0"/>
            </w:pPr>
            <w:r>
              <w:t>0.2</w:t>
            </w:r>
          </w:p>
        </w:tc>
        <w:tc>
          <w:tcPr>
            <w:tcW w:w="576" w:type="dxa"/>
          </w:tcPr>
          <w:p w14:paraId="1591B17E" w14:textId="09D4D7FD" w:rsidR="00EA43F0" w:rsidRPr="00CD6245" w:rsidRDefault="00EA43F0" w:rsidP="00EA43F0">
            <w:pPr>
              <w:pStyle w:val="Tablenumbers"/>
              <w:cnfStyle w:val="000000100000" w:firstRow="0" w:lastRow="0" w:firstColumn="0" w:lastColumn="0" w:oddVBand="0" w:evenVBand="0" w:oddHBand="1" w:evenHBand="0" w:firstRowFirstColumn="0" w:firstRowLastColumn="0" w:lastRowFirstColumn="0" w:lastRowLastColumn="0"/>
            </w:pPr>
            <w:r>
              <w:t>0.5</w:t>
            </w:r>
          </w:p>
        </w:tc>
        <w:tc>
          <w:tcPr>
            <w:tcW w:w="4678" w:type="dxa"/>
          </w:tcPr>
          <w:p w14:paraId="1152DCC8" w14:textId="7BDE7747" w:rsidR="00EA43F0" w:rsidRPr="00CD6245" w:rsidRDefault="00EA43F0" w:rsidP="006919A6">
            <w:pPr>
              <w:pStyle w:val="TableText"/>
              <w:cnfStyle w:val="000000100000" w:firstRow="0" w:lastRow="0" w:firstColumn="0" w:lastColumn="0" w:oddVBand="0" w:evenVBand="0" w:oddHBand="1" w:evenHBand="0" w:firstRowFirstColumn="0" w:firstRowLastColumn="0" w:lastRowFirstColumn="0" w:lastRowLastColumn="0"/>
            </w:pPr>
            <w:r w:rsidRPr="000A7FCC">
              <w:t xml:space="preserve">The increase in the relative cost of procurement resources </w:t>
            </w:r>
            <w:r>
              <w:t xml:space="preserve">this year </w:t>
            </w:r>
            <w:r w:rsidRPr="000A7FCC">
              <w:t xml:space="preserve">is </w:t>
            </w:r>
            <w:r>
              <w:t>due to a</w:t>
            </w:r>
            <w:r w:rsidR="006410C4">
              <w:t xml:space="preserve"> rise</w:t>
            </w:r>
            <w:r w:rsidRPr="000A7FCC">
              <w:t xml:space="preserve"> in resource </w:t>
            </w:r>
            <w:r w:rsidR="009B04F5" w:rsidRPr="000A7FCC">
              <w:t>levels</w:t>
            </w:r>
            <w:r w:rsidR="0070033A">
              <w:t>,</w:t>
            </w:r>
            <w:r w:rsidR="009B04F5">
              <w:t xml:space="preserve"> </w:t>
            </w:r>
            <w:r w:rsidR="00AA56EC">
              <w:t>including for</w:t>
            </w:r>
            <w:r>
              <w:t xml:space="preserve"> the MTIP procurement organisation</w:t>
            </w:r>
            <w:r w:rsidRPr="000A7FCC">
              <w:t>.</w:t>
            </w:r>
          </w:p>
        </w:tc>
      </w:tr>
      <w:tr w:rsidR="00EA43F0" w:rsidRPr="00CD6245" w14:paraId="38B8A1CB" w14:textId="77777777" w:rsidTr="005C6BD3">
        <w:tc>
          <w:tcPr>
            <w:cnfStyle w:val="001000000000" w:firstRow="0" w:lastRow="0" w:firstColumn="1" w:lastColumn="0" w:oddVBand="0" w:evenVBand="0" w:oddHBand="0" w:evenHBand="0" w:firstRowFirstColumn="0" w:firstRowLastColumn="0" w:lastRowFirstColumn="0" w:lastRowLastColumn="0"/>
            <w:tcW w:w="359" w:type="dxa"/>
            <w:vMerge w:val="restart"/>
          </w:tcPr>
          <w:p w14:paraId="7A5160C2" w14:textId="77777777" w:rsidR="00EA43F0" w:rsidRPr="00CD6245" w:rsidRDefault="00EA43F0" w:rsidP="006919A6">
            <w:pPr>
              <w:pStyle w:val="TableText"/>
            </w:pPr>
            <w:r w:rsidRPr="00CD6245">
              <w:t>5</w:t>
            </w:r>
          </w:p>
        </w:tc>
        <w:tc>
          <w:tcPr>
            <w:tcW w:w="2001" w:type="dxa"/>
          </w:tcPr>
          <w:p w14:paraId="1EF9DF76" w14:textId="77777777" w:rsidR="00EA43F0" w:rsidRPr="00726E77" w:rsidRDefault="00EA43F0" w:rsidP="006919A6">
            <w:pPr>
              <w:pStyle w:val="TableText"/>
              <w:cnfStyle w:val="000000000000" w:firstRow="0" w:lastRow="0" w:firstColumn="0" w:lastColumn="0" w:oddVBand="0" w:evenVBand="0" w:oddHBand="0" w:evenHBand="0" w:firstRowFirstColumn="0" w:firstRowLastColumn="0" w:lastRowFirstColumn="0" w:lastRowLastColumn="0"/>
            </w:pPr>
            <w:r w:rsidRPr="000451B5">
              <w:t xml:space="preserve">Successful </w:t>
            </w:r>
            <w:r>
              <w:t>s</w:t>
            </w:r>
            <w:r w:rsidRPr="008F30C8">
              <w:t>upplie</w:t>
            </w:r>
            <w:r>
              <w:t xml:space="preserve">r </w:t>
            </w:r>
            <w:r w:rsidRPr="000451B5">
              <w:t>satisfied</w:t>
            </w:r>
          </w:p>
        </w:tc>
        <w:tc>
          <w:tcPr>
            <w:tcW w:w="617" w:type="dxa"/>
          </w:tcPr>
          <w:p w14:paraId="72FE802A" w14:textId="77777777" w:rsidR="00EA43F0" w:rsidRDefault="00EA43F0" w:rsidP="00EA43F0">
            <w:pPr>
              <w:pStyle w:val="Tablenumbers"/>
              <w:cnfStyle w:val="000000000000" w:firstRow="0" w:lastRow="0" w:firstColumn="0" w:lastColumn="0" w:oddVBand="0" w:evenVBand="0" w:oddHBand="0" w:evenHBand="0" w:firstRowFirstColumn="0" w:firstRowLastColumn="0" w:lastRowFirstColumn="0" w:lastRowLastColumn="0"/>
            </w:pPr>
            <w:r>
              <w:t>67</w:t>
            </w:r>
          </w:p>
        </w:tc>
        <w:tc>
          <w:tcPr>
            <w:tcW w:w="699" w:type="dxa"/>
          </w:tcPr>
          <w:p w14:paraId="2887C458" w14:textId="77777777" w:rsidR="00EA43F0" w:rsidRDefault="00EA43F0" w:rsidP="00EA43F0">
            <w:pPr>
              <w:pStyle w:val="Tablenumbers"/>
              <w:cnfStyle w:val="000000000000" w:firstRow="0" w:lastRow="0" w:firstColumn="0" w:lastColumn="0" w:oddVBand="0" w:evenVBand="0" w:oddHBand="0" w:evenHBand="0" w:firstRowFirstColumn="0" w:firstRowLastColumn="0" w:lastRowFirstColumn="0" w:lastRowLastColumn="0"/>
            </w:pPr>
            <w:r>
              <w:t>90</w:t>
            </w:r>
          </w:p>
        </w:tc>
        <w:tc>
          <w:tcPr>
            <w:tcW w:w="576" w:type="dxa"/>
          </w:tcPr>
          <w:p w14:paraId="7B842BD2" w14:textId="77777777" w:rsidR="00EA43F0" w:rsidRPr="00EA43F0" w:rsidRDefault="00EA43F0" w:rsidP="00EA43F0">
            <w:pPr>
              <w:pStyle w:val="Tablenumbers"/>
              <w:cnfStyle w:val="000000000000" w:firstRow="0" w:lastRow="0" w:firstColumn="0" w:lastColumn="0" w:oddVBand="0" w:evenVBand="0" w:oddHBand="0" w:evenHBand="0" w:firstRowFirstColumn="0" w:firstRowLastColumn="0" w:lastRowFirstColumn="0" w:lastRowLastColumn="0"/>
            </w:pPr>
            <w:r w:rsidRPr="00EA43F0">
              <w:t>71</w:t>
            </w:r>
          </w:p>
        </w:tc>
        <w:tc>
          <w:tcPr>
            <w:tcW w:w="4678" w:type="dxa"/>
            <w:vMerge w:val="restart"/>
          </w:tcPr>
          <w:p w14:paraId="18921EE9" w14:textId="77777777" w:rsidR="00EA43F0" w:rsidRDefault="00EA43F0" w:rsidP="006919A6">
            <w:pPr>
              <w:pStyle w:val="TableText"/>
              <w:cnfStyle w:val="000000000000" w:firstRow="0" w:lastRow="0" w:firstColumn="0" w:lastColumn="0" w:oddVBand="0" w:evenVBand="0" w:oddHBand="0" w:evenHBand="0" w:firstRowFirstColumn="0" w:firstRowLastColumn="0" w:lastRowFirstColumn="0" w:lastRowLastColumn="0"/>
            </w:pPr>
            <w:r>
              <w:t>The low survey response rate</w:t>
            </w:r>
            <w:r w:rsidRPr="00DB7F12">
              <w:t xml:space="preserve"> </w:t>
            </w:r>
            <w:r>
              <w:t xml:space="preserve">of </w:t>
            </w:r>
            <w:r w:rsidRPr="00DB7F12">
              <w:t>8</w:t>
            </w:r>
            <w:r>
              <w:t xml:space="preserve"> per cent in 2017–18 limits the validity of the data and makes it difficult to compare yearly results.</w:t>
            </w:r>
          </w:p>
        </w:tc>
      </w:tr>
      <w:tr w:rsidR="00EA43F0" w:rsidRPr="00CD6245" w14:paraId="14981280" w14:textId="77777777" w:rsidTr="005C6B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 w:type="dxa"/>
            <w:vMerge/>
          </w:tcPr>
          <w:p w14:paraId="1E23B7B9" w14:textId="77777777" w:rsidR="00EA43F0" w:rsidRPr="00CD6245" w:rsidRDefault="00EA43F0" w:rsidP="006919A6">
            <w:pPr>
              <w:pStyle w:val="TableText"/>
            </w:pPr>
          </w:p>
        </w:tc>
        <w:tc>
          <w:tcPr>
            <w:tcW w:w="2001" w:type="dxa"/>
          </w:tcPr>
          <w:p w14:paraId="5B4BF8EA" w14:textId="77777777" w:rsidR="00EA43F0" w:rsidRPr="00726E77" w:rsidRDefault="00EA43F0" w:rsidP="006919A6">
            <w:pPr>
              <w:pStyle w:val="TableText"/>
              <w:cnfStyle w:val="000000100000" w:firstRow="0" w:lastRow="0" w:firstColumn="0" w:lastColumn="0" w:oddVBand="0" w:evenVBand="0" w:oddHBand="1" w:evenHBand="0" w:firstRowFirstColumn="0" w:firstRowLastColumn="0" w:lastRowFirstColumn="0" w:lastRowLastColumn="0"/>
            </w:pPr>
            <w:r w:rsidRPr="000451B5">
              <w:t xml:space="preserve">Unsuccessful </w:t>
            </w:r>
            <w:r>
              <w:t>s</w:t>
            </w:r>
            <w:r w:rsidRPr="008F30C8">
              <w:t>upplie</w:t>
            </w:r>
            <w:r>
              <w:t xml:space="preserve">r </w:t>
            </w:r>
            <w:r w:rsidRPr="000451B5">
              <w:t>satisfied</w:t>
            </w:r>
          </w:p>
        </w:tc>
        <w:tc>
          <w:tcPr>
            <w:tcW w:w="617" w:type="dxa"/>
          </w:tcPr>
          <w:p w14:paraId="0C991881" w14:textId="77777777" w:rsidR="00EA43F0" w:rsidRDefault="00EA43F0" w:rsidP="00EA43F0">
            <w:pPr>
              <w:pStyle w:val="Tablenumbers"/>
              <w:cnfStyle w:val="000000100000" w:firstRow="0" w:lastRow="0" w:firstColumn="0" w:lastColumn="0" w:oddVBand="0" w:evenVBand="0" w:oddHBand="1" w:evenHBand="0" w:firstRowFirstColumn="0" w:firstRowLastColumn="0" w:lastRowFirstColumn="0" w:lastRowLastColumn="0"/>
            </w:pPr>
            <w:r>
              <w:t>41</w:t>
            </w:r>
          </w:p>
        </w:tc>
        <w:tc>
          <w:tcPr>
            <w:tcW w:w="699" w:type="dxa"/>
          </w:tcPr>
          <w:p w14:paraId="684DCB20" w14:textId="77777777" w:rsidR="00EA43F0" w:rsidRDefault="00EA43F0" w:rsidP="00EA43F0">
            <w:pPr>
              <w:pStyle w:val="Tablenumbers"/>
              <w:cnfStyle w:val="000000100000" w:firstRow="0" w:lastRow="0" w:firstColumn="0" w:lastColumn="0" w:oddVBand="0" w:evenVBand="0" w:oddHBand="1" w:evenHBand="0" w:firstRowFirstColumn="0" w:firstRowLastColumn="0" w:lastRowFirstColumn="0" w:lastRowLastColumn="0"/>
            </w:pPr>
            <w:r>
              <w:t>46</w:t>
            </w:r>
          </w:p>
        </w:tc>
        <w:tc>
          <w:tcPr>
            <w:tcW w:w="576" w:type="dxa"/>
          </w:tcPr>
          <w:p w14:paraId="0B7688A8" w14:textId="77777777" w:rsidR="00EA43F0" w:rsidRPr="00EA43F0" w:rsidRDefault="00EA43F0" w:rsidP="00EA43F0">
            <w:pPr>
              <w:pStyle w:val="Tablenumbers"/>
              <w:cnfStyle w:val="000000100000" w:firstRow="0" w:lastRow="0" w:firstColumn="0" w:lastColumn="0" w:oddVBand="0" w:evenVBand="0" w:oddHBand="1" w:evenHBand="0" w:firstRowFirstColumn="0" w:firstRowLastColumn="0" w:lastRowFirstColumn="0" w:lastRowLastColumn="0"/>
            </w:pPr>
            <w:r w:rsidRPr="00EA43F0">
              <w:t>45</w:t>
            </w:r>
          </w:p>
        </w:tc>
        <w:tc>
          <w:tcPr>
            <w:tcW w:w="4678" w:type="dxa"/>
            <w:vMerge/>
          </w:tcPr>
          <w:p w14:paraId="5D655C70" w14:textId="77777777" w:rsidR="00EA43F0" w:rsidRDefault="00EA43F0" w:rsidP="006919A6">
            <w:pPr>
              <w:pStyle w:val="TableText"/>
              <w:cnfStyle w:val="000000100000" w:firstRow="0" w:lastRow="0" w:firstColumn="0" w:lastColumn="0" w:oddVBand="0" w:evenVBand="0" w:oddHBand="1" w:evenHBand="0" w:firstRowFirstColumn="0" w:firstRowLastColumn="0" w:lastRowFirstColumn="0" w:lastRowLastColumn="0"/>
            </w:pPr>
          </w:p>
        </w:tc>
      </w:tr>
      <w:tr w:rsidR="00EA43F0" w:rsidRPr="00CD6245" w14:paraId="733D5CDB" w14:textId="77777777" w:rsidTr="005C6BD3">
        <w:trPr>
          <w:trHeight w:val="283"/>
        </w:trPr>
        <w:tc>
          <w:tcPr>
            <w:cnfStyle w:val="001000000000" w:firstRow="0" w:lastRow="0" w:firstColumn="1" w:lastColumn="0" w:oddVBand="0" w:evenVBand="0" w:oddHBand="0" w:evenHBand="0" w:firstRowFirstColumn="0" w:firstRowLastColumn="0" w:lastRowFirstColumn="0" w:lastRowLastColumn="0"/>
            <w:tcW w:w="359" w:type="dxa"/>
          </w:tcPr>
          <w:p w14:paraId="56412DF5" w14:textId="77777777" w:rsidR="00EA43F0" w:rsidRPr="00CD6245" w:rsidRDefault="00EA43F0" w:rsidP="006919A6">
            <w:pPr>
              <w:pStyle w:val="TableText"/>
            </w:pPr>
            <w:r w:rsidRPr="00CD6245">
              <w:t>6</w:t>
            </w:r>
          </w:p>
        </w:tc>
        <w:tc>
          <w:tcPr>
            <w:tcW w:w="2001" w:type="dxa"/>
          </w:tcPr>
          <w:p w14:paraId="1D8CFB74" w14:textId="77777777" w:rsidR="00EA43F0" w:rsidRPr="00726E77" w:rsidRDefault="00EA43F0" w:rsidP="006919A6">
            <w:pPr>
              <w:pStyle w:val="TableText"/>
              <w:cnfStyle w:val="000000000000" w:firstRow="0" w:lastRow="0" w:firstColumn="0" w:lastColumn="0" w:oddVBand="0" w:evenVBand="0" w:oddHBand="0" w:evenHBand="0" w:firstRowFirstColumn="0" w:firstRowLastColumn="0" w:lastRowFirstColumn="0" w:lastRowLastColumn="0"/>
            </w:pPr>
            <w:r w:rsidRPr="00726E77">
              <w:t>Planned procurement activity</w:t>
            </w:r>
          </w:p>
        </w:tc>
        <w:tc>
          <w:tcPr>
            <w:tcW w:w="617" w:type="dxa"/>
          </w:tcPr>
          <w:p w14:paraId="449756C0" w14:textId="77777777" w:rsidR="00EA43F0" w:rsidRDefault="00EA43F0" w:rsidP="00EA43F0">
            <w:pPr>
              <w:pStyle w:val="Tablenumbers"/>
              <w:cnfStyle w:val="000000000000" w:firstRow="0" w:lastRow="0" w:firstColumn="0" w:lastColumn="0" w:oddVBand="0" w:evenVBand="0" w:oddHBand="0" w:evenHBand="0" w:firstRowFirstColumn="0" w:firstRowLastColumn="0" w:lastRowFirstColumn="0" w:lastRowLastColumn="0"/>
            </w:pPr>
            <w:r>
              <w:t>..</w:t>
            </w:r>
          </w:p>
        </w:tc>
        <w:tc>
          <w:tcPr>
            <w:tcW w:w="699" w:type="dxa"/>
          </w:tcPr>
          <w:p w14:paraId="7CE7D3C5" w14:textId="77777777" w:rsidR="00EA43F0" w:rsidRPr="00CD6245" w:rsidRDefault="00EA43F0" w:rsidP="00EA43F0">
            <w:pPr>
              <w:pStyle w:val="Tablenumbers"/>
              <w:cnfStyle w:val="000000000000" w:firstRow="0" w:lastRow="0" w:firstColumn="0" w:lastColumn="0" w:oddVBand="0" w:evenVBand="0" w:oddHBand="0" w:evenHBand="0" w:firstRowFirstColumn="0" w:firstRowLastColumn="0" w:lastRowFirstColumn="0" w:lastRowLastColumn="0"/>
            </w:pPr>
            <w:r>
              <w:t>29.3</w:t>
            </w:r>
          </w:p>
        </w:tc>
        <w:tc>
          <w:tcPr>
            <w:tcW w:w="576" w:type="dxa"/>
          </w:tcPr>
          <w:p w14:paraId="64B42C78" w14:textId="77777777" w:rsidR="00EA43F0" w:rsidRPr="00CD6245" w:rsidRDefault="00EA43F0" w:rsidP="00EA43F0">
            <w:pPr>
              <w:pStyle w:val="Tablenumbers"/>
              <w:cnfStyle w:val="000000000000" w:firstRow="0" w:lastRow="0" w:firstColumn="0" w:lastColumn="0" w:oddVBand="0" w:evenVBand="0" w:oddHBand="0" w:evenHBand="0" w:firstRowFirstColumn="0" w:firstRowLastColumn="0" w:lastRowFirstColumn="0" w:lastRowLastColumn="0"/>
            </w:pPr>
            <w:r>
              <w:t>40.0</w:t>
            </w:r>
          </w:p>
        </w:tc>
        <w:tc>
          <w:tcPr>
            <w:tcW w:w="4678" w:type="dxa"/>
          </w:tcPr>
          <w:p w14:paraId="6F1AD3D4" w14:textId="2E55287F" w:rsidR="00EA43F0" w:rsidRPr="00CD6245" w:rsidRDefault="00EA43F0" w:rsidP="006919A6">
            <w:pPr>
              <w:pStyle w:val="TableText"/>
              <w:cnfStyle w:val="000000000000" w:firstRow="0" w:lastRow="0" w:firstColumn="0" w:lastColumn="0" w:oddVBand="0" w:evenVBand="0" w:oddHBand="0" w:evenHBand="0" w:firstRowFirstColumn="0" w:firstRowLastColumn="0" w:lastRowFirstColumn="0" w:lastRowLastColumn="0"/>
            </w:pPr>
            <w:r>
              <w:t xml:space="preserve">The increase is due to enhanced collaboration between procurement and business divisions. </w:t>
            </w:r>
            <w:r w:rsidRPr="00DB62AB">
              <w:t>Further improvement will come from sharing the</w:t>
            </w:r>
            <w:r>
              <w:t>se</w:t>
            </w:r>
            <w:r w:rsidRPr="00DB62AB">
              <w:t xml:space="preserve"> results </w:t>
            </w:r>
            <w:r>
              <w:t xml:space="preserve">and continued collaboration </w:t>
            </w:r>
            <w:r w:rsidRPr="00DB62AB">
              <w:t>with the business to improve the accuracy of planning.</w:t>
            </w:r>
          </w:p>
        </w:tc>
      </w:tr>
    </w:tbl>
    <w:bookmarkEnd w:id="141"/>
    <w:p w14:paraId="7B830432" w14:textId="77777777" w:rsidR="002A7E78" w:rsidRPr="00E500BC" w:rsidRDefault="002A7E78" w:rsidP="002A7E78">
      <w:pPr>
        <w:pStyle w:val="Heading3NoNum"/>
      </w:pPr>
      <w:r w:rsidRPr="00E500BC">
        <w:t>Activities planned for 201</w:t>
      </w:r>
      <w:r>
        <w:t>8–19</w:t>
      </w:r>
    </w:p>
    <w:p w14:paraId="6C44E301" w14:textId="77777777" w:rsidR="002A7E78" w:rsidRDefault="002A7E78" w:rsidP="002A7E78">
      <w:pPr>
        <w:pStyle w:val="Normal1"/>
      </w:pPr>
      <w:r w:rsidRPr="00CD6245">
        <w:t xml:space="preserve">In </w:t>
      </w:r>
      <w:r>
        <w:t>2018–19,</w:t>
      </w:r>
      <w:r w:rsidRPr="00CD6245">
        <w:t xml:space="preserve"> DEDJTR will:</w:t>
      </w:r>
    </w:p>
    <w:p w14:paraId="29C58C7C" w14:textId="77777777" w:rsidR="002A7E78" w:rsidRDefault="002A7E78" w:rsidP="002A7E78">
      <w:pPr>
        <w:pStyle w:val="Bullet1"/>
      </w:pPr>
      <w:bookmarkStart w:id="156" w:name="_Hlk520912740"/>
      <w:r>
        <w:t xml:space="preserve">develop a strategy to support DEDJTR’s business areas with the implementation of Victoria’s </w:t>
      </w:r>
      <w:r w:rsidRPr="00E36FC8">
        <w:t>Social Procurement Framework</w:t>
      </w:r>
      <w:r>
        <w:t>;</w:t>
      </w:r>
    </w:p>
    <w:p w14:paraId="1AAB32E9" w14:textId="4D87A61B" w:rsidR="002A7E78" w:rsidRPr="00E36FC8" w:rsidRDefault="002A7E78" w:rsidP="002A7E78">
      <w:pPr>
        <w:pStyle w:val="Bullet1"/>
      </w:pPr>
      <w:r w:rsidRPr="001A5606">
        <w:t>review DEDJTR’s procurement policy and the SPD’s operating model to create a more user-friendly and agile procurement operating model</w:t>
      </w:r>
      <w:r w:rsidR="0070033A">
        <w:t xml:space="preserve">. The </w:t>
      </w:r>
      <w:r>
        <w:t xml:space="preserve">model will </w:t>
      </w:r>
      <w:r w:rsidRPr="001A5606">
        <w:t>support business areas to develop their capability to self-manage low-value, low-risk pr</w:t>
      </w:r>
      <w:r w:rsidRPr="00E36FC8">
        <w:t>ocurements</w:t>
      </w:r>
      <w:r>
        <w:t>,</w:t>
      </w:r>
      <w:r w:rsidRPr="00E36FC8">
        <w:t xml:space="preserve"> while the </w:t>
      </w:r>
      <w:r>
        <w:t>SPD</w:t>
      </w:r>
      <w:r w:rsidRPr="00E36FC8">
        <w:t xml:space="preserve"> develops category management capability and focuses more resources on high-value, high-risk procurements;</w:t>
      </w:r>
    </w:p>
    <w:p w14:paraId="34CCE186" w14:textId="77777777" w:rsidR="002A7E78" w:rsidRPr="00E36FC8" w:rsidRDefault="002A7E78" w:rsidP="002A7E78">
      <w:pPr>
        <w:pStyle w:val="Bullet1"/>
      </w:pPr>
      <w:r>
        <w:t xml:space="preserve">review technology options for </w:t>
      </w:r>
      <w:r w:rsidRPr="00E36FC8">
        <w:t>an e</w:t>
      </w:r>
      <w:r>
        <w:t>-s</w:t>
      </w:r>
      <w:r w:rsidRPr="00E36FC8">
        <w:t xml:space="preserve">ourcing </w:t>
      </w:r>
      <w:r>
        <w:t>(</w:t>
      </w:r>
      <w:r w:rsidRPr="00E36FC8">
        <w:t>source-to-contract solution</w:t>
      </w:r>
      <w:r>
        <w:t xml:space="preserve">) in alignment with the </w:t>
      </w:r>
      <w:r w:rsidRPr="00513AE4">
        <w:rPr>
          <w:lang w:eastAsia="en-US"/>
        </w:rPr>
        <w:t>WoVG Statement of Directions for Procurement S</w:t>
      </w:r>
      <w:r w:rsidRPr="00AD06A8">
        <w:rPr>
          <w:rStyle w:val="NormalChar"/>
        </w:rPr>
        <w:t>ystems and the wider DEDJTR Enterprise Resource Planning strategy;</w:t>
      </w:r>
    </w:p>
    <w:p w14:paraId="32F49318" w14:textId="77777777" w:rsidR="002A7E78" w:rsidRPr="00E36FC8" w:rsidRDefault="002A7E78" w:rsidP="002A7E78">
      <w:pPr>
        <w:pStyle w:val="Bullet1"/>
      </w:pPr>
      <w:r>
        <w:lastRenderedPageBreak/>
        <w:t xml:space="preserve">make tactical </w:t>
      </w:r>
      <w:r w:rsidRPr="00E36FC8">
        <w:t>improve</w:t>
      </w:r>
      <w:r>
        <w:t>ments to the</w:t>
      </w:r>
      <w:r w:rsidRPr="00E36FC8">
        <w:t xml:space="preserve"> </w:t>
      </w:r>
      <w:r w:rsidRPr="003901B5">
        <w:rPr>
          <w:rFonts w:cstheme="minorHAnsi"/>
          <w:szCs w:val="20"/>
        </w:rPr>
        <w:t>current Contract Management System and customis</w:t>
      </w:r>
      <w:r>
        <w:rPr>
          <w:rFonts w:cstheme="minorHAnsi"/>
          <w:szCs w:val="20"/>
        </w:rPr>
        <w:t>e</w:t>
      </w:r>
      <w:r w:rsidRPr="003901B5">
        <w:rPr>
          <w:rFonts w:cstheme="minorHAnsi"/>
          <w:szCs w:val="20"/>
        </w:rPr>
        <w:t xml:space="preserve"> </w:t>
      </w:r>
      <w:r w:rsidRPr="00E36FC8">
        <w:t xml:space="preserve">DEDJTR’s Oracle 11i iProcurement system </w:t>
      </w:r>
      <w:r>
        <w:t>to improve</w:t>
      </w:r>
      <w:r w:rsidRPr="00E36FC8">
        <w:t xml:space="preserve"> data quality for </w:t>
      </w:r>
      <w:r>
        <w:t xml:space="preserve">the </w:t>
      </w:r>
      <w:r w:rsidRPr="00E36FC8">
        <w:t>reporting</w:t>
      </w:r>
      <w:r>
        <w:t xml:space="preserve"> of contractor and consultant spend;</w:t>
      </w:r>
    </w:p>
    <w:p w14:paraId="6BBBC925" w14:textId="77777777" w:rsidR="002A7E78" w:rsidRDefault="002A7E78" w:rsidP="002A7E78">
      <w:pPr>
        <w:pStyle w:val="Bullet1"/>
      </w:pPr>
      <w:r>
        <w:t>develop a strategy to manage compliance with the Victorian Protective Data Security Framework standards; and</w:t>
      </w:r>
      <w:bookmarkEnd w:id="156"/>
    </w:p>
    <w:p w14:paraId="1E2090F2" w14:textId="77777777" w:rsidR="002A7E78" w:rsidRPr="00A741F8" w:rsidRDefault="002A7E78" w:rsidP="002A7E78">
      <w:pPr>
        <w:pStyle w:val="Bullet1"/>
      </w:pPr>
      <w:r w:rsidRPr="00A741F8">
        <w:t>embed the Victorian Industry Participation Policy (VIPP) and allied local community development initiatives in DEDJTR’s procurement policy and processes.</w:t>
      </w:r>
    </w:p>
    <w:p w14:paraId="788C2727" w14:textId="77777777" w:rsidR="00EA43F0" w:rsidRDefault="00EA43F0" w:rsidP="00EA43F0">
      <w:pPr>
        <w:pStyle w:val="Bullet1"/>
        <w:numPr>
          <w:ilvl w:val="0"/>
          <w:numId w:val="0"/>
        </w:numPr>
        <w:ind w:left="1077" w:hanging="283"/>
      </w:pPr>
    </w:p>
    <w:bookmarkEnd w:id="144"/>
    <w:p w14:paraId="33C6EE2B" w14:textId="77777777" w:rsidR="00EA43F0" w:rsidRDefault="00EA43F0" w:rsidP="00EA43F0">
      <w:pPr>
        <w:pStyle w:val="Bullet1"/>
        <w:numPr>
          <w:ilvl w:val="0"/>
          <w:numId w:val="0"/>
        </w:numPr>
        <w:ind w:left="1077" w:hanging="283"/>
      </w:pPr>
    </w:p>
    <w:bookmarkEnd w:id="145"/>
    <w:p w14:paraId="71ABA9C8" w14:textId="77777777" w:rsidR="00EA43F0" w:rsidRDefault="00EA43F0" w:rsidP="00EA43F0">
      <w:pPr>
        <w:pStyle w:val="Bullet1"/>
        <w:numPr>
          <w:ilvl w:val="0"/>
          <w:numId w:val="0"/>
        </w:numPr>
        <w:ind w:left="1077" w:hanging="283"/>
      </w:pPr>
    </w:p>
    <w:p w14:paraId="619D4667" w14:textId="77777777" w:rsidR="00EA43F0" w:rsidRDefault="00EA43F0" w:rsidP="00EA43F0">
      <w:pPr>
        <w:pStyle w:val="Bullet1"/>
        <w:numPr>
          <w:ilvl w:val="0"/>
          <w:numId w:val="0"/>
        </w:numPr>
        <w:ind w:left="1077" w:hanging="283"/>
      </w:pPr>
    </w:p>
    <w:bookmarkEnd w:id="142"/>
    <w:p w14:paraId="69A2DB38" w14:textId="77777777" w:rsidR="00EA43F0" w:rsidRDefault="00EA43F0" w:rsidP="00EA43F0">
      <w:pPr>
        <w:pStyle w:val="Bullet1"/>
        <w:numPr>
          <w:ilvl w:val="0"/>
          <w:numId w:val="0"/>
        </w:numPr>
        <w:ind w:left="1077" w:hanging="283"/>
      </w:pPr>
    </w:p>
    <w:p w14:paraId="2E137ABB" w14:textId="6C8016F7" w:rsidR="000D687E" w:rsidRPr="00EA43F0" w:rsidRDefault="000D687E" w:rsidP="00EA43F0">
      <w:pPr>
        <w:rPr>
          <w:rFonts w:ascii="Calibri" w:hAnsi="Calibri" w:cs="Calibri"/>
          <w:b/>
          <w:color w:val="4D4D4D"/>
          <w:kern w:val="28"/>
          <w:sz w:val="26"/>
          <w:szCs w:val="22"/>
          <w:lang w:eastAsia="en-US"/>
        </w:rPr>
      </w:pPr>
      <w:bookmarkStart w:id="157" w:name="_Toc515391645"/>
      <w:r>
        <w:br w:type="page"/>
      </w:r>
    </w:p>
    <w:p w14:paraId="63E26453" w14:textId="3A38BF66" w:rsidR="000D687E" w:rsidRDefault="000D687E" w:rsidP="000D687E">
      <w:pPr>
        <w:pStyle w:val="Heading2NoNum"/>
      </w:pPr>
      <w:bookmarkStart w:id="158" w:name="_Toc524354082"/>
      <w:r w:rsidRPr="00CD6245">
        <w:lastRenderedPageBreak/>
        <w:t xml:space="preserve">Department of </w:t>
      </w:r>
      <w:r w:rsidRPr="00AB6DD0">
        <w:t>Education and Training</w:t>
      </w:r>
      <w:bookmarkEnd w:id="157"/>
      <w:bookmarkEnd w:id="158"/>
    </w:p>
    <w:p w14:paraId="7F2F9EAA" w14:textId="2D875728" w:rsidR="000D687E" w:rsidRDefault="000D687E" w:rsidP="000D687E">
      <w:pPr>
        <w:pStyle w:val="Normal1"/>
        <w:rPr>
          <w:b/>
        </w:rPr>
      </w:pPr>
      <w:r w:rsidRPr="00CB1E48">
        <w:t>The Department of Education and Training</w:t>
      </w:r>
      <w:r>
        <w:t xml:space="preserve"> (DET)</w:t>
      </w:r>
      <w:r w:rsidRPr="00CB1E48">
        <w:t xml:space="preserve"> is committed to building an education system that gives every Victorian the best learning and development experience. Education remains a cornerstone to ensuring that all Victorians have the skills and knowledge they need to actively participate in </w:t>
      </w:r>
      <w:r>
        <w:t xml:space="preserve">and contribute to our rapidly </w:t>
      </w:r>
      <w:r w:rsidRPr="00CB1E48">
        <w:t>changing economy and society.</w:t>
      </w:r>
      <w:r>
        <w:t xml:space="preserve"> </w:t>
      </w:r>
      <w:r w:rsidR="001957A9">
        <w:t xml:space="preserve">DET </w:t>
      </w:r>
      <w:r w:rsidRPr="00FC566E">
        <w:t>offer</w:t>
      </w:r>
      <w:r w:rsidR="001957A9">
        <w:t>s</w:t>
      </w:r>
      <w:r w:rsidRPr="00FC566E">
        <w:t xml:space="preserve"> learning and development support, services and resources for all Victorians, from birth through to adulthood.</w:t>
      </w:r>
    </w:p>
    <w:p w14:paraId="60E6C9C8" w14:textId="4365F5B5" w:rsidR="000D687E" w:rsidRDefault="000D687E" w:rsidP="000D687E">
      <w:pPr>
        <w:pStyle w:val="Heading3NoNum"/>
      </w:pPr>
      <w:r>
        <w:rPr>
          <w:noProof/>
          <w:lang w:val="en-US"/>
        </w:rPr>
        <mc:AlternateContent>
          <mc:Choice Requires="wps">
            <w:drawing>
              <wp:anchor distT="0" distB="0" distL="114300" distR="114300" simplePos="0" relativeHeight="251651584" behindDoc="0" locked="0" layoutInCell="1" allowOverlap="1" wp14:anchorId="19B92944" wp14:editId="2C631D4E">
                <wp:simplePos x="0" y="0"/>
                <wp:positionH relativeFrom="margin">
                  <wp:posOffset>4258945</wp:posOffset>
                </wp:positionH>
                <wp:positionV relativeFrom="margin">
                  <wp:posOffset>1228725</wp:posOffset>
                </wp:positionV>
                <wp:extent cx="1581150" cy="1438275"/>
                <wp:effectExtent l="0" t="0" r="19050" b="28575"/>
                <wp:wrapSquare wrapText="bothSides"/>
                <wp:docPr id="41" name="Text Box 41"/>
                <wp:cNvGraphicFramePr/>
                <a:graphic xmlns:a="http://schemas.openxmlformats.org/drawingml/2006/main">
                  <a:graphicData uri="http://schemas.microsoft.com/office/word/2010/wordprocessingShape">
                    <wps:wsp>
                      <wps:cNvSpPr txBox="1"/>
                      <wps:spPr>
                        <a:xfrm>
                          <a:off x="0" y="0"/>
                          <a:ext cx="1581150" cy="1438275"/>
                        </a:xfrm>
                        <a:prstGeom prst="rect">
                          <a:avLst/>
                        </a:prstGeom>
                        <a:solidFill>
                          <a:schemeClr val="lt1"/>
                        </a:solidFill>
                        <a:ln w="6350">
                          <a:solidFill>
                            <a:prstClr val="black"/>
                          </a:solidFill>
                        </a:ln>
                      </wps:spPr>
                      <wps:txbx>
                        <w:txbxContent>
                          <w:p w14:paraId="0E9B77B5" w14:textId="77777777" w:rsidR="001206E5" w:rsidRPr="005A253C" w:rsidRDefault="001206E5" w:rsidP="000D687E">
                            <w:pPr>
                              <w:spacing w:before="40" w:after="40"/>
                              <w:rPr>
                                <w:rFonts w:asciiTheme="majorHAnsi" w:hAnsiTheme="majorHAnsi" w:cstheme="majorHAnsi"/>
                                <w:b/>
                                <w:sz w:val="20"/>
                                <w:szCs w:val="20"/>
                              </w:rPr>
                            </w:pPr>
                            <w:r w:rsidRPr="005A253C">
                              <w:rPr>
                                <w:rFonts w:asciiTheme="majorHAnsi" w:hAnsiTheme="majorHAnsi" w:cstheme="majorHAnsi"/>
                                <w:b/>
                                <w:sz w:val="20"/>
                                <w:szCs w:val="20"/>
                              </w:rPr>
                              <w:t xml:space="preserve">AO: </w:t>
                            </w:r>
                            <w:r w:rsidRPr="005A253C">
                              <w:rPr>
                                <w:rFonts w:asciiTheme="majorHAnsi" w:hAnsiTheme="majorHAnsi" w:cstheme="majorHAnsi"/>
                                <w:sz w:val="20"/>
                                <w:szCs w:val="20"/>
                              </w:rPr>
                              <w:t>Gill Callister, Secretary</w:t>
                            </w:r>
                          </w:p>
                          <w:p w14:paraId="7D4C0562" w14:textId="77777777" w:rsidR="001206E5" w:rsidRPr="005A253C" w:rsidRDefault="001206E5" w:rsidP="000D687E">
                            <w:pPr>
                              <w:spacing w:before="40" w:after="40"/>
                              <w:rPr>
                                <w:rFonts w:asciiTheme="majorHAnsi" w:hAnsiTheme="majorHAnsi" w:cstheme="majorHAnsi"/>
                                <w:b/>
                                <w:sz w:val="20"/>
                                <w:szCs w:val="20"/>
                              </w:rPr>
                            </w:pPr>
                            <w:r w:rsidRPr="005A253C">
                              <w:rPr>
                                <w:rFonts w:asciiTheme="majorHAnsi" w:hAnsiTheme="majorHAnsi" w:cstheme="majorHAnsi"/>
                                <w:b/>
                                <w:sz w:val="20"/>
                                <w:szCs w:val="20"/>
                              </w:rPr>
                              <w:t xml:space="preserve">CPO: </w:t>
                            </w:r>
                            <w:r w:rsidRPr="005A253C">
                              <w:rPr>
                                <w:rFonts w:asciiTheme="majorHAnsi" w:hAnsiTheme="majorHAnsi" w:cstheme="majorHAnsi"/>
                                <w:sz w:val="20"/>
                                <w:szCs w:val="20"/>
                              </w:rPr>
                              <w:t>Tarkan Koman, Executive Director, Procurement Division</w:t>
                            </w:r>
                          </w:p>
                          <w:p w14:paraId="68778E5D" w14:textId="77777777" w:rsidR="001206E5" w:rsidRPr="005A253C" w:rsidRDefault="001206E5" w:rsidP="000D687E">
                            <w:pPr>
                              <w:spacing w:before="40" w:after="40"/>
                              <w:rPr>
                                <w:rFonts w:asciiTheme="majorHAnsi" w:hAnsiTheme="majorHAnsi" w:cstheme="majorHAnsi"/>
                                <w:b/>
                                <w:sz w:val="20"/>
                                <w:szCs w:val="20"/>
                              </w:rPr>
                            </w:pPr>
                            <w:r w:rsidRPr="005A253C">
                              <w:rPr>
                                <w:rFonts w:asciiTheme="majorHAnsi" w:hAnsiTheme="majorHAnsi" w:cstheme="majorHAnsi"/>
                                <w:b/>
                                <w:sz w:val="20"/>
                                <w:szCs w:val="20"/>
                              </w:rPr>
                              <w:t xml:space="preserve">IPU Chair: </w:t>
                            </w:r>
                            <w:r w:rsidRPr="005A253C">
                              <w:rPr>
                                <w:rFonts w:asciiTheme="majorHAnsi" w:hAnsiTheme="majorHAnsi" w:cstheme="majorHAnsi"/>
                                <w:sz w:val="20"/>
                                <w:szCs w:val="20"/>
                              </w:rPr>
                              <w:t>Kate Rattigan, Deputy Secretary, People and Executive Services Group</w:t>
                            </w:r>
                          </w:p>
                          <w:p w14:paraId="4D9D7919" w14:textId="77777777" w:rsidR="001206E5" w:rsidRPr="00D05F04" w:rsidRDefault="001206E5" w:rsidP="000D687E">
                            <w:pP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B92944" id="Text Box 41" o:spid="_x0000_s1077" type="#_x0000_t202" style="position:absolute;left:0;text-align:left;margin-left:335.35pt;margin-top:96.75pt;width:124.5pt;height:113.25pt;z-index:25165158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" fillcolor="white [3201]" strokeweight=".5pt">
                <v:textbox>
                  <w:txbxContent>
                    <w:p w14:paraId="0E9B77B5" w14:textId="77777777" w:rsidR="001206E5" w:rsidRPr="005A253C" w:rsidRDefault="001206E5" w:rsidP="000D687E">
                      <w:pPr>
                        <w:spacing w:before="40" w:after="40"/>
                        <w:rPr>
                          <w:rFonts w:asciiTheme="majorHAnsi" w:hAnsiTheme="majorHAnsi" w:cstheme="majorHAnsi"/>
                          <w:b/>
                          <w:sz w:val="20"/>
                          <w:szCs w:val="20"/>
                        </w:rPr>
                      </w:pPr>
                      <w:r w:rsidRPr="005A253C">
                        <w:rPr>
                          <w:rFonts w:asciiTheme="majorHAnsi" w:hAnsiTheme="majorHAnsi" w:cstheme="majorHAnsi"/>
                          <w:b/>
                          <w:sz w:val="20"/>
                          <w:szCs w:val="20"/>
                        </w:rPr>
                        <w:t xml:space="preserve">AO: </w:t>
                      </w:r>
                      <w:r w:rsidRPr="005A253C">
                        <w:rPr>
                          <w:rFonts w:asciiTheme="majorHAnsi" w:hAnsiTheme="majorHAnsi" w:cstheme="majorHAnsi"/>
                          <w:sz w:val="20"/>
                          <w:szCs w:val="20"/>
                        </w:rPr>
                        <w:t>Gill Callister, Secretary</w:t>
                      </w:r>
                    </w:p>
                    <w:p w14:paraId="7D4C0562" w14:textId="77777777" w:rsidR="001206E5" w:rsidRPr="005A253C" w:rsidRDefault="001206E5" w:rsidP="000D687E">
                      <w:pPr>
                        <w:spacing w:before="40" w:after="40"/>
                        <w:rPr>
                          <w:rFonts w:asciiTheme="majorHAnsi" w:hAnsiTheme="majorHAnsi" w:cstheme="majorHAnsi"/>
                          <w:b/>
                          <w:sz w:val="20"/>
                          <w:szCs w:val="20"/>
                        </w:rPr>
                      </w:pPr>
                      <w:r w:rsidRPr="005A253C">
                        <w:rPr>
                          <w:rFonts w:asciiTheme="majorHAnsi" w:hAnsiTheme="majorHAnsi" w:cstheme="majorHAnsi"/>
                          <w:b/>
                          <w:sz w:val="20"/>
                          <w:szCs w:val="20"/>
                        </w:rPr>
                        <w:t xml:space="preserve">CPO: </w:t>
                      </w:r>
                      <w:r w:rsidRPr="005A253C">
                        <w:rPr>
                          <w:rFonts w:asciiTheme="majorHAnsi" w:hAnsiTheme="majorHAnsi" w:cstheme="majorHAnsi"/>
                          <w:sz w:val="20"/>
                          <w:szCs w:val="20"/>
                        </w:rPr>
                        <w:t>Tarkan Koman, Executive Director, Procurement Division</w:t>
                      </w:r>
                    </w:p>
                    <w:p w14:paraId="68778E5D" w14:textId="77777777" w:rsidR="001206E5" w:rsidRPr="005A253C" w:rsidRDefault="001206E5" w:rsidP="000D687E">
                      <w:pPr>
                        <w:spacing w:before="40" w:after="40"/>
                        <w:rPr>
                          <w:rFonts w:asciiTheme="majorHAnsi" w:hAnsiTheme="majorHAnsi" w:cstheme="majorHAnsi"/>
                          <w:b/>
                          <w:sz w:val="20"/>
                          <w:szCs w:val="20"/>
                        </w:rPr>
                      </w:pPr>
                      <w:r w:rsidRPr="005A253C">
                        <w:rPr>
                          <w:rFonts w:asciiTheme="majorHAnsi" w:hAnsiTheme="majorHAnsi" w:cstheme="majorHAnsi"/>
                          <w:b/>
                          <w:sz w:val="20"/>
                          <w:szCs w:val="20"/>
                        </w:rPr>
                        <w:t xml:space="preserve">IPU Chair: </w:t>
                      </w:r>
                      <w:r w:rsidRPr="005A253C">
                        <w:rPr>
                          <w:rFonts w:asciiTheme="majorHAnsi" w:hAnsiTheme="majorHAnsi" w:cstheme="majorHAnsi"/>
                          <w:sz w:val="20"/>
                          <w:szCs w:val="20"/>
                        </w:rPr>
                        <w:t>Kate Rattigan, Deputy Secretary, People and Executive Services Group</w:t>
                      </w:r>
                    </w:p>
                    <w:p w14:paraId="4D9D7919" w14:textId="77777777" w:rsidR="001206E5" w:rsidRPr="00D05F04" w:rsidRDefault="001206E5" w:rsidP="000D687E">
                      <w:pPr>
                        <w:rPr>
                          <w:sz w:val="20"/>
                          <w:szCs w:val="20"/>
                        </w:rPr>
                      </w:pPr>
                    </w:p>
                  </w:txbxContent>
                </v:textbox>
                <w10:wrap type="square" anchorx="margin" anchory="margin"/>
              </v:shape>
            </w:pict>
          </mc:Fallback>
        </mc:AlternateContent>
      </w:r>
      <w:r w:rsidRPr="00CD6245">
        <w:t>Procurement profile</w:t>
      </w:r>
    </w:p>
    <w:p w14:paraId="10D7D866" w14:textId="77CC396B" w:rsidR="000D687E" w:rsidRDefault="00092526" w:rsidP="000D687E">
      <w:pPr>
        <w:pStyle w:val="Normal1"/>
      </w:pPr>
      <w:r>
        <w:t>The Department’s</w:t>
      </w:r>
      <w:r w:rsidR="00E14C45" w:rsidRPr="000E2FE3">
        <w:t xml:space="preserve"> </w:t>
      </w:r>
      <w:r w:rsidR="000D687E" w:rsidRPr="000E2FE3">
        <w:t xml:space="preserve">procurement objective is to support </w:t>
      </w:r>
      <w:r>
        <w:t>DET’s</w:t>
      </w:r>
      <w:r w:rsidR="000D687E" w:rsidRPr="000E2FE3">
        <w:t xml:space="preserve"> ability to deliver against </w:t>
      </w:r>
      <w:r w:rsidR="000D687E">
        <w:t>the departmental</w:t>
      </w:r>
      <w:r w:rsidR="000D687E" w:rsidRPr="000E2FE3">
        <w:t xml:space="preserve"> objectives </w:t>
      </w:r>
      <w:r w:rsidR="000D687E">
        <w:t>aligned to DET’s strategic plan</w:t>
      </w:r>
      <w:r w:rsidR="00321731">
        <w:t>,</w:t>
      </w:r>
      <w:r w:rsidR="000D687E">
        <w:t xml:space="preserve"> </w:t>
      </w:r>
      <w:r w:rsidR="000D687E" w:rsidRPr="000E2FE3">
        <w:t>by driving value</w:t>
      </w:r>
      <w:r w:rsidR="009F3DF7">
        <w:t xml:space="preserve"> </w:t>
      </w:r>
      <w:r w:rsidR="000D687E" w:rsidRPr="000E2FE3">
        <w:t>for</w:t>
      </w:r>
      <w:r w:rsidR="009F3DF7">
        <w:t xml:space="preserve"> </w:t>
      </w:r>
      <w:r w:rsidR="000D687E" w:rsidRPr="000E2FE3">
        <w:t>money through efficient and effective procurement of goods and services.</w:t>
      </w:r>
    </w:p>
    <w:p w14:paraId="43957342" w14:textId="245665BE" w:rsidR="000D687E" w:rsidRPr="00235F70" w:rsidRDefault="000D687E" w:rsidP="000D687E">
      <w:pPr>
        <w:pStyle w:val="Normal1"/>
      </w:pPr>
      <w:r>
        <w:t>Total expenditure for 201</w:t>
      </w:r>
      <w:r w:rsidRPr="00235F70">
        <w:t xml:space="preserve">7–18 was </w:t>
      </w:r>
      <w:r w:rsidR="00F357B7" w:rsidRPr="00235F70">
        <w:t xml:space="preserve">about </w:t>
      </w:r>
      <w:r w:rsidRPr="00235F70">
        <w:t xml:space="preserve">$430 million. Major areas of expenditure include IT, education and training services, professional services and school bus services. </w:t>
      </w:r>
      <w:r w:rsidR="00E14C45" w:rsidRPr="00235F70">
        <w:t>DET’s</w:t>
      </w:r>
      <w:r w:rsidRPr="00235F70">
        <w:t xml:space="preserve"> highest value procurement sourcing activity in 2017–18 was the Microsoft Licensing Agreement 2018–2022</w:t>
      </w:r>
      <w:r w:rsidR="004B236C">
        <w:t>,</w:t>
      </w:r>
      <w:r w:rsidRPr="00235F70">
        <w:t xml:space="preserve"> with an estimated value of $99 million over three years.</w:t>
      </w:r>
    </w:p>
    <w:p w14:paraId="57737947" w14:textId="46F5D058" w:rsidR="000D687E" w:rsidRDefault="00E14C45" w:rsidP="000D687E">
      <w:pPr>
        <w:pStyle w:val="Normal1"/>
      </w:pPr>
      <w:r w:rsidRPr="00235F70">
        <w:t>DET</w:t>
      </w:r>
      <w:r w:rsidR="000D687E" w:rsidRPr="00235F70">
        <w:t xml:space="preserve"> approved 199 goods and services contracts valued at greater than $100 000 in 2017–18, with a total value of </w:t>
      </w:r>
      <w:r w:rsidR="00F357B7" w:rsidRPr="00235F70">
        <w:t xml:space="preserve">about </w:t>
      </w:r>
      <w:r w:rsidR="000D687E" w:rsidRPr="00235F70">
        <w:t>$276 m</w:t>
      </w:r>
      <w:r w:rsidR="000D687E">
        <w:t>illion. A third (33 per cent) of these contracts relate to procurements in the IT sector.</w:t>
      </w:r>
    </w:p>
    <w:p w14:paraId="04006B85" w14:textId="4654A800" w:rsidR="000D687E" w:rsidRDefault="000D687E" w:rsidP="000D687E">
      <w:pPr>
        <w:pStyle w:val="Normal1"/>
      </w:pPr>
      <w:r>
        <w:t xml:space="preserve">The majority of these contracts (by value) are represented by IT, professional services and learning and development spend in the leveraged complexity quadrant (79 per cent). This indicates that </w:t>
      </w:r>
      <w:r w:rsidR="00E14C45">
        <w:t>DET</w:t>
      </w:r>
      <w:r w:rsidR="00EB5FC6">
        <w:t xml:space="preserve"> </w:t>
      </w:r>
      <w:r w:rsidR="00E14C45">
        <w:t>is</w:t>
      </w:r>
      <w:r>
        <w:t xml:space="preserve"> procuring frequently used goods and services in a competitive market</w:t>
      </w:r>
      <w:r w:rsidR="00B33C59">
        <w:t>place</w:t>
      </w:r>
      <w:r>
        <w:t>.</w:t>
      </w:r>
    </w:p>
    <w:p w14:paraId="1F296ED0" w14:textId="2189E931" w:rsidR="000D687E" w:rsidRDefault="00E14C45" w:rsidP="000D687E">
      <w:pPr>
        <w:pStyle w:val="Normal1"/>
      </w:pPr>
      <w:r>
        <w:t xml:space="preserve">DET’s </w:t>
      </w:r>
      <w:r w:rsidR="000D687E">
        <w:t>Procurement Division operates under a centre-led operating model. The Division runs a centre-led strategic procurement function, which includes managing key corporate and school categories</w:t>
      </w:r>
      <w:r w:rsidR="004B236C">
        <w:t>,</w:t>
      </w:r>
      <w:r w:rsidR="000D687E">
        <w:t xml:space="preserve"> plus sourcing and contract management of complex goods and service requirements.</w:t>
      </w:r>
    </w:p>
    <w:p w14:paraId="138CDC76" w14:textId="77777777" w:rsidR="000D687E" w:rsidRDefault="000D687E" w:rsidP="000D687E">
      <w:pPr>
        <w:pStyle w:val="Normal1"/>
      </w:pPr>
      <w:r>
        <w:t>The Procurement Division is responsible for end-to-end procurement of corporate activities (based on dollar value and complexity).</w:t>
      </w:r>
    </w:p>
    <w:p w14:paraId="1DF24581" w14:textId="21408FF9" w:rsidR="000D687E" w:rsidRPr="007A584B" w:rsidRDefault="000D687E" w:rsidP="000D687E">
      <w:pPr>
        <w:pStyle w:val="Heading3NoNum"/>
      </w:pPr>
      <w:r w:rsidRPr="007A584B">
        <w:t>Compliance with VGPB policies</w:t>
      </w:r>
      <w:r w:rsidR="006A5451">
        <w:t xml:space="preserve"> </w:t>
      </w:r>
      <w:r w:rsidR="006A5451" w:rsidRPr="007A584B">
        <w:t>and related activities</w:t>
      </w:r>
    </w:p>
    <w:p w14:paraId="726126E6" w14:textId="43E06BDE" w:rsidR="000D687E" w:rsidRDefault="000D687E" w:rsidP="000D687E">
      <w:pPr>
        <w:pStyle w:val="Normal1"/>
        <w:rPr>
          <w:lang w:eastAsia="en-US"/>
        </w:rPr>
      </w:pPr>
      <w:r>
        <w:rPr>
          <w:lang w:eastAsia="en-US"/>
        </w:rPr>
        <w:fldChar w:fldCharType="begin"/>
      </w:r>
      <w:r>
        <w:rPr>
          <w:lang w:eastAsia="en-US"/>
        </w:rPr>
        <w:instrText xml:space="preserve"> REF _Ref488917208 \h </w:instrText>
      </w:r>
      <w:r>
        <w:rPr>
          <w:lang w:eastAsia="en-US"/>
        </w:rPr>
      </w:r>
      <w:r>
        <w:rPr>
          <w:lang w:eastAsia="en-US"/>
        </w:rPr>
        <w:fldChar w:fldCharType="separate"/>
      </w:r>
      <w:r w:rsidR="00A07703" w:rsidRPr="007A584B">
        <w:t xml:space="preserve">Table </w:t>
      </w:r>
      <w:r w:rsidR="00A07703">
        <w:rPr>
          <w:noProof/>
        </w:rPr>
        <w:t>26</w:t>
      </w:r>
      <w:r>
        <w:rPr>
          <w:lang w:eastAsia="en-US"/>
        </w:rPr>
        <w:fldChar w:fldCharType="end"/>
      </w:r>
      <w:r>
        <w:rPr>
          <w:lang w:eastAsia="en-US"/>
        </w:rPr>
        <w:t xml:space="preserve"> lists DET’s activities to ensure and improve compliance with VGPB supply policies. </w:t>
      </w:r>
      <w:r w:rsidRPr="00212617">
        <w:rPr>
          <w:lang w:eastAsia="en-US"/>
        </w:rPr>
        <w:t xml:space="preserve">Compliance activities are </w:t>
      </w:r>
      <w:r>
        <w:rPr>
          <w:lang w:eastAsia="en-US"/>
        </w:rPr>
        <w:t xml:space="preserve">grouped against VGPB supply policies, </w:t>
      </w:r>
      <w:r w:rsidRPr="00212617">
        <w:rPr>
          <w:lang w:eastAsia="en-US"/>
        </w:rPr>
        <w:t>though activities often overlap with multiple policies.</w:t>
      </w:r>
    </w:p>
    <w:p w14:paraId="141E38DF" w14:textId="77777777" w:rsidR="000D687E" w:rsidRDefault="000D687E" w:rsidP="000D687E">
      <w:pPr>
        <w:pStyle w:val="Normal1"/>
        <w:rPr>
          <w:lang w:eastAsia="en-US"/>
        </w:rPr>
      </w:pPr>
      <w:r>
        <w:rPr>
          <w:lang w:eastAsia="en-US"/>
        </w:rPr>
        <w:t>DET was audited as part of the VGPB’s compliance program in 2016–17. DET had six audit actions, four of which were completed during the same year and two which were addressed in 2017–18.</w:t>
      </w:r>
    </w:p>
    <w:p w14:paraId="66788B77" w14:textId="36B761D3" w:rsidR="000D687E" w:rsidRDefault="000D687E" w:rsidP="000D687E">
      <w:pPr>
        <w:pStyle w:val="Caption"/>
      </w:pPr>
      <w:bookmarkStart w:id="159" w:name="_Ref488917208"/>
      <w:bookmarkStart w:id="160" w:name="_Toc503949260"/>
      <w:bookmarkStart w:id="161" w:name="_Toc524354019"/>
      <w:r w:rsidRPr="007A584B">
        <w:t xml:space="preserve">Table </w:t>
      </w:r>
      <w:r>
        <w:rPr>
          <w:noProof/>
        </w:rPr>
        <w:fldChar w:fldCharType="begin"/>
      </w:r>
      <w:r>
        <w:rPr>
          <w:noProof/>
        </w:rPr>
        <w:instrText xml:space="preserve"> SEQ Table \* ARABIC </w:instrText>
      </w:r>
      <w:r>
        <w:rPr>
          <w:noProof/>
        </w:rPr>
        <w:fldChar w:fldCharType="separate"/>
      </w:r>
      <w:r w:rsidR="00A07703">
        <w:rPr>
          <w:noProof/>
        </w:rPr>
        <w:t>26</w:t>
      </w:r>
      <w:r>
        <w:rPr>
          <w:noProof/>
        </w:rPr>
        <w:fldChar w:fldCharType="end"/>
      </w:r>
      <w:bookmarkEnd w:id="159"/>
      <w:r w:rsidRPr="007A584B">
        <w:t xml:space="preserve">: </w:t>
      </w:r>
      <w:r>
        <w:t>DET</w:t>
      </w:r>
      <w:r w:rsidRPr="007A584B">
        <w:t>’</w:t>
      </w:r>
      <w:r>
        <w:t>s compliance activities in 2017–18</w:t>
      </w:r>
      <w:bookmarkEnd w:id="160"/>
      <w:bookmarkEnd w:id="161"/>
    </w:p>
    <w:tbl>
      <w:tblPr>
        <w:tblStyle w:val="ListTable31"/>
        <w:tblW w:w="8788" w:type="dxa"/>
        <w:tblInd w:w="846" w:type="dxa"/>
        <w:tblLook w:val="04A0" w:firstRow="1" w:lastRow="0" w:firstColumn="1" w:lastColumn="0" w:noHBand="0" w:noVBand="1"/>
      </w:tblPr>
      <w:tblGrid>
        <w:gridCol w:w="1530"/>
        <w:gridCol w:w="7258"/>
      </w:tblGrid>
      <w:tr w:rsidR="000D687E" w14:paraId="1397ECD2" w14:textId="77777777" w:rsidTr="00F66493">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530" w:type="dxa"/>
          </w:tcPr>
          <w:p w14:paraId="398B46DF" w14:textId="77777777" w:rsidR="000D687E" w:rsidRDefault="000D687E" w:rsidP="005F2D1F">
            <w:pPr>
              <w:pStyle w:val="TableText"/>
            </w:pPr>
            <w:r>
              <w:t>VGPB policy</w:t>
            </w:r>
          </w:p>
        </w:tc>
        <w:tc>
          <w:tcPr>
            <w:tcW w:w="7258" w:type="dxa"/>
          </w:tcPr>
          <w:p w14:paraId="2F2AAF68" w14:textId="77777777" w:rsidR="000D687E" w:rsidRDefault="000D687E" w:rsidP="005F2D1F">
            <w:pPr>
              <w:pStyle w:val="TableText"/>
              <w:cnfStyle w:val="100000000000" w:firstRow="1" w:lastRow="0" w:firstColumn="0" w:lastColumn="0" w:oddVBand="0" w:evenVBand="0" w:oddHBand="0" w:evenHBand="0" w:firstRowFirstColumn="0" w:firstRowLastColumn="0" w:lastRowFirstColumn="0" w:lastRowLastColumn="0"/>
            </w:pPr>
            <w:r>
              <w:t>Activities</w:t>
            </w:r>
          </w:p>
        </w:tc>
      </w:tr>
      <w:tr w:rsidR="000D687E" w14:paraId="51E5E4FA" w14:textId="77777777" w:rsidTr="005F2D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0" w:type="dxa"/>
          </w:tcPr>
          <w:p w14:paraId="4664E511" w14:textId="77777777" w:rsidR="000D687E" w:rsidRPr="003058E0" w:rsidRDefault="000D687E" w:rsidP="00567B7A">
            <w:pPr>
              <w:pStyle w:val="TableText"/>
            </w:pPr>
            <w:r w:rsidRPr="003058E0">
              <w:t>Governance</w:t>
            </w:r>
          </w:p>
        </w:tc>
        <w:tc>
          <w:tcPr>
            <w:tcW w:w="7258" w:type="dxa"/>
          </w:tcPr>
          <w:p w14:paraId="27B4A088" w14:textId="5FCCAF7E" w:rsidR="000D687E" w:rsidRPr="00822FA3" w:rsidRDefault="0072377F" w:rsidP="00822FA3">
            <w:pPr>
              <w:pStyle w:val="TableBullet"/>
              <w:cnfStyle w:val="000000100000" w:firstRow="0" w:lastRow="0" w:firstColumn="0" w:lastColumn="0" w:oddVBand="0" w:evenVBand="0" w:oddHBand="1" w:evenHBand="0" w:firstRowFirstColumn="0" w:firstRowLastColumn="0" w:lastRowFirstColumn="0" w:lastRowLastColumn="0"/>
            </w:pPr>
            <w:r w:rsidRPr="00822FA3">
              <w:t>C</w:t>
            </w:r>
            <w:r w:rsidR="000D687E" w:rsidRPr="00822FA3">
              <w:t>ompleted the 2017</w:t>
            </w:r>
            <w:r w:rsidRPr="00822FA3">
              <w:t xml:space="preserve"> </w:t>
            </w:r>
            <w:r w:rsidR="0072562D">
              <w:t>p</w:t>
            </w:r>
            <w:r w:rsidRPr="00822FA3">
              <w:t xml:space="preserve">rocurement </w:t>
            </w:r>
            <w:r w:rsidR="0072562D">
              <w:t>s</w:t>
            </w:r>
            <w:r w:rsidRPr="00822FA3">
              <w:t>tr</w:t>
            </w:r>
            <w:r w:rsidR="000D687E" w:rsidRPr="00822FA3">
              <w:t>ategy.</w:t>
            </w:r>
          </w:p>
          <w:p w14:paraId="577F55B3" w14:textId="002D6BA0" w:rsidR="000D687E" w:rsidRPr="00822FA3" w:rsidRDefault="0072377F" w:rsidP="00822FA3">
            <w:pPr>
              <w:pStyle w:val="TableBullet"/>
              <w:cnfStyle w:val="000000100000" w:firstRow="0" w:lastRow="0" w:firstColumn="0" w:lastColumn="0" w:oddVBand="0" w:evenVBand="0" w:oddHBand="1" w:evenHBand="0" w:firstRowFirstColumn="0" w:firstRowLastColumn="0" w:lastRowFirstColumn="0" w:lastRowLastColumn="0"/>
            </w:pPr>
            <w:r w:rsidRPr="00822FA3">
              <w:t>R</w:t>
            </w:r>
            <w:r w:rsidR="000D687E" w:rsidRPr="00822FA3">
              <w:t>eleased a revised procurement policy and procedures in July 2017 with associated training rolled out throughout the year.</w:t>
            </w:r>
          </w:p>
          <w:p w14:paraId="4B079B21" w14:textId="7B319C17" w:rsidR="000D687E" w:rsidRPr="00822FA3" w:rsidRDefault="0072377F" w:rsidP="00822FA3">
            <w:pPr>
              <w:pStyle w:val="TableBullet"/>
              <w:cnfStyle w:val="000000100000" w:firstRow="0" w:lastRow="0" w:firstColumn="0" w:lastColumn="0" w:oddVBand="0" w:evenVBand="0" w:oddHBand="1" w:evenHBand="0" w:firstRowFirstColumn="0" w:firstRowLastColumn="0" w:lastRowFirstColumn="0" w:lastRowLastColumn="0"/>
            </w:pPr>
            <w:r w:rsidRPr="00822FA3">
              <w:t>R</w:t>
            </w:r>
            <w:r w:rsidR="000D687E" w:rsidRPr="00822FA3">
              <w:t>eleased a refreshed corporate procurement intranet giving staff better guidance to carry out procurement in DET.</w:t>
            </w:r>
          </w:p>
          <w:p w14:paraId="7DD7186D" w14:textId="0F480331" w:rsidR="000D687E" w:rsidRPr="00822FA3" w:rsidRDefault="0072377F" w:rsidP="00822FA3">
            <w:pPr>
              <w:pStyle w:val="TableBullet"/>
              <w:cnfStyle w:val="000000100000" w:firstRow="0" w:lastRow="0" w:firstColumn="0" w:lastColumn="0" w:oddVBand="0" w:evenVBand="0" w:oddHBand="1" w:evenHBand="0" w:firstRowFirstColumn="0" w:firstRowLastColumn="0" w:lastRowFirstColumn="0" w:lastRowLastColumn="0"/>
            </w:pPr>
            <w:r>
              <w:rPr>
                <w:bCs/>
              </w:rPr>
              <w:t>R</w:t>
            </w:r>
            <w:r w:rsidRPr="00822FA3">
              <w:rPr>
                <w:bCs/>
              </w:rPr>
              <w:t>eviewed and approved</w:t>
            </w:r>
            <w:r w:rsidRPr="00822FA3" w:rsidDel="0072377F">
              <w:t xml:space="preserve"> </w:t>
            </w:r>
            <w:r w:rsidRPr="00822FA3">
              <w:t>al</w:t>
            </w:r>
            <w:r w:rsidR="000D687E" w:rsidRPr="00822FA3">
              <w:t xml:space="preserve">l procurements above $150 000 </w:t>
            </w:r>
            <w:r w:rsidR="000D687E" w:rsidRPr="00822FA3">
              <w:rPr>
                <w:bCs/>
              </w:rPr>
              <w:t xml:space="preserve">in accordance with the </w:t>
            </w:r>
            <w:r w:rsidR="00321731" w:rsidRPr="00822FA3">
              <w:rPr>
                <w:bCs/>
              </w:rPr>
              <w:t>a</w:t>
            </w:r>
            <w:r w:rsidR="000D687E" w:rsidRPr="00822FA3">
              <w:rPr>
                <w:bCs/>
              </w:rPr>
              <w:t>pprovals framework</w:t>
            </w:r>
            <w:r w:rsidR="000D687E" w:rsidRPr="00822FA3">
              <w:t>.</w:t>
            </w:r>
          </w:p>
          <w:p w14:paraId="3FD10CD4" w14:textId="4E960DEF" w:rsidR="000D687E" w:rsidRPr="00822FA3" w:rsidRDefault="0072377F" w:rsidP="00822FA3">
            <w:pPr>
              <w:pStyle w:val="TableBullet"/>
              <w:cnfStyle w:val="000000100000" w:firstRow="0" w:lastRow="0" w:firstColumn="0" w:lastColumn="0" w:oddVBand="0" w:evenVBand="0" w:oddHBand="1" w:evenHBand="0" w:firstRowFirstColumn="0" w:firstRowLastColumn="0" w:lastRowFirstColumn="0" w:lastRowLastColumn="0"/>
            </w:pPr>
            <w:r>
              <w:t>T</w:t>
            </w:r>
            <w:r w:rsidR="000D687E" w:rsidRPr="00822FA3">
              <w:t>he</w:t>
            </w:r>
            <w:r w:rsidR="007B4D44">
              <w:t xml:space="preserve"> IPU (</w:t>
            </w:r>
            <w:r w:rsidRPr="00205AFC">
              <w:t>Procurement and Probity Committee</w:t>
            </w:r>
            <w:r w:rsidR="007B4D44">
              <w:t>)</w:t>
            </w:r>
            <w:r w:rsidR="000D687E" w:rsidRPr="00822FA3">
              <w:t xml:space="preserve"> directly reviewed 98 procurement activities (sourcing strategies, variations and recommended supplier decisions) and noted a further 185 procurement activities that had been approved/noted by the CPO.</w:t>
            </w:r>
          </w:p>
        </w:tc>
      </w:tr>
      <w:tr w:rsidR="000D687E" w14:paraId="5F1BBEBE" w14:textId="77777777" w:rsidTr="005F2D1F">
        <w:tc>
          <w:tcPr>
            <w:cnfStyle w:val="001000000000" w:firstRow="0" w:lastRow="0" w:firstColumn="1" w:lastColumn="0" w:oddVBand="0" w:evenVBand="0" w:oddHBand="0" w:evenHBand="0" w:firstRowFirstColumn="0" w:firstRowLastColumn="0" w:lastRowFirstColumn="0" w:lastRowLastColumn="0"/>
            <w:tcW w:w="1530" w:type="dxa"/>
          </w:tcPr>
          <w:p w14:paraId="7B8E1AFE" w14:textId="77777777" w:rsidR="000D687E" w:rsidRPr="003058E0" w:rsidRDefault="000D687E" w:rsidP="00567B7A">
            <w:pPr>
              <w:pStyle w:val="TableText"/>
            </w:pPr>
            <w:r w:rsidRPr="003058E0">
              <w:t>Complexity and capability</w:t>
            </w:r>
          </w:p>
        </w:tc>
        <w:tc>
          <w:tcPr>
            <w:tcW w:w="7258" w:type="dxa"/>
          </w:tcPr>
          <w:p w14:paraId="15AE69C1" w14:textId="35E2748D" w:rsidR="000D687E" w:rsidRPr="00822FA3" w:rsidRDefault="0072377F" w:rsidP="00822FA3">
            <w:pPr>
              <w:pStyle w:val="TableBullet"/>
              <w:cnfStyle w:val="000000000000" w:firstRow="0" w:lastRow="0" w:firstColumn="0" w:lastColumn="0" w:oddVBand="0" w:evenVBand="0" w:oddHBand="0" w:evenHBand="0" w:firstRowFirstColumn="0" w:firstRowLastColumn="0" w:lastRowFirstColumn="0" w:lastRowLastColumn="0"/>
            </w:pPr>
            <w:r>
              <w:t>R</w:t>
            </w:r>
            <w:r w:rsidR="000D687E" w:rsidRPr="00822FA3">
              <w:t xml:space="preserve">olled out Community of Practice forums during the year to share information, request information and enhance awareness of procurement policy and </w:t>
            </w:r>
            <w:r w:rsidR="000D687E" w:rsidRPr="00822FA3">
              <w:lastRenderedPageBreak/>
              <w:t xml:space="preserve">procedures. Staff attending the </w:t>
            </w:r>
            <w:r w:rsidR="0072562D">
              <w:t>forums</w:t>
            </w:r>
            <w:r w:rsidR="000D687E" w:rsidRPr="00822FA3">
              <w:t xml:space="preserve"> share knowledge with colleagues involved in procurement.</w:t>
            </w:r>
          </w:p>
        </w:tc>
      </w:tr>
      <w:tr w:rsidR="000D687E" w14:paraId="7E829ABB" w14:textId="77777777" w:rsidTr="005F2D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0" w:type="dxa"/>
          </w:tcPr>
          <w:p w14:paraId="4671709D" w14:textId="77777777" w:rsidR="000D687E" w:rsidRPr="003058E0" w:rsidRDefault="000D687E" w:rsidP="00567B7A">
            <w:pPr>
              <w:pStyle w:val="TableText"/>
            </w:pPr>
            <w:r w:rsidRPr="003058E0">
              <w:lastRenderedPageBreak/>
              <w:t>Market analysis and review</w:t>
            </w:r>
          </w:p>
        </w:tc>
        <w:tc>
          <w:tcPr>
            <w:tcW w:w="7258" w:type="dxa"/>
          </w:tcPr>
          <w:p w14:paraId="08FA1EF7" w14:textId="61FCC67E" w:rsidR="000D687E" w:rsidRPr="00822FA3" w:rsidRDefault="0072377F" w:rsidP="00822FA3">
            <w:pPr>
              <w:pStyle w:val="TableBullet"/>
              <w:cnfStyle w:val="000000100000" w:firstRow="0" w:lastRow="0" w:firstColumn="0" w:lastColumn="0" w:oddVBand="0" w:evenVBand="0" w:oddHBand="1" w:evenHBand="0" w:firstRowFirstColumn="0" w:firstRowLastColumn="0" w:lastRowFirstColumn="0" w:lastRowLastColumn="0"/>
            </w:pPr>
            <w:r>
              <w:rPr>
                <w:bCs/>
              </w:rPr>
              <w:t>T</w:t>
            </w:r>
            <w:r w:rsidR="000D687E" w:rsidRPr="00822FA3">
              <w:rPr>
                <w:bCs/>
              </w:rPr>
              <w:t>he</w:t>
            </w:r>
            <w:r w:rsidR="000D687E" w:rsidRPr="00822FA3">
              <w:t xml:space="preserve"> Procurement Division </w:t>
            </w:r>
            <w:r w:rsidR="000D687E" w:rsidRPr="00822FA3">
              <w:rPr>
                <w:bCs/>
              </w:rPr>
              <w:t>introduced</w:t>
            </w:r>
            <w:r w:rsidR="003B1A9E" w:rsidRPr="00822FA3">
              <w:rPr>
                <w:bCs/>
              </w:rPr>
              <w:t xml:space="preserve"> </w:t>
            </w:r>
            <w:r w:rsidR="000D687E" w:rsidRPr="00822FA3">
              <w:rPr>
                <w:bCs/>
              </w:rPr>
              <w:t xml:space="preserve">spend analytics capability to improve quality of spend data, </w:t>
            </w:r>
            <w:r w:rsidR="00494F38" w:rsidRPr="00822FA3">
              <w:rPr>
                <w:bCs/>
              </w:rPr>
              <w:t>carry out</w:t>
            </w:r>
            <w:r w:rsidR="000D687E" w:rsidRPr="00822FA3">
              <w:rPr>
                <w:bCs/>
              </w:rPr>
              <w:t xml:space="preserve"> market analysis and review and enhance reporting.</w:t>
            </w:r>
          </w:p>
        </w:tc>
      </w:tr>
      <w:tr w:rsidR="000D687E" w14:paraId="7B673EE3" w14:textId="77777777" w:rsidTr="005F2D1F">
        <w:tc>
          <w:tcPr>
            <w:cnfStyle w:val="001000000000" w:firstRow="0" w:lastRow="0" w:firstColumn="1" w:lastColumn="0" w:oddVBand="0" w:evenVBand="0" w:oddHBand="0" w:evenHBand="0" w:firstRowFirstColumn="0" w:firstRowLastColumn="0" w:lastRowFirstColumn="0" w:lastRowLastColumn="0"/>
            <w:tcW w:w="1530" w:type="dxa"/>
          </w:tcPr>
          <w:p w14:paraId="7376F031" w14:textId="77777777" w:rsidR="000D687E" w:rsidRPr="003058E0" w:rsidRDefault="000D687E" w:rsidP="00567B7A">
            <w:pPr>
              <w:pStyle w:val="TableText"/>
            </w:pPr>
            <w:r w:rsidRPr="003058E0">
              <w:t>Market approach</w:t>
            </w:r>
          </w:p>
        </w:tc>
        <w:tc>
          <w:tcPr>
            <w:tcW w:w="7258" w:type="dxa"/>
          </w:tcPr>
          <w:p w14:paraId="34E9762C" w14:textId="704266B7" w:rsidR="000D687E" w:rsidRPr="00822FA3" w:rsidRDefault="000D687E" w:rsidP="00115146">
            <w:pPr>
              <w:pStyle w:val="TableBullet"/>
              <w:cnfStyle w:val="000000000000" w:firstRow="0" w:lastRow="0" w:firstColumn="0" w:lastColumn="0" w:oddVBand="0" w:evenVBand="0" w:oddHBand="0" w:evenHBand="0" w:firstRowFirstColumn="0" w:firstRowLastColumn="0" w:lastRowFirstColumn="0" w:lastRowLastColumn="0"/>
            </w:pPr>
            <w:r w:rsidRPr="00822FA3">
              <w:t xml:space="preserve">The </w:t>
            </w:r>
            <w:r w:rsidR="00137613" w:rsidRPr="00822FA3">
              <w:t>C</w:t>
            </w:r>
            <w:r w:rsidRPr="00822FA3">
              <w:t xml:space="preserve">orporate </w:t>
            </w:r>
            <w:r w:rsidR="00137613" w:rsidRPr="00822FA3">
              <w:t>P</w:t>
            </w:r>
            <w:r w:rsidRPr="00822FA3">
              <w:t xml:space="preserve">rocurement </w:t>
            </w:r>
            <w:r w:rsidR="00137613" w:rsidRPr="00822FA3">
              <w:t>T</w:t>
            </w:r>
            <w:r w:rsidRPr="00822FA3">
              <w:t xml:space="preserve">eam registered with the </w:t>
            </w:r>
            <w:r w:rsidR="00115146" w:rsidRPr="00115146">
              <w:rPr>
                <w:bCs/>
              </w:rPr>
              <w:t>Victorian Government Library Service</w:t>
            </w:r>
            <w:r w:rsidRPr="00822FA3">
              <w:t xml:space="preserve"> to access IBISWorld supplier and category reporting. Procurement also started tracking non-responses to market requests.</w:t>
            </w:r>
          </w:p>
        </w:tc>
      </w:tr>
      <w:tr w:rsidR="000D687E" w14:paraId="3B18D4E6" w14:textId="77777777" w:rsidTr="005F2D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0" w:type="dxa"/>
          </w:tcPr>
          <w:p w14:paraId="42E4808D" w14:textId="77777777" w:rsidR="000D687E" w:rsidRPr="003058E0" w:rsidRDefault="000D687E" w:rsidP="00567B7A">
            <w:pPr>
              <w:pStyle w:val="TableText"/>
            </w:pPr>
            <w:r w:rsidRPr="003058E0">
              <w:t>Contract management and disclosure</w:t>
            </w:r>
          </w:p>
        </w:tc>
        <w:tc>
          <w:tcPr>
            <w:tcW w:w="7258" w:type="dxa"/>
          </w:tcPr>
          <w:p w14:paraId="53248540" w14:textId="46075520" w:rsidR="000D687E" w:rsidRPr="00822FA3" w:rsidRDefault="0072377F" w:rsidP="00822FA3">
            <w:pPr>
              <w:pStyle w:val="TableBullet"/>
              <w:cnfStyle w:val="000000100000" w:firstRow="0" w:lastRow="0" w:firstColumn="0" w:lastColumn="0" w:oddVBand="0" w:evenVBand="0" w:oddHBand="1" w:evenHBand="0" w:firstRowFirstColumn="0" w:firstRowLastColumn="0" w:lastRowFirstColumn="0" w:lastRowLastColumn="0"/>
            </w:pPr>
            <w:r>
              <w:rPr>
                <w:bCs/>
              </w:rPr>
              <w:t>R</w:t>
            </w:r>
            <w:r w:rsidR="000D687E" w:rsidRPr="00822FA3">
              <w:t xml:space="preserve">olled out an online contract management </w:t>
            </w:r>
            <w:r w:rsidR="00B33C59" w:rsidRPr="00822FA3">
              <w:t>e-learning</w:t>
            </w:r>
            <w:r w:rsidR="000D687E" w:rsidRPr="00822FA3">
              <w:t xml:space="preserve"> training program and face-to-face contract management training.</w:t>
            </w:r>
          </w:p>
        </w:tc>
      </w:tr>
    </w:tbl>
    <w:p w14:paraId="42AC3D91" w14:textId="7CA469F3" w:rsidR="000D687E" w:rsidRPr="00CD6245" w:rsidRDefault="000D687E" w:rsidP="000D687E">
      <w:pPr>
        <w:pStyle w:val="Heading3NoNum"/>
      </w:pPr>
      <w:r w:rsidRPr="00CD6245">
        <w:t>Performance</w:t>
      </w:r>
    </w:p>
    <w:p w14:paraId="64C2BE7D" w14:textId="060CCB35" w:rsidR="000D687E" w:rsidRPr="00CD6245" w:rsidRDefault="000D687E" w:rsidP="000D687E">
      <w:pPr>
        <w:pStyle w:val="Normal1"/>
      </w:pPr>
      <w:r>
        <w:fldChar w:fldCharType="begin"/>
      </w:r>
      <w:r>
        <w:instrText xml:space="preserve"> REF _Ref489366902 \h </w:instrText>
      </w:r>
      <w:r>
        <w:fldChar w:fldCharType="separate"/>
      </w:r>
      <w:r w:rsidR="00A07703" w:rsidRPr="00CD6245">
        <w:t xml:space="preserve">Table </w:t>
      </w:r>
      <w:r w:rsidR="00A07703">
        <w:rPr>
          <w:noProof/>
        </w:rPr>
        <w:t>27</w:t>
      </w:r>
      <w:r>
        <w:fldChar w:fldCharType="end"/>
      </w:r>
      <w:r>
        <w:t xml:space="preserve"> sets out DET’s performance in 2017–18, compared with the two previous years.</w:t>
      </w:r>
    </w:p>
    <w:p w14:paraId="1E12A0F2" w14:textId="4898CBB9" w:rsidR="000D687E" w:rsidRDefault="000D687E" w:rsidP="000D687E">
      <w:pPr>
        <w:pStyle w:val="Caption"/>
      </w:pPr>
      <w:bookmarkStart w:id="162" w:name="_Ref489366902"/>
      <w:bookmarkStart w:id="163" w:name="_Toc503949261"/>
      <w:bookmarkStart w:id="164" w:name="_Toc524354020"/>
      <w:r w:rsidRPr="00CD6245">
        <w:t xml:space="preserve">Table </w:t>
      </w:r>
      <w:r>
        <w:rPr>
          <w:noProof/>
        </w:rPr>
        <w:fldChar w:fldCharType="begin"/>
      </w:r>
      <w:r>
        <w:rPr>
          <w:noProof/>
        </w:rPr>
        <w:instrText xml:space="preserve"> SEQ Table \* ARABIC </w:instrText>
      </w:r>
      <w:r>
        <w:rPr>
          <w:noProof/>
        </w:rPr>
        <w:fldChar w:fldCharType="separate"/>
      </w:r>
      <w:r w:rsidR="00A07703">
        <w:rPr>
          <w:noProof/>
        </w:rPr>
        <w:t>27</w:t>
      </w:r>
      <w:r>
        <w:rPr>
          <w:noProof/>
        </w:rPr>
        <w:fldChar w:fldCharType="end"/>
      </w:r>
      <w:bookmarkEnd w:id="162"/>
      <w:r w:rsidRPr="00CD6245">
        <w:t xml:space="preserve">: </w:t>
      </w:r>
      <w:r>
        <w:t>DE</w:t>
      </w:r>
      <w:r w:rsidRPr="008D0B37">
        <w:t>T’s</w:t>
      </w:r>
      <w:r w:rsidRPr="00CD6245">
        <w:t xml:space="preserve"> performance in </w:t>
      </w:r>
      <w:r>
        <w:t>2017–18</w:t>
      </w:r>
      <w:bookmarkEnd w:id="163"/>
      <w:bookmarkEnd w:id="164"/>
    </w:p>
    <w:tbl>
      <w:tblPr>
        <w:tblStyle w:val="ListTable31"/>
        <w:tblW w:w="8561" w:type="dxa"/>
        <w:tblInd w:w="846" w:type="dxa"/>
        <w:tblLook w:val="04A0" w:firstRow="1" w:lastRow="0" w:firstColumn="1" w:lastColumn="0" w:noHBand="0" w:noVBand="1"/>
      </w:tblPr>
      <w:tblGrid>
        <w:gridCol w:w="463"/>
        <w:gridCol w:w="2147"/>
        <w:gridCol w:w="610"/>
        <w:gridCol w:w="707"/>
        <w:gridCol w:w="571"/>
        <w:gridCol w:w="4063"/>
      </w:tblGrid>
      <w:tr w:rsidR="000D687E" w14:paraId="6DE90972" w14:textId="77777777" w:rsidTr="00115146">
        <w:trPr>
          <w:cnfStyle w:val="100000000000" w:firstRow="1" w:lastRow="0" w:firstColumn="0" w:lastColumn="0" w:oddVBand="0" w:evenVBand="0" w:oddHBand="0" w:evenHBand="0" w:firstRowFirstColumn="0" w:firstRowLastColumn="0" w:lastRowFirstColumn="0" w:lastRowLastColumn="0"/>
          <w:trHeight w:val="1661"/>
        </w:trPr>
        <w:tc>
          <w:tcPr>
            <w:cnfStyle w:val="001000000100" w:firstRow="0" w:lastRow="0" w:firstColumn="1" w:lastColumn="0" w:oddVBand="0" w:evenVBand="0" w:oddHBand="0" w:evenHBand="0" w:firstRowFirstColumn="1" w:firstRowLastColumn="0" w:lastRowFirstColumn="0" w:lastRowLastColumn="0"/>
            <w:tcW w:w="2610" w:type="dxa"/>
            <w:gridSpan w:val="2"/>
            <w:vMerge w:val="restart"/>
          </w:tcPr>
          <w:p w14:paraId="4BB52E18" w14:textId="77777777" w:rsidR="000D687E" w:rsidRPr="00CD6245" w:rsidRDefault="000D687E" w:rsidP="005F2D1F">
            <w:pPr>
              <w:pStyle w:val="TableText"/>
            </w:pPr>
            <w:r w:rsidRPr="00CD6245">
              <w:t>Performance measure</w:t>
            </w:r>
          </w:p>
        </w:tc>
        <w:tc>
          <w:tcPr>
            <w:tcW w:w="610" w:type="dxa"/>
            <w:textDirection w:val="btLr"/>
            <w:vAlign w:val="bottom"/>
          </w:tcPr>
          <w:p w14:paraId="00B621D2" w14:textId="75355B34" w:rsidR="000D687E" w:rsidRPr="00546DF9" w:rsidRDefault="000D687E" w:rsidP="00115146">
            <w:pPr>
              <w:pStyle w:val="TableHeader"/>
              <w:ind w:left="113" w:right="113"/>
              <w:jc w:val="center"/>
              <w:cnfStyle w:val="100000000000" w:firstRow="1" w:lastRow="0" w:firstColumn="0" w:lastColumn="0" w:oddVBand="0" w:evenVBand="0" w:oddHBand="0" w:evenHBand="0" w:firstRowFirstColumn="0" w:firstRowLastColumn="0" w:lastRowFirstColumn="0" w:lastRowLastColumn="0"/>
              <w:rPr>
                <w:b/>
                <w:color w:val="auto"/>
                <w:sz w:val="20"/>
                <w:szCs w:val="20"/>
              </w:rPr>
            </w:pPr>
            <w:r w:rsidRPr="00546DF9">
              <w:rPr>
                <w:b/>
                <w:color w:val="auto"/>
                <w:sz w:val="20"/>
                <w:szCs w:val="20"/>
              </w:rPr>
              <w:t>Year 1: 2015–16</w:t>
            </w:r>
          </w:p>
        </w:tc>
        <w:tc>
          <w:tcPr>
            <w:tcW w:w="707" w:type="dxa"/>
            <w:textDirection w:val="btLr"/>
            <w:vAlign w:val="bottom"/>
          </w:tcPr>
          <w:p w14:paraId="663C1342" w14:textId="77777777" w:rsidR="000D687E" w:rsidRPr="00546DF9" w:rsidRDefault="000D687E" w:rsidP="00115146">
            <w:pPr>
              <w:pStyle w:val="TableHeader"/>
              <w:spacing w:line="360" w:lineRule="auto"/>
              <w:ind w:left="113" w:right="113"/>
              <w:jc w:val="center"/>
              <w:cnfStyle w:val="100000000000" w:firstRow="1" w:lastRow="0" w:firstColumn="0" w:lastColumn="0" w:oddVBand="0" w:evenVBand="0" w:oddHBand="0" w:evenHBand="0" w:firstRowFirstColumn="0" w:firstRowLastColumn="0" w:lastRowFirstColumn="0" w:lastRowLastColumn="0"/>
              <w:rPr>
                <w:b/>
                <w:color w:val="auto"/>
                <w:sz w:val="20"/>
                <w:szCs w:val="20"/>
              </w:rPr>
            </w:pPr>
            <w:r w:rsidRPr="00546DF9">
              <w:rPr>
                <w:b/>
                <w:color w:val="auto"/>
                <w:sz w:val="20"/>
                <w:szCs w:val="20"/>
              </w:rPr>
              <w:t>Year 2: 2016–17</w:t>
            </w:r>
          </w:p>
        </w:tc>
        <w:tc>
          <w:tcPr>
            <w:tcW w:w="571" w:type="dxa"/>
            <w:textDirection w:val="btLr"/>
            <w:vAlign w:val="bottom"/>
          </w:tcPr>
          <w:p w14:paraId="29BBBDFF" w14:textId="77777777" w:rsidR="000D687E" w:rsidRPr="00546DF9" w:rsidRDefault="000D687E" w:rsidP="00115146">
            <w:pPr>
              <w:pStyle w:val="TableHeader"/>
              <w:ind w:left="113" w:right="113"/>
              <w:jc w:val="center"/>
              <w:cnfStyle w:val="100000000000" w:firstRow="1" w:lastRow="0" w:firstColumn="0" w:lastColumn="0" w:oddVBand="0" w:evenVBand="0" w:oddHBand="0" w:evenHBand="0" w:firstRowFirstColumn="0" w:firstRowLastColumn="0" w:lastRowFirstColumn="0" w:lastRowLastColumn="0"/>
              <w:rPr>
                <w:b/>
                <w:color w:val="auto"/>
                <w:sz w:val="20"/>
                <w:szCs w:val="20"/>
              </w:rPr>
            </w:pPr>
            <w:r w:rsidRPr="00546DF9">
              <w:rPr>
                <w:b/>
                <w:color w:val="auto"/>
                <w:sz w:val="20"/>
                <w:szCs w:val="20"/>
              </w:rPr>
              <w:t>Year 3: 2017–18</w:t>
            </w:r>
          </w:p>
        </w:tc>
        <w:tc>
          <w:tcPr>
            <w:tcW w:w="4063" w:type="dxa"/>
            <w:vMerge w:val="restart"/>
          </w:tcPr>
          <w:p w14:paraId="2274979C" w14:textId="77777777" w:rsidR="000D687E" w:rsidRDefault="000D687E" w:rsidP="00822FA3">
            <w:pPr>
              <w:pStyle w:val="TableText"/>
              <w:cnfStyle w:val="100000000000" w:firstRow="1" w:lastRow="0" w:firstColumn="0" w:lastColumn="0" w:oddVBand="0" w:evenVBand="0" w:oddHBand="0" w:evenHBand="0" w:firstRowFirstColumn="0" w:firstRowLastColumn="0" w:lastRowFirstColumn="0" w:lastRowLastColumn="0"/>
            </w:pPr>
            <w:r>
              <w:t>Explanation</w:t>
            </w:r>
          </w:p>
        </w:tc>
      </w:tr>
      <w:tr w:rsidR="000D687E" w14:paraId="78B39089" w14:textId="77777777" w:rsidTr="00115146">
        <w:trPr>
          <w:cnfStyle w:val="000000100000" w:firstRow="0" w:lastRow="0" w:firstColumn="0" w:lastColumn="0" w:oddVBand="0" w:evenVBand="0" w:oddHBand="1" w:evenHBand="0" w:firstRowFirstColumn="0" w:firstRowLastColumn="0" w:lastRowFirstColumn="0" w:lastRowLastColumn="0"/>
          <w:trHeight w:val="281"/>
        </w:trPr>
        <w:tc>
          <w:tcPr>
            <w:cnfStyle w:val="001000000000" w:firstRow="0" w:lastRow="0" w:firstColumn="1" w:lastColumn="0" w:oddVBand="0" w:evenVBand="0" w:oddHBand="0" w:evenHBand="0" w:firstRowFirstColumn="0" w:firstRowLastColumn="0" w:lastRowFirstColumn="0" w:lastRowLastColumn="0"/>
            <w:tcW w:w="2610" w:type="dxa"/>
            <w:gridSpan w:val="2"/>
            <w:vMerge/>
          </w:tcPr>
          <w:p w14:paraId="201C4916" w14:textId="77777777" w:rsidR="000D687E" w:rsidRPr="00CD6245" w:rsidRDefault="000D687E" w:rsidP="00567B7A">
            <w:pPr>
              <w:pStyle w:val="TableHeader"/>
            </w:pPr>
          </w:p>
        </w:tc>
        <w:tc>
          <w:tcPr>
            <w:tcW w:w="610" w:type="dxa"/>
            <w:shd w:val="clear" w:color="auto" w:fill="000000" w:themeFill="text1"/>
            <w:vAlign w:val="center"/>
          </w:tcPr>
          <w:p w14:paraId="782C8F68" w14:textId="77777777" w:rsidR="000D687E" w:rsidRPr="00546DF9" w:rsidRDefault="000D687E" w:rsidP="00115146">
            <w:pPr>
              <w:pStyle w:val="TableHeader"/>
              <w:jc w:val="right"/>
              <w:cnfStyle w:val="000000100000" w:firstRow="0" w:lastRow="0" w:firstColumn="0" w:lastColumn="0" w:oddVBand="0" w:evenVBand="0" w:oddHBand="1" w:evenHBand="0" w:firstRowFirstColumn="0" w:firstRowLastColumn="0" w:lastRowFirstColumn="0" w:lastRowLastColumn="0"/>
              <w:rPr>
                <w:bCs/>
                <w:color w:val="auto"/>
                <w:sz w:val="20"/>
                <w:szCs w:val="20"/>
              </w:rPr>
            </w:pPr>
            <w:r w:rsidRPr="00546DF9">
              <w:rPr>
                <w:bCs/>
                <w:color w:val="auto"/>
                <w:sz w:val="20"/>
                <w:szCs w:val="20"/>
              </w:rPr>
              <w:t>%</w:t>
            </w:r>
          </w:p>
        </w:tc>
        <w:tc>
          <w:tcPr>
            <w:tcW w:w="707" w:type="dxa"/>
            <w:shd w:val="clear" w:color="auto" w:fill="000000" w:themeFill="text1"/>
            <w:vAlign w:val="center"/>
          </w:tcPr>
          <w:p w14:paraId="60866E62" w14:textId="77777777" w:rsidR="000D687E" w:rsidRPr="00546DF9" w:rsidRDefault="000D687E" w:rsidP="00115146">
            <w:pPr>
              <w:pStyle w:val="TableHeader"/>
              <w:jc w:val="right"/>
              <w:cnfStyle w:val="000000100000" w:firstRow="0" w:lastRow="0" w:firstColumn="0" w:lastColumn="0" w:oddVBand="0" w:evenVBand="0" w:oddHBand="1" w:evenHBand="0" w:firstRowFirstColumn="0" w:firstRowLastColumn="0" w:lastRowFirstColumn="0" w:lastRowLastColumn="0"/>
              <w:rPr>
                <w:bCs/>
                <w:color w:val="auto"/>
                <w:sz w:val="20"/>
                <w:szCs w:val="20"/>
              </w:rPr>
            </w:pPr>
            <w:r w:rsidRPr="00546DF9">
              <w:rPr>
                <w:bCs/>
                <w:color w:val="auto"/>
                <w:sz w:val="20"/>
                <w:szCs w:val="20"/>
              </w:rPr>
              <w:t>%</w:t>
            </w:r>
          </w:p>
        </w:tc>
        <w:tc>
          <w:tcPr>
            <w:tcW w:w="571" w:type="dxa"/>
            <w:shd w:val="clear" w:color="auto" w:fill="000000" w:themeFill="text1"/>
            <w:vAlign w:val="center"/>
          </w:tcPr>
          <w:p w14:paraId="20458B22" w14:textId="77777777" w:rsidR="000D687E" w:rsidRPr="00546DF9" w:rsidRDefault="000D687E" w:rsidP="00115146">
            <w:pPr>
              <w:pStyle w:val="TableHeader"/>
              <w:jc w:val="right"/>
              <w:cnfStyle w:val="000000100000" w:firstRow="0" w:lastRow="0" w:firstColumn="0" w:lastColumn="0" w:oddVBand="0" w:evenVBand="0" w:oddHBand="1" w:evenHBand="0" w:firstRowFirstColumn="0" w:firstRowLastColumn="0" w:lastRowFirstColumn="0" w:lastRowLastColumn="0"/>
              <w:rPr>
                <w:bCs/>
                <w:color w:val="auto"/>
                <w:sz w:val="20"/>
                <w:szCs w:val="20"/>
              </w:rPr>
            </w:pPr>
            <w:r w:rsidRPr="00546DF9">
              <w:rPr>
                <w:bCs/>
                <w:color w:val="auto"/>
                <w:sz w:val="20"/>
                <w:szCs w:val="20"/>
              </w:rPr>
              <w:t>%</w:t>
            </w:r>
          </w:p>
        </w:tc>
        <w:tc>
          <w:tcPr>
            <w:tcW w:w="4063" w:type="dxa"/>
            <w:vMerge/>
          </w:tcPr>
          <w:p w14:paraId="26F74F8D" w14:textId="77777777" w:rsidR="000D687E" w:rsidRDefault="000D687E" w:rsidP="00567B7A">
            <w:pPr>
              <w:pStyle w:val="TableHeader"/>
              <w:cnfStyle w:val="000000100000" w:firstRow="0" w:lastRow="0" w:firstColumn="0" w:lastColumn="0" w:oddVBand="0" w:evenVBand="0" w:oddHBand="1" w:evenHBand="0" w:firstRowFirstColumn="0" w:firstRowLastColumn="0" w:lastRowFirstColumn="0" w:lastRowLastColumn="0"/>
              <w:rPr>
                <w:sz w:val="20"/>
                <w:szCs w:val="20"/>
              </w:rPr>
            </w:pPr>
          </w:p>
        </w:tc>
      </w:tr>
      <w:tr w:rsidR="000D687E" w:rsidRPr="00CD6245" w14:paraId="45444104" w14:textId="77777777" w:rsidTr="005C6BD3">
        <w:tc>
          <w:tcPr>
            <w:cnfStyle w:val="001000000000" w:firstRow="0" w:lastRow="0" w:firstColumn="1" w:lastColumn="0" w:oddVBand="0" w:evenVBand="0" w:oddHBand="0" w:evenHBand="0" w:firstRowFirstColumn="0" w:firstRowLastColumn="0" w:lastRowFirstColumn="0" w:lastRowLastColumn="0"/>
            <w:tcW w:w="463" w:type="dxa"/>
          </w:tcPr>
          <w:p w14:paraId="1BBCE071" w14:textId="77777777" w:rsidR="000D687E" w:rsidRPr="00CD6245" w:rsidRDefault="000D687E" w:rsidP="00567B7A">
            <w:pPr>
              <w:pStyle w:val="TableText"/>
            </w:pPr>
            <w:r w:rsidRPr="00CD6245">
              <w:t>1</w:t>
            </w:r>
          </w:p>
        </w:tc>
        <w:tc>
          <w:tcPr>
            <w:tcW w:w="2147" w:type="dxa"/>
          </w:tcPr>
          <w:p w14:paraId="37FB0E84" w14:textId="77777777" w:rsidR="000D687E" w:rsidRPr="00726E77" w:rsidRDefault="000D687E" w:rsidP="00567B7A">
            <w:pPr>
              <w:pStyle w:val="TableText"/>
              <w:cnfStyle w:val="000000000000" w:firstRow="0" w:lastRow="0" w:firstColumn="0" w:lastColumn="0" w:oddVBand="0" w:evenVBand="0" w:oddHBand="0" w:evenHBand="0" w:firstRowFirstColumn="0" w:firstRowLastColumn="0" w:lastRowFirstColumn="0" w:lastRowLastColumn="0"/>
            </w:pPr>
            <w:r w:rsidRPr="00726E77">
              <w:t xml:space="preserve">Value created </w:t>
            </w:r>
          </w:p>
        </w:tc>
        <w:tc>
          <w:tcPr>
            <w:tcW w:w="610" w:type="dxa"/>
          </w:tcPr>
          <w:p w14:paraId="3568B206" w14:textId="77777777" w:rsidR="000D687E" w:rsidRDefault="000D687E" w:rsidP="006B0393">
            <w:pPr>
              <w:pStyle w:val="Tablenumbers"/>
              <w:cnfStyle w:val="000000000000" w:firstRow="0" w:lastRow="0" w:firstColumn="0" w:lastColumn="0" w:oddVBand="0" w:evenVBand="0" w:oddHBand="0" w:evenHBand="0" w:firstRowFirstColumn="0" w:firstRowLastColumn="0" w:lastRowFirstColumn="0" w:lastRowLastColumn="0"/>
            </w:pPr>
            <w:r w:rsidRPr="005A253C">
              <w:t>4</w:t>
            </w:r>
          </w:p>
        </w:tc>
        <w:tc>
          <w:tcPr>
            <w:tcW w:w="707" w:type="dxa"/>
          </w:tcPr>
          <w:p w14:paraId="0C826261" w14:textId="77777777" w:rsidR="000D687E" w:rsidRPr="005A253C" w:rsidRDefault="000D687E" w:rsidP="006B0393">
            <w:pPr>
              <w:pStyle w:val="Tablenumbers"/>
              <w:cnfStyle w:val="000000000000" w:firstRow="0" w:lastRow="0" w:firstColumn="0" w:lastColumn="0" w:oddVBand="0" w:evenVBand="0" w:oddHBand="0" w:evenHBand="0" w:firstRowFirstColumn="0" w:firstRowLastColumn="0" w:lastRowFirstColumn="0" w:lastRowLastColumn="0"/>
            </w:pPr>
            <w:r w:rsidRPr="005A253C">
              <w:t>2.0</w:t>
            </w:r>
          </w:p>
        </w:tc>
        <w:tc>
          <w:tcPr>
            <w:tcW w:w="571" w:type="dxa"/>
          </w:tcPr>
          <w:p w14:paraId="0104E0AF" w14:textId="77777777" w:rsidR="000D687E" w:rsidRPr="00CD6245" w:rsidRDefault="000D687E" w:rsidP="006B0393">
            <w:pPr>
              <w:pStyle w:val="Tablenumbers"/>
              <w:cnfStyle w:val="000000000000" w:firstRow="0" w:lastRow="0" w:firstColumn="0" w:lastColumn="0" w:oddVBand="0" w:evenVBand="0" w:oddHBand="0" w:evenHBand="0" w:firstRowFirstColumn="0" w:firstRowLastColumn="0" w:lastRowFirstColumn="0" w:lastRowLastColumn="0"/>
            </w:pPr>
            <w:r>
              <w:t>3.5</w:t>
            </w:r>
          </w:p>
        </w:tc>
        <w:tc>
          <w:tcPr>
            <w:tcW w:w="4063" w:type="dxa"/>
          </w:tcPr>
          <w:p w14:paraId="332C4AF4" w14:textId="2259959A" w:rsidR="000D687E" w:rsidRPr="00CD6245" w:rsidRDefault="000D687E" w:rsidP="00567B7A">
            <w:pPr>
              <w:pStyle w:val="TableText"/>
              <w:cnfStyle w:val="000000000000" w:firstRow="0" w:lastRow="0" w:firstColumn="0" w:lastColumn="0" w:oddVBand="0" w:evenVBand="0" w:oddHBand="0" w:evenHBand="0" w:firstRowFirstColumn="0" w:firstRowLastColumn="0" w:lastRowFirstColumn="0" w:lastRowLastColumn="0"/>
            </w:pPr>
            <w:r>
              <w:t>The</w:t>
            </w:r>
            <w:r w:rsidRPr="006B4571">
              <w:t xml:space="preserve"> procurement team</w:t>
            </w:r>
            <w:r>
              <w:t xml:space="preserve"> i</w:t>
            </w:r>
            <w:r w:rsidRPr="006B4571">
              <w:t>ncrease</w:t>
            </w:r>
            <w:r>
              <w:t>d</w:t>
            </w:r>
            <w:r w:rsidRPr="006B4571">
              <w:t xml:space="preserve"> oversight of procurements</w:t>
            </w:r>
            <w:r>
              <w:t xml:space="preserve"> and delivery of end-to-end procurement activities</w:t>
            </w:r>
            <w:r w:rsidRPr="006B4571">
              <w:t xml:space="preserve"> as a result of pr</w:t>
            </w:r>
            <w:r>
              <w:t xml:space="preserve">ocurement reform activities </w:t>
            </w:r>
            <w:r w:rsidRPr="006B4571">
              <w:t>in DET.</w:t>
            </w:r>
          </w:p>
        </w:tc>
      </w:tr>
      <w:tr w:rsidR="000D687E" w:rsidRPr="00CD6245" w14:paraId="23952F77" w14:textId="77777777" w:rsidTr="005C6B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3" w:type="dxa"/>
          </w:tcPr>
          <w:p w14:paraId="667F1BA4" w14:textId="77777777" w:rsidR="000D687E" w:rsidRPr="00CD6245" w:rsidRDefault="000D687E" w:rsidP="00567B7A">
            <w:pPr>
              <w:pStyle w:val="TableText"/>
            </w:pPr>
            <w:r w:rsidRPr="00CD6245">
              <w:t>2</w:t>
            </w:r>
          </w:p>
        </w:tc>
        <w:tc>
          <w:tcPr>
            <w:tcW w:w="2147" w:type="dxa"/>
          </w:tcPr>
          <w:p w14:paraId="35545B5D" w14:textId="7C129D20" w:rsidR="000D687E" w:rsidRPr="00726E77" w:rsidRDefault="000D687E" w:rsidP="00567B7A">
            <w:pPr>
              <w:pStyle w:val="TableText"/>
              <w:cnfStyle w:val="000000100000" w:firstRow="0" w:lastRow="0" w:firstColumn="0" w:lastColumn="0" w:oddVBand="0" w:evenVBand="0" w:oddHBand="1" w:evenHBand="0" w:firstRowFirstColumn="0" w:firstRowLastColumn="0" w:lastRowFirstColumn="0" w:lastRowLastColumn="0"/>
            </w:pPr>
            <w:r w:rsidRPr="00726E77">
              <w:t xml:space="preserve">Proportion of P-Card </w:t>
            </w:r>
            <w:r w:rsidR="00D11C9B">
              <w:t xml:space="preserve">(or equivalent) </w:t>
            </w:r>
            <w:r w:rsidRPr="00726E77">
              <w:t>transactions</w:t>
            </w:r>
          </w:p>
        </w:tc>
        <w:tc>
          <w:tcPr>
            <w:tcW w:w="610" w:type="dxa"/>
          </w:tcPr>
          <w:p w14:paraId="0041D123" w14:textId="77777777" w:rsidR="000D687E" w:rsidRDefault="000D687E" w:rsidP="006B0393">
            <w:pPr>
              <w:pStyle w:val="Tablenumbers"/>
              <w:cnfStyle w:val="000000100000" w:firstRow="0" w:lastRow="0" w:firstColumn="0" w:lastColumn="0" w:oddVBand="0" w:evenVBand="0" w:oddHBand="1" w:evenHBand="0" w:firstRowFirstColumn="0" w:firstRowLastColumn="0" w:lastRowFirstColumn="0" w:lastRowLastColumn="0"/>
            </w:pPr>
            <w:r w:rsidRPr="005A253C">
              <w:t>2.5</w:t>
            </w:r>
          </w:p>
        </w:tc>
        <w:tc>
          <w:tcPr>
            <w:tcW w:w="707" w:type="dxa"/>
          </w:tcPr>
          <w:p w14:paraId="7800D0BA" w14:textId="77777777" w:rsidR="000D687E" w:rsidRPr="005A253C" w:rsidRDefault="000D687E" w:rsidP="006B0393">
            <w:pPr>
              <w:pStyle w:val="Tablenumbers"/>
              <w:cnfStyle w:val="000000100000" w:firstRow="0" w:lastRow="0" w:firstColumn="0" w:lastColumn="0" w:oddVBand="0" w:evenVBand="0" w:oddHBand="1" w:evenHBand="0" w:firstRowFirstColumn="0" w:firstRowLastColumn="0" w:lastRowFirstColumn="0" w:lastRowLastColumn="0"/>
            </w:pPr>
            <w:r w:rsidRPr="005A253C">
              <w:t>4.3</w:t>
            </w:r>
          </w:p>
        </w:tc>
        <w:tc>
          <w:tcPr>
            <w:tcW w:w="571" w:type="dxa"/>
          </w:tcPr>
          <w:p w14:paraId="5254656F" w14:textId="77777777" w:rsidR="000D687E" w:rsidRPr="00CD6245" w:rsidRDefault="000D687E" w:rsidP="006B0393">
            <w:pPr>
              <w:pStyle w:val="Tablenumbers"/>
              <w:cnfStyle w:val="000000100000" w:firstRow="0" w:lastRow="0" w:firstColumn="0" w:lastColumn="0" w:oddVBand="0" w:evenVBand="0" w:oddHBand="1" w:evenHBand="0" w:firstRowFirstColumn="0" w:firstRowLastColumn="0" w:lastRowFirstColumn="0" w:lastRowLastColumn="0"/>
            </w:pPr>
            <w:r>
              <w:t>15.1</w:t>
            </w:r>
          </w:p>
        </w:tc>
        <w:tc>
          <w:tcPr>
            <w:tcW w:w="4063" w:type="dxa"/>
          </w:tcPr>
          <w:p w14:paraId="0AC430EA" w14:textId="61CCFAC7" w:rsidR="000D687E" w:rsidRPr="00CD6245" w:rsidRDefault="000D687E" w:rsidP="00567B7A">
            <w:pPr>
              <w:pStyle w:val="TableText"/>
              <w:cnfStyle w:val="000000100000" w:firstRow="0" w:lastRow="0" w:firstColumn="0" w:lastColumn="0" w:oddVBand="0" w:evenVBand="0" w:oddHBand="1" w:evenHBand="0" w:firstRowFirstColumn="0" w:firstRowLastColumn="0" w:lastRowFirstColumn="0" w:lastRowLastColumn="0"/>
            </w:pPr>
            <w:r>
              <w:t xml:space="preserve">This improvement was expected as </w:t>
            </w:r>
            <w:r w:rsidR="0072377F">
              <w:t>DET</w:t>
            </w:r>
            <w:r>
              <w:t xml:space="preserve"> issued more P-Cards to staff and explained the benefits. </w:t>
            </w:r>
          </w:p>
        </w:tc>
      </w:tr>
      <w:tr w:rsidR="000D687E" w:rsidRPr="00CD6245" w14:paraId="45457DBB" w14:textId="77777777" w:rsidTr="005C6BD3">
        <w:tc>
          <w:tcPr>
            <w:cnfStyle w:val="001000000000" w:firstRow="0" w:lastRow="0" w:firstColumn="1" w:lastColumn="0" w:oddVBand="0" w:evenVBand="0" w:oddHBand="0" w:evenHBand="0" w:firstRowFirstColumn="0" w:firstRowLastColumn="0" w:lastRowFirstColumn="0" w:lastRowLastColumn="0"/>
            <w:tcW w:w="463" w:type="dxa"/>
          </w:tcPr>
          <w:p w14:paraId="2D4AB363" w14:textId="77777777" w:rsidR="000D687E" w:rsidRPr="00CD6245" w:rsidRDefault="000D687E" w:rsidP="00567B7A">
            <w:pPr>
              <w:pStyle w:val="TableText"/>
            </w:pPr>
            <w:r w:rsidRPr="00CD6245">
              <w:t>3</w:t>
            </w:r>
          </w:p>
        </w:tc>
        <w:tc>
          <w:tcPr>
            <w:tcW w:w="2147" w:type="dxa"/>
          </w:tcPr>
          <w:p w14:paraId="25D09790" w14:textId="77777777" w:rsidR="000D687E" w:rsidRPr="00726E77" w:rsidRDefault="000D687E" w:rsidP="00567B7A">
            <w:pPr>
              <w:pStyle w:val="TableText"/>
              <w:cnfStyle w:val="000000000000" w:firstRow="0" w:lastRow="0" w:firstColumn="0" w:lastColumn="0" w:oddVBand="0" w:evenVBand="0" w:oddHBand="0" w:evenHBand="0" w:firstRowFirstColumn="0" w:firstRowLastColumn="0" w:lastRowFirstColumn="0" w:lastRowLastColumn="0"/>
            </w:pPr>
            <w:r w:rsidRPr="00726E77">
              <w:t>Increase in procurement capability</w:t>
            </w:r>
          </w:p>
        </w:tc>
        <w:tc>
          <w:tcPr>
            <w:tcW w:w="610" w:type="dxa"/>
          </w:tcPr>
          <w:p w14:paraId="4E532470" w14:textId="77777777" w:rsidR="000D687E" w:rsidRDefault="000D687E" w:rsidP="006B0393">
            <w:pPr>
              <w:pStyle w:val="Tablenumbers"/>
              <w:cnfStyle w:val="000000000000" w:firstRow="0" w:lastRow="0" w:firstColumn="0" w:lastColumn="0" w:oddVBand="0" w:evenVBand="0" w:oddHBand="0" w:evenHBand="0" w:firstRowFirstColumn="0" w:firstRowLastColumn="0" w:lastRowFirstColumn="0" w:lastRowLastColumn="0"/>
            </w:pPr>
            <w:r>
              <w:t>..</w:t>
            </w:r>
          </w:p>
        </w:tc>
        <w:tc>
          <w:tcPr>
            <w:tcW w:w="707" w:type="dxa"/>
          </w:tcPr>
          <w:p w14:paraId="66A9AE35" w14:textId="77777777" w:rsidR="000D687E" w:rsidRDefault="000D687E" w:rsidP="006B0393">
            <w:pPr>
              <w:pStyle w:val="Tablenumbers"/>
              <w:cnfStyle w:val="000000000000" w:firstRow="0" w:lastRow="0" w:firstColumn="0" w:lastColumn="0" w:oddVBand="0" w:evenVBand="0" w:oddHBand="0" w:evenHBand="0" w:firstRowFirstColumn="0" w:firstRowLastColumn="0" w:lastRowFirstColumn="0" w:lastRowLastColumn="0"/>
            </w:pPr>
            <w:r w:rsidRPr="005A253C">
              <w:t>0.0</w:t>
            </w:r>
          </w:p>
        </w:tc>
        <w:tc>
          <w:tcPr>
            <w:tcW w:w="571" w:type="dxa"/>
          </w:tcPr>
          <w:p w14:paraId="168D1913" w14:textId="5FDBBCD5" w:rsidR="000D687E" w:rsidRPr="00CD6245" w:rsidRDefault="000D687E" w:rsidP="006B0393">
            <w:pPr>
              <w:pStyle w:val="Tablenumbers"/>
              <w:cnfStyle w:val="000000000000" w:firstRow="0" w:lastRow="0" w:firstColumn="0" w:lastColumn="0" w:oddVBand="0" w:evenVBand="0" w:oddHBand="0" w:evenHBand="0" w:firstRowFirstColumn="0" w:firstRowLastColumn="0" w:lastRowFirstColumn="0" w:lastRowLastColumn="0"/>
            </w:pPr>
            <w:r>
              <w:t>2.4</w:t>
            </w:r>
          </w:p>
        </w:tc>
        <w:tc>
          <w:tcPr>
            <w:tcW w:w="4063" w:type="dxa"/>
          </w:tcPr>
          <w:p w14:paraId="3E079E02" w14:textId="77777777" w:rsidR="000D687E" w:rsidRPr="00CD6245" w:rsidRDefault="000D687E" w:rsidP="00567B7A">
            <w:pPr>
              <w:pStyle w:val="TableText"/>
              <w:cnfStyle w:val="000000000000" w:firstRow="0" w:lastRow="0" w:firstColumn="0" w:lastColumn="0" w:oddVBand="0" w:evenVBand="0" w:oddHBand="0" w:evenHBand="0" w:firstRowFirstColumn="0" w:firstRowLastColumn="0" w:lastRowFirstColumn="0" w:lastRowLastColumn="0"/>
            </w:pPr>
            <w:r>
              <w:t>Increased capability due to detailed category review of complexity in 2017–18.</w:t>
            </w:r>
          </w:p>
        </w:tc>
      </w:tr>
      <w:tr w:rsidR="000D687E" w:rsidRPr="00CD6245" w14:paraId="790415BF" w14:textId="77777777" w:rsidTr="005C6B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3" w:type="dxa"/>
          </w:tcPr>
          <w:p w14:paraId="15F541F5" w14:textId="77777777" w:rsidR="000D687E" w:rsidRPr="00CD6245" w:rsidRDefault="000D687E" w:rsidP="00567B7A">
            <w:pPr>
              <w:pStyle w:val="TableText"/>
            </w:pPr>
            <w:r w:rsidRPr="00CD6245">
              <w:t>4</w:t>
            </w:r>
          </w:p>
        </w:tc>
        <w:tc>
          <w:tcPr>
            <w:tcW w:w="2147" w:type="dxa"/>
          </w:tcPr>
          <w:p w14:paraId="7CF0115E" w14:textId="77777777" w:rsidR="000D687E" w:rsidRPr="00726E77" w:rsidRDefault="000D687E" w:rsidP="00567B7A">
            <w:pPr>
              <w:pStyle w:val="TableText"/>
              <w:cnfStyle w:val="000000100000" w:firstRow="0" w:lastRow="0" w:firstColumn="0" w:lastColumn="0" w:oddVBand="0" w:evenVBand="0" w:oddHBand="1" w:evenHBand="0" w:firstRowFirstColumn="0" w:firstRowLastColumn="0" w:lastRowFirstColumn="0" w:lastRowLastColumn="0"/>
            </w:pPr>
            <w:r w:rsidRPr="00726E77">
              <w:t>Cost of procurement resources</w:t>
            </w:r>
          </w:p>
        </w:tc>
        <w:tc>
          <w:tcPr>
            <w:tcW w:w="610" w:type="dxa"/>
          </w:tcPr>
          <w:p w14:paraId="20D73A49" w14:textId="77777777" w:rsidR="000D687E" w:rsidRDefault="000D687E" w:rsidP="006B0393">
            <w:pPr>
              <w:pStyle w:val="Tablenumbers"/>
              <w:cnfStyle w:val="000000100000" w:firstRow="0" w:lastRow="0" w:firstColumn="0" w:lastColumn="0" w:oddVBand="0" w:evenVBand="0" w:oddHBand="1" w:evenHBand="0" w:firstRowFirstColumn="0" w:firstRowLastColumn="0" w:lastRowFirstColumn="0" w:lastRowLastColumn="0"/>
            </w:pPr>
            <w:r w:rsidRPr="005A253C">
              <w:t>1.5</w:t>
            </w:r>
          </w:p>
        </w:tc>
        <w:tc>
          <w:tcPr>
            <w:tcW w:w="707" w:type="dxa"/>
          </w:tcPr>
          <w:p w14:paraId="7BE3D529" w14:textId="77777777" w:rsidR="000D687E" w:rsidRPr="005A253C" w:rsidRDefault="000D687E" w:rsidP="006B0393">
            <w:pPr>
              <w:pStyle w:val="Tablenumbers"/>
              <w:cnfStyle w:val="000000100000" w:firstRow="0" w:lastRow="0" w:firstColumn="0" w:lastColumn="0" w:oddVBand="0" w:evenVBand="0" w:oddHBand="1" w:evenHBand="0" w:firstRowFirstColumn="0" w:firstRowLastColumn="0" w:lastRowFirstColumn="0" w:lastRowLastColumn="0"/>
            </w:pPr>
            <w:r w:rsidRPr="005A253C">
              <w:t>0.8</w:t>
            </w:r>
          </w:p>
        </w:tc>
        <w:tc>
          <w:tcPr>
            <w:tcW w:w="571" w:type="dxa"/>
          </w:tcPr>
          <w:p w14:paraId="6E759382" w14:textId="77777777" w:rsidR="000D687E" w:rsidRPr="00CD6245" w:rsidRDefault="000D687E" w:rsidP="006B0393">
            <w:pPr>
              <w:pStyle w:val="Tablenumbers"/>
              <w:cnfStyle w:val="000000100000" w:firstRow="0" w:lastRow="0" w:firstColumn="0" w:lastColumn="0" w:oddVBand="0" w:evenVBand="0" w:oddHBand="1" w:evenHBand="0" w:firstRowFirstColumn="0" w:firstRowLastColumn="0" w:lastRowFirstColumn="0" w:lastRowLastColumn="0"/>
            </w:pPr>
            <w:r>
              <w:t>0.8</w:t>
            </w:r>
          </w:p>
        </w:tc>
        <w:tc>
          <w:tcPr>
            <w:tcW w:w="4063" w:type="dxa"/>
          </w:tcPr>
          <w:p w14:paraId="2FA8C7C1" w14:textId="77777777" w:rsidR="000D687E" w:rsidRPr="00CD6245" w:rsidRDefault="000D687E" w:rsidP="00567B7A">
            <w:pPr>
              <w:pStyle w:val="TableText"/>
              <w:cnfStyle w:val="000000100000" w:firstRow="0" w:lastRow="0" w:firstColumn="0" w:lastColumn="0" w:oddVBand="0" w:evenVBand="0" w:oddHBand="1" w:evenHBand="0" w:firstRowFirstColumn="0" w:firstRowLastColumn="0" w:lastRowFirstColumn="0" w:lastRowLastColumn="0"/>
            </w:pPr>
            <w:r w:rsidRPr="006B4571">
              <w:t>In line with previous years</w:t>
            </w:r>
            <w:r>
              <w:t xml:space="preserve"> –</w:t>
            </w:r>
            <w:r w:rsidRPr="006B4571">
              <w:t xml:space="preserve"> no change expected.</w:t>
            </w:r>
          </w:p>
        </w:tc>
      </w:tr>
      <w:tr w:rsidR="009967B5" w:rsidRPr="00CD6245" w14:paraId="02FEF16A" w14:textId="77777777" w:rsidTr="005C6BD3">
        <w:tc>
          <w:tcPr>
            <w:cnfStyle w:val="001000000000" w:firstRow="0" w:lastRow="0" w:firstColumn="1" w:lastColumn="0" w:oddVBand="0" w:evenVBand="0" w:oddHBand="0" w:evenHBand="0" w:firstRowFirstColumn="0" w:firstRowLastColumn="0" w:lastRowFirstColumn="0" w:lastRowLastColumn="0"/>
            <w:tcW w:w="463" w:type="dxa"/>
            <w:vMerge w:val="restart"/>
          </w:tcPr>
          <w:p w14:paraId="1FDF8C45" w14:textId="1D6E98A4" w:rsidR="009967B5" w:rsidRPr="00CD6245" w:rsidRDefault="009967B5" w:rsidP="009967B5">
            <w:pPr>
              <w:pStyle w:val="TableText"/>
            </w:pPr>
            <w:r w:rsidRPr="00CD6245">
              <w:t>5</w:t>
            </w:r>
          </w:p>
        </w:tc>
        <w:tc>
          <w:tcPr>
            <w:tcW w:w="2147" w:type="dxa"/>
          </w:tcPr>
          <w:p w14:paraId="5E14F394" w14:textId="3AD3BE51" w:rsidR="009967B5" w:rsidRPr="00726E77" w:rsidRDefault="009967B5" w:rsidP="009967B5">
            <w:pPr>
              <w:pStyle w:val="TableText"/>
              <w:cnfStyle w:val="000000000000" w:firstRow="0" w:lastRow="0" w:firstColumn="0" w:lastColumn="0" w:oddVBand="0" w:evenVBand="0" w:oddHBand="0" w:evenHBand="0" w:firstRowFirstColumn="0" w:firstRowLastColumn="0" w:lastRowFirstColumn="0" w:lastRowLastColumn="0"/>
            </w:pPr>
            <w:r w:rsidRPr="000451B5">
              <w:t xml:space="preserve">Successful </w:t>
            </w:r>
            <w:r>
              <w:t>s</w:t>
            </w:r>
            <w:r w:rsidRPr="008F30C8">
              <w:t>upplie</w:t>
            </w:r>
            <w:r>
              <w:t xml:space="preserve">r </w:t>
            </w:r>
            <w:r w:rsidRPr="000451B5">
              <w:t>satisfied</w:t>
            </w:r>
          </w:p>
        </w:tc>
        <w:tc>
          <w:tcPr>
            <w:tcW w:w="610" w:type="dxa"/>
          </w:tcPr>
          <w:p w14:paraId="64D15DAA" w14:textId="396086DA" w:rsidR="009967B5" w:rsidRPr="005A253C" w:rsidRDefault="009967B5" w:rsidP="006B0393">
            <w:pPr>
              <w:pStyle w:val="Tablenumbers"/>
              <w:cnfStyle w:val="000000000000" w:firstRow="0" w:lastRow="0" w:firstColumn="0" w:lastColumn="0" w:oddVBand="0" w:evenVBand="0" w:oddHBand="0" w:evenHBand="0" w:firstRowFirstColumn="0" w:firstRowLastColumn="0" w:lastRowFirstColumn="0" w:lastRowLastColumn="0"/>
            </w:pPr>
            <w:r>
              <w:t>79</w:t>
            </w:r>
          </w:p>
        </w:tc>
        <w:tc>
          <w:tcPr>
            <w:tcW w:w="707" w:type="dxa"/>
          </w:tcPr>
          <w:p w14:paraId="4F0327FC" w14:textId="10B445F4" w:rsidR="009967B5" w:rsidRPr="005A253C" w:rsidRDefault="009967B5" w:rsidP="006B0393">
            <w:pPr>
              <w:pStyle w:val="Tablenumbers"/>
              <w:cnfStyle w:val="000000000000" w:firstRow="0" w:lastRow="0" w:firstColumn="0" w:lastColumn="0" w:oddVBand="0" w:evenVBand="0" w:oddHBand="0" w:evenHBand="0" w:firstRowFirstColumn="0" w:firstRowLastColumn="0" w:lastRowFirstColumn="0" w:lastRowLastColumn="0"/>
            </w:pPr>
            <w:r>
              <w:t>78</w:t>
            </w:r>
          </w:p>
        </w:tc>
        <w:tc>
          <w:tcPr>
            <w:tcW w:w="571" w:type="dxa"/>
          </w:tcPr>
          <w:p w14:paraId="4721D799" w14:textId="3475BD7C" w:rsidR="009967B5" w:rsidRDefault="009967B5" w:rsidP="006B0393">
            <w:pPr>
              <w:pStyle w:val="Tablenumbers"/>
              <w:cnfStyle w:val="000000000000" w:firstRow="0" w:lastRow="0" w:firstColumn="0" w:lastColumn="0" w:oddVBand="0" w:evenVBand="0" w:oddHBand="0" w:evenHBand="0" w:firstRowFirstColumn="0" w:firstRowLastColumn="0" w:lastRowFirstColumn="0" w:lastRowLastColumn="0"/>
            </w:pPr>
            <w:r>
              <w:t>70</w:t>
            </w:r>
          </w:p>
        </w:tc>
        <w:tc>
          <w:tcPr>
            <w:tcW w:w="4063" w:type="dxa"/>
            <w:vMerge w:val="restart"/>
          </w:tcPr>
          <w:p w14:paraId="7858D561" w14:textId="7CDC1EEA" w:rsidR="009967B5" w:rsidRPr="004E514B" w:rsidRDefault="009967B5" w:rsidP="009967B5">
            <w:pPr>
              <w:pStyle w:val="TableText"/>
              <w:cnfStyle w:val="000000000000" w:firstRow="0" w:lastRow="0" w:firstColumn="0" w:lastColumn="0" w:oddVBand="0" w:evenVBand="0" w:oddHBand="0" w:evenHBand="0" w:firstRowFirstColumn="0" w:firstRowLastColumn="0" w:lastRowFirstColumn="0" w:lastRowLastColumn="0"/>
            </w:pPr>
            <w:r w:rsidRPr="004E514B">
              <w:t>In line with previous years</w:t>
            </w:r>
            <w:r>
              <w:t xml:space="preserve"> –</w:t>
            </w:r>
            <w:r w:rsidRPr="004E514B">
              <w:t xml:space="preserve"> no change expected.</w:t>
            </w:r>
            <w:r>
              <w:t xml:space="preserve"> Very small sample size in 2017–18.</w:t>
            </w:r>
          </w:p>
        </w:tc>
      </w:tr>
      <w:tr w:rsidR="009967B5" w:rsidRPr="00CD6245" w14:paraId="74CD5D9E" w14:textId="77777777" w:rsidTr="005C6B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3" w:type="dxa"/>
            <w:vMerge/>
          </w:tcPr>
          <w:p w14:paraId="26DFEE8F" w14:textId="77777777" w:rsidR="009967B5" w:rsidRPr="00CD6245" w:rsidRDefault="009967B5" w:rsidP="009967B5">
            <w:pPr>
              <w:pStyle w:val="TableText"/>
            </w:pPr>
          </w:p>
        </w:tc>
        <w:tc>
          <w:tcPr>
            <w:tcW w:w="2147" w:type="dxa"/>
          </w:tcPr>
          <w:p w14:paraId="77CFA582" w14:textId="6838F1BB" w:rsidR="009967B5" w:rsidRPr="00726E77" w:rsidRDefault="009967B5" w:rsidP="009967B5">
            <w:pPr>
              <w:pStyle w:val="TableText"/>
              <w:cnfStyle w:val="000000100000" w:firstRow="0" w:lastRow="0" w:firstColumn="0" w:lastColumn="0" w:oddVBand="0" w:evenVBand="0" w:oddHBand="1" w:evenHBand="0" w:firstRowFirstColumn="0" w:firstRowLastColumn="0" w:lastRowFirstColumn="0" w:lastRowLastColumn="0"/>
            </w:pPr>
            <w:r w:rsidRPr="000451B5">
              <w:t xml:space="preserve">Unsuccessful </w:t>
            </w:r>
            <w:r>
              <w:t>s</w:t>
            </w:r>
            <w:r w:rsidRPr="008F30C8">
              <w:t>upplie</w:t>
            </w:r>
            <w:r>
              <w:t xml:space="preserve">r </w:t>
            </w:r>
            <w:r w:rsidRPr="000451B5">
              <w:t>satisfied</w:t>
            </w:r>
          </w:p>
        </w:tc>
        <w:tc>
          <w:tcPr>
            <w:tcW w:w="610" w:type="dxa"/>
          </w:tcPr>
          <w:p w14:paraId="740D69F4" w14:textId="02AE58BE" w:rsidR="009967B5" w:rsidRPr="005A253C" w:rsidRDefault="009967B5" w:rsidP="006B0393">
            <w:pPr>
              <w:pStyle w:val="Tablenumbers"/>
              <w:cnfStyle w:val="000000100000" w:firstRow="0" w:lastRow="0" w:firstColumn="0" w:lastColumn="0" w:oddVBand="0" w:evenVBand="0" w:oddHBand="1" w:evenHBand="0" w:firstRowFirstColumn="0" w:firstRowLastColumn="0" w:lastRowFirstColumn="0" w:lastRowLastColumn="0"/>
            </w:pPr>
            <w:r>
              <w:t>40</w:t>
            </w:r>
          </w:p>
        </w:tc>
        <w:tc>
          <w:tcPr>
            <w:tcW w:w="707" w:type="dxa"/>
          </w:tcPr>
          <w:p w14:paraId="41A6AE0D" w14:textId="7A3CC092" w:rsidR="009967B5" w:rsidRPr="005A253C" w:rsidRDefault="009967B5" w:rsidP="006B0393">
            <w:pPr>
              <w:pStyle w:val="Tablenumbers"/>
              <w:cnfStyle w:val="000000100000" w:firstRow="0" w:lastRow="0" w:firstColumn="0" w:lastColumn="0" w:oddVBand="0" w:evenVBand="0" w:oddHBand="1" w:evenHBand="0" w:firstRowFirstColumn="0" w:firstRowLastColumn="0" w:lastRowFirstColumn="0" w:lastRowLastColumn="0"/>
            </w:pPr>
            <w:r>
              <w:t>50</w:t>
            </w:r>
          </w:p>
        </w:tc>
        <w:tc>
          <w:tcPr>
            <w:tcW w:w="571" w:type="dxa"/>
          </w:tcPr>
          <w:p w14:paraId="326FFEAB" w14:textId="3B9582EE" w:rsidR="009967B5" w:rsidRDefault="009967B5" w:rsidP="006B0393">
            <w:pPr>
              <w:pStyle w:val="Tablenumbers"/>
              <w:cnfStyle w:val="000000100000" w:firstRow="0" w:lastRow="0" w:firstColumn="0" w:lastColumn="0" w:oddVBand="0" w:evenVBand="0" w:oddHBand="1" w:evenHBand="0" w:firstRowFirstColumn="0" w:firstRowLastColumn="0" w:lastRowFirstColumn="0" w:lastRowLastColumn="0"/>
            </w:pPr>
            <w:r>
              <w:t>31</w:t>
            </w:r>
          </w:p>
        </w:tc>
        <w:tc>
          <w:tcPr>
            <w:tcW w:w="4063" w:type="dxa"/>
            <w:vMerge/>
          </w:tcPr>
          <w:p w14:paraId="0D89A6B6" w14:textId="77777777" w:rsidR="009967B5" w:rsidRPr="004E514B" w:rsidRDefault="009967B5" w:rsidP="009967B5">
            <w:pPr>
              <w:pStyle w:val="TableText"/>
              <w:cnfStyle w:val="000000100000" w:firstRow="0" w:lastRow="0" w:firstColumn="0" w:lastColumn="0" w:oddVBand="0" w:evenVBand="0" w:oddHBand="1" w:evenHBand="0" w:firstRowFirstColumn="0" w:firstRowLastColumn="0" w:lastRowFirstColumn="0" w:lastRowLastColumn="0"/>
            </w:pPr>
          </w:p>
        </w:tc>
      </w:tr>
      <w:tr w:rsidR="000D687E" w:rsidRPr="00CD6245" w14:paraId="46C84DD0" w14:textId="77777777" w:rsidTr="005C6BD3">
        <w:trPr>
          <w:trHeight w:val="283"/>
        </w:trPr>
        <w:tc>
          <w:tcPr>
            <w:cnfStyle w:val="001000000000" w:firstRow="0" w:lastRow="0" w:firstColumn="1" w:lastColumn="0" w:oddVBand="0" w:evenVBand="0" w:oddHBand="0" w:evenHBand="0" w:firstRowFirstColumn="0" w:firstRowLastColumn="0" w:lastRowFirstColumn="0" w:lastRowLastColumn="0"/>
            <w:tcW w:w="463" w:type="dxa"/>
          </w:tcPr>
          <w:p w14:paraId="7621211D" w14:textId="77777777" w:rsidR="000D687E" w:rsidRPr="00CD6245" w:rsidRDefault="000D687E" w:rsidP="00567B7A">
            <w:pPr>
              <w:pStyle w:val="TableText"/>
            </w:pPr>
            <w:r w:rsidRPr="00CD6245">
              <w:t>6</w:t>
            </w:r>
          </w:p>
        </w:tc>
        <w:tc>
          <w:tcPr>
            <w:tcW w:w="2147" w:type="dxa"/>
          </w:tcPr>
          <w:p w14:paraId="70005E20" w14:textId="77777777" w:rsidR="000D687E" w:rsidRPr="00726E77" w:rsidRDefault="000D687E" w:rsidP="00567B7A">
            <w:pPr>
              <w:pStyle w:val="TableText"/>
              <w:cnfStyle w:val="000000000000" w:firstRow="0" w:lastRow="0" w:firstColumn="0" w:lastColumn="0" w:oddVBand="0" w:evenVBand="0" w:oddHBand="0" w:evenHBand="0" w:firstRowFirstColumn="0" w:firstRowLastColumn="0" w:lastRowFirstColumn="0" w:lastRowLastColumn="0"/>
            </w:pPr>
            <w:r w:rsidRPr="00726E77">
              <w:t>Planned procurement activity</w:t>
            </w:r>
          </w:p>
        </w:tc>
        <w:tc>
          <w:tcPr>
            <w:tcW w:w="610" w:type="dxa"/>
          </w:tcPr>
          <w:p w14:paraId="5927F6EC" w14:textId="77777777" w:rsidR="000D687E" w:rsidRDefault="000D687E" w:rsidP="006B0393">
            <w:pPr>
              <w:pStyle w:val="Tablenumbers"/>
              <w:cnfStyle w:val="000000000000" w:firstRow="0" w:lastRow="0" w:firstColumn="0" w:lastColumn="0" w:oddVBand="0" w:evenVBand="0" w:oddHBand="0" w:evenHBand="0" w:firstRowFirstColumn="0" w:firstRowLastColumn="0" w:lastRowFirstColumn="0" w:lastRowLastColumn="0"/>
            </w:pPr>
            <w:r w:rsidRPr="005A253C">
              <w:t>34.5</w:t>
            </w:r>
          </w:p>
        </w:tc>
        <w:tc>
          <w:tcPr>
            <w:tcW w:w="707" w:type="dxa"/>
          </w:tcPr>
          <w:p w14:paraId="6D389AF7" w14:textId="77777777" w:rsidR="000D687E" w:rsidRPr="005A253C" w:rsidRDefault="000D687E" w:rsidP="006B0393">
            <w:pPr>
              <w:pStyle w:val="Tablenumbers"/>
              <w:cnfStyle w:val="000000000000" w:firstRow="0" w:lastRow="0" w:firstColumn="0" w:lastColumn="0" w:oddVBand="0" w:evenVBand="0" w:oddHBand="0" w:evenHBand="0" w:firstRowFirstColumn="0" w:firstRowLastColumn="0" w:lastRowFirstColumn="0" w:lastRowLastColumn="0"/>
            </w:pPr>
            <w:r w:rsidRPr="005A253C">
              <w:t>31.7</w:t>
            </w:r>
          </w:p>
        </w:tc>
        <w:tc>
          <w:tcPr>
            <w:tcW w:w="571" w:type="dxa"/>
          </w:tcPr>
          <w:p w14:paraId="2F9DF0C4" w14:textId="77777777" w:rsidR="000D687E" w:rsidRPr="00CD6245" w:rsidRDefault="000D687E" w:rsidP="006B0393">
            <w:pPr>
              <w:pStyle w:val="Tablenumbers"/>
              <w:cnfStyle w:val="000000000000" w:firstRow="0" w:lastRow="0" w:firstColumn="0" w:lastColumn="0" w:oddVBand="0" w:evenVBand="0" w:oddHBand="0" w:evenHBand="0" w:firstRowFirstColumn="0" w:firstRowLastColumn="0" w:lastRowFirstColumn="0" w:lastRowLastColumn="0"/>
            </w:pPr>
            <w:r>
              <w:t>52.8</w:t>
            </w:r>
          </w:p>
        </w:tc>
        <w:tc>
          <w:tcPr>
            <w:tcW w:w="4063" w:type="dxa"/>
          </w:tcPr>
          <w:p w14:paraId="592A4C91" w14:textId="77777777" w:rsidR="000D687E" w:rsidRPr="00CD6245" w:rsidRDefault="000D687E" w:rsidP="00567B7A">
            <w:pPr>
              <w:pStyle w:val="TableText"/>
              <w:cnfStyle w:val="000000000000" w:firstRow="0" w:lastRow="0" w:firstColumn="0" w:lastColumn="0" w:oddVBand="0" w:evenVBand="0" w:oddHBand="0" w:evenHBand="0" w:firstRowFirstColumn="0" w:firstRowLastColumn="0" w:lastRowFirstColumn="0" w:lastRowLastColumn="0"/>
            </w:pPr>
            <w:r>
              <w:t xml:space="preserve">Significant increase due to engaging stakeholders much earlier. </w:t>
            </w:r>
          </w:p>
        </w:tc>
      </w:tr>
    </w:tbl>
    <w:p w14:paraId="1AF24C8F" w14:textId="77777777" w:rsidR="002A7E78" w:rsidRDefault="002A7E78" w:rsidP="002A7E78">
      <w:pPr>
        <w:pStyle w:val="Heading3NoNum"/>
      </w:pPr>
      <w:r>
        <w:t>Activities planned for 2018–19</w:t>
      </w:r>
    </w:p>
    <w:p w14:paraId="5C6FBF12" w14:textId="77777777" w:rsidR="002A7E78" w:rsidRDefault="002A7E78" w:rsidP="002A7E78">
      <w:pPr>
        <w:pStyle w:val="Normal1"/>
      </w:pPr>
      <w:r w:rsidRPr="00CD6245">
        <w:t xml:space="preserve">In </w:t>
      </w:r>
      <w:r>
        <w:t>2018–19,</w:t>
      </w:r>
      <w:r w:rsidRPr="00CD6245">
        <w:t xml:space="preserve"> </w:t>
      </w:r>
      <w:r>
        <w:t>DET</w:t>
      </w:r>
      <w:r w:rsidRPr="00CD6245">
        <w:t xml:space="preserve"> will:</w:t>
      </w:r>
    </w:p>
    <w:p w14:paraId="46020D6D" w14:textId="116AD7AF" w:rsidR="002A7E78" w:rsidRPr="0038456D" w:rsidRDefault="002A7E78" w:rsidP="002A7E78">
      <w:pPr>
        <w:pStyle w:val="Bullet1"/>
      </w:pPr>
      <w:r w:rsidRPr="0038456D">
        <w:t xml:space="preserve">update </w:t>
      </w:r>
      <w:r>
        <w:t>its</w:t>
      </w:r>
      <w:r w:rsidRPr="0038456D">
        <w:t xml:space="preserve"> </w:t>
      </w:r>
      <w:r w:rsidR="00686733" w:rsidRPr="0038456D">
        <w:t>annual capability plan</w:t>
      </w:r>
      <w:r w:rsidRPr="0038456D">
        <w:t>;</w:t>
      </w:r>
    </w:p>
    <w:p w14:paraId="57C9DA0D" w14:textId="77777777" w:rsidR="002A7E78" w:rsidRPr="0038456D" w:rsidRDefault="002A7E78" w:rsidP="002A7E78">
      <w:pPr>
        <w:pStyle w:val="Bullet1"/>
      </w:pPr>
      <w:r w:rsidRPr="0038456D">
        <w:t xml:space="preserve">review </w:t>
      </w:r>
      <w:r>
        <w:t>its</w:t>
      </w:r>
      <w:r w:rsidRPr="0038456D">
        <w:t xml:space="preserve"> procurement strategy;</w:t>
      </w:r>
    </w:p>
    <w:p w14:paraId="75BEFB30" w14:textId="77777777" w:rsidR="002A7E78" w:rsidRPr="0038456D" w:rsidRDefault="002A7E78" w:rsidP="002A7E78">
      <w:pPr>
        <w:pStyle w:val="Bullet1"/>
      </w:pPr>
      <w:r w:rsidRPr="0038456D">
        <w:t>complete a DET category review;</w:t>
      </w:r>
    </w:p>
    <w:p w14:paraId="3AB751CE" w14:textId="77777777" w:rsidR="002A7E78" w:rsidRPr="0038456D" w:rsidRDefault="002A7E78" w:rsidP="002A7E78">
      <w:pPr>
        <w:pStyle w:val="Bullet1"/>
      </w:pPr>
      <w:r w:rsidRPr="0038456D">
        <w:t>implement social procurement; and</w:t>
      </w:r>
    </w:p>
    <w:p w14:paraId="25CA1EEF" w14:textId="77777777" w:rsidR="002A7E78" w:rsidRPr="0038456D" w:rsidRDefault="002A7E78" w:rsidP="002A7E78">
      <w:pPr>
        <w:pStyle w:val="Bullet1"/>
      </w:pPr>
      <w:r w:rsidRPr="0038456D">
        <w:t>improve data analytics.</w:t>
      </w:r>
    </w:p>
    <w:p w14:paraId="23A49993" w14:textId="77777777" w:rsidR="00D8117A" w:rsidRDefault="00D8117A" w:rsidP="000D687E"/>
    <w:p w14:paraId="01928311" w14:textId="77777777" w:rsidR="000E6DCE" w:rsidRDefault="000E6DCE">
      <w:pPr>
        <w:rPr>
          <w:rFonts w:ascii="Calibri" w:hAnsi="Calibri" w:cs="Calibri"/>
          <w:color w:val="4D4D4D"/>
          <w:kern w:val="28"/>
          <w:sz w:val="30"/>
          <w:szCs w:val="22"/>
          <w:lang w:eastAsia="en-US"/>
        </w:rPr>
      </w:pPr>
      <w:bookmarkStart w:id="165" w:name="_Toc366693337"/>
      <w:r>
        <w:br w:type="page"/>
      </w:r>
    </w:p>
    <w:p w14:paraId="1F717184" w14:textId="5F98BCDE" w:rsidR="00A17A08" w:rsidRDefault="00A17A08" w:rsidP="00EF5FDF">
      <w:pPr>
        <w:pStyle w:val="Heading2NoNum"/>
      </w:pPr>
      <w:bookmarkStart w:id="166" w:name="_Toc524354083"/>
      <w:r w:rsidRPr="00CD6245">
        <w:lastRenderedPageBreak/>
        <w:t>Department of Environment, Land, Water and Planning</w:t>
      </w:r>
      <w:bookmarkEnd w:id="166"/>
    </w:p>
    <w:p w14:paraId="7AE94BD6" w14:textId="77777777" w:rsidR="000D687E" w:rsidRDefault="000D687E" w:rsidP="000D687E">
      <w:pPr>
        <w:pStyle w:val="Normal1"/>
      </w:pPr>
      <w:r>
        <w:rPr>
          <w:noProof/>
          <w:lang w:val="en-US" w:eastAsia="en-US"/>
        </w:rPr>
        <mc:AlternateContent>
          <mc:Choice Requires="wps">
            <w:drawing>
              <wp:anchor distT="0" distB="0" distL="114300" distR="114300" simplePos="0" relativeHeight="251652608" behindDoc="0" locked="0" layoutInCell="1" allowOverlap="1" wp14:anchorId="1B1FC83C" wp14:editId="008491E3">
                <wp:simplePos x="0" y="0"/>
                <wp:positionH relativeFrom="margin">
                  <wp:posOffset>3927690</wp:posOffset>
                </wp:positionH>
                <wp:positionV relativeFrom="margin">
                  <wp:posOffset>927472</wp:posOffset>
                </wp:positionV>
                <wp:extent cx="1838325" cy="1257300"/>
                <wp:effectExtent l="0" t="0" r="28575" b="19050"/>
                <wp:wrapSquare wrapText="bothSides"/>
                <wp:docPr id="46" name="Text Box 46"/>
                <wp:cNvGraphicFramePr/>
                <a:graphic xmlns:a="http://schemas.openxmlformats.org/drawingml/2006/main">
                  <a:graphicData uri="http://schemas.microsoft.com/office/word/2010/wordprocessingShape">
                    <wps:wsp>
                      <wps:cNvSpPr txBox="1"/>
                      <wps:spPr>
                        <a:xfrm>
                          <a:off x="0" y="0"/>
                          <a:ext cx="1838325" cy="1257300"/>
                        </a:xfrm>
                        <a:prstGeom prst="rect">
                          <a:avLst/>
                        </a:prstGeom>
                        <a:solidFill>
                          <a:schemeClr val="lt1"/>
                        </a:solidFill>
                        <a:ln w="6350">
                          <a:solidFill>
                            <a:prstClr val="black"/>
                          </a:solidFill>
                        </a:ln>
                      </wps:spPr>
                      <wps:txbx>
                        <w:txbxContent>
                          <w:p w14:paraId="205801D6" w14:textId="77777777" w:rsidR="001206E5" w:rsidRPr="006A5451" w:rsidRDefault="001206E5" w:rsidP="000C3B64">
                            <w:pPr>
                              <w:pStyle w:val="textbox"/>
                              <w:rPr>
                                <w:sz w:val="20"/>
                                <w:szCs w:val="20"/>
                              </w:rPr>
                            </w:pPr>
                            <w:r w:rsidRPr="006A5451">
                              <w:rPr>
                                <w:b/>
                                <w:sz w:val="20"/>
                                <w:szCs w:val="20"/>
                              </w:rPr>
                              <w:t>AO</w:t>
                            </w:r>
                            <w:r w:rsidRPr="006A5451">
                              <w:rPr>
                                <w:sz w:val="20"/>
                                <w:szCs w:val="20"/>
                              </w:rPr>
                              <w:t>: John Bradley, Secretary</w:t>
                            </w:r>
                          </w:p>
                          <w:p w14:paraId="6B4B2151" w14:textId="77777777" w:rsidR="001206E5" w:rsidRPr="006A5451" w:rsidRDefault="001206E5" w:rsidP="000C3B64">
                            <w:pPr>
                              <w:pStyle w:val="textbox"/>
                              <w:rPr>
                                <w:sz w:val="20"/>
                                <w:szCs w:val="20"/>
                              </w:rPr>
                            </w:pPr>
                            <w:r w:rsidRPr="006A5451">
                              <w:rPr>
                                <w:b/>
                                <w:sz w:val="20"/>
                                <w:szCs w:val="20"/>
                              </w:rPr>
                              <w:t>CPO</w:t>
                            </w:r>
                            <w:r w:rsidRPr="006A5451">
                              <w:rPr>
                                <w:sz w:val="20"/>
                                <w:szCs w:val="20"/>
                              </w:rPr>
                              <w:t xml:space="preserve">: </w:t>
                            </w:r>
                            <w:r w:rsidRPr="00427183">
                              <w:rPr>
                                <w:sz w:val="20"/>
                                <w:szCs w:val="20"/>
                              </w:rPr>
                              <w:t>A.J. Karliner</w:t>
                            </w:r>
                            <w:r w:rsidRPr="006A5451">
                              <w:rPr>
                                <w:sz w:val="20"/>
                                <w:szCs w:val="20"/>
                              </w:rPr>
                              <w:t>, CPO, Finance and Planning</w:t>
                            </w:r>
                          </w:p>
                          <w:p w14:paraId="3C4A1191" w14:textId="77777777" w:rsidR="001206E5" w:rsidRPr="006A5451" w:rsidRDefault="001206E5" w:rsidP="000C3B64">
                            <w:pPr>
                              <w:pStyle w:val="textbox"/>
                              <w:rPr>
                                <w:sz w:val="20"/>
                                <w:szCs w:val="20"/>
                              </w:rPr>
                            </w:pPr>
                            <w:r w:rsidRPr="006A5451">
                              <w:rPr>
                                <w:b/>
                                <w:sz w:val="20"/>
                                <w:szCs w:val="20"/>
                              </w:rPr>
                              <w:t>IPU Chair</w:t>
                            </w:r>
                            <w:r w:rsidRPr="006A5451">
                              <w:rPr>
                                <w:sz w:val="20"/>
                                <w:szCs w:val="20"/>
                              </w:rPr>
                              <w:t>: Helen Vaughan, Deputy Secretary, Water and Catchments</w:t>
                            </w:r>
                          </w:p>
                          <w:p w14:paraId="0090CC4F" w14:textId="77777777" w:rsidR="001206E5" w:rsidRPr="001631D3" w:rsidRDefault="001206E5" w:rsidP="000D687E">
                            <w:pP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1FC83C" id="Text Box 46" o:spid="_x0000_s1078" type="#_x0000_t202" style="position:absolute;left:0;text-align:left;margin-left:309.25pt;margin-top:73.05pt;width:144.75pt;height:99pt;z-index:25165260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" fillcolor="white [3201]" strokeweight=".5pt">
                <v:textbox>
                  <w:txbxContent>
                    <w:p w14:paraId="205801D6" w14:textId="77777777" w:rsidR="001206E5" w:rsidRPr="006A5451" w:rsidRDefault="001206E5" w:rsidP="000C3B64">
                      <w:pPr>
                        <w:pStyle w:val="textbox"/>
                        <w:rPr>
                          <w:sz w:val="20"/>
                          <w:szCs w:val="20"/>
                        </w:rPr>
                      </w:pPr>
                      <w:r w:rsidRPr="006A5451">
                        <w:rPr>
                          <w:b/>
                          <w:sz w:val="20"/>
                          <w:szCs w:val="20"/>
                        </w:rPr>
                        <w:t>AO</w:t>
                      </w:r>
                      <w:r w:rsidRPr="006A5451">
                        <w:rPr>
                          <w:sz w:val="20"/>
                          <w:szCs w:val="20"/>
                        </w:rPr>
                        <w:t>: John Bradley, Secretary</w:t>
                      </w:r>
                    </w:p>
                    <w:p w14:paraId="6B4B2151" w14:textId="77777777" w:rsidR="001206E5" w:rsidRPr="006A5451" w:rsidRDefault="001206E5" w:rsidP="000C3B64">
                      <w:pPr>
                        <w:pStyle w:val="textbox"/>
                        <w:rPr>
                          <w:sz w:val="20"/>
                          <w:szCs w:val="20"/>
                        </w:rPr>
                      </w:pPr>
                      <w:r w:rsidRPr="006A5451">
                        <w:rPr>
                          <w:b/>
                          <w:sz w:val="20"/>
                          <w:szCs w:val="20"/>
                        </w:rPr>
                        <w:t>CPO</w:t>
                      </w:r>
                      <w:r w:rsidRPr="006A5451">
                        <w:rPr>
                          <w:sz w:val="20"/>
                          <w:szCs w:val="20"/>
                        </w:rPr>
                        <w:t xml:space="preserve">: </w:t>
                      </w:r>
                      <w:r w:rsidRPr="00427183">
                        <w:rPr>
                          <w:sz w:val="20"/>
                          <w:szCs w:val="20"/>
                        </w:rPr>
                        <w:t>A.J. Karliner</w:t>
                      </w:r>
                      <w:r w:rsidRPr="006A5451">
                        <w:rPr>
                          <w:sz w:val="20"/>
                          <w:szCs w:val="20"/>
                        </w:rPr>
                        <w:t>, CPO, Finance and Planning</w:t>
                      </w:r>
                    </w:p>
                    <w:p w14:paraId="3C4A1191" w14:textId="77777777" w:rsidR="001206E5" w:rsidRPr="006A5451" w:rsidRDefault="001206E5" w:rsidP="000C3B64">
                      <w:pPr>
                        <w:pStyle w:val="textbox"/>
                        <w:rPr>
                          <w:sz w:val="20"/>
                          <w:szCs w:val="20"/>
                        </w:rPr>
                      </w:pPr>
                      <w:r w:rsidRPr="006A5451">
                        <w:rPr>
                          <w:b/>
                          <w:sz w:val="20"/>
                          <w:szCs w:val="20"/>
                        </w:rPr>
                        <w:t>IPU Chair</w:t>
                      </w:r>
                      <w:r w:rsidRPr="006A5451">
                        <w:rPr>
                          <w:sz w:val="20"/>
                          <w:szCs w:val="20"/>
                        </w:rPr>
                        <w:t>: Helen Vaughan, Deputy Secretary, Water and Catchments</w:t>
                      </w:r>
                    </w:p>
                    <w:p w14:paraId="0090CC4F" w14:textId="77777777" w:rsidR="001206E5" w:rsidRPr="001631D3" w:rsidRDefault="001206E5" w:rsidP="000D687E">
                      <w:pPr>
                        <w:rPr>
                          <w:sz w:val="20"/>
                          <w:szCs w:val="20"/>
                        </w:rPr>
                      </w:pPr>
                    </w:p>
                  </w:txbxContent>
                </v:textbox>
                <w10:wrap type="square" anchorx="margin" anchory="margin"/>
              </v:shape>
            </w:pict>
          </mc:Fallback>
        </mc:AlternateContent>
      </w:r>
      <w:r>
        <w:t xml:space="preserve">The </w:t>
      </w:r>
      <w:r w:rsidRPr="001631D3">
        <w:t>Department of Environment, Land, Water and Planning</w:t>
      </w:r>
      <w:r>
        <w:t xml:space="preserve"> (</w:t>
      </w:r>
      <w:r w:rsidRPr="00947B21">
        <w:t>DELWP</w:t>
      </w:r>
      <w:r>
        <w:t>)</w:t>
      </w:r>
      <w:r w:rsidRPr="00947B21">
        <w:t xml:space="preserve"> brings together Victoria’s planning, local government, environment, energy, suburban development, forests, emergency management, climate change and water functions into a single department to strengthen connections between the environment, community, industry and economy.</w:t>
      </w:r>
    </w:p>
    <w:p w14:paraId="630F58CF" w14:textId="77777777" w:rsidR="000D687E" w:rsidRDefault="000D687E" w:rsidP="000D687E">
      <w:pPr>
        <w:pStyle w:val="Heading3NoNum"/>
      </w:pPr>
      <w:r w:rsidRPr="00CD6245">
        <w:t>Procurement profile</w:t>
      </w:r>
    </w:p>
    <w:p w14:paraId="5ECEF801" w14:textId="1E8943A8" w:rsidR="000D687E" w:rsidRDefault="000D687E" w:rsidP="000D687E">
      <w:pPr>
        <w:pStyle w:val="Normal1"/>
      </w:pPr>
      <w:r>
        <w:t xml:space="preserve">DELWP </w:t>
      </w:r>
      <w:r w:rsidRPr="001B6555">
        <w:t>is an organisationally diverse department with a broad and operationally extensive procurement profile. At any one time</w:t>
      </w:r>
      <w:r>
        <w:t>,</w:t>
      </w:r>
      <w:r w:rsidRPr="001B6555">
        <w:t xml:space="preserve"> there are </w:t>
      </w:r>
      <w:r>
        <w:t>more than 1 500 current contracts</w:t>
      </w:r>
      <w:r w:rsidRPr="001B6555">
        <w:t xml:space="preserve"> rang</w:t>
      </w:r>
      <w:r>
        <w:t>ing from low-value and low-</w:t>
      </w:r>
      <w:r w:rsidRPr="001B6555">
        <w:t>risk to highly complex</w:t>
      </w:r>
      <w:r>
        <w:t>, long-</w:t>
      </w:r>
      <w:r w:rsidRPr="001B6555">
        <w:t xml:space="preserve">term contracts that are significant for the </w:t>
      </w:r>
      <w:r w:rsidR="0072562D">
        <w:t>D</w:t>
      </w:r>
      <w:r w:rsidRPr="001B6555">
        <w:t xml:space="preserve">epartment and </w:t>
      </w:r>
      <w:r>
        <w:t xml:space="preserve">the </w:t>
      </w:r>
      <w:r w:rsidR="0072562D">
        <w:t>s</w:t>
      </w:r>
      <w:r>
        <w:t>tate and need high-</w:t>
      </w:r>
      <w:r w:rsidRPr="001B6555">
        <w:t>level management.</w:t>
      </w:r>
    </w:p>
    <w:p w14:paraId="450D3367" w14:textId="35389BFB" w:rsidR="000D687E" w:rsidRDefault="000D687E" w:rsidP="000D687E">
      <w:pPr>
        <w:pStyle w:val="Normal1"/>
      </w:pPr>
      <w:r w:rsidRPr="001B6555">
        <w:t xml:space="preserve">A significant portion of </w:t>
      </w:r>
      <w:r w:rsidR="006A5451">
        <w:t>DELWP’s</w:t>
      </w:r>
      <w:r>
        <w:t xml:space="preserve"> procurement activity focus</w:t>
      </w:r>
      <w:r w:rsidRPr="001B6555">
        <w:t>e</w:t>
      </w:r>
      <w:r>
        <w:t>s</w:t>
      </w:r>
      <w:r w:rsidRPr="001B6555">
        <w:t xml:space="preserve"> on emergency management related to fire and flood recovery</w:t>
      </w:r>
      <w:r>
        <w:t xml:space="preserve">, including a </w:t>
      </w:r>
      <w:r w:rsidRPr="001B6555">
        <w:t>charter</w:t>
      </w:r>
      <w:r>
        <w:t>ed fleet of around 50 aircrafts.</w:t>
      </w:r>
    </w:p>
    <w:p w14:paraId="2679C59E" w14:textId="57C4EB37" w:rsidR="000D687E" w:rsidRDefault="000D687E" w:rsidP="000D687E">
      <w:pPr>
        <w:pStyle w:val="Normal1"/>
      </w:pPr>
      <w:r w:rsidRPr="0067757E">
        <w:t xml:space="preserve">Procurement in DELWP was </w:t>
      </w:r>
      <w:r w:rsidR="00494F38">
        <w:t>carried out</w:t>
      </w:r>
      <w:r w:rsidRPr="0067757E">
        <w:t xml:space="preserve"> under a decentralised model. The more significant procurement sourcing activities in 2017–18 included</w:t>
      </w:r>
      <w:r>
        <w:t>:</w:t>
      </w:r>
    </w:p>
    <w:p w14:paraId="289F1804" w14:textId="2E401FC1" w:rsidR="000D687E" w:rsidRDefault="000D687E" w:rsidP="000D687E">
      <w:pPr>
        <w:pStyle w:val="Bullet1"/>
      </w:pPr>
      <w:r w:rsidRPr="0067757E">
        <w:t>surface water monitoring services, including water quantity, water quality and monitoring site maintenance on behalf of the Regional Water Monitoring partnership;</w:t>
      </w:r>
    </w:p>
    <w:p w14:paraId="7A690E37" w14:textId="6D0F0774" w:rsidR="000D687E" w:rsidRDefault="000D687E" w:rsidP="000D687E">
      <w:pPr>
        <w:pStyle w:val="Bullet1"/>
      </w:pPr>
      <w:r w:rsidRPr="0067757E">
        <w:t>sourcing renewable energy certificates from solar suppliers;</w:t>
      </w:r>
    </w:p>
    <w:p w14:paraId="2B536019" w14:textId="749DCCE5" w:rsidR="000D687E" w:rsidRDefault="000D687E" w:rsidP="000D687E">
      <w:pPr>
        <w:pStyle w:val="Bullet1"/>
      </w:pPr>
      <w:r w:rsidRPr="0067757E">
        <w:t>personal protective clothing for firefighters</w:t>
      </w:r>
      <w:r>
        <w:t>;</w:t>
      </w:r>
      <w:r w:rsidRPr="0067757E">
        <w:t xml:space="preserve"> and</w:t>
      </w:r>
    </w:p>
    <w:p w14:paraId="31FF1096" w14:textId="7A6E85B4" w:rsidR="006A5451" w:rsidRDefault="000D687E" w:rsidP="000D687E">
      <w:pPr>
        <w:pStyle w:val="Bullet1"/>
      </w:pPr>
      <w:r w:rsidRPr="0067757E">
        <w:t>panels for labour hire and catering services at emergency events.</w:t>
      </w:r>
    </w:p>
    <w:p w14:paraId="6AA9E8CB" w14:textId="77777777" w:rsidR="006A5451" w:rsidRPr="007A584B" w:rsidRDefault="006A5451" w:rsidP="006A5451">
      <w:pPr>
        <w:pStyle w:val="Heading3NoNum"/>
      </w:pPr>
      <w:r w:rsidRPr="007A584B">
        <w:t>Compliance with VGPB policies and related activities</w:t>
      </w:r>
    </w:p>
    <w:p w14:paraId="173ADD23" w14:textId="03D0438B" w:rsidR="000D687E" w:rsidRDefault="000D687E" w:rsidP="000D687E">
      <w:pPr>
        <w:pStyle w:val="Normal1"/>
        <w:rPr>
          <w:lang w:eastAsia="en-US"/>
        </w:rPr>
      </w:pPr>
      <w:r>
        <w:rPr>
          <w:lang w:eastAsia="en-US"/>
        </w:rPr>
        <w:fldChar w:fldCharType="begin"/>
      </w:r>
      <w:r>
        <w:rPr>
          <w:lang w:eastAsia="en-US"/>
        </w:rPr>
        <w:instrText xml:space="preserve"> REF _Ref488393352 \h </w:instrText>
      </w:r>
      <w:r>
        <w:rPr>
          <w:lang w:eastAsia="en-US"/>
        </w:rPr>
      </w:r>
      <w:r>
        <w:rPr>
          <w:lang w:eastAsia="en-US"/>
        </w:rPr>
        <w:fldChar w:fldCharType="separate"/>
      </w:r>
      <w:r w:rsidR="00A07703" w:rsidRPr="007A584B">
        <w:t xml:space="preserve">Table </w:t>
      </w:r>
      <w:r w:rsidR="00A07703">
        <w:rPr>
          <w:noProof/>
        </w:rPr>
        <w:t>28</w:t>
      </w:r>
      <w:r>
        <w:rPr>
          <w:lang w:eastAsia="en-US"/>
        </w:rPr>
        <w:fldChar w:fldCharType="end"/>
      </w:r>
      <w:r>
        <w:rPr>
          <w:lang w:eastAsia="en-US"/>
        </w:rPr>
        <w:t xml:space="preserve"> lists DELWP’s activities to ensure and improve compliance with VGPB supply policies. </w:t>
      </w:r>
      <w:r w:rsidRPr="00212617">
        <w:rPr>
          <w:lang w:eastAsia="en-US"/>
        </w:rPr>
        <w:t xml:space="preserve">Compliance activities are </w:t>
      </w:r>
      <w:r>
        <w:rPr>
          <w:lang w:eastAsia="en-US"/>
        </w:rPr>
        <w:t xml:space="preserve">grouped against VGPB supply policies, </w:t>
      </w:r>
      <w:r w:rsidRPr="00212617">
        <w:rPr>
          <w:lang w:eastAsia="en-US"/>
        </w:rPr>
        <w:t>though activities often overlap with multiple policies.</w:t>
      </w:r>
    </w:p>
    <w:p w14:paraId="48423C8A" w14:textId="646D99A3" w:rsidR="000D687E" w:rsidRDefault="000D687E" w:rsidP="000D687E">
      <w:pPr>
        <w:pStyle w:val="Normal1"/>
      </w:pPr>
      <w:r>
        <w:t xml:space="preserve">DELWP underwent a VGPB audit in 2017–18. The VGPB identified six areas for improvement related to non-compliance with several policy areas, supporting components of DELWP’s </w:t>
      </w:r>
      <w:r w:rsidR="0072562D">
        <w:t>procurement strategy</w:t>
      </w:r>
      <w:r>
        <w:t xml:space="preserve">, and the operation of the </w:t>
      </w:r>
      <w:r w:rsidR="007B4D44">
        <w:t xml:space="preserve">IPU (the </w:t>
      </w:r>
      <w:r>
        <w:t>Procurement Committee</w:t>
      </w:r>
      <w:r w:rsidR="007B4D44">
        <w:t>)</w:t>
      </w:r>
      <w:r>
        <w:t>. DELWP implemented several actions to address these findings</w:t>
      </w:r>
      <w:r>
        <w:rPr>
          <w:noProof/>
        </w:rPr>
        <w:t>.</w:t>
      </w:r>
    </w:p>
    <w:p w14:paraId="30195625" w14:textId="7A99BE23" w:rsidR="000D687E" w:rsidRDefault="000D687E" w:rsidP="000D687E">
      <w:pPr>
        <w:pStyle w:val="Caption"/>
      </w:pPr>
      <w:bookmarkStart w:id="167" w:name="_Ref488393352"/>
      <w:bookmarkStart w:id="168" w:name="_Toc503949262"/>
      <w:bookmarkStart w:id="169" w:name="_Toc524354021"/>
      <w:r w:rsidRPr="007A584B">
        <w:t xml:space="preserve">Table </w:t>
      </w:r>
      <w:r>
        <w:rPr>
          <w:noProof/>
        </w:rPr>
        <w:fldChar w:fldCharType="begin"/>
      </w:r>
      <w:r>
        <w:rPr>
          <w:noProof/>
        </w:rPr>
        <w:instrText xml:space="preserve"> SEQ Table \* ARABIC </w:instrText>
      </w:r>
      <w:r>
        <w:rPr>
          <w:noProof/>
        </w:rPr>
        <w:fldChar w:fldCharType="separate"/>
      </w:r>
      <w:r w:rsidR="00A07703">
        <w:rPr>
          <w:noProof/>
        </w:rPr>
        <w:t>28</w:t>
      </w:r>
      <w:r>
        <w:rPr>
          <w:noProof/>
        </w:rPr>
        <w:fldChar w:fldCharType="end"/>
      </w:r>
      <w:bookmarkEnd w:id="167"/>
      <w:r w:rsidRPr="007A584B">
        <w:t xml:space="preserve">: </w:t>
      </w:r>
      <w:r>
        <w:t>DELWP</w:t>
      </w:r>
      <w:r w:rsidRPr="007A584B">
        <w:t>’</w:t>
      </w:r>
      <w:r>
        <w:t>s compliance activities in 2017–18</w:t>
      </w:r>
      <w:bookmarkEnd w:id="168"/>
      <w:bookmarkEnd w:id="169"/>
    </w:p>
    <w:tbl>
      <w:tblPr>
        <w:tblStyle w:val="ListTable31"/>
        <w:tblW w:w="8505" w:type="dxa"/>
        <w:tblInd w:w="846" w:type="dxa"/>
        <w:tblLook w:val="04A0" w:firstRow="1" w:lastRow="0" w:firstColumn="1" w:lastColumn="0" w:noHBand="0" w:noVBand="1"/>
      </w:tblPr>
      <w:tblGrid>
        <w:gridCol w:w="1843"/>
        <w:gridCol w:w="6662"/>
      </w:tblGrid>
      <w:tr w:rsidR="000D687E" w14:paraId="52267D58" w14:textId="77777777" w:rsidTr="00F66493">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843" w:type="dxa"/>
          </w:tcPr>
          <w:p w14:paraId="570AA561" w14:textId="77777777" w:rsidR="000D687E" w:rsidRDefault="000D687E" w:rsidP="00822FA3">
            <w:pPr>
              <w:pStyle w:val="TableText"/>
            </w:pPr>
            <w:r>
              <w:t>VGPB policy</w:t>
            </w:r>
          </w:p>
        </w:tc>
        <w:tc>
          <w:tcPr>
            <w:tcW w:w="6662" w:type="dxa"/>
          </w:tcPr>
          <w:p w14:paraId="4E774F35" w14:textId="77777777" w:rsidR="000D687E" w:rsidRPr="00822FA3" w:rsidRDefault="000D687E" w:rsidP="00822FA3">
            <w:pPr>
              <w:pStyle w:val="TableText"/>
              <w:cnfStyle w:val="100000000000" w:firstRow="1" w:lastRow="0" w:firstColumn="0" w:lastColumn="0" w:oddVBand="0" w:evenVBand="0" w:oddHBand="0" w:evenHBand="0" w:firstRowFirstColumn="0" w:firstRowLastColumn="0" w:lastRowFirstColumn="0" w:lastRowLastColumn="0"/>
              <w:rPr>
                <w:b w:val="0"/>
              </w:rPr>
            </w:pPr>
            <w:r w:rsidRPr="00822FA3">
              <w:rPr>
                <w:b w:val="0"/>
              </w:rPr>
              <w:t>Activities</w:t>
            </w:r>
          </w:p>
        </w:tc>
      </w:tr>
      <w:tr w:rsidR="000D687E" w14:paraId="2EF3D707" w14:textId="77777777" w:rsidTr="00D811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tcPr>
          <w:p w14:paraId="29A371AF" w14:textId="77777777" w:rsidR="000D687E" w:rsidRPr="003058E0" w:rsidRDefault="000D687E" w:rsidP="00567B7A">
            <w:pPr>
              <w:pStyle w:val="TableText"/>
            </w:pPr>
            <w:r w:rsidRPr="003058E0">
              <w:t>Governance</w:t>
            </w:r>
          </w:p>
        </w:tc>
        <w:tc>
          <w:tcPr>
            <w:tcW w:w="6662" w:type="dxa"/>
          </w:tcPr>
          <w:p w14:paraId="7E4D22CF" w14:textId="731AEBB4" w:rsidR="000D687E" w:rsidRPr="00822FA3" w:rsidRDefault="00FE71ED" w:rsidP="00822FA3">
            <w:pPr>
              <w:pStyle w:val="TableBullet"/>
              <w:cnfStyle w:val="000000100000" w:firstRow="0" w:lastRow="0" w:firstColumn="0" w:lastColumn="0" w:oddVBand="0" w:evenVBand="0" w:oddHBand="1" w:evenHBand="0" w:firstRowFirstColumn="0" w:firstRowLastColumn="0" w:lastRowFirstColumn="0" w:lastRowLastColumn="0"/>
            </w:pPr>
            <w:r>
              <w:t>R</w:t>
            </w:r>
            <w:r w:rsidR="000D687E" w:rsidRPr="00822FA3">
              <w:t xml:space="preserve">eviewed </w:t>
            </w:r>
            <w:r>
              <w:t>DELWP’s</w:t>
            </w:r>
            <w:r w:rsidR="000D687E" w:rsidRPr="00822FA3">
              <w:t xml:space="preserve"> procurement operating model and decided to move from a decentralised to a centre-led procurement model, with a focus on strategic sourcing and category management (audit action). The </w:t>
            </w:r>
            <w:r w:rsidR="009556FC" w:rsidRPr="00822FA3">
              <w:t>accountable off</w:t>
            </w:r>
            <w:r w:rsidR="00854DBF" w:rsidRPr="00822FA3">
              <w:t>icer</w:t>
            </w:r>
            <w:r w:rsidR="000D687E" w:rsidRPr="00822FA3">
              <w:t xml:space="preserve"> and IPU have approved the move and it will become operational in early 2018–19.</w:t>
            </w:r>
          </w:p>
          <w:p w14:paraId="703D500A" w14:textId="3D47FB64" w:rsidR="000D687E" w:rsidRPr="00822FA3" w:rsidRDefault="005F2D1F" w:rsidP="00822FA3">
            <w:pPr>
              <w:pStyle w:val="TableBullet"/>
              <w:cnfStyle w:val="000000100000" w:firstRow="0" w:lastRow="0" w:firstColumn="0" w:lastColumn="0" w:oddVBand="0" w:evenVBand="0" w:oddHBand="1" w:evenHBand="0" w:firstRowFirstColumn="0" w:firstRowLastColumn="0" w:lastRowFirstColumn="0" w:lastRowLastColumn="0"/>
            </w:pPr>
            <w:r w:rsidRPr="00822FA3">
              <w:t>DELWP</w:t>
            </w:r>
            <w:r w:rsidR="000D687E" w:rsidRPr="00822FA3">
              <w:t xml:space="preserve"> ha</w:t>
            </w:r>
            <w:r w:rsidRPr="00822FA3">
              <w:t>s</w:t>
            </w:r>
            <w:r w:rsidR="000D687E" w:rsidRPr="00822FA3">
              <w:t xml:space="preserve"> several layers of process approvals to ensure compliance with VGPB policies. In 2017–18, the ICT category manager independently reviewed ICT procurements between $100 000 and $500 000. The CPO approved procurement greater than $150 000, including variations and noted any breaches of procurement process. The Procurement Committee reviewed strategic procurement plans for procurements valued greater than $10</w:t>
            </w:r>
            <w:r w:rsidR="006A5451" w:rsidRPr="00822FA3">
              <w:t> </w:t>
            </w:r>
            <w:r w:rsidR="000D687E" w:rsidRPr="00822FA3">
              <w:t>million.</w:t>
            </w:r>
          </w:p>
          <w:p w14:paraId="2FDCCE5A" w14:textId="7D0C408D" w:rsidR="00FE71ED" w:rsidRDefault="00FE71ED" w:rsidP="0072377F">
            <w:pPr>
              <w:pStyle w:val="TableBullet"/>
              <w:cnfStyle w:val="000000100000" w:firstRow="0" w:lastRow="0" w:firstColumn="0" w:lastColumn="0" w:oddVBand="0" w:evenVBand="0" w:oddHBand="1" w:evenHBand="0" w:firstRowFirstColumn="0" w:firstRowLastColumn="0" w:lastRowFirstColumn="0" w:lastRowLastColumn="0"/>
            </w:pPr>
            <w:r>
              <w:t>M</w:t>
            </w:r>
            <w:r w:rsidR="000D687E" w:rsidRPr="00822FA3">
              <w:t xml:space="preserve">andated that for procurement greater than $500 000 </w:t>
            </w:r>
            <w:r>
              <w:t>with a</w:t>
            </w:r>
            <w:r w:rsidR="000D687E" w:rsidRPr="00822FA3">
              <w:t xml:space="preserve"> Project Control Board (PCB)</w:t>
            </w:r>
            <w:r w:rsidR="00767DAF">
              <w:t>,</w:t>
            </w:r>
            <w:r w:rsidR="000D687E" w:rsidRPr="00822FA3">
              <w:t xml:space="preserve"> a member of the procurement team must be included in the PCB.</w:t>
            </w:r>
          </w:p>
          <w:p w14:paraId="7B347EC0" w14:textId="5D442A7B" w:rsidR="000D687E" w:rsidRPr="00822FA3" w:rsidRDefault="00FE71ED" w:rsidP="00822FA3">
            <w:pPr>
              <w:pStyle w:val="TableBullet"/>
              <w:cnfStyle w:val="000000100000" w:firstRow="0" w:lastRow="0" w:firstColumn="0" w:lastColumn="0" w:oddVBand="0" w:evenVBand="0" w:oddHBand="1" w:evenHBand="0" w:firstRowFirstColumn="0" w:firstRowLastColumn="0" w:lastRowFirstColumn="0" w:lastRowLastColumn="0"/>
            </w:pPr>
            <w:r>
              <w:lastRenderedPageBreak/>
              <w:t>Mandated that c</w:t>
            </w:r>
            <w:r w:rsidR="000D687E" w:rsidRPr="00822FA3">
              <w:t xml:space="preserve">ontractors cannot be </w:t>
            </w:r>
            <w:r>
              <w:t>v</w:t>
            </w:r>
            <w:r w:rsidR="000D687E" w:rsidRPr="00822FA3">
              <w:t>oting members of a PCB or act as chair of a supplier evaluation committee (audit action)</w:t>
            </w:r>
            <w:r>
              <w:t>.</w:t>
            </w:r>
          </w:p>
          <w:p w14:paraId="27EF73FA" w14:textId="1B1E940B" w:rsidR="000D687E" w:rsidRPr="00822FA3" w:rsidRDefault="000D687E" w:rsidP="00822FA3">
            <w:pPr>
              <w:pStyle w:val="TableBullet"/>
              <w:cnfStyle w:val="000000100000" w:firstRow="0" w:lastRow="0" w:firstColumn="0" w:lastColumn="0" w:oddVBand="0" w:evenVBand="0" w:oddHBand="1" w:evenHBand="0" w:firstRowFirstColumn="0" w:firstRowLastColumn="0" w:lastRowFirstColumn="0" w:lastRowLastColumn="0"/>
            </w:pPr>
            <w:r w:rsidRPr="00822FA3">
              <w:t>IPU members self-assessed their performance on the IPU (audit action).</w:t>
            </w:r>
          </w:p>
          <w:p w14:paraId="28410AC6" w14:textId="7E2BCC2D" w:rsidR="000D687E" w:rsidRPr="00822FA3" w:rsidRDefault="00FE71ED" w:rsidP="00822FA3">
            <w:pPr>
              <w:pStyle w:val="TableBullet"/>
              <w:cnfStyle w:val="000000100000" w:firstRow="0" w:lastRow="0" w:firstColumn="0" w:lastColumn="0" w:oddVBand="0" w:evenVBand="0" w:oddHBand="1" w:evenHBand="0" w:firstRowFirstColumn="0" w:firstRowLastColumn="0" w:lastRowFirstColumn="0" w:lastRowLastColumn="0"/>
            </w:pPr>
            <w:r>
              <w:t>R</w:t>
            </w:r>
            <w:r w:rsidR="000D687E" w:rsidRPr="00822FA3">
              <w:t>eviewed and updated procurement policies and procedures to ensure the procurement requirements are unambiguous and well understood by staff (audit action).</w:t>
            </w:r>
          </w:p>
          <w:p w14:paraId="6247164F" w14:textId="3573D4FD" w:rsidR="000D687E" w:rsidRPr="00822FA3" w:rsidRDefault="00FE71ED" w:rsidP="00822FA3">
            <w:pPr>
              <w:pStyle w:val="TableBullet"/>
              <w:cnfStyle w:val="000000100000" w:firstRow="0" w:lastRow="0" w:firstColumn="0" w:lastColumn="0" w:oddVBand="0" w:evenVBand="0" w:oddHBand="1" w:evenHBand="0" w:firstRowFirstColumn="0" w:firstRowLastColumn="0" w:lastRowFirstColumn="0" w:lastRowLastColumn="0"/>
            </w:pPr>
            <w:r>
              <w:t xml:space="preserve">Began </w:t>
            </w:r>
            <w:r w:rsidR="000D687E" w:rsidRPr="00822FA3">
              <w:t xml:space="preserve">updating </w:t>
            </w:r>
            <w:r>
              <w:t>DELWP’s</w:t>
            </w:r>
            <w:r w:rsidR="00D23123" w:rsidRPr="00822FA3">
              <w:t xml:space="preserve"> </w:t>
            </w:r>
            <w:r w:rsidR="0072562D">
              <w:t>p</w:t>
            </w:r>
            <w:r w:rsidR="00D23123" w:rsidRPr="00822FA3">
              <w:t xml:space="preserve">rocurement </w:t>
            </w:r>
            <w:r w:rsidR="0072562D">
              <w:t>s</w:t>
            </w:r>
            <w:r w:rsidR="00D23123" w:rsidRPr="00822FA3">
              <w:t>t</w:t>
            </w:r>
            <w:r w:rsidR="000D687E" w:rsidRPr="00822FA3">
              <w:t>rategy (audit action).</w:t>
            </w:r>
          </w:p>
          <w:p w14:paraId="5C2FC05F" w14:textId="331B28EA" w:rsidR="000D687E" w:rsidRPr="00822FA3" w:rsidRDefault="00FE71ED" w:rsidP="00822FA3">
            <w:pPr>
              <w:pStyle w:val="TableBullet"/>
              <w:cnfStyle w:val="000000100000" w:firstRow="0" w:lastRow="0" w:firstColumn="0" w:lastColumn="0" w:oddVBand="0" w:evenVBand="0" w:oddHBand="1" w:evenHBand="0" w:firstRowFirstColumn="0" w:firstRowLastColumn="0" w:lastRowFirstColumn="0" w:lastRowLastColumn="0"/>
            </w:pPr>
            <w:r>
              <w:t>I</w:t>
            </w:r>
            <w:r w:rsidR="000D687E" w:rsidRPr="00822FA3">
              <w:t>mplemented a tracking process to identify actual savings declared in procurement approval documentation to improve reporting on savings and enable reporting against the</w:t>
            </w:r>
            <w:r w:rsidR="002B31CB">
              <w:t xml:space="preserve"> VGPB’s</w:t>
            </w:r>
            <w:r w:rsidR="000D687E" w:rsidRPr="00822FA3">
              <w:t xml:space="preserve"> first performance measure. </w:t>
            </w:r>
          </w:p>
        </w:tc>
      </w:tr>
      <w:tr w:rsidR="000D687E" w14:paraId="348C167F" w14:textId="77777777" w:rsidTr="00D8117A">
        <w:tc>
          <w:tcPr>
            <w:cnfStyle w:val="001000000000" w:firstRow="0" w:lastRow="0" w:firstColumn="1" w:lastColumn="0" w:oddVBand="0" w:evenVBand="0" w:oddHBand="0" w:evenHBand="0" w:firstRowFirstColumn="0" w:firstRowLastColumn="0" w:lastRowFirstColumn="0" w:lastRowLastColumn="0"/>
            <w:tcW w:w="1843" w:type="dxa"/>
          </w:tcPr>
          <w:p w14:paraId="5B8CEB34" w14:textId="77777777" w:rsidR="000D687E" w:rsidRPr="003058E0" w:rsidRDefault="000D687E" w:rsidP="00567B7A">
            <w:pPr>
              <w:pStyle w:val="TableText"/>
            </w:pPr>
            <w:r w:rsidRPr="003058E0">
              <w:lastRenderedPageBreak/>
              <w:t>Complexity and capability</w:t>
            </w:r>
          </w:p>
        </w:tc>
        <w:tc>
          <w:tcPr>
            <w:tcW w:w="6662" w:type="dxa"/>
          </w:tcPr>
          <w:p w14:paraId="4828048E" w14:textId="05096829" w:rsidR="000D687E" w:rsidRPr="00822FA3" w:rsidRDefault="00FE71ED" w:rsidP="00822FA3">
            <w:pPr>
              <w:pStyle w:val="TableBullet"/>
              <w:cnfStyle w:val="000000000000" w:firstRow="0" w:lastRow="0" w:firstColumn="0" w:lastColumn="0" w:oddVBand="0" w:evenVBand="0" w:oddHBand="0" w:evenHBand="0" w:firstRowFirstColumn="0" w:firstRowLastColumn="0" w:lastRowFirstColumn="0" w:lastRowLastColumn="0"/>
            </w:pPr>
            <w:r>
              <w:t>Assessed capability using DELWP’s own p</w:t>
            </w:r>
            <w:r w:rsidR="000D687E" w:rsidRPr="00822FA3">
              <w:t>rocurement capability assessment survey</w:t>
            </w:r>
            <w:r>
              <w:t xml:space="preserve"> for the third and final year. The results </w:t>
            </w:r>
            <w:r w:rsidR="000D687E" w:rsidRPr="00822FA3">
              <w:t xml:space="preserve">give a snapshot of DELWP’s procurement maturity. Procurement is still relatively immature overall, but </w:t>
            </w:r>
            <w:r>
              <w:t>the Department has</w:t>
            </w:r>
            <w:r w:rsidR="000D687E" w:rsidRPr="00822FA3">
              <w:t xml:space="preserve"> seen incremental improvements each year.</w:t>
            </w:r>
          </w:p>
          <w:p w14:paraId="42438D2F" w14:textId="782BBBFE" w:rsidR="000D687E" w:rsidRPr="00822FA3" w:rsidRDefault="00FE71ED" w:rsidP="00822FA3">
            <w:pPr>
              <w:pStyle w:val="TableBullet"/>
              <w:cnfStyle w:val="000000000000" w:firstRow="0" w:lastRow="0" w:firstColumn="0" w:lastColumn="0" w:oddVBand="0" w:evenVBand="0" w:oddHBand="0" w:evenHBand="0" w:firstRowFirstColumn="0" w:firstRowLastColumn="0" w:lastRowFirstColumn="0" w:lastRowLastColumn="0"/>
            </w:pPr>
            <w:r>
              <w:t>A</w:t>
            </w:r>
            <w:r w:rsidR="000D687E" w:rsidRPr="00822FA3">
              <w:t xml:space="preserve">fter reviewing </w:t>
            </w:r>
            <w:r w:rsidR="005F2D1F" w:rsidRPr="00822FA3">
              <w:t>DELWP’s</w:t>
            </w:r>
            <w:r w:rsidR="000D687E" w:rsidRPr="00822FA3">
              <w:t xml:space="preserve"> training framework, </w:t>
            </w:r>
            <w:r w:rsidR="005F2D1F" w:rsidRPr="00822FA3">
              <w:t>the Department</w:t>
            </w:r>
            <w:r w:rsidR="000D687E" w:rsidRPr="00822FA3">
              <w:t xml:space="preserve"> implemented an introductory procurement </w:t>
            </w:r>
            <w:r w:rsidRPr="009E0FFA">
              <w:t>e-learning</w:t>
            </w:r>
            <w:r w:rsidRPr="00822FA3">
              <w:t xml:space="preserve"> </w:t>
            </w:r>
            <w:r w:rsidR="000D687E" w:rsidRPr="00822FA3">
              <w:t xml:space="preserve">training course available on </w:t>
            </w:r>
            <w:r w:rsidR="005F2D1F" w:rsidRPr="00822FA3">
              <w:t>the</w:t>
            </w:r>
            <w:r w:rsidR="000D687E" w:rsidRPr="00822FA3">
              <w:t xml:space="preserve"> intranet for all staff to cover a gap identified in this area (audit action).</w:t>
            </w:r>
          </w:p>
        </w:tc>
      </w:tr>
      <w:tr w:rsidR="000D687E" w14:paraId="78D456F2" w14:textId="77777777" w:rsidTr="00D811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tcPr>
          <w:p w14:paraId="7D47D87B" w14:textId="77777777" w:rsidR="000D687E" w:rsidRPr="003058E0" w:rsidRDefault="000D687E" w:rsidP="00567B7A">
            <w:pPr>
              <w:pStyle w:val="TableText"/>
            </w:pPr>
            <w:r w:rsidRPr="003058E0">
              <w:t>Market analysis and review</w:t>
            </w:r>
          </w:p>
        </w:tc>
        <w:tc>
          <w:tcPr>
            <w:tcW w:w="6662" w:type="dxa"/>
          </w:tcPr>
          <w:p w14:paraId="4848D86D" w14:textId="6E8F204D" w:rsidR="000D687E" w:rsidRPr="00822FA3" w:rsidRDefault="00FE71ED" w:rsidP="00822FA3">
            <w:pPr>
              <w:pStyle w:val="TableBullet"/>
              <w:cnfStyle w:val="000000100000" w:firstRow="0" w:lastRow="0" w:firstColumn="0" w:lastColumn="0" w:oddVBand="0" w:evenVBand="0" w:oddHBand="1" w:evenHBand="0" w:firstRowFirstColumn="0" w:firstRowLastColumn="0" w:lastRowFirstColumn="0" w:lastRowLastColumn="0"/>
            </w:pPr>
            <w:r>
              <w:t>B</w:t>
            </w:r>
            <w:r w:rsidR="000D687E" w:rsidRPr="00822FA3">
              <w:t xml:space="preserve">ecame a member of a leading procurement intelligence provider, giving access to market intelligence to support </w:t>
            </w:r>
            <w:r w:rsidR="00BD0C9D">
              <w:t>DELWP’s</w:t>
            </w:r>
            <w:r w:rsidR="000D687E" w:rsidRPr="00822FA3">
              <w:t xml:space="preserve"> sourcing practices.</w:t>
            </w:r>
          </w:p>
          <w:p w14:paraId="2DA39D3F" w14:textId="635A62A5" w:rsidR="000D687E" w:rsidRPr="00822FA3" w:rsidRDefault="00FE71ED" w:rsidP="00822FA3">
            <w:pPr>
              <w:pStyle w:val="TableBullet"/>
              <w:cnfStyle w:val="000000100000" w:firstRow="0" w:lastRow="0" w:firstColumn="0" w:lastColumn="0" w:oddVBand="0" w:evenVBand="0" w:oddHBand="1" w:evenHBand="0" w:firstRowFirstColumn="0" w:firstRowLastColumn="0" w:lastRowFirstColumn="0" w:lastRowLastColumn="0"/>
            </w:pPr>
            <w:r>
              <w:t>B</w:t>
            </w:r>
            <w:r w:rsidR="006A5451" w:rsidRPr="00822FA3">
              <w:t>ought</w:t>
            </w:r>
            <w:r w:rsidR="000D687E" w:rsidRPr="00822FA3">
              <w:t xml:space="preserve"> a licence to a financial in</w:t>
            </w:r>
            <w:r>
              <w:t>tel</w:t>
            </w:r>
            <w:r w:rsidR="000D687E" w:rsidRPr="00822FA3">
              <w:t xml:space="preserve"> services provider. </w:t>
            </w:r>
            <w:r w:rsidR="005F2D1F" w:rsidRPr="00822FA3">
              <w:t xml:space="preserve">The Department </w:t>
            </w:r>
            <w:r w:rsidR="000D687E" w:rsidRPr="00822FA3">
              <w:t xml:space="preserve">will use </w:t>
            </w:r>
            <w:r w:rsidR="00092526">
              <w:t>its</w:t>
            </w:r>
            <w:r w:rsidR="00092526" w:rsidRPr="00822FA3">
              <w:t xml:space="preserve"> </w:t>
            </w:r>
            <w:r w:rsidR="000D687E" w:rsidRPr="00822FA3">
              <w:t xml:space="preserve">tools to identify </w:t>
            </w:r>
            <w:r w:rsidR="005F2D1F" w:rsidRPr="00822FA3">
              <w:t>its</w:t>
            </w:r>
            <w:r w:rsidR="000D687E" w:rsidRPr="00822FA3">
              <w:t xml:space="preserve"> small</w:t>
            </w:r>
            <w:r w:rsidR="00D23123" w:rsidRPr="00822FA3">
              <w:t xml:space="preserve"> </w:t>
            </w:r>
            <w:r w:rsidR="000D687E" w:rsidRPr="00822FA3">
              <w:t>to</w:t>
            </w:r>
            <w:r w:rsidR="00D23123" w:rsidRPr="00822FA3">
              <w:t xml:space="preserve"> </w:t>
            </w:r>
            <w:r w:rsidR="000D687E" w:rsidRPr="00822FA3">
              <w:t>medium vendors and Aboriginal and social enterprise organisations</w:t>
            </w:r>
            <w:r w:rsidR="00092526">
              <w:t>,</w:t>
            </w:r>
            <w:r w:rsidR="000D687E" w:rsidRPr="00822FA3">
              <w:t xml:space="preserve"> so </w:t>
            </w:r>
            <w:r w:rsidR="005F2D1F" w:rsidRPr="00822FA3">
              <w:t>it</w:t>
            </w:r>
            <w:r w:rsidR="000D687E" w:rsidRPr="00822FA3">
              <w:t xml:space="preserve"> can monitor Aboriginal expenditure targets and companies in financial distress.</w:t>
            </w:r>
            <w:r w:rsidR="000D687E" w:rsidRPr="00822FA3" w:rsidDel="0059482F">
              <w:t xml:space="preserve"> </w:t>
            </w:r>
          </w:p>
        </w:tc>
      </w:tr>
      <w:tr w:rsidR="000D687E" w14:paraId="6755736C" w14:textId="77777777" w:rsidTr="00D8117A">
        <w:tc>
          <w:tcPr>
            <w:cnfStyle w:val="001000000000" w:firstRow="0" w:lastRow="0" w:firstColumn="1" w:lastColumn="0" w:oddVBand="0" w:evenVBand="0" w:oddHBand="0" w:evenHBand="0" w:firstRowFirstColumn="0" w:firstRowLastColumn="0" w:lastRowFirstColumn="0" w:lastRowLastColumn="0"/>
            <w:tcW w:w="1843" w:type="dxa"/>
          </w:tcPr>
          <w:p w14:paraId="051872AF" w14:textId="77777777" w:rsidR="000D687E" w:rsidRPr="003058E0" w:rsidRDefault="000D687E" w:rsidP="00567B7A">
            <w:pPr>
              <w:pStyle w:val="TableText"/>
            </w:pPr>
            <w:r w:rsidRPr="003058E0">
              <w:t>Market approach</w:t>
            </w:r>
          </w:p>
        </w:tc>
        <w:tc>
          <w:tcPr>
            <w:tcW w:w="6662" w:type="dxa"/>
          </w:tcPr>
          <w:p w14:paraId="15F4654A" w14:textId="076A95A3" w:rsidR="000D687E" w:rsidRPr="00822FA3" w:rsidRDefault="00FE71ED" w:rsidP="00822FA3">
            <w:pPr>
              <w:pStyle w:val="TableBullet"/>
              <w:cnfStyle w:val="000000000000" w:firstRow="0" w:lastRow="0" w:firstColumn="0" w:lastColumn="0" w:oddVBand="0" w:evenVBand="0" w:oddHBand="0" w:evenHBand="0" w:firstRowFirstColumn="0" w:firstRowLastColumn="0" w:lastRowFirstColumn="0" w:lastRowLastColumn="0"/>
            </w:pPr>
            <w:r>
              <w:t>B</w:t>
            </w:r>
            <w:r w:rsidR="000D687E" w:rsidRPr="00822FA3">
              <w:t xml:space="preserve">ought a Social Traders Ltd membership so </w:t>
            </w:r>
            <w:r w:rsidR="005F2D1F" w:rsidRPr="00822FA3">
              <w:t xml:space="preserve">it </w:t>
            </w:r>
            <w:r w:rsidR="000D687E" w:rsidRPr="00822FA3">
              <w:t xml:space="preserve">can promote social enterprises as potential </w:t>
            </w:r>
            <w:r w:rsidRPr="004062CA">
              <w:t>DELWP</w:t>
            </w:r>
            <w:r w:rsidRPr="00822FA3">
              <w:t xml:space="preserve"> </w:t>
            </w:r>
            <w:r w:rsidR="000D687E" w:rsidRPr="00822FA3">
              <w:t xml:space="preserve">vendors. This allows </w:t>
            </w:r>
            <w:r w:rsidR="005F2D1F" w:rsidRPr="00822FA3">
              <w:t xml:space="preserve">the Department </w:t>
            </w:r>
            <w:r w:rsidR="000D687E" w:rsidRPr="00822FA3">
              <w:t xml:space="preserve">to support disadvantaged or </w:t>
            </w:r>
            <w:r w:rsidR="00BF6445" w:rsidRPr="00822FA3">
              <w:t xml:space="preserve">Aboriginal </w:t>
            </w:r>
            <w:r w:rsidR="000D687E" w:rsidRPr="00822FA3">
              <w:t>business participation in the government marketplace.</w:t>
            </w:r>
          </w:p>
          <w:p w14:paraId="5BDE86D2" w14:textId="3F08CCE3" w:rsidR="000D687E" w:rsidRPr="00822FA3" w:rsidRDefault="00FE71ED" w:rsidP="00822FA3">
            <w:pPr>
              <w:pStyle w:val="TableBullet"/>
              <w:cnfStyle w:val="000000000000" w:firstRow="0" w:lastRow="0" w:firstColumn="0" w:lastColumn="0" w:oddVBand="0" w:evenVBand="0" w:oddHBand="0" w:evenHBand="0" w:firstRowFirstColumn="0" w:firstRowLastColumn="0" w:lastRowFirstColumn="0" w:lastRowLastColumn="0"/>
            </w:pPr>
            <w:r>
              <w:t>P</w:t>
            </w:r>
            <w:r w:rsidR="000D687E" w:rsidRPr="00822FA3">
              <w:t xml:space="preserve">rocured a vendor management system for contingent labour so </w:t>
            </w:r>
            <w:r w:rsidR="005F2D1F" w:rsidRPr="00822FA3">
              <w:t>it</w:t>
            </w:r>
            <w:r w:rsidR="000D687E" w:rsidRPr="00822FA3">
              <w:t xml:space="preserve"> can streamline sourcing and contract management and improve reporting on contingent labour. This will be implemented in 2018–19.</w:t>
            </w:r>
          </w:p>
          <w:p w14:paraId="02E71650" w14:textId="1523EE0A" w:rsidR="000D687E" w:rsidRPr="00822FA3" w:rsidRDefault="00FE71ED" w:rsidP="00822FA3">
            <w:pPr>
              <w:pStyle w:val="TableBullet"/>
              <w:cnfStyle w:val="000000000000" w:firstRow="0" w:lastRow="0" w:firstColumn="0" w:lastColumn="0" w:oddVBand="0" w:evenVBand="0" w:oddHBand="0" w:evenHBand="0" w:firstRowFirstColumn="0" w:firstRowLastColumn="0" w:lastRowFirstColumn="0" w:lastRowLastColumn="0"/>
            </w:pPr>
            <w:r>
              <w:t>Began r</w:t>
            </w:r>
            <w:r w:rsidR="000D687E" w:rsidRPr="00822FA3">
              <w:t>eviewing source-to-contract tools to manage tenders and suppliers and provide better reporting (audit action).</w:t>
            </w:r>
          </w:p>
          <w:p w14:paraId="764F9D60" w14:textId="6C4550EC" w:rsidR="000D687E" w:rsidRPr="00822FA3" w:rsidRDefault="00EE2B46" w:rsidP="00822FA3">
            <w:pPr>
              <w:pStyle w:val="TableBullet"/>
              <w:cnfStyle w:val="000000000000" w:firstRow="0" w:lastRow="0" w:firstColumn="0" w:lastColumn="0" w:oddVBand="0" w:evenVBand="0" w:oddHBand="0" w:evenHBand="0" w:firstRowFirstColumn="0" w:firstRowLastColumn="0" w:lastRowFirstColumn="0" w:lastRowLastColumn="0"/>
            </w:pPr>
            <w:r>
              <w:t>I</w:t>
            </w:r>
            <w:r w:rsidR="000D687E" w:rsidRPr="00822FA3">
              <w:t xml:space="preserve">ntroduced a </w:t>
            </w:r>
            <w:r w:rsidR="00FE71ED" w:rsidRPr="009E0FFA">
              <w:t>Best and Final Offer</w:t>
            </w:r>
            <w:r w:rsidR="000D687E" w:rsidRPr="00822FA3">
              <w:t xml:space="preserve"> template to standardise DELWP’s</w:t>
            </w:r>
            <w:r>
              <w:t xml:space="preserve"> </w:t>
            </w:r>
            <w:r w:rsidRPr="009E0FFA">
              <w:t>Best and Final Offer</w:t>
            </w:r>
            <w:r w:rsidR="000D687E" w:rsidRPr="00822FA3">
              <w:t xml:space="preserve"> approach. </w:t>
            </w:r>
          </w:p>
        </w:tc>
      </w:tr>
      <w:tr w:rsidR="000D687E" w14:paraId="46243770" w14:textId="77777777" w:rsidTr="00D811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tcPr>
          <w:p w14:paraId="5439D744" w14:textId="77777777" w:rsidR="000D687E" w:rsidRPr="003058E0" w:rsidRDefault="000D687E" w:rsidP="00567B7A">
            <w:pPr>
              <w:pStyle w:val="TableText"/>
            </w:pPr>
            <w:r w:rsidRPr="003058E0">
              <w:t>Contract management and disclosure</w:t>
            </w:r>
          </w:p>
        </w:tc>
        <w:tc>
          <w:tcPr>
            <w:tcW w:w="6662" w:type="dxa"/>
          </w:tcPr>
          <w:p w14:paraId="4A042E29" w14:textId="29005B86" w:rsidR="000D687E" w:rsidRPr="00822FA3" w:rsidRDefault="00EE2B46" w:rsidP="00822FA3">
            <w:pPr>
              <w:pStyle w:val="TableBullet"/>
              <w:cnfStyle w:val="000000100000" w:firstRow="0" w:lastRow="0" w:firstColumn="0" w:lastColumn="0" w:oddVBand="0" w:evenVBand="0" w:oddHBand="1" w:evenHBand="0" w:firstRowFirstColumn="0" w:firstRowLastColumn="0" w:lastRowFirstColumn="0" w:lastRowLastColumn="0"/>
            </w:pPr>
            <w:r>
              <w:t>S</w:t>
            </w:r>
            <w:r w:rsidR="000D687E" w:rsidRPr="00822FA3">
              <w:t>tarted a contract review process</w:t>
            </w:r>
            <w:r w:rsidR="001957A9">
              <w:t xml:space="preserve">, </w:t>
            </w:r>
            <w:r w:rsidR="000D687E" w:rsidRPr="00822FA3">
              <w:t>select</w:t>
            </w:r>
            <w:r w:rsidR="001957A9">
              <w:t>ing</w:t>
            </w:r>
            <w:r w:rsidR="000D687E" w:rsidRPr="00822FA3">
              <w:t xml:space="preserve"> a sample of contracts for review each quarter against management review principles.</w:t>
            </w:r>
          </w:p>
          <w:p w14:paraId="1D6BA84C" w14:textId="52163FC8" w:rsidR="000D687E" w:rsidRPr="00822FA3" w:rsidRDefault="00EE2B46" w:rsidP="00822FA3">
            <w:pPr>
              <w:pStyle w:val="TableBullet"/>
              <w:cnfStyle w:val="000000100000" w:firstRow="0" w:lastRow="0" w:firstColumn="0" w:lastColumn="0" w:oddVBand="0" w:evenVBand="0" w:oddHBand="1" w:evenHBand="0" w:firstRowFirstColumn="0" w:firstRowLastColumn="0" w:lastRowFirstColumn="0" w:lastRowLastColumn="0"/>
            </w:pPr>
            <w:r>
              <w:t>P</w:t>
            </w:r>
            <w:r w:rsidR="000D687E" w:rsidRPr="00822FA3">
              <w:t xml:space="preserve">ublished any contracts needing to be published on the Contracts Publishing System (audit action). </w:t>
            </w:r>
          </w:p>
        </w:tc>
      </w:tr>
    </w:tbl>
    <w:p w14:paraId="766F96A1" w14:textId="5844E300" w:rsidR="000D687E" w:rsidRPr="00CD6245" w:rsidRDefault="000D687E" w:rsidP="000D687E">
      <w:pPr>
        <w:pStyle w:val="Heading3NoNum"/>
      </w:pPr>
      <w:r w:rsidRPr="00CD6245">
        <w:t>Performance</w:t>
      </w:r>
    </w:p>
    <w:p w14:paraId="31F2A19D" w14:textId="753F5618" w:rsidR="000D687E" w:rsidRPr="00CD6245" w:rsidRDefault="000D687E" w:rsidP="000D687E">
      <w:pPr>
        <w:pStyle w:val="Normal1"/>
      </w:pPr>
      <w:r>
        <w:fldChar w:fldCharType="begin"/>
      </w:r>
      <w:r>
        <w:instrText xml:space="preserve"> REF _Ref489542224 \h </w:instrText>
      </w:r>
      <w:r>
        <w:fldChar w:fldCharType="separate"/>
      </w:r>
      <w:r w:rsidR="00A07703" w:rsidRPr="00CD6245">
        <w:t xml:space="preserve">Table </w:t>
      </w:r>
      <w:r w:rsidR="00A07703">
        <w:rPr>
          <w:noProof/>
        </w:rPr>
        <w:t>29</w:t>
      </w:r>
      <w:r>
        <w:fldChar w:fldCharType="end"/>
      </w:r>
      <w:r w:rsidRPr="00CD6245">
        <w:t xml:space="preserve"> </w:t>
      </w:r>
      <w:r>
        <w:t xml:space="preserve">sets out DELWP’s performance in 2017–18, </w:t>
      </w:r>
      <w:r w:rsidR="006A5451">
        <w:t>compared with the two previous years.</w:t>
      </w:r>
    </w:p>
    <w:p w14:paraId="442ED914" w14:textId="3881B04F" w:rsidR="000D687E" w:rsidRDefault="000D687E" w:rsidP="000D687E">
      <w:pPr>
        <w:pStyle w:val="Caption"/>
      </w:pPr>
      <w:bookmarkStart w:id="170" w:name="_Ref489542224"/>
      <w:bookmarkStart w:id="171" w:name="_Toc503949263"/>
      <w:bookmarkStart w:id="172" w:name="_Toc524354022"/>
      <w:r w:rsidRPr="00CD6245">
        <w:t xml:space="preserve">Table </w:t>
      </w:r>
      <w:r>
        <w:rPr>
          <w:noProof/>
        </w:rPr>
        <w:fldChar w:fldCharType="begin"/>
      </w:r>
      <w:r>
        <w:rPr>
          <w:noProof/>
        </w:rPr>
        <w:instrText xml:space="preserve"> SEQ Table \* ARABIC </w:instrText>
      </w:r>
      <w:r>
        <w:rPr>
          <w:noProof/>
        </w:rPr>
        <w:fldChar w:fldCharType="separate"/>
      </w:r>
      <w:r w:rsidR="00A07703">
        <w:rPr>
          <w:noProof/>
        </w:rPr>
        <w:t>29</w:t>
      </w:r>
      <w:r>
        <w:rPr>
          <w:noProof/>
        </w:rPr>
        <w:fldChar w:fldCharType="end"/>
      </w:r>
      <w:bookmarkEnd w:id="170"/>
      <w:r w:rsidRPr="00CD6245">
        <w:t xml:space="preserve">: </w:t>
      </w:r>
      <w:r>
        <w:t>DELWP’s</w:t>
      </w:r>
      <w:r w:rsidRPr="00CD6245">
        <w:t xml:space="preserve"> performance in </w:t>
      </w:r>
      <w:r>
        <w:t>2017–18</w:t>
      </w:r>
      <w:bookmarkEnd w:id="171"/>
      <w:bookmarkEnd w:id="172"/>
    </w:p>
    <w:tbl>
      <w:tblPr>
        <w:tblStyle w:val="ListTable31"/>
        <w:tblW w:w="8647" w:type="dxa"/>
        <w:tblInd w:w="846" w:type="dxa"/>
        <w:tblLayout w:type="fixed"/>
        <w:tblLook w:val="04A0" w:firstRow="1" w:lastRow="0" w:firstColumn="1" w:lastColumn="0" w:noHBand="0" w:noVBand="1"/>
      </w:tblPr>
      <w:tblGrid>
        <w:gridCol w:w="359"/>
        <w:gridCol w:w="1342"/>
        <w:gridCol w:w="699"/>
        <w:gridCol w:w="577"/>
        <w:gridCol w:w="586"/>
        <w:gridCol w:w="5084"/>
      </w:tblGrid>
      <w:tr w:rsidR="000D687E" w14:paraId="68DCA93C" w14:textId="77777777" w:rsidTr="00AD06A8">
        <w:trPr>
          <w:cnfStyle w:val="100000000000" w:firstRow="1" w:lastRow="0" w:firstColumn="0" w:lastColumn="0" w:oddVBand="0" w:evenVBand="0" w:oddHBand="0" w:evenHBand="0" w:firstRowFirstColumn="0" w:firstRowLastColumn="0" w:lastRowFirstColumn="0" w:lastRowLastColumn="0"/>
          <w:trHeight w:val="1661"/>
        </w:trPr>
        <w:tc>
          <w:tcPr>
            <w:cnfStyle w:val="001000000100" w:firstRow="0" w:lastRow="0" w:firstColumn="1" w:lastColumn="0" w:oddVBand="0" w:evenVBand="0" w:oddHBand="0" w:evenHBand="0" w:firstRowFirstColumn="1" w:firstRowLastColumn="0" w:lastRowFirstColumn="0" w:lastRowLastColumn="0"/>
            <w:tcW w:w="1701" w:type="dxa"/>
            <w:gridSpan w:val="2"/>
            <w:vMerge w:val="restart"/>
            <w:tcBorders>
              <w:top w:val="single" w:sz="4" w:space="0" w:color="auto"/>
              <w:left w:val="single" w:sz="4" w:space="0" w:color="auto"/>
              <w:bottom w:val="single" w:sz="4" w:space="0" w:color="auto"/>
              <w:right w:val="single" w:sz="4" w:space="0" w:color="auto"/>
            </w:tcBorders>
          </w:tcPr>
          <w:p w14:paraId="544AB453" w14:textId="77777777" w:rsidR="000D687E" w:rsidRPr="00CD6245" w:rsidRDefault="000D687E" w:rsidP="00822FA3">
            <w:pPr>
              <w:pStyle w:val="TableText"/>
            </w:pPr>
            <w:r w:rsidRPr="00CD6245">
              <w:t>Performance measure</w:t>
            </w:r>
          </w:p>
        </w:tc>
        <w:tc>
          <w:tcPr>
            <w:tcW w:w="699" w:type="dxa"/>
            <w:tcBorders>
              <w:top w:val="single" w:sz="4" w:space="0" w:color="auto"/>
              <w:left w:val="single" w:sz="4" w:space="0" w:color="auto"/>
              <w:bottom w:val="single" w:sz="4" w:space="0" w:color="auto"/>
              <w:right w:val="single" w:sz="4" w:space="0" w:color="auto"/>
            </w:tcBorders>
            <w:textDirection w:val="btLr"/>
            <w:vAlign w:val="bottom"/>
          </w:tcPr>
          <w:p w14:paraId="50F4A8BF" w14:textId="2F6AF2CD" w:rsidR="000D687E" w:rsidRDefault="000D687E" w:rsidP="00AD06A8">
            <w:pPr>
              <w:pStyle w:val="TableText"/>
              <w:jc w:val="center"/>
              <w:cnfStyle w:val="100000000000" w:firstRow="1" w:lastRow="0" w:firstColumn="0" w:lastColumn="0" w:oddVBand="0" w:evenVBand="0" w:oddHBand="0" w:evenHBand="0" w:firstRowFirstColumn="0" w:firstRowLastColumn="0" w:lastRowFirstColumn="0" w:lastRowLastColumn="0"/>
            </w:pPr>
            <w:r>
              <w:t>Year 1: 2015–16</w:t>
            </w:r>
          </w:p>
        </w:tc>
        <w:tc>
          <w:tcPr>
            <w:tcW w:w="577" w:type="dxa"/>
            <w:tcBorders>
              <w:top w:val="single" w:sz="4" w:space="0" w:color="auto"/>
              <w:left w:val="single" w:sz="4" w:space="0" w:color="auto"/>
              <w:bottom w:val="single" w:sz="4" w:space="0" w:color="auto"/>
              <w:right w:val="single" w:sz="4" w:space="0" w:color="auto"/>
            </w:tcBorders>
            <w:textDirection w:val="btLr"/>
          </w:tcPr>
          <w:p w14:paraId="54FA83FF" w14:textId="77777777" w:rsidR="000D687E" w:rsidRDefault="000D687E" w:rsidP="00822FA3">
            <w:pPr>
              <w:pStyle w:val="TableText"/>
              <w:jc w:val="center"/>
              <w:cnfStyle w:val="100000000000" w:firstRow="1" w:lastRow="0" w:firstColumn="0" w:lastColumn="0" w:oddVBand="0" w:evenVBand="0" w:oddHBand="0" w:evenHBand="0" w:firstRowFirstColumn="0" w:firstRowLastColumn="0" w:lastRowFirstColumn="0" w:lastRowLastColumn="0"/>
            </w:pPr>
            <w:r>
              <w:t>Year 2: 2016–17</w:t>
            </w:r>
          </w:p>
        </w:tc>
        <w:tc>
          <w:tcPr>
            <w:tcW w:w="586" w:type="dxa"/>
            <w:tcBorders>
              <w:top w:val="single" w:sz="4" w:space="0" w:color="auto"/>
              <w:left w:val="single" w:sz="4" w:space="0" w:color="auto"/>
              <w:bottom w:val="single" w:sz="4" w:space="0" w:color="auto"/>
              <w:right w:val="single" w:sz="4" w:space="0" w:color="auto"/>
            </w:tcBorders>
            <w:textDirection w:val="btLr"/>
          </w:tcPr>
          <w:p w14:paraId="29A6BAF5" w14:textId="77777777" w:rsidR="000D687E" w:rsidRDefault="000D687E" w:rsidP="00822FA3">
            <w:pPr>
              <w:pStyle w:val="TableText"/>
              <w:jc w:val="center"/>
              <w:cnfStyle w:val="100000000000" w:firstRow="1" w:lastRow="0" w:firstColumn="0" w:lastColumn="0" w:oddVBand="0" w:evenVBand="0" w:oddHBand="0" w:evenHBand="0" w:firstRowFirstColumn="0" w:firstRowLastColumn="0" w:lastRowFirstColumn="0" w:lastRowLastColumn="0"/>
            </w:pPr>
            <w:r>
              <w:t>Year 3: 2017–18</w:t>
            </w:r>
          </w:p>
        </w:tc>
        <w:tc>
          <w:tcPr>
            <w:tcW w:w="5084" w:type="dxa"/>
            <w:vMerge w:val="restart"/>
            <w:tcBorders>
              <w:top w:val="single" w:sz="4" w:space="0" w:color="auto"/>
              <w:left w:val="single" w:sz="4" w:space="0" w:color="auto"/>
              <w:bottom w:val="single" w:sz="4" w:space="0" w:color="auto"/>
              <w:right w:val="single" w:sz="4" w:space="0" w:color="auto"/>
            </w:tcBorders>
          </w:tcPr>
          <w:p w14:paraId="7C5F235D" w14:textId="77777777" w:rsidR="000D687E" w:rsidRDefault="000D687E" w:rsidP="00822FA3">
            <w:pPr>
              <w:pStyle w:val="TableText"/>
              <w:cnfStyle w:val="100000000000" w:firstRow="1" w:lastRow="0" w:firstColumn="0" w:lastColumn="0" w:oddVBand="0" w:evenVBand="0" w:oddHBand="0" w:evenHBand="0" w:firstRowFirstColumn="0" w:firstRowLastColumn="0" w:lastRowFirstColumn="0" w:lastRowLastColumn="0"/>
            </w:pPr>
            <w:r>
              <w:t>Explanation</w:t>
            </w:r>
          </w:p>
        </w:tc>
      </w:tr>
      <w:tr w:rsidR="000D687E" w14:paraId="4352AE7E" w14:textId="77777777" w:rsidTr="00AD06A8">
        <w:trPr>
          <w:cnfStyle w:val="000000100000" w:firstRow="0" w:lastRow="0" w:firstColumn="0" w:lastColumn="0" w:oddVBand="0" w:evenVBand="0" w:oddHBand="1" w:evenHBand="0" w:firstRowFirstColumn="0" w:firstRowLastColumn="0" w:lastRowFirstColumn="0" w:lastRowLastColumn="0"/>
          <w:trHeight w:val="281"/>
        </w:trPr>
        <w:tc>
          <w:tcPr>
            <w:cnfStyle w:val="001000000000" w:firstRow="0" w:lastRow="0" w:firstColumn="1" w:lastColumn="0" w:oddVBand="0" w:evenVBand="0" w:oddHBand="0" w:evenHBand="0" w:firstRowFirstColumn="0" w:firstRowLastColumn="0" w:lastRowFirstColumn="0" w:lastRowLastColumn="0"/>
            <w:tcW w:w="1701" w:type="dxa"/>
            <w:gridSpan w:val="2"/>
            <w:vMerge/>
            <w:tcBorders>
              <w:top w:val="single" w:sz="4" w:space="0" w:color="auto"/>
              <w:right w:val="single" w:sz="4" w:space="0" w:color="auto"/>
            </w:tcBorders>
          </w:tcPr>
          <w:p w14:paraId="745545C6" w14:textId="77777777" w:rsidR="000D687E" w:rsidRPr="00CD6245" w:rsidRDefault="000D687E" w:rsidP="00567B7A">
            <w:pPr>
              <w:pStyle w:val="TableHeader"/>
            </w:pPr>
          </w:p>
        </w:tc>
        <w:tc>
          <w:tcPr>
            <w:tcW w:w="699" w:type="dxa"/>
            <w:tcBorders>
              <w:top w:val="single" w:sz="4" w:space="0" w:color="auto"/>
              <w:left w:val="single" w:sz="4" w:space="0" w:color="auto"/>
            </w:tcBorders>
            <w:shd w:val="clear" w:color="auto" w:fill="000000" w:themeFill="text1"/>
            <w:vAlign w:val="center"/>
          </w:tcPr>
          <w:p w14:paraId="0662BB1D" w14:textId="77777777" w:rsidR="000D687E" w:rsidRPr="00200BCC" w:rsidRDefault="000D687E" w:rsidP="00AD06A8">
            <w:pPr>
              <w:pStyle w:val="TableHeader"/>
              <w:jc w:val="right"/>
              <w:cnfStyle w:val="000000100000" w:firstRow="0" w:lastRow="0" w:firstColumn="0" w:lastColumn="0" w:oddVBand="0" w:evenVBand="0" w:oddHBand="1" w:evenHBand="0" w:firstRowFirstColumn="0" w:firstRowLastColumn="0" w:lastRowFirstColumn="0" w:lastRowLastColumn="0"/>
              <w:rPr>
                <w:bCs/>
                <w:color w:val="auto"/>
                <w:sz w:val="20"/>
                <w:szCs w:val="20"/>
              </w:rPr>
            </w:pPr>
            <w:r w:rsidRPr="00200BCC">
              <w:rPr>
                <w:bCs/>
                <w:color w:val="auto"/>
                <w:sz w:val="20"/>
                <w:szCs w:val="20"/>
              </w:rPr>
              <w:t>%</w:t>
            </w:r>
          </w:p>
        </w:tc>
        <w:tc>
          <w:tcPr>
            <w:tcW w:w="577" w:type="dxa"/>
            <w:tcBorders>
              <w:top w:val="single" w:sz="4" w:space="0" w:color="auto"/>
            </w:tcBorders>
            <w:shd w:val="clear" w:color="auto" w:fill="000000" w:themeFill="text1"/>
          </w:tcPr>
          <w:p w14:paraId="14B0F685" w14:textId="77777777" w:rsidR="000D687E" w:rsidRPr="00200BCC" w:rsidRDefault="000D687E" w:rsidP="00567B7A">
            <w:pPr>
              <w:pStyle w:val="TableHeader"/>
              <w:jc w:val="center"/>
              <w:cnfStyle w:val="000000100000" w:firstRow="0" w:lastRow="0" w:firstColumn="0" w:lastColumn="0" w:oddVBand="0" w:evenVBand="0" w:oddHBand="1" w:evenHBand="0" w:firstRowFirstColumn="0" w:firstRowLastColumn="0" w:lastRowFirstColumn="0" w:lastRowLastColumn="0"/>
              <w:rPr>
                <w:bCs/>
                <w:color w:val="auto"/>
                <w:sz w:val="20"/>
                <w:szCs w:val="20"/>
              </w:rPr>
            </w:pPr>
            <w:r w:rsidRPr="00200BCC">
              <w:rPr>
                <w:bCs/>
                <w:color w:val="auto"/>
                <w:sz w:val="20"/>
                <w:szCs w:val="20"/>
              </w:rPr>
              <w:t>%</w:t>
            </w:r>
          </w:p>
        </w:tc>
        <w:tc>
          <w:tcPr>
            <w:tcW w:w="586" w:type="dxa"/>
            <w:tcBorders>
              <w:top w:val="single" w:sz="4" w:space="0" w:color="auto"/>
            </w:tcBorders>
            <w:shd w:val="clear" w:color="auto" w:fill="000000" w:themeFill="text1"/>
          </w:tcPr>
          <w:p w14:paraId="63EDFB85" w14:textId="77777777" w:rsidR="000D687E" w:rsidRPr="00200BCC" w:rsidRDefault="000D687E" w:rsidP="00567B7A">
            <w:pPr>
              <w:pStyle w:val="TableHeader"/>
              <w:jc w:val="center"/>
              <w:cnfStyle w:val="000000100000" w:firstRow="0" w:lastRow="0" w:firstColumn="0" w:lastColumn="0" w:oddVBand="0" w:evenVBand="0" w:oddHBand="1" w:evenHBand="0" w:firstRowFirstColumn="0" w:firstRowLastColumn="0" w:lastRowFirstColumn="0" w:lastRowLastColumn="0"/>
              <w:rPr>
                <w:bCs/>
                <w:color w:val="auto"/>
                <w:sz w:val="20"/>
                <w:szCs w:val="20"/>
              </w:rPr>
            </w:pPr>
            <w:r w:rsidRPr="00200BCC">
              <w:rPr>
                <w:bCs/>
                <w:color w:val="auto"/>
                <w:sz w:val="20"/>
                <w:szCs w:val="20"/>
              </w:rPr>
              <w:t>%</w:t>
            </w:r>
          </w:p>
        </w:tc>
        <w:tc>
          <w:tcPr>
            <w:tcW w:w="5084" w:type="dxa"/>
            <w:vMerge/>
            <w:tcBorders>
              <w:top w:val="single" w:sz="4" w:space="0" w:color="auto"/>
              <w:right w:val="single" w:sz="4" w:space="0" w:color="auto"/>
            </w:tcBorders>
          </w:tcPr>
          <w:p w14:paraId="3BD707CA" w14:textId="77777777" w:rsidR="000D687E" w:rsidRDefault="000D687E" w:rsidP="00567B7A">
            <w:pPr>
              <w:pStyle w:val="TableHeader"/>
              <w:cnfStyle w:val="000000100000" w:firstRow="0" w:lastRow="0" w:firstColumn="0" w:lastColumn="0" w:oddVBand="0" w:evenVBand="0" w:oddHBand="1" w:evenHBand="0" w:firstRowFirstColumn="0" w:firstRowLastColumn="0" w:lastRowFirstColumn="0" w:lastRowLastColumn="0"/>
              <w:rPr>
                <w:sz w:val="20"/>
                <w:szCs w:val="20"/>
              </w:rPr>
            </w:pPr>
          </w:p>
        </w:tc>
      </w:tr>
      <w:tr w:rsidR="000D687E" w:rsidRPr="00CD6245" w14:paraId="563D3BB3" w14:textId="77777777" w:rsidTr="005C6BD3">
        <w:tc>
          <w:tcPr>
            <w:cnfStyle w:val="001000000000" w:firstRow="0" w:lastRow="0" w:firstColumn="1" w:lastColumn="0" w:oddVBand="0" w:evenVBand="0" w:oddHBand="0" w:evenHBand="0" w:firstRowFirstColumn="0" w:firstRowLastColumn="0" w:lastRowFirstColumn="0" w:lastRowLastColumn="0"/>
            <w:tcW w:w="359" w:type="dxa"/>
          </w:tcPr>
          <w:p w14:paraId="55FCF702" w14:textId="77777777" w:rsidR="000D687E" w:rsidRPr="00CD6245" w:rsidRDefault="000D687E" w:rsidP="00567B7A">
            <w:pPr>
              <w:pStyle w:val="TableText"/>
            </w:pPr>
            <w:r w:rsidRPr="00CD6245">
              <w:t>1</w:t>
            </w:r>
          </w:p>
        </w:tc>
        <w:tc>
          <w:tcPr>
            <w:tcW w:w="1342" w:type="dxa"/>
          </w:tcPr>
          <w:p w14:paraId="649CDC65" w14:textId="77777777" w:rsidR="000D687E" w:rsidRPr="00726E77" w:rsidRDefault="000D687E" w:rsidP="00567B7A">
            <w:pPr>
              <w:pStyle w:val="TableText"/>
              <w:cnfStyle w:val="000000000000" w:firstRow="0" w:lastRow="0" w:firstColumn="0" w:lastColumn="0" w:oddVBand="0" w:evenVBand="0" w:oddHBand="0" w:evenHBand="0" w:firstRowFirstColumn="0" w:firstRowLastColumn="0" w:lastRowFirstColumn="0" w:lastRowLastColumn="0"/>
            </w:pPr>
            <w:r w:rsidRPr="00726E77">
              <w:t xml:space="preserve">Value created </w:t>
            </w:r>
          </w:p>
        </w:tc>
        <w:tc>
          <w:tcPr>
            <w:tcW w:w="699" w:type="dxa"/>
          </w:tcPr>
          <w:p w14:paraId="70BFF245" w14:textId="77777777" w:rsidR="000D687E" w:rsidRDefault="000D687E" w:rsidP="006B0393">
            <w:pPr>
              <w:pStyle w:val="Tablenumbers"/>
              <w:cnfStyle w:val="000000000000" w:firstRow="0" w:lastRow="0" w:firstColumn="0" w:lastColumn="0" w:oddVBand="0" w:evenVBand="0" w:oddHBand="0" w:evenHBand="0" w:firstRowFirstColumn="0" w:firstRowLastColumn="0" w:lastRowFirstColumn="0" w:lastRowLastColumn="0"/>
            </w:pPr>
            <w:r>
              <w:t>..</w:t>
            </w:r>
          </w:p>
        </w:tc>
        <w:tc>
          <w:tcPr>
            <w:tcW w:w="577" w:type="dxa"/>
          </w:tcPr>
          <w:p w14:paraId="0EBE2A45" w14:textId="77777777" w:rsidR="000D687E" w:rsidRDefault="000D687E" w:rsidP="006B0393">
            <w:pPr>
              <w:pStyle w:val="Tablenumbers"/>
              <w:cnfStyle w:val="000000000000" w:firstRow="0" w:lastRow="0" w:firstColumn="0" w:lastColumn="0" w:oddVBand="0" w:evenVBand="0" w:oddHBand="0" w:evenHBand="0" w:firstRowFirstColumn="0" w:firstRowLastColumn="0" w:lastRowFirstColumn="0" w:lastRowLastColumn="0"/>
            </w:pPr>
            <w:r>
              <w:t>..</w:t>
            </w:r>
          </w:p>
        </w:tc>
        <w:tc>
          <w:tcPr>
            <w:tcW w:w="586" w:type="dxa"/>
          </w:tcPr>
          <w:p w14:paraId="30684D71" w14:textId="77777777" w:rsidR="000D687E" w:rsidRPr="00CD6245" w:rsidRDefault="000D687E" w:rsidP="006B0393">
            <w:pPr>
              <w:pStyle w:val="Tablenumbers"/>
              <w:cnfStyle w:val="000000000000" w:firstRow="0" w:lastRow="0" w:firstColumn="0" w:lastColumn="0" w:oddVBand="0" w:evenVBand="0" w:oddHBand="0" w:evenHBand="0" w:firstRowFirstColumn="0" w:firstRowLastColumn="0" w:lastRowFirstColumn="0" w:lastRowLastColumn="0"/>
            </w:pPr>
            <w:r>
              <w:t>7.5</w:t>
            </w:r>
          </w:p>
        </w:tc>
        <w:tc>
          <w:tcPr>
            <w:tcW w:w="5084" w:type="dxa"/>
          </w:tcPr>
          <w:p w14:paraId="2C6FC09E" w14:textId="5FA3E20A" w:rsidR="000D687E" w:rsidRPr="00CD6245" w:rsidRDefault="005F2D1F" w:rsidP="00567B7A">
            <w:pPr>
              <w:pStyle w:val="TableText"/>
              <w:cnfStyle w:val="000000000000" w:firstRow="0" w:lastRow="0" w:firstColumn="0" w:lastColumn="0" w:oddVBand="0" w:evenVBand="0" w:oddHBand="0" w:evenHBand="0" w:firstRowFirstColumn="0" w:firstRowLastColumn="0" w:lastRowFirstColumn="0" w:lastRowLastColumn="0"/>
            </w:pPr>
            <w:r>
              <w:t>DELWP</w:t>
            </w:r>
            <w:r w:rsidR="000D687E">
              <w:t xml:space="preserve"> can now report on this measure by </w:t>
            </w:r>
            <w:r w:rsidR="000D687E" w:rsidRPr="00EE024B">
              <w:t xml:space="preserve">tracking savings </w:t>
            </w:r>
            <w:r w:rsidR="000D687E">
              <w:t xml:space="preserve">identified </w:t>
            </w:r>
            <w:r w:rsidR="000D687E" w:rsidRPr="00EE024B">
              <w:t xml:space="preserve">in procurement approval documentation. </w:t>
            </w:r>
            <w:r>
              <w:t>DELWP</w:t>
            </w:r>
            <w:r w:rsidR="000D687E">
              <w:t xml:space="preserve"> expect</w:t>
            </w:r>
            <w:r>
              <w:t>s</w:t>
            </w:r>
            <w:r w:rsidR="000D687E">
              <w:t xml:space="preserve"> to see </w:t>
            </w:r>
            <w:r w:rsidR="000D687E" w:rsidRPr="00EE024B">
              <w:t>more direct captur</w:t>
            </w:r>
            <w:r w:rsidR="000D687E">
              <w:t xml:space="preserve">e of </w:t>
            </w:r>
            <w:r w:rsidR="000D687E" w:rsidRPr="00EE024B">
              <w:t>savings</w:t>
            </w:r>
            <w:r w:rsidR="000D687E">
              <w:t xml:space="preserve"> after introducing </w:t>
            </w:r>
            <w:r w:rsidR="000D687E" w:rsidRPr="00EE024B">
              <w:t>a new procurement model</w:t>
            </w:r>
            <w:r w:rsidR="006A5451">
              <w:t>,</w:t>
            </w:r>
            <w:r w:rsidR="000D687E" w:rsidRPr="00EE024B">
              <w:t xml:space="preserve"> including a strategic sourcing team to conduct all procurement greater than $3</w:t>
            </w:r>
            <w:r w:rsidR="000D687E">
              <w:t xml:space="preserve"> </w:t>
            </w:r>
            <w:r w:rsidR="000D687E">
              <w:lastRenderedPageBreak/>
              <w:t>million</w:t>
            </w:r>
            <w:r w:rsidR="000D687E" w:rsidRPr="00EE024B">
              <w:t xml:space="preserve"> and a greater focus on category management reporting</w:t>
            </w:r>
            <w:r w:rsidR="000D687E">
              <w:t xml:space="preserve">. </w:t>
            </w:r>
          </w:p>
        </w:tc>
      </w:tr>
      <w:tr w:rsidR="000D687E" w:rsidRPr="00CD6245" w14:paraId="004E1C04" w14:textId="77777777" w:rsidTr="005C6B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 w:type="dxa"/>
          </w:tcPr>
          <w:p w14:paraId="062814C1" w14:textId="77777777" w:rsidR="000D687E" w:rsidRPr="00CD6245" w:rsidRDefault="000D687E" w:rsidP="00567B7A">
            <w:pPr>
              <w:pStyle w:val="TableText"/>
            </w:pPr>
            <w:r w:rsidRPr="00CD6245">
              <w:lastRenderedPageBreak/>
              <w:t>2</w:t>
            </w:r>
          </w:p>
        </w:tc>
        <w:tc>
          <w:tcPr>
            <w:tcW w:w="1342" w:type="dxa"/>
          </w:tcPr>
          <w:p w14:paraId="277A516E" w14:textId="5A154C4B" w:rsidR="00D23123" w:rsidRDefault="000D687E" w:rsidP="00567B7A">
            <w:pPr>
              <w:pStyle w:val="TableText"/>
              <w:cnfStyle w:val="000000100000" w:firstRow="0" w:lastRow="0" w:firstColumn="0" w:lastColumn="0" w:oddVBand="0" w:evenVBand="0" w:oddHBand="1" w:evenHBand="0" w:firstRowFirstColumn="0" w:firstRowLastColumn="0" w:lastRowFirstColumn="0" w:lastRowLastColumn="0"/>
            </w:pPr>
            <w:r w:rsidRPr="00726E77">
              <w:t>Proportion of</w:t>
            </w:r>
          </w:p>
          <w:p w14:paraId="4AB0D19B" w14:textId="7122D3B3" w:rsidR="000D687E" w:rsidRPr="00726E77" w:rsidRDefault="000D687E" w:rsidP="00567B7A">
            <w:pPr>
              <w:pStyle w:val="TableText"/>
              <w:cnfStyle w:val="000000100000" w:firstRow="0" w:lastRow="0" w:firstColumn="0" w:lastColumn="0" w:oddVBand="0" w:evenVBand="0" w:oddHBand="1" w:evenHBand="0" w:firstRowFirstColumn="0" w:firstRowLastColumn="0" w:lastRowFirstColumn="0" w:lastRowLastColumn="0"/>
            </w:pPr>
            <w:r w:rsidRPr="00726E77">
              <w:t xml:space="preserve">P-Card </w:t>
            </w:r>
            <w:r w:rsidR="00D11C9B">
              <w:t xml:space="preserve">(or equivalent) </w:t>
            </w:r>
            <w:r w:rsidRPr="00726E77">
              <w:t>transactions</w:t>
            </w:r>
          </w:p>
        </w:tc>
        <w:tc>
          <w:tcPr>
            <w:tcW w:w="699" w:type="dxa"/>
          </w:tcPr>
          <w:p w14:paraId="0E5139A5" w14:textId="77777777" w:rsidR="000D687E" w:rsidRDefault="000D687E" w:rsidP="006B0393">
            <w:pPr>
              <w:pStyle w:val="Tablenumbers"/>
              <w:cnfStyle w:val="000000100000" w:firstRow="0" w:lastRow="0" w:firstColumn="0" w:lastColumn="0" w:oddVBand="0" w:evenVBand="0" w:oddHBand="1" w:evenHBand="0" w:firstRowFirstColumn="0" w:firstRowLastColumn="0" w:lastRowFirstColumn="0" w:lastRowLastColumn="0"/>
            </w:pPr>
            <w:r w:rsidRPr="006F0BF9">
              <w:t>14.6</w:t>
            </w:r>
          </w:p>
          <w:p w14:paraId="7C660890" w14:textId="200C2E19" w:rsidR="00D23123" w:rsidRDefault="00D23123" w:rsidP="006B0393">
            <w:pPr>
              <w:pStyle w:val="Tablenumbers"/>
              <w:cnfStyle w:val="000000100000" w:firstRow="0" w:lastRow="0" w:firstColumn="0" w:lastColumn="0" w:oddVBand="0" w:evenVBand="0" w:oddHBand="1" w:evenHBand="0" w:firstRowFirstColumn="0" w:firstRowLastColumn="0" w:lastRowFirstColumn="0" w:lastRowLastColumn="0"/>
            </w:pPr>
          </w:p>
        </w:tc>
        <w:tc>
          <w:tcPr>
            <w:tcW w:w="577" w:type="dxa"/>
          </w:tcPr>
          <w:p w14:paraId="716373AC" w14:textId="77777777" w:rsidR="000D687E" w:rsidRPr="006F0BF9" w:rsidRDefault="000D687E" w:rsidP="006B0393">
            <w:pPr>
              <w:pStyle w:val="Tablenumbers"/>
              <w:cnfStyle w:val="000000100000" w:firstRow="0" w:lastRow="0" w:firstColumn="0" w:lastColumn="0" w:oddVBand="0" w:evenVBand="0" w:oddHBand="1" w:evenHBand="0" w:firstRowFirstColumn="0" w:firstRowLastColumn="0" w:lastRowFirstColumn="0" w:lastRowLastColumn="0"/>
            </w:pPr>
            <w:r w:rsidRPr="006F0BF9">
              <w:t>19.7</w:t>
            </w:r>
          </w:p>
        </w:tc>
        <w:tc>
          <w:tcPr>
            <w:tcW w:w="586" w:type="dxa"/>
          </w:tcPr>
          <w:p w14:paraId="0F5974F7" w14:textId="77777777" w:rsidR="000D687E" w:rsidRPr="00CD6245" w:rsidRDefault="000D687E" w:rsidP="006B0393">
            <w:pPr>
              <w:pStyle w:val="Tablenumbers"/>
              <w:cnfStyle w:val="000000100000" w:firstRow="0" w:lastRow="0" w:firstColumn="0" w:lastColumn="0" w:oddVBand="0" w:evenVBand="0" w:oddHBand="1" w:evenHBand="0" w:firstRowFirstColumn="0" w:firstRowLastColumn="0" w:lastRowFirstColumn="0" w:lastRowLastColumn="0"/>
            </w:pPr>
            <w:r>
              <w:t>21.0</w:t>
            </w:r>
          </w:p>
        </w:tc>
        <w:tc>
          <w:tcPr>
            <w:tcW w:w="5084" w:type="dxa"/>
          </w:tcPr>
          <w:p w14:paraId="75E8D55C" w14:textId="485BC93A" w:rsidR="000D687E" w:rsidRPr="00CD6245" w:rsidRDefault="005F2D1F" w:rsidP="00567B7A">
            <w:pPr>
              <w:pStyle w:val="TableText"/>
              <w:cnfStyle w:val="000000100000" w:firstRow="0" w:lastRow="0" w:firstColumn="0" w:lastColumn="0" w:oddVBand="0" w:evenVBand="0" w:oddHBand="1" w:evenHBand="0" w:firstRowFirstColumn="0" w:firstRowLastColumn="0" w:lastRowFirstColumn="0" w:lastRowLastColumn="0"/>
            </w:pPr>
            <w:r>
              <w:t>DELWP</w:t>
            </w:r>
            <w:r w:rsidR="000D687E">
              <w:t xml:space="preserve"> promoted a</w:t>
            </w:r>
            <w:r w:rsidR="000D687E" w:rsidRPr="00EE024B">
              <w:t xml:space="preserve"> purchase order policy recommend</w:t>
            </w:r>
            <w:r w:rsidR="000D687E">
              <w:t>ing</w:t>
            </w:r>
            <w:r w:rsidR="000D687E" w:rsidRPr="00EE024B">
              <w:t xml:space="preserve"> that no purchase orders are to be raised for spend </w:t>
            </w:r>
            <w:r w:rsidR="000D687E">
              <w:t xml:space="preserve">under </w:t>
            </w:r>
            <w:r w:rsidR="000D687E" w:rsidRPr="00EE024B">
              <w:t>$2</w:t>
            </w:r>
            <w:r w:rsidR="000D687E">
              <w:t> </w:t>
            </w:r>
            <w:r w:rsidR="000D687E" w:rsidRPr="00EE024B">
              <w:t>000</w:t>
            </w:r>
            <w:r w:rsidR="000D687E">
              <w:t xml:space="preserve">. </w:t>
            </w:r>
            <w:r>
              <w:t>The Department</w:t>
            </w:r>
            <w:r w:rsidR="000D687E">
              <w:t xml:space="preserve"> </w:t>
            </w:r>
            <w:r w:rsidR="000D687E" w:rsidRPr="00EE024B">
              <w:t xml:space="preserve">will conduct some trend analysis to investigate where there </w:t>
            </w:r>
            <w:r w:rsidR="000D687E">
              <w:t>are</w:t>
            </w:r>
            <w:r w:rsidR="000D687E" w:rsidRPr="00EE024B">
              <w:t xml:space="preserve"> a high number of low</w:t>
            </w:r>
            <w:r w:rsidR="000D687E">
              <w:t>-</w:t>
            </w:r>
            <w:r w:rsidR="000D687E" w:rsidRPr="00EE024B">
              <w:t>value transactions and low usage of the DELWP corporate card</w:t>
            </w:r>
            <w:r w:rsidR="000D687E">
              <w:t xml:space="preserve">. </w:t>
            </w:r>
          </w:p>
        </w:tc>
      </w:tr>
      <w:tr w:rsidR="000D687E" w:rsidRPr="00CD6245" w14:paraId="3B34BB3F" w14:textId="77777777" w:rsidTr="005C6BD3">
        <w:tc>
          <w:tcPr>
            <w:cnfStyle w:val="001000000000" w:firstRow="0" w:lastRow="0" w:firstColumn="1" w:lastColumn="0" w:oddVBand="0" w:evenVBand="0" w:oddHBand="0" w:evenHBand="0" w:firstRowFirstColumn="0" w:firstRowLastColumn="0" w:lastRowFirstColumn="0" w:lastRowLastColumn="0"/>
            <w:tcW w:w="359" w:type="dxa"/>
          </w:tcPr>
          <w:p w14:paraId="4F958704" w14:textId="77777777" w:rsidR="000D687E" w:rsidRPr="00CD6245" w:rsidRDefault="000D687E" w:rsidP="00567B7A">
            <w:pPr>
              <w:pStyle w:val="TableText"/>
            </w:pPr>
            <w:r w:rsidRPr="00CD6245">
              <w:t>3</w:t>
            </w:r>
          </w:p>
        </w:tc>
        <w:tc>
          <w:tcPr>
            <w:tcW w:w="1342" w:type="dxa"/>
          </w:tcPr>
          <w:p w14:paraId="36697BD2" w14:textId="77777777" w:rsidR="000D687E" w:rsidRPr="00726E77" w:rsidRDefault="000D687E" w:rsidP="00567B7A">
            <w:pPr>
              <w:pStyle w:val="TableText"/>
              <w:cnfStyle w:val="000000000000" w:firstRow="0" w:lastRow="0" w:firstColumn="0" w:lastColumn="0" w:oddVBand="0" w:evenVBand="0" w:oddHBand="0" w:evenHBand="0" w:firstRowFirstColumn="0" w:firstRowLastColumn="0" w:lastRowFirstColumn="0" w:lastRowLastColumn="0"/>
            </w:pPr>
            <w:r w:rsidRPr="00726E77">
              <w:t>Increase in procurement capability</w:t>
            </w:r>
          </w:p>
        </w:tc>
        <w:tc>
          <w:tcPr>
            <w:tcW w:w="699" w:type="dxa"/>
          </w:tcPr>
          <w:p w14:paraId="07C00793" w14:textId="77777777" w:rsidR="000D687E" w:rsidRDefault="000D687E" w:rsidP="006B0393">
            <w:pPr>
              <w:pStyle w:val="Tablenumbers"/>
              <w:cnfStyle w:val="000000000000" w:firstRow="0" w:lastRow="0" w:firstColumn="0" w:lastColumn="0" w:oddVBand="0" w:evenVBand="0" w:oddHBand="0" w:evenHBand="0" w:firstRowFirstColumn="0" w:firstRowLastColumn="0" w:lastRowFirstColumn="0" w:lastRowLastColumn="0"/>
            </w:pPr>
            <w:r>
              <w:t>..</w:t>
            </w:r>
          </w:p>
        </w:tc>
        <w:tc>
          <w:tcPr>
            <w:tcW w:w="577" w:type="dxa"/>
          </w:tcPr>
          <w:p w14:paraId="6CEF5589" w14:textId="77777777" w:rsidR="000D687E" w:rsidRDefault="000D687E" w:rsidP="006B0393">
            <w:pPr>
              <w:pStyle w:val="Tablenumbers"/>
              <w:cnfStyle w:val="000000000000" w:firstRow="0" w:lastRow="0" w:firstColumn="0" w:lastColumn="0" w:oddVBand="0" w:evenVBand="0" w:oddHBand="0" w:evenHBand="0" w:firstRowFirstColumn="0" w:firstRowLastColumn="0" w:lastRowFirstColumn="0" w:lastRowLastColumn="0"/>
            </w:pPr>
            <w:r>
              <w:t>13</w:t>
            </w:r>
          </w:p>
        </w:tc>
        <w:tc>
          <w:tcPr>
            <w:tcW w:w="586" w:type="dxa"/>
          </w:tcPr>
          <w:p w14:paraId="34B15F62" w14:textId="05D65CEE" w:rsidR="000D687E" w:rsidRPr="00235F70" w:rsidRDefault="00351EF8" w:rsidP="006B0393">
            <w:pPr>
              <w:pStyle w:val="Tablenumbers"/>
              <w:cnfStyle w:val="000000000000" w:firstRow="0" w:lastRow="0" w:firstColumn="0" w:lastColumn="0" w:oddVBand="0" w:evenVBand="0" w:oddHBand="0" w:evenHBand="0" w:firstRowFirstColumn="0" w:firstRowLastColumn="0" w:lastRowFirstColumn="0" w:lastRowLastColumn="0"/>
            </w:pPr>
            <w:r w:rsidRPr="00235F70">
              <w:t>16</w:t>
            </w:r>
          </w:p>
        </w:tc>
        <w:tc>
          <w:tcPr>
            <w:tcW w:w="5084" w:type="dxa"/>
          </w:tcPr>
          <w:p w14:paraId="13A4FAC3" w14:textId="77E5248D" w:rsidR="000D687E" w:rsidRPr="00235F70" w:rsidRDefault="000D687E" w:rsidP="00567B7A">
            <w:pPr>
              <w:pStyle w:val="TableText"/>
              <w:cnfStyle w:val="000000000000" w:firstRow="0" w:lastRow="0" w:firstColumn="0" w:lastColumn="0" w:oddVBand="0" w:evenVBand="0" w:oddHBand="0" w:evenHBand="0" w:firstRowFirstColumn="0" w:firstRowLastColumn="0" w:lastRowFirstColumn="0" w:lastRowLastColumn="0"/>
            </w:pPr>
            <w:r w:rsidRPr="00235F70">
              <w:t xml:space="preserve">In 2016, DELWP engaged an external company to provide a tool to self-assess capability over three years. In 2017–18, </w:t>
            </w:r>
            <w:r w:rsidR="005F2D1F" w:rsidRPr="00235F70">
              <w:t xml:space="preserve">DELWP was </w:t>
            </w:r>
            <w:r w:rsidRPr="00235F70">
              <w:t>assessed as ‘evolving’</w:t>
            </w:r>
            <w:r w:rsidR="00597120">
              <w:t>,</w:t>
            </w:r>
            <w:r w:rsidRPr="00235F70">
              <w:t xml:space="preserve"> which was an improvement on 2016–17 (‘beginner’) and 2015–16 (‘aware’). </w:t>
            </w:r>
            <w:r w:rsidR="005F2D1F" w:rsidRPr="00235F70">
              <w:t>DELWP is</w:t>
            </w:r>
            <w:r w:rsidRPr="00235F70">
              <w:t xml:space="preserve"> now using the VGPB’s capability tool and measured at 86/150 (57.3 per cent) for </w:t>
            </w:r>
            <w:r w:rsidR="00EE2B46" w:rsidRPr="00235F70">
              <w:br/>
            </w:r>
            <w:r w:rsidRPr="00235F70">
              <w:t xml:space="preserve">2017–18. </w:t>
            </w:r>
            <w:r w:rsidR="006A5451" w:rsidRPr="00235F70">
              <w:t xml:space="preserve">This will be </w:t>
            </w:r>
            <w:r w:rsidR="00D23123" w:rsidRPr="00235F70">
              <w:t>the</w:t>
            </w:r>
            <w:r w:rsidR="006A5451" w:rsidRPr="00235F70">
              <w:t xml:space="preserve"> baseline to </w:t>
            </w:r>
            <w:r w:rsidRPr="00235F70">
              <w:t xml:space="preserve">measure an increase from next year. </w:t>
            </w:r>
          </w:p>
        </w:tc>
      </w:tr>
      <w:tr w:rsidR="000D687E" w:rsidRPr="00CD6245" w14:paraId="17FC1735" w14:textId="77777777" w:rsidTr="005C6B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 w:type="dxa"/>
          </w:tcPr>
          <w:p w14:paraId="0A66091C" w14:textId="77777777" w:rsidR="000D687E" w:rsidRDefault="000D687E" w:rsidP="00567B7A">
            <w:pPr>
              <w:pStyle w:val="TableText"/>
              <w:rPr>
                <w:b w:val="0"/>
                <w:bCs w:val="0"/>
              </w:rPr>
            </w:pPr>
            <w:r w:rsidRPr="00CD6245">
              <w:t>4</w:t>
            </w:r>
          </w:p>
          <w:p w14:paraId="71002066" w14:textId="5744EDDD" w:rsidR="00EE2B46" w:rsidRPr="00CD6245" w:rsidRDefault="00EE2B46" w:rsidP="00567B7A">
            <w:pPr>
              <w:pStyle w:val="TableText"/>
            </w:pPr>
          </w:p>
        </w:tc>
        <w:tc>
          <w:tcPr>
            <w:tcW w:w="1342" w:type="dxa"/>
          </w:tcPr>
          <w:p w14:paraId="2CE7D1F5" w14:textId="77777777" w:rsidR="000D687E" w:rsidRPr="00726E77" w:rsidRDefault="000D687E" w:rsidP="00567B7A">
            <w:pPr>
              <w:pStyle w:val="TableText"/>
              <w:cnfStyle w:val="000000100000" w:firstRow="0" w:lastRow="0" w:firstColumn="0" w:lastColumn="0" w:oddVBand="0" w:evenVBand="0" w:oddHBand="1" w:evenHBand="0" w:firstRowFirstColumn="0" w:firstRowLastColumn="0" w:lastRowFirstColumn="0" w:lastRowLastColumn="0"/>
            </w:pPr>
            <w:r w:rsidRPr="00726E77">
              <w:t>Cost of procurement resources</w:t>
            </w:r>
          </w:p>
        </w:tc>
        <w:tc>
          <w:tcPr>
            <w:tcW w:w="699" w:type="dxa"/>
          </w:tcPr>
          <w:p w14:paraId="546E62DE" w14:textId="77777777" w:rsidR="000D687E" w:rsidRDefault="000D687E" w:rsidP="006B0393">
            <w:pPr>
              <w:pStyle w:val="Tablenumbers"/>
              <w:cnfStyle w:val="000000100000" w:firstRow="0" w:lastRow="0" w:firstColumn="0" w:lastColumn="0" w:oddVBand="0" w:evenVBand="0" w:oddHBand="1" w:evenHBand="0" w:firstRowFirstColumn="0" w:firstRowLastColumn="0" w:lastRowFirstColumn="0" w:lastRowLastColumn="0"/>
            </w:pPr>
            <w:r>
              <w:t>..</w:t>
            </w:r>
          </w:p>
        </w:tc>
        <w:tc>
          <w:tcPr>
            <w:tcW w:w="577" w:type="dxa"/>
          </w:tcPr>
          <w:p w14:paraId="29D3C7B3" w14:textId="77777777" w:rsidR="000D687E" w:rsidRDefault="000D687E" w:rsidP="006B0393">
            <w:pPr>
              <w:pStyle w:val="Tablenumbers"/>
              <w:cnfStyle w:val="000000100000" w:firstRow="0" w:lastRow="0" w:firstColumn="0" w:lastColumn="0" w:oddVBand="0" w:evenVBand="0" w:oddHBand="1" w:evenHBand="0" w:firstRowFirstColumn="0" w:firstRowLastColumn="0" w:lastRowFirstColumn="0" w:lastRowLastColumn="0"/>
            </w:pPr>
            <w:r w:rsidRPr="006F0BF9">
              <w:t>0.03</w:t>
            </w:r>
          </w:p>
        </w:tc>
        <w:tc>
          <w:tcPr>
            <w:tcW w:w="586" w:type="dxa"/>
          </w:tcPr>
          <w:p w14:paraId="3CA0EAD4" w14:textId="77777777" w:rsidR="000D687E" w:rsidRPr="00CD6245" w:rsidRDefault="000D687E" w:rsidP="006B0393">
            <w:pPr>
              <w:pStyle w:val="Tablenumbers"/>
              <w:cnfStyle w:val="000000100000" w:firstRow="0" w:lastRow="0" w:firstColumn="0" w:lastColumn="0" w:oddVBand="0" w:evenVBand="0" w:oddHBand="1" w:evenHBand="0" w:firstRowFirstColumn="0" w:firstRowLastColumn="0" w:lastRowFirstColumn="0" w:lastRowLastColumn="0"/>
            </w:pPr>
            <w:r>
              <w:t>1.5</w:t>
            </w:r>
          </w:p>
        </w:tc>
        <w:tc>
          <w:tcPr>
            <w:tcW w:w="5084" w:type="dxa"/>
          </w:tcPr>
          <w:p w14:paraId="045DA7D4" w14:textId="190CEB05" w:rsidR="000D687E" w:rsidRPr="00CD6245" w:rsidRDefault="000D687E" w:rsidP="00567B7A">
            <w:pPr>
              <w:pStyle w:val="TableText"/>
              <w:cnfStyle w:val="000000100000" w:firstRow="0" w:lastRow="0" w:firstColumn="0" w:lastColumn="0" w:oddVBand="0" w:evenVBand="0" w:oddHBand="1" w:evenHBand="0" w:firstRowFirstColumn="0" w:firstRowLastColumn="0" w:lastRowFirstColumn="0" w:lastRowLastColumn="0"/>
            </w:pPr>
            <w:r>
              <w:t xml:space="preserve">This figure includes the </w:t>
            </w:r>
            <w:r w:rsidRPr="00C12C92">
              <w:t xml:space="preserve">central </w:t>
            </w:r>
            <w:r>
              <w:t>procurement team and eight other staff members who</w:t>
            </w:r>
            <w:r w:rsidRPr="00C12C92">
              <w:t xml:space="preserve"> are assessed as spending more than 80</w:t>
            </w:r>
            <w:r>
              <w:t xml:space="preserve"> per cent</w:t>
            </w:r>
            <w:r w:rsidRPr="00C12C92">
              <w:t xml:space="preserve"> of their role on procurement functions.</w:t>
            </w:r>
            <w:r>
              <w:t xml:space="preserve"> Given that p</w:t>
            </w:r>
            <w:r w:rsidRPr="00C12C92">
              <w:t>rocurement is decentralised and conducted by staff as part of their full-time other roles</w:t>
            </w:r>
            <w:r>
              <w:t xml:space="preserve">, this </w:t>
            </w:r>
            <w:r w:rsidR="00854DBF">
              <w:t>performance measure</w:t>
            </w:r>
            <w:r>
              <w:t xml:space="preserve"> does not fully reflect </w:t>
            </w:r>
            <w:r w:rsidR="00BD0C9D">
              <w:t>DELWP’s</w:t>
            </w:r>
            <w:r>
              <w:t xml:space="preserve"> procurement costs. </w:t>
            </w:r>
            <w:r w:rsidR="00D23123">
              <w:t xml:space="preserve">DELWP </w:t>
            </w:r>
            <w:r>
              <w:t xml:space="preserve">will move to a centralised model in 2018–19. </w:t>
            </w:r>
          </w:p>
        </w:tc>
      </w:tr>
      <w:tr w:rsidR="009967B5" w:rsidRPr="00CD6245" w14:paraId="6F23084E" w14:textId="77777777" w:rsidTr="005C6BD3">
        <w:tc>
          <w:tcPr>
            <w:cnfStyle w:val="001000000000" w:firstRow="0" w:lastRow="0" w:firstColumn="1" w:lastColumn="0" w:oddVBand="0" w:evenVBand="0" w:oddHBand="0" w:evenHBand="0" w:firstRowFirstColumn="0" w:firstRowLastColumn="0" w:lastRowFirstColumn="0" w:lastRowLastColumn="0"/>
            <w:tcW w:w="359" w:type="dxa"/>
            <w:vMerge w:val="restart"/>
          </w:tcPr>
          <w:p w14:paraId="5140B06E" w14:textId="479A4538" w:rsidR="009967B5" w:rsidRPr="00CD6245" w:rsidRDefault="009967B5" w:rsidP="009967B5">
            <w:pPr>
              <w:pStyle w:val="TableText"/>
            </w:pPr>
            <w:r w:rsidRPr="00CD6245">
              <w:t>5</w:t>
            </w:r>
          </w:p>
        </w:tc>
        <w:tc>
          <w:tcPr>
            <w:tcW w:w="1342" w:type="dxa"/>
          </w:tcPr>
          <w:p w14:paraId="39BD4BCC" w14:textId="1E3907A5" w:rsidR="009967B5" w:rsidRPr="00726E77" w:rsidRDefault="009967B5" w:rsidP="009967B5">
            <w:pPr>
              <w:pStyle w:val="TableText"/>
              <w:cnfStyle w:val="000000000000" w:firstRow="0" w:lastRow="0" w:firstColumn="0" w:lastColumn="0" w:oddVBand="0" w:evenVBand="0" w:oddHBand="0" w:evenHBand="0" w:firstRowFirstColumn="0" w:firstRowLastColumn="0" w:lastRowFirstColumn="0" w:lastRowLastColumn="0"/>
            </w:pPr>
            <w:r w:rsidRPr="000451B5">
              <w:t xml:space="preserve">Successful </w:t>
            </w:r>
            <w:r>
              <w:t>s</w:t>
            </w:r>
            <w:r w:rsidRPr="008F30C8">
              <w:t>upplie</w:t>
            </w:r>
            <w:r>
              <w:t xml:space="preserve">r </w:t>
            </w:r>
            <w:r w:rsidRPr="000451B5">
              <w:t>satisfied</w:t>
            </w:r>
          </w:p>
        </w:tc>
        <w:tc>
          <w:tcPr>
            <w:tcW w:w="699" w:type="dxa"/>
          </w:tcPr>
          <w:p w14:paraId="2E1190CD" w14:textId="2BFFB299" w:rsidR="009967B5" w:rsidRDefault="009967B5" w:rsidP="006B0393">
            <w:pPr>
              <w:pStyle w:val="Tablenumbers"/>
              <w:cnfStyle w:val="000000000000" w:firstRow="0" w:lastRow="0" w:firstColumn="0" w:lastColumn="0" w:oddVBand="0" w:evenVBand="0" w:oddHBand="0" w:evenHBand="0" w:firstRowFirstColumn="0" w:firstRowLastColumn="0" w:lastRowFirstColumn="0" w:lastRowLastColumn="0"/>
            </w:pPr>
            <w:r>
              <w:t>87</w:t>
            </w:r>
          </w:p>
        </w:tc>
        <w:tc>
          <w:tcPr>
            <w:tcW w:w="577" w:type="dxa"/>
          </w:tcPr>
          <w:p w14:paraId="72ECCB15" w14:textId="54131B98" w:rsidR="009967B5" w:rsidRPr="006F0BF9" w:rsidRDefault="009967B5" w:rsidP="006B0393">
            <w:pPr>
              <w:pStyle w:val="Tablenumbers"/>
              <w:cnfStyle w:val="000000000000" w:firstRow="0" w:lastRow="0" w:firstColumn="0" w:lastColumn="0" w:oddVBand="0" w:evenVBand="0" w:oddHBand="0" w:evenHBand="0" w:firstRowFirstColumn="0" w:firstRowLastColumn="0" w:lastRowFirstColumn="0" w:lastRowLastColumn="0"/>
            </w:pPr>
            <w:r>
              <w:t>82</w:t>
            </w:r>
          </w:p>
        </w:tc>
        <w:tc>
          <w:tcPr>
            <w:tcW w:w="586" w:type="dxa"/>
          </w:tcPr>
          <w:p w14:paraId="0137D0D4" w14:textId="7F6DCE07" w:rsidR="009967B5" w:rsidRDefault="009967B5" w:rsidP="006B0393">
            <w:pPr>
              <w:pStyle w:val="Tablenumbers"/>
              <w:cnfStyle w:val="000000000000" w:firstRow="0" w:lastRow="0" w:firstColumn="0" w:lastColumn="0" w:oddVBand="0" w:evenVBand="0" w:oddHBand="0" w:evenHBand="0" w:firstRowFirstColumn="0" w:firstRowLastColumn="0" w:lastRowFirstColumn="0" w:lastRowLastColumn="0"/>
            </w:pPr>
            <w:r>
              <w:t>83</w:t>
            </w:r>
          </w:p>
        </w:tc>
        <w:tc>
          <w:tcPr>
            <w:tcW w:w="5084" w:type="dxa"/>
            <w:vMerge w:val="restart"/>
          </w:tcPr>
          <w:p w14:paraId="55531394" w14:textId="059A5CF7" w:rsidR="009967B5" w:rsidRDefault="009967B5" w:rsidP="009967B5">
            <w:pPr>
              <w:pStyle w:val="TableText"/>
              <w:cnfStyle w:val="000000000000" w:firstRow="0" w:lastRow="0" w:firstColumn="0" w:lastColumn="0" w:oddVBand="0" w:evenVBand="0" w:oddHBand="0" w:evenHBand="0" w:firstRowFirstColumn="0" w:firstRowLastColumn="0" w:lastRowFirstColumn="0" w:lastRowLastColumn="0"/>
            </w:pPr>
            <w:r>
              <w:t>Unsuccessful satisfied suppliers has increased over the past three years. This could be linked to introducing training in evaluating tenders and quotes. Suppliers were most concerned about communication (being kept informed during the evaluation process and timely notification of the outcome). These areas will be factored into the training.</w:t>
            </w:r>
          </w:p>
        </w:tc>
      </w:tr>
      <w:tr w:rsidR="009967B5" w:rsidRPr="00CD6245" w14:paraId="2EC7A158" w14:textId="77777777" w:rsidTr="005C6B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 w:type="dxa"/>
            <w:vMerge/>
          </w:tcPr>
          <w:p w14:paraId="1223A345" w14:textId="77777777" w:rsidR="009967B5" w:rsidRPr="00CD6245" w:rsidRDefault="009967B5" w:rsidP="009967B5">
            <w:pPr>
              <w:pStyle w:val="TableText"/>
            </w:pPr>
          </w:p>
        </w:tc>
        <w:tc>
          <w:tcPr>
            <w:tcW w:w="1342" w:type="dxa"/>
          </w:tcPr>
          <w:p w14:paraId="7C3B39F9" w14:textId="0CE70861" w:rsidR="009967B5" w:rsidRPr="00726E77" w:rsidRDefault="009967B5" w:rsidP="009967B5">
            <w:pPr>
              <w:pStyle w:val="TableText"/>
              <w:cnfStyle w:val="000000100000" w:firstRow="0" w:lastRow="0" w:firstColumn="0" w:lastColumn="0" w:oddVBand="0" w:evenVBand="0" w:oddHBand="1" w:evenHBand="0" w:firstRowFirstColumn="0" w:firstRowLastColumn="0" w:lastRowFirstColumn="0" w:lastRowLastColumn="0"/>
            </w:pPr>
            <w:r w:rsidRPr="000451B5">
              <w:t xml:space="preserve">Unsuccessful </w:t>
            </w:r>
            <w:r>
              <w:t>s</w:t>
            </w:r>
            <w:r w:rsidRPr="008F30C8">
              <w:t>upplie</w:t>
            </w:r>
            <w:r>
              <w:t xml:space="preserve">r </w:t>
            </w:r>
            <w:r w:rsidRPr="000451B5">
              <w:t>satisfied</w:t>
            </w:r>
          </w:p>
        </w:tc>
        <w:tc>
          <w:tcPr>
            <w:tcW w:w="699" w:type="dxa"/>
          </w:tcPr>
          <w:p w14:paraId="072BF03C" w14:textId="658B5CA6" w:rsidR="009967B5" w:rsidRDefault="009967B5" w:rsidP="006B0393">
            <w:pPr>
              <w:pStyle w:val="Tablenumbers"/>
              <w:cnfStyle w:val="000000100000" w:firstRow="0" w:lastRow="0" w:firstColumn="0" w:lastColumn="0" w:oddVBand="0" w:evenVBand="0" w:oddHBand="1" w:evenHBand="0" w:firstRowFirstColumn="0" w:firstRowLastColumn="0" w:lastRowFirstColumn="0" w:lastRowLastColumn="0"/>
            </w:pPr>
            <w:r>
              <w:t>38</w:t>
            </w:r>
          </w:p>
        </w:tc>
        <w:tc>
          <w:tcPr>
            <w:tcW w:w="577" w:type="dxa"/>
          </w:tcPr>
          <w:p w14:paraId="3BABDB21" w14:textId="04657AA9" w:rsidR="009967B5" w:rsidRPr="006F0BF9" w:rsidRDefault="009967B5" w:rsidP="006B0393">
            <w:pPr>
              <w:pStyle w:val="Tablenumbers"/>
              <w:cnfStyle w:val="000000100000" w:firstRow="0" w:lastRow="0" w:firstColumn="0" w:lastColumn="0" w:oddVBand="0" w:evenVBand="0" w:oddHBand="1" w:evenHBand="0" w:firstRowFirstColumn="0" w:firstRowLastColumn="0" w:lastRowFirstColumn="0" w:lastRowLastColumn="0"/>
            </w:pPr>
            <w:r>
              <w:t>37</w:t>
            </w:r>
          </w:p>
        </w:tc>
        <w:tc>
          <w:tcPr>
            <w:tcW w:w="586" w:type="dxa"/>
          </w:tcPr>
          <w:p w14:paraId="4B0256B5" w14:textId="5597C84A" w:rsidR="009967B5" w:rsidRDefault="009967B5" w:rsidP="006B0393">
            <w:pPr>
              <w:pStyle w:val="Tablenumbers"/>
              <w:cnfStyle w:val="000000100000" w:firstRow="0" w:lastRow="0" w:firstColumn="0" w:lastColumn="0" w:oddVBand="0" w:evenVBand="0" w:oddHBand="1" w:evenHBand="0" w:firstRowFirstColumn="0" w:firstRowLastColumn="0" w:lastRowFirstColumn="0" w:lastRowLastColumn="0"/>
            </w:pPr>
            <w:r>
              <w:t>42</w:t>
            </w:r>
          </w:p>
        </w:tc>
        <w:tc>
          <w:tcPr>
            <w:tcW w:w="5084" w:type="dxa"/>
            <w:vMerge/>
          </w:tcPr>
          <w:p w14:paraId="33C52FCD" w14:textId="77777777" w:rsidR="009967B5" w:rsidRDefault="009967B5" w:rsidP="009967B5">
            <w:pPr>
              <w:pStyle w:val="TableText"/>
              <w:cnfStyle w:val="000000100000" w:firstRow="0" w:lastRow="0" w:firstColumn="0" w:lastColumn="0" w:oddVBand="0" w:evenVBand="0" w:oddHBand="1" w:evenHBand="0" w:firstRowFirstColumn="0" w:firstRowLastColumn="0" w:lastRowFirstColumn="0" w:lastRowLastColumn="0"/>
            </w:pPr>
          </w:p>
        </w:tc>
      </w:tr>
      <w:tr w:rsidR="000D687E" w:rsidRPr="00CD6245" w14:paraId="528796E1" w14:textId="77777777" w:rsidTr="005C6BD3">
        <w:trPr>
          <w:trHeight w:val="283"/>
        </w:trPr>
        <w:tc>
          <w:tcPr>
            <w:cnfStyle w:val="001000000000" w:firstRow="0" w:lastRow="0" w:firstColumn="1" w:lastColumn="0" w:oddVBand="0" w:evenVBand="0" w:oddHBand="0" w:evenHBand="0" w:firstRowFirstColumn="0" w:firstRowLastColumn="0" w:lastRowFirstColumn="0" w:lastRowLastColumn="0"/>
            <w:tcW w:w="359" w:type="dxa"/>
          </w:tcPr>
          <w:p w14:paraId="3EDD0FB2" w14:textId="77777777" w:rsidR="000D687E" w:rsidRPr="00CD6245" w:rsidRDefault="000D687E" w:rsidP="00567B7A">
            <w:pPr>
              <w:pStyle w:val="TableText"/>
            </w:pPr>
            <w:r w:rsidRPr="00CD6245">
              <w:t>6</w:t>
            </w:r>
          </w:p>
        </w:tc>
        <w:tc>
          <w:tcPr>
            <w:tcW w:w="1342" w:type="dxa"/>
          </w:tcPr>
          <w:p w14:paraId="41AFE51F" w14:textId="77777777" w:rsidR="000D687E" w:rsidRPr="00726E77" w:rsidRDefault="000D687E" w:rsidP="00567B7A">
            <w:pPr>
              <w:pStyle w:val="TableText"/>
              <w:cnfStyle w:val="000000000000" w:firstRow="0" w:lastRow="0" w:firstColumn="0" w:lastColumn="0" w:oddVBand="0" w:evenVBand="0" w:oddHBand="0" w:evenHBand="0" w:firstRowFirstColumn="0" w:firstRowLastColumn="0" w:lastRowFirstColumn="0" w:lastRowLastColumn="0"/>
            </w:pPr>
            <w:r w:rsidRPr="00726E77">
              <w:t>Planned procurement activity</w:t>
            </w:r>
          </w:p>
        </w:tc>
        <w:tc>
          <w:tcPr>
            <w:tcW w:w="699" w:type="dxa"/>
          </w:tcPr>
          <w:p w14:paraId="13F5BEB7" w14:textId="77777777" w:rsidR="000D687E" w:rsidRDefault="000D687E" w:rsidP="006B0393">
            <w:pPr>
              <w:pStyle w:val="Tablenumbers"/>
              <w:cnfStyle w:val="000000000000" w:firstRow="0" w:lastRow="0" w:firstColumn="0" w:lastColumn="0" w:oddVBand="0" w:evenVBand="0" w:oddHBand="0" w:evenHBand="0" w:firstRowFirstColumn="0" w:firstRowLastColumn="0" w:lastRowFirstColumn="0" w:lastRowLastColumn="0"/>
            </w:pPr>
            <w:r w:rsidRPr="006F0BF9">
              <w:t>54.5</w:t>
            </w:r>
          </w:p>
        </w:tc>
        <w:tc>
          <w:tcPr>
            <w:tcW w:w="577" w:type="dxa"/>
          </w:tcPr>
          <w:p w14:paraId="55A22DE6" w14:textId="77777777" w:rsidR="000D687E" w:rsidRPr="006F0BF9" w:rsidRDefault="000D687E" w:rsidP="006B0393">
            <w:pPr>
              <w:pStyle w:val="Tablenumbers"/>
              <w:cnfStyle w:val="000000000000" w:firstRow="0" w:lastRow="0" w:firstColumn="0" w:lastColumn="0" w:oddVBand="0" w:evenVBand="0" w:oddHBand="0" w:evenHBand="0" w:firstRowFirstColumn="0" w:firstRowLastColumn="0" w:lastRowFirstColumn="0" w:lastRowLastColumn="0"/>
            </w:pPr>
            <w:r w:rsidRPr="006F0BF9">
              <w:t>63.2</w:t>
            </w:r>
          </w:p>
        </w:tc>
        <w:tc>
          <w:tcPr>
            <w:tcW w:w="586" w:type="dxa"/>
          </w:tcPr>
          <w:p w14:paraId="49C7ABF8" w14:textId="77777777" w:rsidR="000D687E" w:rsidRPr="00CD6245" w:rsidRDefault="000D687E" w:rsidP="006B0393">
            <w:pPr>
              <w:pStyle w:val="Tablenumbers"/>
              <w:cnfStyle w:val="000000000000" w:firstRow="0" w:lastRow="0" w:firstColumn="0" w:lastColumn="0" w:oddVBand="0" w:evenVBand="0" w:oddHBand="0" w:evenHBand="0" w:firstRowFirstColumn="0" w:firstRowLastColumn="0" w:lastRowFirstColumn="0" w:lastRowLastColumn="0"/>
            </w:pPr>
            <w:r>
              <w:t>28.6</w:t>
            </w:r>
          </w:p>
        </w:tc>
        <w:tc>
          <w:tcPr>
            <w:tcW w:w="5084" w:type="dxa"/>
          </w:tcPr>
          <w:p w14:paraId="0C1D13A7" w14:textId="6B8A4FC3" w:rsidR="000D687E" w:rsidRPr="00CD6245" w:rsidRDefault="00D23123" w:rsidP="00567B7A">
            <w:pPr>
              <w:pStyle w:val="TableText"/>
              <w:cnfStyle w:val="000000000000" w:firstRow="0" w:lastRow="0" w:firstColumn="0" w:lastColumn="0" w:oddVBand="0" w:evenVBand="0" w:oddHBand="0" w:evenHBand="0" w:firstRowFirstColumn="0" w:firstRowLastColumn="0" w:lastRowFirstColumn="0" w:lastRowLastColumn="0"/>
            </w:pPr>
            <w:r>
              <w:t>DELWP</w:t>
            </w:r>
            <w:r w:rsidR="000D687E" w:rsidRPr="00B90A38">
              <w:t xml:space="preserve"> publish</w:t>
            </w:r>
            <w:r w:rsidR="00EE2B46">
              <w:t>es</w:t>
            </w:r>
            <w:r w:rsidR="000D687E" w:rsidRPr="00B90A38">
              <w:t xml:space="preserve"> a </w:t>
            </w:r>
            <w:r w:rsidR="00137613">
              <w:t>p</w:t>
            </w:r>
            <w:r w:rsidR="000D687E" w:rsidRPr="00B90A38">
              <w:t xml:space="preserve">rocurement </w:t>
            </w:r>
            <w:r w:rsidR="00137613">
              <w:t>a</w:t>
            </w:r>
            <w:r w:rsidR="000D687E" w:rsidRPr="00B90A38">
              <w:t xml:space="preserve">ctivity </w:t>
            </w:r>
            <w:r w:rsidR="00137613">
              <w:t>p</w:t>
            </w:r>
            <w:r w:rsidR="000D687E" w:rsidRPr="00B90A38">
              <w:t>lan for all planned procurement greater than $500</w:t>
            </w:r>
            <w:r w:rsidR="000D687E">
              <w:t> </w:t>
            </w:r>
            <w:r w:rsidR="000D687E" w:rsidRPr="00B90A38">
              <w:t>000 e</w:t>
            </w:r>
            <w:r w:rsidR="000D687E">
              <w:t>very</w:t>
            </w:r>
            <w:r w:rsidR="000D687E" w:rsidRPr="00B90A38">
              <w:t xml:space="preserve"> six months on </w:t>
            </w:r>
            <w:r w:rsidR="00BD0C9D">
              <w:t>its</w:t>
            </w:r>
            <w:r w:rsidR="000D687E" w:rsidRPr="00B90A38">
              <w:t xml:space="preserve"> website.</w:t>
            </w:r>
            <w:r w:rsidR="000D687E">
              <w:t xml:space="preserve"> </w:t>
            </w:r>
            <w:r>
              <w:t>DELWP</w:t>
            </w:r>
            <w:r w:rsidR="000D687E">
              <w:t xml:space="preserve"> captured six of the 21 procurements this year. The other 15 were either not captured </w:t>
            </w:r>
            <w:r w:rsidR="000D687E" w:rsidRPr="00B90A38">
              <w:t>by the business area</w:t>
            </w:r>
            <w:r w:rsidR="000D687E">
              <w:t xml:space="preserve"> </w:t>
            </w:r>
            <w:r w:rsidR="000D687E" w:rsidRPr="00B90A38">
              <w:t>or were unplanned at the</w:t>
            </w:r>
            <w:r w:rsidR="000D687E">
              <w:t xml:space="preserve"> start </w:t>
            </w:r>
            <w:r w:rsidR="000D687E" w:rsidRPr="00B90A38">
              <w:t>of the year due to policy and budget issues.</w:t>
            </w:r>
            <w:r w:rsidR="000D687E">
              <w:t xml:space="preserve"> </w:t>
            </w:r>
            <w:r>
              <w:t>DELWP</w:t>
            </w:r>
            <w:r w:rsidR="000D687E">
              <w:t xml:space="preserve"> </w:t>
            </w:r>
            <w:r w:rsidR="000D687E" w:rsidRPr="00B90A38">
              <w:t>will continue to promote the requirement to</w:t>
            </w:r>
            <w:r w:rsidR="000D687E">
              <w:t xml:space="preserve"> publish procurements </w:t>
            </w:r>
            <w:r w:rsidR="000D687E" w:rsidRPr="00B90A38">
              <w:t xml:space="preserve">and the </w:t>
            </w:r>
            <w:r w:rsidR="006A5451" w:rsidRPr="00B90A38">
              <w:t>Procurement Bra</w:t>
            </w:r>
            <w:r w:rsidR="000D687E" w:rsidRPr="00B90A38">
              <w:t>nch will follow up with DELWP business managers.</w:t>
            </w:r>
          </w:p>
        </w:tc>
      </w:tr>
    </w:tbl>
    <w:p w14:paraId="615C081E" w14:textId="77777777" w:rsidR="002A7E78" w:rsidRDefault="002A7E78" w:rsidP="002A7E78">
      <w:pPr>
        <w:pStyle w:val="Heading3NoNum"/>
      </w:pPr>
      <w:r>
        <w:t>Activities in 2018–19</w:t>
      </w:r>
    </w:p>
    <w:p w14:paraId="22B04C0E" w14:textId="77777777" w:rsidR="002A7E78" w:rsidRDefault="002A7E78" w:rsidP="002A7E78">
      <w:pPr>
        <w:pStyle w:val="Normal1"/>
      </w:pPr>
      <w:r>
        <w:t>In 2018–19, DELWP will:</w:t>
      </w:r>
    </w:p>
    <w:p w14:paraId="606270CD" w14:textId="77777777" w:rsidR="002A7E78" w:rsidRPr="00A64D8F" w:rsidRDefault="002A7E78" w:rsidP="002A7E78">
      <w:pPr>
        <w:pStyle w:val="Bullet1"/>
      </w:pPr>
      <w:r w:rsidRPr="00A64D8F">
        <w:t xml:space="preserve">finish updating </w:t>
      </w:r>
      <w:r>
        <w:t>its</w:t>
      </w:r>
      <w:r w:rsidRPr="00A64D8F">
        <w:t xml:space="preserve"> procurement strategy;</w:t>
      </w:r>
    </w:p>
    <w:p w14:paraId="3B8E5FC2" w14:textId="77777777" w:rsidR="002A7E78" w:rsidRDefault="002A7E78" w:rsidP="002A7E78">
      <w:pPr>
        <w:pStyle w:val="Bullet1"/>
      </w:pPr>
      <w:r>
        <w:t>introduce a strategic sourcing team into the centre-led procurement model to carry out all procurement valued at greater than $3 million across the Department;</w:t>
      </w:r>
    </w:p>
    <w:p w14:paraId="5FFC75E8" w14:textId="77777777" w:rsidR="002A7E78" w:rsidRDefault="002A7E78" w:rsidP="002A7E78">
      <w:pPr>
        <w:pStyle w:val="Bullet1"/>
      </w:pPr>
      <w:r>
        <w:t>add ICT and professional services category management into the centre-led procurement model to centralise sourcing and contract management of these categories;</w:t>
      </w:r>
    </w:p>
    <w:p w14:paraId="73443CB7" w14:textId="243DF4CD" w:rsidR="002A7E78" w:rsidRDefault="002A7E78" w:rsidP="002A7E78">
      <w:pPr>
        <w:pStyle w:val="Bullet1"/>
      </w:pPr>
      <w:r>
        <w:t>implement a source-to-contract and contract management tool to simplify managing tenders and suppliers</w:t>
      </w:r>
      <w:r w:rsidR="00597120">
        <w:t>, and</w:t>
      </w:r>
      <w:r>
        <w:t xml:space="preserve"> improve procurement reporting capability for better visibility of spend and data capture (originally planned for 2017–18);</w:t>
      </w:r>
    </w:p>
    <w:p w14:paraId="1BDA26DA" w14:textId="77777777" w:rsidR="002A7E78" w:rsidRDefault="002A7E78" w:rsidP="002A7E78">
      <w:pPr>
        <w:pStyle w:val="Bullet1"/>
      </w:pPr>
      <w:r>
        <w:t>launch a new introduction to procurement training course to complement the existing online training module;</w:t>
      </w:r>
    </w:p>
    <w:p w14:paraId="1B11421A" w14:textId="77777777" w:rsidR="002A7E78" w:rsidRDefault="002A7E78" w:rsidP="002A7E78">
      <w:pPr>
        <w:pStyle w:val="Bullet1"/>
      </w:pPr>
      <w:r>
        <w:t>implement the vendor management system for contingent labour; and</w:t>
      </w:r>
    </w:p>
    <w:p w14:paraId="0021AF2C" w14:textId="77777777" w:rsidR="002A7E78" w:rsidRDefault="002A7E78" w:rsidP="002A7E78">
      <w:pPr>
        <w:pStyle w:val="Bullet1"/>
      </w:pPr>
      <w:r>
        <w:t>implement Victoria’s Social Procurement Framework.</w:t>
      </w:r>
    </w:p>
    <w:p w14:paraId="1AB7E02C" w14:textId="77777777" w:rsidR="000D687E" w:rsidRDefault="000D687E" w:rsidP="000D687E"/>
    <w:p w14:paraId="0D595694" w14:textId="66148EF9" w:rsidR="00442D45" w:rsidRDefault="00442D45" w:rsidP="008C072C">
      <w:pPr>
        <w:pStyle w:val="Heading2NoNum"/>
      </w:pPr>
      <w:bookmarkStart w:id="173" w:name="_Toc524354084"/>
      <w:bookmarkStart w:id="174" w:name="_Hlk489606228"/>
      <w:bookmarkEnd w:id="165"/>
      <w:r w:rsidRPr="00CD6245">
        <w:t>Department of Health and Human Services</w:t>
      </w:r>
      <w:bookmarkEnd w:id="173"/>
    </w:p>
    <w:p w14:paraId="48BF9E97" w14:textId="77777777" w:rsidR="000D687E" w:rsidRPr="00FE239C" w:rsidRDefault="000D687E" w:rsidP="000D687E">
      <w:pPr>
        <w:pStyle w:val="Normal1"/>
        <w:rPr>
          <w:b/>
        </w:rPr>
      </w:pPr>
      <w:r>
        <w:rPr>
          <w:noProof/>
          <w:lang w:val="en-US" w:eastAsia="en-US"/>
        </w:rPr>
        <mc:AlternateContent>
          <mc:Choice Requires="wps">
            <w:drawing>
              <wp:anchor distT="0" distB="0" distL="114300" distR="114300" simplePos="0" relativeHeight="251656704" behindDoc="0" locked="0" layoutInCell="1" allowOverlap="1" wp14:anchorId="29678517" wp14:editId="03698B5E">
                <wp:simplePos x="0" y="0"/>
                <wp:positionH relativeFrom="margin">
                  <wp:posOffset>3743325</wp:posOffset>
                </wp:positionH>
                <wp:positionV relativeFrom="margin">
                  <wp:posOffset>800100</wp:posOffset>
                </wp:positionV>
                <wp:extent cx="2069465" cy="1304925"/>
                <wp:effectExtent l="0" t="0" r="26035" b="28575"/>
                <wp:wrapSquare wrapText="bothSides"/>
                <wp:docPr id="19" name="Text Box 19"/>
                <wp:cNvGraphicFramePr/>
                <a:graphic xmlns:a="http://schemas.openxmlformats.org/drawingml/2006/main">
                  <a:graphicData uri="http://schemas.microsoft.com/office/word/2010/wordprocessingShape">
                    <wps:wsp>
                      <wps:cNvSpPr txBox="1"/>
                      <wps:spPr>
                        <a:xfrm>
                          <a:off x="0" y="0"/>
                          <a:ext cx="2069465" cy="1304925"/>
                        </a:xfrm>
                        <a:prstGeom prst="rect">
                          <a:avLst/>
                        </a:prstGeom>
                        <a:solidFill>
                          <a:schemeClr val="lt1"/>
                        </a:solidFill>
                        <a:ln w="6350">
                          <a:solidFill>
                            <a:prstClr val="black"/>
                          </a:solidFill>
                        </a:ln>
                      </wps:spPr>
                      <wps:txbx>
                        <w:txbxContent>
                          <w:p w14:paraId="37F66233" w14:textId="77777777" w:rsidR="001206E5" w:rsidRPr="008F3EDB" w:rsidRDefault="001206E5" w:rsidP="000D687E">
                            <w:pPr>
                              <w:spacing w:before="40" w:after="40"/>
                              <w:rPr>
                                <w:rFonts w:asciiTheme="majorHAnsi" w:hAnsiTheme="majorHAnsi" w:cstheme="majorHAnsi"/>
                                <w:b/>
                                <w:sz w:val="20"/>
                                <w:szCs w:val="20"/>
                              </w:rPr>
                            </w:pPr>
                            <w:r w:rsidRPr="008F3EDB">
                              <w:rPr>
                                <w:rFonts w:asciiTheme="majorHAnsi" w:hAnsiTheme="majorHAnsi" w:cstheme="majorHAnsi"/>
                                <w:b/>
                                <w:sz w:val="20"/>
                                <w:szCs w:val="20"/>
                              </w:rPr>
                              <w:t xml:space="preserve">AO: </w:t>
                            </w:r>
                            <w:r w:rsidRPr="008F3EDB">
                              <w:rPr>
                                <w:rFonts w:asciiTheme="majorHAnsi" w:hAnsiTheme="majorHAnsi" w:cstheme="majorHAnsi"/>
                                <w:sz w:val="20"/>
                                <w:szCs w:val="20"/>
                              </w:rPr>
                              <w:t>Kym Peake, Secretary</w:t>
                            </w:r>
                          </w:p>
                          <w:p w14:paraId="0222075D" w14:textId="77777777" w:rsidR="001206E5" w:rsidRPr="008F3EDB" w:rsidRDefault="001206E5" w:rsidP="000D687E">
                            <w:pPr>
                              <w:spacing w:before="40" w:after="40"/>
                              <w:rPr>
                                <w:rFonts w:asciiTheme="majorHAnsi" w:hAnsiTheme="majorHAnsi" w:cstheme="majorHAnsi"/>
                                <w:b/>
                                <w:sz w:val="20"/>
                                <w:szCs w:val="20"/>
                              </w:rPr>
                            </w:pPr>
                            <w:r w:rsidRPr="008F3EDB">
                              <w:rPr>
                                <w:rFonts w:asciiTheme="majorHAnsi" w:hAnsiTheme="majorHAnsi" w:cstheme="majorHAnsi"/>
                                <w:b/>
                                <w:sz w:val="20"/>
                                <w:szCs w:val="20"/>
                              </w:rPr>
                              <w:t xml:space="preserve">CPO: </w:t>
                            </w:r>
                            <w:r w:rsidRPr="008F3EDB">
                              <w:rPr>
                                <w:rFonts w:asciiTheme="majorHAnsi" w:hAnsiTheme="majorHAnsi" w:cstheme="majorHAnsi"/>
                                <w:sz w:val="20"/>
                                <w:szCs w:val="20"/>
                              </w:rPr>
                              <w:t>Genine Wallinga, Director, Procurement and Contract</w:t>
                            </w:r>
                            <w:r w:rsidRPr="008F3EDB">
                              <w:rPr>
                                <w:rFonts w:asciiTheme="majorHAnsi" w:hAnsiTheme="majorHAnsi" w:cstheme="majorHAnsi"/>
                                <w:b/>
                                <w:sz w:val="20"/>
                                <w:szCs w:val="20"/>
                              </w:rPr>
                              <w:t xml:space="preserve"> </w:t>
                            </w:r>
                            <w:r w:rsidRPr="008F3EDB">
                              <w:rPr>
                                <w:rFonts w:asciiTheme="majorHAnsi" w:hAnsiTheme="majorHAnsi" w:cstheme="majorHAnsi"/>
                                <w:sz w:val="20"/>
                                <w:szCs w:val="20"/>
                              </w:rPr>
                              <w:t>Management Branch</w:t>
                            </w:r>
                          </w:p>
                          <w:p w14:paraId="6E811D2D" w14:textId="77777777" w:rsidR="001206E5" w:rsidRPr="008F3EDB" w:rsidRDefault="001206E5" w:rsidP="000D687E">
                            <w:pPr>
                              <w:spacing w:before="40" w:after="40"/>
                              <w:rPr>
                                <w:rFonts w:asciiTheme="majorHAnsi" w:hAnsiTheme="majorHAnsi" w:cstheme="majorHAnsi"/>
                                <w:b/>
                                <w:sz w:val="20"/>
                                <w:szCs w:val="20"/>
                              </w:rPr>
                            </w:pPr>
                            <w:r w:rsidRPr="008F3EDB">
                              <w:rPr>
                                <w:rFonts w:asciiTheme="majorHAnsi" w:hAnsiTheme="majorHAnsi" w:cstheme="majorHAnsi"/>
                                <w:b/>
                                <w:sz w:val="20"/>
                                <w:szCs w:val="20"/>
                              </w:rPr>
                              <w:t xml:space="preserve">IPU Chair: </w:t>
                            </w:r>
                            <w:r w:rsidRPr="008F3EDB">
                              <w:rPr>
                                <w:rFonts w:asciiTheme="majorHAnsi" w:hAnsiTheme="majorHAnsi" w:cstheme="majorHAnsi"/>
                                <w:sz w:val="20"/>
                                <w:szCs w:val="20"/>
                              </w:rPr>
                              <w:t>Carolyn De Gois, Deputy Secretary, Corporate Services</w:t>
                            </w:r>
                            <w:r>
                              <w:rPr>
                                <w:rFonts w:asciiTheme="majorHAnsi" w:hAnsiTheme="majorHAnsi" w:cstheme="majorHAnsi"/>
                                <w:sz w:val="20"/>
                                <w:szCs w:val="20"/>
                              </w:rPr>
                              <w:t xml:space="preserve"> Division</w:t>
                            </w:r>
                          </w:p>
                          <w:p w14:paraId="6A492F80" w14:textId="77777777" w:rsidR="001206E5" w:rsidRPr="000F42F5" w:rsidRDefault="001206E5" w:rsidP="000D687E">
                            <w:pP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678517" id="Text Box 19" o:spid="_x0000_s1079" type="#_x0000_t202" style="position:absolute;left:0;text-align:left;margin-left:294.75pt;margin-top:63pt;width:162.95pt;height:102.75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" fillcolor="white [3201]" strokeweight=".5pt">
                <v:textbox>
                  <w:txbxContent>
                    <w:p w14:paraId="37F66233" w14:textId="77777777" w:rsidR="001206E5" w:rsidRPr="008F3EDB" w:rsidRDefault="001206E5" w:rsidP="000D687E">
                      <w:pPr>
                        <w:spacing w:before="40" w:after="40"/>
                        <w:rPr>
                          <w:rFonts w:asciiTheme="majorHAnsi" w:hAnsiTheme="majorHAnsi" w:cstheme="majorHAnsi"/>
                          <w:b/>
                          <w:sz w:val="20"/>
                          <w:szCs w:val="20"/>
                        </w:rPr>
                      </w:pPr>
                      <w:r w:rsidRPr="008F3EDB">
                        <w:rPr>
                          <w:rFonts w:asciiTheme="majorHAnsi" w:hAnsiTheme="majorHAnsi" w:cstheme="majorHAnsi"/>
                          <w:b/>
                          <w:sz w:val="20"/>
                          <w:szCs w:val="20"/>
                        </w:rPr>
                        <w:t xml:space="preserve">AO: </w:t>
                      </w:r>
                      <w:r w:rsidRPr="008F3EDB">
                        <w:rPr>
                          <w:rFonts w:asciiTheme="majorHAnsi" w:hAnsiTheme="majorHAnsi" w:cstheme="majorHAnsi"/>
                          <w:sz w:val="20"/>
                          <w:szCs w:val="20"/>
                        </w:rPr>
                        <w:t>Kym Peake, Secretary</w:t>
                      </w:r>
                    </w:p>
                    <w:p w14:paraId="0222075D" w14:textId="77777777" w:rsidR="001206E5" w:rsidRPr="008F3EDB" w:rsidRDefault="001206E5" w:rsidP="000D687E">
                      <w:pPr>
                        <w:spacing w:before="40" w:after="40"/>
                        <w:rPr>
                          <w:rFonts w:asciiTheme="majorHAnsi" w:hAnsiTheme="majorHAnsi" w:cstheme="majorHAnsi"/>
                          <w:b/>
                          <w:sz w:val="20"/>
                          <w:szCs w:val="20"/>
                        </w:rPr>
                      </w:pPr>
                      <w:r w:rsidRPr="008F3EDB">
                        <w:rPr>
                          <w:rFonts w:asciiTheme="majorHAnsi" w:hAnsiTheme="majorHAnsi" w:cstheme="majorHAnsi"/>
                          <w:b/>
                          <w:sz w:val="20"/>
                          <w:szCs w:val="20"/>
                        </w:rPr>
                        <w:t xml:space="preserve">CPO: </w:t>
                      </w:r>
                      <w:r w:rsidRPr="008F3EDB">
                        <w:rPr>
                          <w:rFonts w:asciiTheme="majorHAnsi" w:hAnsiTheme="majorHAnsi" w:cstheme="majorHAnsi"/>
                          <w:sz w:val="20"/>
                          <w:szCs w:val="20"/>
                        </w:rPr>
                        <w:t>Genine Wallinga, Director, Procurement and Contract</w:t>
                      </w:r>
                      <w:r w:rsidRPr="008F3EDB">
                        <w:rPr>
                          <w:rFonts w:asciiTheme="majorHAnsi" w:hAnsiTheme="majorHAnsi" w:cstheme="majorHAnsi"/>
                          <w:b/>
                          <w:sz w:val="20"/>
                          <w:szCs w:val="20"/>
                        </w:rPr>
                        <w:t xml:space="preserve"> </w:t>
                      </w:r>
                      <w:r w:rsidRPr="008F3EDB">
                        <w:rPr>
                          <w:rFonts w:asciiTheme="majorHAnsi" w:hAnsiTheme="majorHAnsi" w:cstheme="majorHAnsi"/>
                          <w:sz w:val="20"/>
                          <w:szCs w:val="20"/>
                        </w:rPr>
                        <w:t>Management Branch</w:t>
                      </w:r>
                    </w:p>
                    <w:p w14:paraId="6E811D2D" w14:textId="77777777" w:rsidR="001206E5" w:rsidRPr="008F3EDB" w:rsidRDefault="001206E5" w:rsidP="000D687E">
                      <w:pPr>
                        <w:spacing w:before="40" w:after="40"/>
                        <w:rPr>
                          <w:rFonts w:asciiTheme="majorHAnsi" w:hAnsiTheme="majorHAnsi" w:cstheme="majorHAnsi"/>
                          <w:b/>
                          <w:sz w:val="20"/>
                          <w:szCs w:val="20"/>
                        </w:rPr>
                      </w:pPr>
                      <w:r w:rsidRPr="008F3EDB">
                        <w:rPr>
                          <w:rFonts w:asciiTheme="majorHAnsi" w:hAnsiTheme="majorHAnsi" w:cstheme="majorHAnsi"/>
                          <w:b/>
                          <w:sz w:val="20"/>
                          <w:szCs w:val="20"/>
                        </w:rPr>
                        <w:t xml:space="preserve">IPU Chair: </w:t>
                      </w:r>
                      <w:r w:rsidRPr="008F3EDB">
                        <w:rPr>
                          <w:rFonts w:asciiTheme="majorHAnsi" w:hAnsiTheme="majorHAnsi" w:cstheme="majorHAnsi"/>
                          <w:sz w:val="20"/>
                          <w:szCs w:val="20"/>
                        </w:rPr>
                        <w:t>Carolyn De Gois, Deputy Secretary, Corporate Services</w:t>
                      </w:r>
                      <w:r>
                        <w:rPr>
                          <w:rFonts w:asciiTheme="majorHAnsi" w:hAnsiTheme="majorHAnsi" w:cstheme="majorHAnsi"/>
                          <w:sz w:val="20"/>
                          <w:szCs w:val="20"/>
                        </w:rPr>
                        <w:t xml:space="preserve"> Division</w:t>
                      </w:r>
                    </w:p>
                    <w:p w14:paraId="6A492F80" w14:textId="77777777" w:rsidR="001206E5" w:rsidRPr="000F42F5" w:rsidRDefault="001206E5" w:rsidP="000D687E">
                      <w:pPr>
                        <w:rPr>
                          <w:sz w:val="20"/>
                          <w:szCs w:val="20"/>
                        </w:rPr>
                      </w:pPr>
                    </w:p>
                  </w:txbxContent>
                </v:textbox>
                <w10:wrap type="square" anchorx="margin" anchory="margin"/>
              </v:shape>
            </w:pict>
          </mc:Fallback>
        </mc:AlternateContent>
      </w:r>
      <w:r>
        <w:t>The D</w:t>
      </w:r>
      <w:r w:rsidRPr="00FE239C">
        <w:t xml:space="preserve">epartment of Health and Human Services </w:t>
      </w:r>
      <w:r>
        <w:t xml:space="preserve">(DHHS) </w:t>
      </w:r>
      <w:r w:rsidRPr="00FE239C">
        <w:t>is responsible for developing and delivering policies, programs and services that support the health, wellbeing and safety of all Victorians.</w:t>
      </w:r>
    </w:p>
    <w:p w14:paraId="7A33E4D0" w14:textId="77777777" w:rsidR="000D687E" w:rsidRDefault="000D687E" w:rsidP="000D687E">
      <w:pPr>
        <w:pStyle w:val="Heading3NoNum"/>
      </w:pPr>
      <w:r w:rsidRPr="00CD6245">
        <w:t>Procurement profile</w:t>
      </w:r>
    </w:p>
    <w:p w14:paraId="33DDF739" w14:textId="2B53BC24" w:rsidR="000D687E" w:rsidRPr="00FE239C" w:rsidRDefault="000D687E" w:rsidP="000D687E">
      <w:pPr>
        <w:pStyle w:val="Normal1"/>
        <w:rPr>
          <w:b/>
        </w:rPr>
      </w:pPr>
      <w:r>
        <w:t xml:space="preserve">DHHS </w:t>
      </w:r>
      <w:r w:rsidRPr="00FE239C">
        <w:t>operate</w:t>
      </w:r>
      <w:r>
        <w:t>s</w:t>
      </w:r>
      <w:r w:rsidRPr="00FE239C">
        <w:t xml:space="preserve"> a centre-led goods and services (non-construction) procurement function that supports staff when </w:t>
      </w:r>
      <w:r w:rsidR="00494F38">
        <w:t>carrying out</w:t>
      </w:r>
      <w:r w:rsidRPr="00FE239C">
        <w:t xml:space="preserve"> procurement </w:t>
      </w:r>
      <w:r>
        <w:t xml:space="preserve">and/or contract management </w:t>
      </w:r>
      <w:r w:rsidRPr="00FE239C">
        <w:t>actions.</w:t>
      </w:r>
    </w:p>
    <w:p w14:paraId="656222B1" w14:textId="77777777" w:rsidR="000D687E" w:rsidRDefault="000D687E" w:rsidP="000D687E">
      <w:pPr>
        <w:pStyle w:val="Normal1"/>
        <w:rPr>
          <w:b/>
        </w:rPr>
      </w:pPr>
      <w:r>
        <w:t>The main spend categories are:</w:t>
      </w:r>
    </w:p>
    <w:p w14:paraId="00D9CA1B" w14:textId="3478B580" w:rsidR="000D687E" w:rsidRPr="00235F70" w:rsidRDefault="000D687E" w:rsidP="000D687E">
      <w:pPr>
        <w:pStyle w:val="Bullet1"/>
        <w:rPr>
          <w:b/>
        </w:rPr>
      </w:pPr>
      <w:r w:rsidRPr="00FE239C">
        <w:t>business</w:t>
      </w:r>
      <w:r>
        <w:t xml:space="preserve"> support services</w:t>
      </w:r>
      <w:r w:rsidR="00A64D8F">
        <w:t xml:space="preserve"> </w:t>
      </w:r>
      <w:r w:rsidRPr="00235F70">
        <w:t>–</w:t>
      </w:r>
      <w:r w:rsidR="00A64D8F" w:rsidRPr="00235F70">
        <w:t xml:space="preserve"> </w:t>
      </w:r>
      <w:r w:rsidRPr="00235F70">
        <w:t>ICT (</w:t>
      </w:r>
      <w:r w:rsidR="001E76A1" w:rsidRPr="00235F70">
        <w:t xml:space="preserve">about </w:t>
      </w:r>
      <w:r w:rsidRPr="00235F70">
        <w:t>40</w:t>
      </w:r>
      <w:r w:rsidR="00D23123" w:rsidRPr="00235F70">
        <w:t> </w:t>
      </w:r>
      <w:r w:rsidRPr="00235F70">
        <w:t>per cent of goods and services spend) comprising a range of information, communications and technology subcategories;</w:t>
      </w:r>
    </w:p>
    <w:p w14:paraId="3E2B0D34" w14:textId="0EE727BA" w:rsidR="000D687E" w:rsidRPr="00235F70" w:rsidRDefault="000D687E" w:rsidP="000D687E">
      <w:pPr>
        <w:pStyle w:val="Bullet1"/>
        <w:rPr>
          <w:b/>
        </w:rPr>
      </w:pPr>
      <w:r w:rsidRPr="00235F70">
        <w:t>business support services</w:t>
      </w:r>
      <w:r w:rsidR="00A64D8F" w:rsidRPr="00235F70">
        <w:t xml:space="preserve"> </w:t>
      </w:r>
      <w:r w:rsidRPr="00235F70">
        <w:t>–</w:t>
      </w:r>
      <w:r w:rsidR="00A64D8F" w:rsidRPr="00235F70">
        <w:t xml:space="preserve"> </w:t>
      </w:r>
      <w:r w:rsidRPr="00235F70">
        <w:t>non-ICT (</w:t>
      </w:r>
      <w:r w:rsidR="001E76A1" w:rsidRPr="00235F70">
        <w:t xml:space="preserve">about </w:t>
      </w:r>
      <w:r w:rsidRPr="00235F70">
        <w:t>30 per cent) comprising subcategories such as security, training, utilities and equipment;</w:t>
      </w:r>
    </w:p>
    <w:p w14:paraId="14A661DB" w14:textId="6041182E" w:rsidR="000D687E" w:rsidRDefault="000D687E" w:rsidP="000D687E">
      <w:pPr>
        <w:pStyle w:val="Bullet1"/>
        <w:rPr>
          <w:b/>
        </w:rPr>
      </w:pPr>
      <w:r w:rsidRPr="00235F70">
        <w:t>professional services (</w:t>
      </w:r>
      <w:r w:rsidR="001E76A1" w:rsidRPr="00235F70">
        <w:t xml:space="preserve">about </w:t>
      </w:r>
      <w:r w:rsidRPr="00235F70">
        <w:t>20 pe</w:t>
      </w:r>
      <w:r w:rsidRPr="00FE239C">
        <w:t>r cent) comprising a range of consulting and advisory subcategories; and</w:t>
      </w:r>
    </w:p>
    <w:p w14:paraId="4E04C4F5" w14:textId="77777777" w:rsidR="000D687E" w:rsidRPr="00C22CBF" w:rsidRDefault="000D687E" w:rsidP="000D687E">
      <w:pPr>
        <w:pStyle w:val="Bullet1"/>
        <w:rPr>
          <w:b/>
        </w:rPr>
      </w:pPr>
      <w:r w:rsidRPr="00FE239C">
        <w:t>client support services (balance) comprising medical and support services for clients.</w:t>
      </w:r>
    </w:p>
    <w:p w14:paraId="2804BFE6" w14:textId="182C5407" w:rsidR="000D687E" w:rsidRPr="00FE239C" w:rsidRDefault="000D687E" w:rsidP="000D687E">
      <w:pPr>
        <w:pStyle w:val="Normal1"/>
      </w:pPr>
      <w:r w:rsidRPr="009B5AB2">
        <w:rPr>
          <w:lang w:eastAsia="en-US"/>
        </w:rPr>
        <w:t xml:space="preserve">The </w:t>
      </w:r>
      <w:r w:rsidR="00D23123">
        <w:rPr>
          <w:lang w:eastAsia="en-US"/>
        </w:rPr>
        <w:t>D</w:t>
      </w:r>
      <w:r w:rsidRPr="009B5AB2">
        <w:rPr>
          <w:lang w:eastAsia="en-US"/>
        </w:rPr>
        <w:t xml:space="preserve">epartment's </w:t>
      </w:r>
      <w:r w:rsidR="007B4D44">
        <w:rPr>
          <w:lang w:eastAsia="en-US"/>
        </w:rPr>
        <w:t xml:space="preserve">IPU (the </w:t>
      </w:r>
      <w:r w:rsidRPr="009B5AB2">
        <w:rPr>
          <w:lang w:eastAsia="en-US"/>
        </w:rPr>
        <w:t>Procurement Committee</w:t>
      </w:r>
      <w:r w:rsidR="007B4D44">
        <w:rPr>
          <w:lang w:eastAsia="en-US"/>
        </w:rPr>
        <w:t>)</w:t>
      </w:r>
      <w:r w:rsidRPr="009B5AB2">
        <w:rPr>
          <w:lang w:eastAsia="en-US"/>
        </w:rPr>
        <w:t xml:space="preserve"> </w:t>
      </w:r>
      <w:r>
        <w:rPr>
          <w:lang w:eastAsia="en-US"/>
        </w:rPr>
        <w:t>has</w:t>
      </w:r>
      <w:r w:rsidRPr="009B5AB2">
        <w:rPr>
          <w:lang w:eastAsia="en-US"/>
        </w:rPr>
        <w:t xml:space="preserve"> 10 executive</w:t>
      </w:r>
      <w:r>
        <w:rPr>
          <w:lang w:eastAsia="en-US"/>
        </w:rPr>
        <w:t>-</w:t>
      </w:r>
      <w:r w:rsidRPr="009B5AB2">
        <w:rPr>
          <w:lang w:eastAsia="en-US"/>
        </w:rPr>
        <w:t xml:space="preserve">level members and is chaired by a Deputy Secretary. Members </w:t>
      </w:r>
      <w:r>
        <w:rPr>
          <w:lang w:eastAsia="en-US"/>
        </w:rPr>
        <w:t>attend</w:t>
      </w:r>
      <w:r w:rsidRPr="009B5AB2">
        <w:rPr>
          <w:lang w:eastAsia="en-US"/>
        </w:rPr>
        <w:t xml:space="preserve"> formal scheduled meetings and vot</w:t>
      </w:r>
      <w:r>
        <w:rPr>
          <w:lang w:eastAsia="en-US"/>
        </w:rPr>
        <w:t xml:space="preserve">e </w:t>
      </w:r>
      <w:r w:rsidRPr="009B5AB2">
        <w:rPr>
          <w:lang w:eastAsia="en-US"/>
        </w:rPr>
        <w:t>on ad</w:t>
      </w:r>
      <w:r>
        <w:rPr>
          <w:lang w:eastAsia="en-US"/>
        </w:rPr>
        <w:t xml:space="preserve"> </w:t>
      </w:r>
      <w:r w:rsidRPr="009B5AB2">
        <w:rPr>
          <w:lang w:eastAsia="en-US"/>
        </w:rPr>
        <w:t xml:space="preserve">hoc out-of-session matters throughout the year. </w:t>
      </w:r>
      <w:r>
        <w:t xml:space="preserve">The </w:t>
      </w:r>
      <w:r>
        <w:rPr>
          <w:lang w:eastAsia="en-US"/>
        </w:rPr>
        <w:t>c</w:t>
      </w:r>
      <w:r w:rsidRPr="009B5AB2">
        <w:rPr>
          <w:lang w:eastAsia="en-US"/>
        </w:rPr>
        <w:t>ommittee oversaw procurement policy, planning and compliance arrangements in 2017</w:t>
      </w:r>
      <w:r>
        <w:rPr>
          <w:lang w:eastAsia="en-US"/>
        </w:rPr>
        <w:t>–</w:t>
      </w:r>
      <w:r w:rsidRPr="009B5AB2">
        <w:rPr>
          <w:lang w:eastAsia="en-US"/>
        </w:rPr>
        <w:t>18</w:t>
      </w:r>
      <w:r>
        <w:rPr>
          <w:lang w:eastAsia="en-US"/>
        </w:rPr>
        <w:t>,</w:t>
      </w:r>
      <w:r w:rsidRPr="009B5AB2">
        <w:rPr>
          <w:lang w:eastAsia="en-US"/>
        </w:rPr>
        <w:t xml:space="preserve"> which included consideration of 224 procurement plans with an estimated value of $372</w:t>
      </w:r>
      <w:r>
        <w:rPr>
          <w:lang w:eastAsia="en-US"/>
        </w:rPr>
        <w:t xml:space="preserve"> million. The committee</w:t>
      </w:r>
      <w:r w:rsidRPr="009B5AB2">
        <w:rPr>
          <w:lang w:eastAsia="en-US"/>
        </w:rPr>
        <w:t xml:space="preserve"> formally approved 22 </w:t>
      </w:r>
      <w:r>
        <w:rPr>
          <w:lang w:eastAsia="en-US"/>
        </w:rPr>
        <w:t xml:space="preserve">of these </w:t>
      </w:r>
      <w:r w:rsidRPr="009B5AB2">
        <w:rPr>
          <w:lang w:eastAsia="en-US"/>
        </w:rPr>
        <w:t>totalling $260</w:t>
      </w:r>
      <w:r>
        <w:rPr>
          <w:lang w:eastAsia="en-US"/>
        </w:rPr>
        <w:t xml:space="preserve"> million, with </w:t>
      </w:r>
      <w:r w:rsidRPr="009B5AB2">
        <w:rPr>
          <w:lang w:eastAsia="en-US"/>
        </w:rPr>
        <w:t xml:space="preserve">the balance being managed by </w:t>
      </w:r>
      <w:r>
        <w:rPr>
          <w:lang w:eastAsia="en-US"/>
        </w:rPr>
        <w:t>c</w:t>
      </w:r>
      <w:r w:rsidRPr="009B5AB2">
        <w:rPr>
          <w:lang w:eastAsia="en-US"/>
        </w:rPr>
        <w:t>ommittee delegates.</w:t>
      </w:r>
    </w:p>
    <w:p w14:paraId="5942ACAD" w14:textId="77777777" w:rsidR="000D687E" w:rsidRPr="007A584B" w:rsidRDefault="000D687E" w:rsidP="000D687E">
      <w:pPr>
        <w:pStyle w:val="Heading3NoNum"/>
      </w:pPr>
      <w:r w:rsidRPr="007A584B">
        <w:t>Compliance with VGPB policies and related activities</w:t>
      </w:r>
    </w:p>
    <w:p w14:paraId="6DE745AE" w14:textId="3D25EAD9" w:rsidR="000D687E" w:rsidRDefault="000D687E" w:rsidP="000D687E">
      <w:pPr>
        <w:pStyle w:val="Normal1"/>
        <w:rPr>
          <w:lang w:eastAsia="en-US"/>
        </w:rPr>
      </w:pPr>
      <w:r>
        <w:rPr>
          <w:lang w:eastAsia="en-US"/>
        </w:rPr>
        <w:fldChar w:fldCharType="begin"/>
      </w:r>
      <w:r>
        <w:rPr>
          <w:lang w:eastAsia="en-US"/>
        </w:rPr>
        <w:instrText xml:space="preserve"> REF _Ref489542470 \h  \* MERGEFORMAT </w:instrText>
      </w:r>
      <w:r>
        <w:rPr>
          <w:lang w:eastAsia="en-US"/>
        </w:rPr>
      </w:r>
      <w:r>
        <w:rPr>
          <w:lang w:eastAsia="en-US"/>
        </w:rPr>
        <w:fldChar w:fldCharType="separate"/>
      </w:r>
      <w:r w:rsidR="00A07703" w:rsidRPr="007A584B">
        <w:t xml:space="preserve">Table </w:t>
      </w:r>
      <w:r w:rsidR="00A07703">
        <w:rPr>
          <w:noProof/>
        </w:rPr>
        <w:t>30</w:t>
      </w:r>
      <w:r>
        <w:rPr>
          <w:lang w:eastAsia="en-US"/>
        </w:rPr>
        <w:fldChar w:fldCharType="end"/>
      </w:r>
      <w:r>
        <w:rPr>
          <w:lang w:eastAsia="en-US"/>
        </w:rPr>
        <w:t xml:space="preserve"> lists DHHS activities related to compliance with VGPB supply policies. </w:t>
      </w:r>
      <w:r w:rsidRPr="00212617">
        <w:rPr>
          <w:lang w:eastAsia="en-US"/>
        </w:rPr>
        <w:t xml:space="preserve">Compliance activities are </w:t>
      </w:r>
      <w:r>
        <w:rPr>
          <w:lang w:eastAsia="en-US"/>
        </w:rPr>
        <w:t xml:space="preserve">grouped against VGPB supply policies, </w:t>
      </w:r>
      <w:r w:rsidRPr="00212617">
        <w:rPr>
          <w:lang w:eastAsia="en-US"/>
        </w:rPr>
        <w:t>though activities often overlap with multiple policies.</w:t>
      </w:r>
    </w:p>
    <w:p w14:paraId="5C69266F" w14:textId="7948F9C7" w:rsidR="000D687E" w:rsidRDefault="000D687E" w:rsidP="000D687E">
      <w:pPr>
        <w:pStyle w:val="Normal1"/>
        <w:rPr>
          <w:lang w:eastAsia="en-US"/>
        </w:rPr>
      </w:pPr>
      <w:r>
        <w:rPr>
          <w:lang w:eastAsia="en-US"/>
        </w:rPr>
        <w:t xml:space="preserve">DHHS completed its VGPB audit on 19 October 2017. The </w:t>
      </w:r>
      <w:r w:rsidR="009556FC">
        <w:rPr>
          <w:lang w:eastAsia="en-US"/>
        </w:rPr>
        <w:t xml:space="preserve">audit </w:t>
      </w:r>
      <w:r>
        <w:rPr>
          <w:lang w:eastAsia="en-US"/>
        </w:rPr>
        <w:t>made only minor recommendations, all of which were implemented by the end of 2017.</w:t>
      </w:r>
    </w:p>
    <w:p w14:paraId="48F464D6" w14:textId="76144E77" w:rsidR="000D687E" w:rsidRDefault="000D687E" w:rsidP="000D687E">
      <w:pPr>
        <w:pStyle w:val="Caption"/>
      </w:pPr>
      <w:bookmarkStart w:id="175" w:name="_Ref489542470"/>
      <w:bookmarkStart w:id="176" w:name="_Toc503949264"/>
      <w:bookmarkStart w:id="177" w:name="_Toc524354023"/>
      <w:r w:rsidRPr="007A584B">
        <w:t xml:space="preserve">Table </w:t>
      </w:r>
      <w:r>
        <w:rPr>
          <w:noProof/>
        </w:rPr>
        <w:fldChar w:fldCharType="begin"/>
      </w:r>
      <w:r>
        <w:rPr>
          <w:noProof/>
        </w:rPr>
        <w:instrText xml:space="preserve"> SEQ Table \* ARABIC </w:instrText>
      </w:r>
      <w:r>
        <w:rPr>
          <w:noProof/>
        </w:rPr>
        <w:fldChar w:fldCharType="separate"/>
      </w:r>
      <w:r w:rsidR="00A07703">
        <w:rPr>
          <w:noProof/>
        </w:rPr>
        <w:t>30</w:t>
      </w:r>
      <w:r>
        <w:rPr>
          <w:noProof/>
        </w:rPr>
        <w:fldChar w:fldCharType="end"/>
      </w:r>
      <w:bookmarkEnd w:id="175"/>
      <w:r w:rsidRPr="007A584B">
        <w:t xml:space="preserve">: </w:t>
      </w:r>
      <w:r>
        <w:t xml:space="preserve">DHHS </w:t>
      </w:r>
      <w:r w:rsidRPr="007A584B">
        <w:t>compliance activities in 201</w:t>
      </w:r>
      <w:r>
        <w:t>7–18</w:t>
      </w:r>
      <w:bookmarkEnd w:id="176"/>
      <w:bookmarkEnd w:id="177"/>
    </w:p>
    <w:tbl>
      <w:tblPr>
        <w:tblStyle w:val="ListTable31"/>
        <w:tblW w:w="8788" w:type="dxa"/>
        <w:tblInd w:w="846" w:type="dxa"/>
        <w:tblLook w:val="04A0" w:firstRow="1" w:lastRow="0" w:firstColumn="1" w:lastColumn="0" w:noHBand="0" w:noVBand="1"/>
      </w:tblPr>
      <w:tblGrid>
        <w:gridCol w:w="1559"/>
        <w:gridCol w:w="7229"/>
      </w:tblGrid>
      <w:tr w:rsidR="000D687E" w14:paraId="4BA1069B" w14:textId="77777777" w:rsidTr="00F66493">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559" w:type="dxa"/>
          </w:tcPr>
          <w:p w14:paraId="62CD50E3" w14:textId="77777777" w:rsidR="000D687E" w:rsidRDefault="000D687E" w:rsidP="00D23123">
            <w:pPr>
              <w:pStyle w:val="TableText"/>
            </w:pPr>
            <w:r>
              <w:t>VGPB policy</w:t>
            </w:r>
          </w:p>
        </w:tc>
        <w:tc>
          <w:tcPr>
            <w:tcW w:w="7229" w:type="dxa"/>
          </w:tcPr>
          <w:p w14:paraId="79A50AEC" w14:textId="77777777" w:rsidR="000D687E" w:rsidRDefault="000D687E" w:rsidP="00D23123">
            <w:pPr>
              <w:pStyle w:val="TableText"/>
              <w:cnfStyle w:val="100000000000" w:firstRow="1" w:lastRow="0" w:firstColumn="0" w:lastColumn="0" w:oddVBand="0" w:evenVBand="0" w:oddHBand="0" w:evenHBand="0" w:firstRowFirstColumn="0" w:firstRowLastColumn="0" w:lastRowFirstColumn="0" w:lastRowLastColumn="0"/>
            </w:pPr>
            <w:r>
              <w:t>Activities</w:t>
            </w:r>
          </w:p>
        </w:tc>
      </w:tr>
      <w:tr w:rsidR="000D687E" w14:paraId="0A973CCD" w14:textId="77777777" w:rsidTr="00D231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9" w:type="dxa"/>
          </w:tcPr>
          <w:p w14:paraId="7B874059" w14:textId="77777777" w:rsidR="000D687E" w:rsidRPr="003058E0" w:rsidRDefault="000D687E" w:rsidP="00567B7A">
            <w:pPr>
              <w:pStyle w:val="TableText"/>
            </w:pPr>
            <w:r w:rsidRPr="003058E0">
              <w:t>Governance</w:t>
            </w:r>
          </w:p>
        </w:tc>
        <w:tc>
          <w:tcPr>
            <w:tcW w:w="7229" w:type="dxa"/>
          </w:tcPr>
          <w:p w14:paraId="0EBC8095" w14:textId="6548A254" w:rsidR="000D687E" w:rsidRPr="00822FA3" w:rsidRDefault="00EE2B46" w:rsidP="00822FA3">
            <w:pPr>
              <w:pStyle w:val="TableBullet"/>
              <w:cnfStyle w:val="000000100000" w:firstRow="0" w:lastRow="0" w:firstColumn="0" w:lastColumn="0" w:oddVBand="0" w:evenVBand="0" w:oddHBand="1" w:evenHBand="0" w:firstRowFirstColumn="0" w:firstRowLastColumn="0" w:lastRowFirstColumn="0" w:lastRowLastColumn="0"/>
            </w:pPr>
            <w:r>
              <w:t>C</w:t>
            </w:r>
            <w:r w:rsidR="000D687E" w:rsidRPr="00822FA3">
              <w:t xml:space="preserve">ompleted </w:t>
            </w:r>
            <w:r>
              <w:t>an</w:t>
            </w:r>
            <w:r w:rsidR="00D23123" w:rsidRPr="00822FA3">
              <w:t xml:space="preserve"> </w:t>
            </w:r>
            <w:r w:rsidR="000D687E" w:rsidRPr="00822FA3">
              <w:t>internal audit of compliance with VGPB policies in July</w:t>
            </w:r>
            <w:r w:rsidR="00A64D8F" w:rsidRPr="00822FA3">
              <w:t xml:space="preserve"> 2017</w:t>
            </w:r>
            <w:r w:rsidR="000D687E" w:rsidRPr="00822FA3">
              <w:t>. DHHS’ Internal Audit and Risk Management Committee noted the outcomes in August and the VGPB Chair acknowledged the audit results in October. Actions to remediate minor findings were implemented by 31 December 2017.</w:t>
            </w:r>
          </w:p>
          <w:p w14:paraId="709D9D7B" w14:textId="60207CA0" w:rsidR="000D687E" w:rsidRPr="0038456D" w:rsidRDefault="00626F36" w:rsidP="00822FA3">
            <w:pPr>
              <w:pStyle w:val="TableBullet"/>
              <w:cnfStyle w:val="000000100000" w:firstRow="0" w:lastRow="0" w:firstColumn="0" w:lastColumn="0" w:oddVBand="0" w:evenVBand="0" w:oddHBand="1" w:evenHBand="0" w:firstRowFirstColumn="0" w:firstRowLastColumn="0" w:lastRowFirstColumn="0" w:lastRowLastColumn="0"/>
            </w:pPr>
            <w:r>
              <w:t xml:space="preserve">The </w:t>
            </w:r>
            <w:r w:rsidR="000D687E" w:rsidRPr="00822FA3">
              <w:t>CPO coordinat</w:t>
            </w:r>
            <w:r>
              <w:t>ed</w:t>
            </w:r>
            <w:r w:rsidR="000D687E" w:rsidRPr="00822FA3">
              <w:t xml:space="preserve"> responses from both the construction and non-construction branches of the </w:t>
            </w:r>
            <w:r w:rsidR="0072562D">
              <w:t>D</w:t>
            </w:r>
            <w:r w:rsidR="000D687E" w:rsidRPr="00822FA3">
              <w:t>epartment to contribute to t</w:t>
            </w:r>
            <w:r w:rsidR="000D687E" w:rsidRPr="0038456D">
              <w:t xml:space="preserve">he </w:t>
            </w:r>
            <w:r w:rsidR="00EB30F3" w:rsidRPr="0038456D">
              <w:t>WoVG Statement of Directions for Procurement Systems</w:t>
            </w:r>
            <w:r w:rsidR="00EB30F3" w:rsidRPr="0038456D" w:rsidDel="00EB30F3">
              <w:t xml:space="preserve"> </w:t>
            </w:r>
            <w:r w:rsidR="000D687E" w:rsidRPr="0038456D">
              <w:t>at a department level.</w:t>
            </w:r>
          </w:p>
          <w:p w14:paraId="69AF7137" w14:textId="5BFDF5C4" w:rsidR="000D687E" w:rsidRDefault="000D687E" w:rsidP="00822FA3">
            <w:pPr>
              <w:pStyle w:val="TableBullet"/>
              <w:cnfStyle w:val="000000100000" w:firstRow="0" w:lastRow="0" w:firstColumn="0" w:lastColumn="0" w:oddVBand="0" w:evenVBand="0" w:oddHBand="1" w:evenHBand="0" w:firstRowFirstColumn="0" w:firstRowLastColumn="0" w:lastRowFirstColumn="0" w:lastRowLastColumn="0"/>
            </w:pPr>
            <w:r w:rsidRPr="0038456D">
              <w:t>The CPO supported an initiative to p</w:t>
            </w:r>
            <w:r w:rsidRPr="00822FA3">
              <w:t xml:space="preserve">urchase Quick Source, an </w:t>
            </w:r>
            <w:r w:rsidRPr="00822FA3">
              <w:rPr>
                <w:rStyle w:val="st"/>
              </w:rPr>
              <w:t>e</w:t>
            </w:r>
            <w:r w:rsidR="00B33C59" w:rsidRPr="00822FA3">
              <w:rPr>
                <w:rStyle w:val="st"/>
              </w:rPr>
              <w:t>-p</w:t>
            </w:r>
            <w:r w:rsidRPr="00822FA3">
              <w:rPr>
                <w:rStyle w:val="st"/>
              </w:rPr>
              <w:t xml:space="preserve">rocurement application in </w:t>
            </w:r>
            <w:r w:rsidRPr="00822FA3">
              <w:rPr>
                <w:rStyle w:val="Emphasis"/>
                <w:i w:val="0"/>
                <w:iCs w:val="0"/>
              </w:rPr>
              <w:t>Zycus</w:t>
            </w:r>
            <w:r w:rsidRPr="00822FA3">
              <w:rPr>
                <w:rStyle w:val="st"/>
              </w:rPr>
              <w:t xml:space="preserve">' procure-to-pay suite, to streamline the engagement process </w:t>
            </w:r>
            <w:r w:rsidRPr="00822FA3">
              <w:t>for several department panels to be set up in 2018–19.</w:t>
            </w:r>
          </w:p>
        </w:tc>
      </w:tr>
      <w:tr w:rsidR="000D687E" w14:paraId="299191EC" w14:textId="77777777" w:rsidTr="00D23123">
        <w:tc>
          <w:tcPr>
            <w:cnfStyle w:val="001000000000" w:firstRow="0" w:lastRow="0" w:firstColumn="1" w:lastColumn="0" w:oddVBand="0" w:evenVBand="0" w:oddHBand="0" w:evenHBand="0" w:firstRowFirstColumn="0" w:firstRowLastColumn="0" w:lastRowFirstColumn="0" w:lastRowLastColumn="0"/>
            <w:tcW w:w="1559" w:type="dxa"/>
          </w:tcPr>
          <w:p w14:paraId="67043493" w14:textId="77777777" w:rsidR="000D687E" w:rsidRPr="003058E0" w:rsidRDefault="000D687E" w:rsidP="00567B7A">
            <w:pPr>
              <w:pStyle w:val="TableText"/>
            </w:pPr>
            <w:r w:rsidRPr="003058E0">
              <w:t>Complexity and capability</w:t>
            </w:r>
          </w:p>
        </w:tc>
        <w:tc>
          <w:tcPr>
            <w:tcW w:w="7229" w:type="dxa"/>
          </w:tcPr>
          <w:p w14:paraId="2761DCC5" w14:textId="25E9E4D4" w:rsidR="000D687E" w:rsidRPr="00822FA3" w:rsidRDefault="00EE2B46" w:rsidP="00822FA3">
            <w:pPr>
              <w:pStyle w:val="TableBullet"/>
              <w:cnfStyle w:val="000000000000" w:firstRow="0" w:lastRow="0" w:firstColumn="0" w:lastColumn="0" w:oddVBand="0" w:evenVBand="0" w:oddHBand="0" w:evenHBand="0" w:firstRowFirstColumn="0" w:firstRowLastColumn="0" w:lastRowFirstColumn="0" w:lastRowLastColumn="0"/>
            </w:pPr>
            <w:r w:rsidRPr="00822FA3">
              <w:t>C</w:t>
            </w:r>
            <w:r w:rsidR="000D687E" w:rsidRPr="00822FA3">
              <w:t xml:space="preserve">ontinued to implement capability development projects arising from </w:t>
            </w:r>
            <w:r w:rsidRPr="00822FA3">
              <w:t>the Department’s</w:t>
            </w:r>
            <w:r w:rsidR="000D687E" w:rsidRPr="00822FA3">
              <w:t xml:space="preserve"> Capability Assessment, </w:t>
            </w:r>
            <w:r w:rsidR="00FA7AD1" w:rsidRPr="00822FA3">
              <w:t>including</w:t>
            </w:r>
            <w:r w:rsidR="00D23123" w:rsidRPr="00822FA3">
              <w:t xml:space="preserve"> the following presentations at the Department’s </w:t>
            </w:r>
            <w:r w:rsidR="000D687E" w:rsidRPr="00822FA3">
              <w:t>biannual forum:</w:t>
            </w:r>
          </w:p>
          <w:p w14:paraId="705F4496" w14:textId="5959F70A" w:rsidR="000D687E" w:rsidRPr="00822FA3" w:rsidRDefault="000D687E" w:rsidP="00822FA3">
            <w:pPr>
              <w:pStyle w:val="TableBullet"/>
              <w:numPr>
                <w:ilvl w:val="1"/>
                <w:numId w:val="4"/>
              </w:numPr>
              <w:cnfStyle w:val="000000000000" w:firstRow="0" w:lastRow="0" w:firstColumn="0" w:lastColumn="0" w:oddVBand="0" w:evenVBand="0" w:oddHBand="0" w:evenHBand="0" w:firstRowFirstColumn="0" w:firstRowLastColumn="0" w:lastRowFirstColumn="0" w:lastRowLastColumn="0"/>
            </w:pPr>
            <w:r w:rsidRPr="00822FA3">
              <w:lastRenderedPageBreak/>
              <w:t>In November, the Victorian Government Solicitor’s Office presented on the importance of contract management</w:t>
            </w:r>
            <w:r w:rsidR="00192412" w:rsidRPr="00822FA3">
              <w:t>,</w:t>
            </w:r>
            <w:r w:rsidRPr="00822FA3">
              <w:t xml:space="preserve"> and</w:t>
            </w:r>
            <w:r w:rsidRPr="00822FA3">
              <w:rPr>
                <w:i/>
              </w:rPr>
              <w:t xml:space="preserve"> </w:t>
            </w:r>
            <w:r w:rsidRPr="00822FA3">
              <w:t>the</w:t>
            </w:r>
            <w:r w:rsidRPr="00822FA3">
              <w:rPr>
                <w:i/>
              </w:rPr>
              <w:t xml:space="preserve"> </w:t>
            </w:r>
            <w:r w:rsidRPr="00822FA3">
              <w:rPr>
                <w:rStyle w:val="Emphasis"/>
                <w:i w:val="0"/>
              </w:rPr>
              <w:t xml:space="preserve">Victorian Auditor-General's Office </w:t>
            </w:r>
            <w:r w:rsidR="00192412" w:rsidRPr="00822FA3">
              <w:rPr>
                <w:rStyle w:val="Emphasis"/>
                <w:i w:val="0"/>
              </w:rPr>
              <w:t xml:space="preserve">spoke about </w:t>
            </w:r>
            <w:r w:rsidR="00626F36">
              <w:t>its</w:t>
            </w:r>
            <w:r w:rsidR="00626F36" w:rsidRPr="00822FA3">
              <w:t xml:space="preserve"> </w:t>
            </w:r>
            <w:r w:rsidR="00192412" w:rsidRPr="00822FA3">
              <w:t>role</w:t>
            </w:r>
            <w:r w:rsidRPr="00822FA3">
              <w:t xml:space="preserve"> and performance audits.</w:t>
            </w:r>
          </w:p>
          <w:p w14:paraId="11D7123A" w14:textId="549CDDA3" w:rsidR="000D687E" w:rsidRPr="00822FA3" w:rsidRDefault="000D687E" w:rsidP="00822FA3">
            <w:pPr>
              <w:pStyle w:val="TableBullet"/>
              <w:numPr>
                <w:ilvl w:val="1"/>
                <w:numId w:val="4"/>
              </w:numPr>
              <w:cnfStyle w:val="000000000000" w:firstRow="0" w:lastRow="0" w:firstColumn="0" w:lastColumn="0" w:oddVBand="0" w:evenVBand="0" w:oddHBand="0" w:evenHBand="0" w:firstRowFirstColumn="0" w:firstRowLastColumn="0" w:lastRowFirstColumn="0" w:lastRowLastColumn="0"/>
            </w:pPr>
            <w:r w:rsidRPr="00822FA3">
              <w:t xml:space="preserve">In May, the </w:t>
            </w:r>
            <w:r w:rsidRPr="00822FA3">
              <w:rPr>
                <w:rStyle w:val="st"/>
              </w:rPr>
              <w:t>Independent Broad-based Anti-corruption Commission presented on e</w:t>
            </w:r>
            <w:r w:rsidRPr="00822FA3">
              <w:t>xposing and preventing corruption in Victoria</w:t>
            </w:r>
            <w:r w:rsidR="00192412" w:rsidRPr="00822FA3">
              <w:t>,</w:t>
            </w:r>
            <w:r w:rsidRPr="00822FA3">
              <w:t xml:space="preserve"> the </w:t>
            </w:r>
            <w:r w:rsidRPr="00822FA3">
              <w:rPr>
                <w:rStyle w:val="Emphasis"/>
                <w:i w:val="0"/>
              </w:rPr>
              <w:t>Victorian Managed Insurance Authority</w:t>
            </w:r>
            <w:r w:rsidRPr="00822FA3">
              <w:rPr>
                <w:i/>
              </w:rPr>
              <w:t xml:space="preserve"> </w:t>
            </w:r>
            <w:r w:rsidR="00192412" w:rsidRPr="00822FA3">
              <w:t xml:space="preserve">spoke about </w:t>
            </w:r>
            <w:r w:rsidRPr="00822FA3">
              <w:t>insurance risk</w:t>
            </w:r>
            <w:r w:rsidR="00192412" w:rsidRPr="00822FA3">
              <w:t>,</w:t>
            </w:r>
            <w:r w:rsidRPr="00822FA3">
              <w:t xml:space="preserve"> and a consultancy specialising in probity talked about probity in procurement and contract management.</w:t>
            </w:r>
          </w:p>
          <w:p w14:paraId="02E2E58F" w14:textId="0D5745DC" w:rsidR="000D687E" w:rsidRPr="00822FA3" w:rsidRDefault="00EE2B46" w:rsidP="00822FA3">
            <w:pPr>
              <w:pStyle w:val="TableBullet"/>
              <w:cnfStyle w:val="000000000000" w:firstRow="0" w:lastRow="0" w:firstColumn="0" w:lastColumn="0" w:oddVBand="0" w:evenVBand="0" w:oddHBand="0" w:evenHBand="0" w:firstRowFirstColumn="0" w:firstRowLastColumn="0" w:lastRowFirstColumn="0" w:lastRowLastColumn="0"/>
            </w:pPr>
            <w:r w:rsidRPr="00822FA3">
              <w:t>U</w:t>
            </w:r>
            <w:r w:rsidR="000D687E" w:rsidRPr="00822FA3">
              <w:t xml:space="preserve">pdated procurement information </w:t>
            </w:r>
            <w:r w:rsidR="00504DD0">
              <w:t>on the DHHS</w:t>
            </w:r>
            <w:r w:rsidR="000D687E" w:rsidRPr="00822FA3">
              <w:t xml:space="preserve"> intranet. The contract management guide was redesigned and updated and all content refreshed.</w:t>
            </w:r>
          </w:p>
          <w:p w14:paraId="558D520D" w14:textId="0E4E6ABA" w:rsidR="000D687E" w:rsidRPr="00822FA3" w:rsidRDefault="00EE2B46" w:rsidP="00822FA3">
            <w:pPr>
              <w:pStyle w:val="TableBullet"/>
              <w:cnfStyle w:val="000000000000" w:firstRow="0" w:lastRow="0" w:firstColumn="0" w:lastColumn="0" w:oddVBand="0" w:evenVBand="0" w:oddHBand="0" w:evenHBand="0" w:firstRowFirstColumn="0" w:firstRowLastColumn="0" w:lastRowFirstColumn="0" w:lastRowLastColumn="0"/>
            </w:pPr>
            <w:r>
              <w:t>L</w:t>
            </w:r>
            <w:r w:rsidR="000D687E" w:rsidRPr="00822FA3">
              <w:t xml:space="preserve">inked the </w:t>
            </w:r>
            <w:r w:rsidR="0072562D">
              <w:t>D</w:t>
            </w:r>
            <w:r w:rsidR="000D687E" w:rsidRPr="00822FA3">
              <w:t>epartme</w:t>
            </w:r>
            <w:r w:rsidR="00FA7AD1" w:rsidRPr="00822FA3">
              <w:t xml:space="preserve">nt’s budget reporting system to the contracts reporting system </w:t>
            </w:r>
            <w:r w:rsidR="00D23123" w:rsidRPr="00822FA3">
              <w:t>to</w:t>
            </w:r>
            <w:r w:rsidR="00FA7AD1" w:rsidRPr="00822FA3">
              <w:t xml:space="preserve"> </w:t>
            </w:r>
            <w:r w:rsidR="000D687E" w:rsidRPr="00822FA3">
              <w:t>report more easily on real-time financial commitments at the business unit level.</w:t>
            </w:r>
          </w:p>
        </w:tc>
      </w:tr>
      <w:tr w:rsidR="000D687E" w14:paraId="17542FA2" w14:textId="77777777" w:rsidTr="00D231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9" w:type="dxa"/>
          </w:tcPr>
          <w:p w14:paraId="5097C301" w14:textId="77777777" w:rsidR="000D687E" w:rsidRPr="003058E0" w:rsidRDefault="000D687E" w:rsidP="00567B7A">
            <w:pPr>
              <w:pStyle w:val="TableText"/>
            </w:pPr>
            <w:r w:rsidRPr="003058E0">
              <w:lastRenderedPageBreak/>
              <w:t>Market analysis and review</w:t>
            </w:r>
          </w:p>
        </w:tc>
        <w:tc>
          <w:tcPr>
            <w:tcW w:w="7229" w:type="dxa"/>
          </w:tcPr>
          <w:p w14:paraId="6920E703" w14:textId="681FC756" w:rsidR="000D687E" w:rsidRPr="00822FA3" w:rsidRDefault="00626F36" w:rsidP="00822FA3">
            <w:pPr>
              <w:pStyle w:val="TableBullet"/>
              <w:cnfStyle w:val="000000100000" w:firstRow="0" w:lastRow="0" w:firstColumn="0" w:lastColumn="0" w:oddVBand="0" w:evenVBand="0" w:oddHBand="1" w:evenHBand="0" w:firstRowFirstColumn="0" w:firstRowLastColumn="0" w:lastRowFirstColumn="0" w:lastRowLastColumn="0"/>
            </w:pPr>
            <w:r>
              <w:t>The CPO o</w:t>
            </w:r>
            <w:r w:rsidR="000D687E" w:rsidRPr="00822FA3">
              <w:t xml:space="preserve">versaw the aggregated contracts demand project managed by Procurement Services. The project reviewed 41 non-construction goods and services categories based on annual spend of </w:t>
            </w:r>
            <w:r w:rsidR="00C86798" w:rsidRPr="00822FA3">
              <w:t xml:space="preserve">about </w:t>
            </w:r>
            <w:r w:rsidR="000D687E" w:rsidRPr="00822FA3">
              <w:t>$690 million. A number of potential savings opportunities will be further explored in 2018–19.</w:t>
            </w:r>
          </w:p>
          <w:p w14:paraId="2E4B3C47" w14:textId="2FB00211" w:rsidR="000D687E" w:rsidRPr="00822FA3" w:rsidRDefault="00EE2B46" w:rsidP="00822FA3">
            <w:pPr>
              <w:pStyle w:val="TableBullet"/>
              <w:cnfStyle w:val="000000100000" w:firstRow="0" w:lastRow="0" w:firstColumn="0" w:lastColumn="0" w:oddVBand="0" w:evenVBand="0" w:oddHBand="1" w:evenHBand="0" w:firstRowFirstColumn="0" w:firstRowLastColumn="0" w:lastRowFirstColumn="0" w:lastRowLastColumn="0"/>
            </w:pPr>
            <w:r>
              <w:t>S</w:t>
            </w:r>
            <w:r w:rsidR="000D687E" w:rsidRPr="00822FA3">
              <w:t>et up a working group to review further cost management opportunities. This project will drive targeted savings initiatives for 2018–19</w:t>
            </w:r>
            <w:r w:rsidR="00597120">
              <w:t>,</w:t>
            </w:r>
            <w:r w:rsidR="000D687E" w:rsidRPr="00822FA3">
              <w:t xml:space="preserve"> such as centralising staffing services engagements and tracking non-employees who directly support the </w:t>
            </w:r>
            <w:r w:rsidR="0072562D">
              <w:t>D</w:t>
            </w:r>
            <w:r w:rsidR="000D687E" w:rsidRPr="00822FA3">
              <w:t xml:space="preserve">epartment’s day-to-day business activities. The project is led by </w:t>
            </w:r>
            <w:r w:rsidR="00FA7AD1" w:rsidRPr="00822FA3">
              <w:t xml:space="preserve">the </w:t>
            </w:r>
            <w:r w:rsidR="000D687E" w:rsidRPr="00822FA3">
              <w:t xml:space="preserve">Innovation and Organisational Improvement branch and supported by Procurement Services. </w:t>
            </w:r>
          </w:p>
        </w:tc>
      </w:tr>
      <w:tr w:rsidR="000D687E" w14:paraId="746E8567" w14:textId="77777777" w:rsidTr="00D23123">
        <w:tc>
          <w:tcPr>
            <w:cnfStyle w:val="001000000000" w:firstRow="0" w:lastRow="0" w:firstColumn="1" w:lastColumn="0" w:oddVBand="0" w:evenVBand="0" w:oddHBand="0" w:evenHBand="0" w:firstRowFirstColumn="0" w:firstRowLastColumn="0" w:lastRowFirstColumn="0" w:lastRowLastColumn="0"/>
            <w:tcW w:w="1559" w:type="dxa"/>
          </w:tcPr>
          <w:p w14:paraId="13B42A67" w14:textId="77777777" w:rsidR="000D687E" w:rsidRPr="003058E0" w:rsidRDefault="000D687E" w:rsidP="00567B7A">
            <w:pPr>
              <w:pStyle w:val="TableText"/>
            </w:pPr>
            <w:r w:rsidRPr="003058E0">
              <w:t>Market approach</w:t>
            </w:r>
          </w:p>
        </w:tc>
        <w:tc>
          <w:tcPr>
            <w:tcW w:w="7229" w:type="dxa"/>
          </w:tcPr>
          <w:p w14:paraId="01CB6F03" w14:textId="0E4C221E" w:rsidR="000D687E" w:rsidRPr="00822FA3" w:rsidRDefault="00473191" w:rsidP="00822FA3">
            <w:pPr>
              <w:pStyle w:val="TableBullet"/>
              <w:cnfStyle w:val="000000000000" w:firstRow="0" w:lastRow="0" w:firstColumn="0" w:lastColumn="0" w:oddVBand="0" w:evenVBand="0" w:oddHBand="0" w:evenHBand="0" w:firstRowFirstColumn="0" w:firstRowLastColumn="0" w:lastRowFirstColumn="0" w:lastRowLastColumn="0"/>
            </w:pPr>
            <w:r>
              <w:t>S</w:t>
            </w:r>
            <w:r w:rsidR="000D687E" w:rsidRPr="00822FA3">
              <w:t>et up a whole-of-department panel for a wide range of recurrent human resource categories</w:t>
            </w:r>
            <w:r w:rsidR="00597120">
              <w:t>,</w:t>
            </w:r>
            <w:r w:rsidR="000D687E" w:rsidRPr="00822FA3">
              <w:t xml:space="preserve"> including training, coaching and other educational services.</w:t>
            </w:r>
          </w:p>
        </w:tc>
      </w:tr>
      <w:tr w:rsidR="000D687E" w14:paraId="7660BBA2" w14:textId="77777777" w:rsidTr="00D231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9" w:type="dxa"/>
          </w:tcPr>
          <w:p w14:paraId="4F00ACEA" w14:textId="77777777" w:rsidR="000D687E" w:rsidRPr="003058E0" w:rsidRDefault="000D687E" w:rsidP="00567B7A">
            <w:pPr>
              <w:pStyle w:val="TableText"/>
            </w:pPr>
            <w:r w:rsidRPr="003058E0">
              <w:t>Contract management and disclosure</w:t>
            </w:r>
          </w:p>
        </w:tc>
        <w:tc>
          <w:tcPr>
            <w:tcW w:w="7229" w:type="dxa"/>
          </w:tcPr>
          <w:p w14:paraId="67F67E86" w14:textId="21D2924D" w:rsidR="000D687E" w:rsidRPr="00822FA3" w:rsidRDefault="00473191" w:rsidP="00822FA3">
            <w:pPr>
              <w:pStyle w:val="TableBullet"/>
              <w:cnfStyle w:val="000000100000" w:firstRow="0" w:lastRow="0" w:firstColumn="0" w:lastColumn="0" w:oddVBand="0" w:evenVBand="0" w:oddHBand="1" w:evenHBand="0" w:firstRowFirstColumn="0" w:firstRowLastColumn="0" w:lastRowFirstColumn="0" w:lastRowLastColumn="0"/>
            </w:pPr>
            <w:r>
              <w:t>R</w:t>
            </w:r>
            <w:r w:rsidR="000D687E" w:rsidRPr="00822FA3">
              <w:t xml:space="preserve">edesigned the </w:t>
            </w:r>
            <w:r w:rsidR="00006A5F">
              <w:t xml:space="preserve">DHHS </w:t>
            </w:r>
            <w:r w:rsidR="000D687E" w:rsidRPr="00822FA3">
              <w:t xml:space="preserve">contract management guide and updated </w:t>
            </w:r>
            <w:r>
              <w:t xml:space="preserve">the </w:t>
            </w:r>
            <w:r w:rsidR="000D687E" w:rsidRPr="00822FA3">
              <w:t>intranet to reflect the new guide.</w:t>
            </w:r>
          </w:p>
        </w:tc>
      </w:tr>
    </w:tbl>
    <w:p w14:paraId="780B37B3" w14:textId="50A2F502" w:rsidR="000D687E" w:rsidRPr="00CD6245" w:rsidRDefault="000D687E" w:rsidP="000D687E">
      <w:pPr>
        <w:pStyle w:val="Heading3NoNum"/>
      </w:pPr>
      <w:r w:rsidRPr="00CD6245">
        <w:t>Performance</w:t>
      </w:r>
    </w:p>
    <w:p w14:paraId="6164C5FC" w14:textId="07904246" w:rsidR="000D687E" w:rsidRPr="00525CD6" w:rsidRDefault="000D687E" w:rsidP="000D687E">
      <w:pPr>
        <w:pStyle w:val="Normal1"/>
      </w:pPr>
      <w:r w:rsidRPr="00525CD6">
        <w:fldChar w:fldCharType="begin"/>
      </w:r>
      <w:r w:rsidRPr="00525CD6">
        <w:instrText xml:space="preserve"> REF _Ref489366924 \h  \* MERGEFORMAT </w:instrText>
      </w:r>
      <w:r w:rsidRPr="00525CD6">
        <w:fldChar w:fldCharType="separate"/>
      </w:r>
      <w:r w:rsidR="00A07703" w:rsidRPr="00CD6245">
        <w:t xml:space="preserve">Table </w:t>
      </w:r>
      <w:r w:rsidR="00A07703">
        <w:t>31</w:t>
      </w:r>
      <w:r w:rsidRPr="00525CD6">
        <w:fldChar w:fldCharType="end"/>
      </w:r>
      <w:r w:rsidRPr="00525CD6">
        <w:t xml:space="preserve"> sets ou</w:t>
      </w:r>
      <w:r>
        <w:t>t DHHS performance in 2017–18, compared with the two previous years.</w:t>
      </w:r>
    </w:p>
    <w:p w14:paraId="720C4D67" w14:textId="47DE76D0" w:rsidR="000D687E" w:rsidRDefault="000D687E" w:rsidP="000D687E">
      <w:pPr>
        <w:pStyle w:val="Caption"/>
      </w:pPr>
      <w:bookmarkStart w:id="178" w:name="_Ref489366924"/>
      <w:bookmarkStart w:id="179" w:name="_Toc503949265"/>
      <w:bookmarkStart w:id="180" w:name="_Toc524354024"/>
      <w:r w:rsidRPr="00CD6245">
        <w:t xml:space="preserve">Table </w:t>
      </w:r>
      <w:r>
        <w:rPr>
          <w:noProof/>
        </w:rPr>
        <w:fldChar w:fldCharType="begin"/>
      </w:r>
      <w:r>
        <w:rPr>
          <w:noProof/>
        </w:rPr>
        <w:instrText xml:space="preserve"> SEQ Table \* ARABIC </w:instrText>
      </w:r>
      <w:r>
        <w:rPr>
          <w:noProof/>
        </w:rPr>
        <w:fldChar w:fldCharType="separate"/>
      </w:r>
      <w:r w:rsidR="00A07703">
        <w:rPr>
          <w:noProof/>
        </w:rPr>
        <w:t>31</w:t>
      </w:r>
      <w:r>
        <w:rPr>
          <w:noProof/>
        </w:rPr>
        <w:fldChar w:fldCharType="end"/>
      </w:r>
      <w:bookmarkEnd w:id="178"/>
      <w:r w:rsidRPr="00CD6245">
        <w:t xml:space="preserve">: </w:t>
      </w:r>
      <w:r>
        <w:t>DHHS</w:t>
      </w:r>
      <w:r w:rsidRPr="00CD6245">
        <w:t xml:space="preserve"> performance in </w:t>
      </w:r>
      <w:r>
        <w:t>2017–18</w:t>
      </w:r>
      <w:bookmarkEnd w:id="179"/>
      <w:bookmarkEnd w:id="180"/>
    </w:p>
    <w:tbl>
      <w:tblPr>
        <w:tblStyle w:val="ListTable31"/>
        <w:tblW w:w="8790" w:type="dxa"/>
        <w:tblInd w:w="846" w:type="dxa"/>
        <w:tblLayout w:type="fixed"/>
        <w:tblLook w:val="04A0" w:firstRow="1" w:lastRow="0" w:firstColumn="1" w:lastColumn="0" w:noHBand="0" w:noVBand="1"/>
      </w:tblPr>
      <w:tblGrid>
        <w:gridCol w:w="425"/>
        <w:gridCol w:w="1418"/>
        <w:gridCol w:w="709"/>
        <w:gridCol w:w="709"/>
        <w:gridCol w:w="709"/>
        <w:gridCol w:w="4820"/>
      </w:tblGrid>
      <w:tr w:rsidR="000D687E" w14:paraId="3DB1BFDC" w14:textId="77777777" w:rsidTr="00115146">
        <w:trPr>
          <w:cnfStyle w:val="100000000000" w:firstRow="1" w:lastRow="0" w:firstColumn="0" w:lastColumn="0" w:oddVBand="0" w:evenVBand="0" w:oddHBand="0" w:evenHBand="0" w:firstRowFirstColumn="0" w:firstRowLastColumn="0" w:lastRowFirstColumn="0" w:lastRowLastColumn="0"/>
          <w:trHeight w:val="1661"/>
        </w:trPr>
        <w:tc>
          <w:tcPr>
            <w:cnfStyle w:val="001000000100" w:firstRow="0" w:lastRow="0" w:firstColumn="1" w:lastColumn="0" w:oddVBand="0" w:evenVBand="0" w:oddHBand="0" w:evenHBand="0" w:firstRowFirstColumn="1" w:firstRowLastColumn="0" w:lastRowFirstColumn="0" w:lastRowLastColumn="0"/>
            <w:tcW w:w="1843" w:type="dxa"/>
            <w:gridSpan w:val="2"/>
            <w:vMerge w:val="restart"/>
            <w:vAlign w:val="bottom"/>
          </w:tcPr>
          <w:p w14:paraId="5D026818" w14:textId="77777777" w:rsidR="000D687E" w:rsidRPr="00CD6245" w:rsidRDefault="000D687E" w:rsidP="00115146">
            <w:pPr>
              <w:pStyle w:val="TableText"/>
            </w:pPr>
            <w:r w:rsidRPr="00CD6245">
              <w:t>Performance measure</w:t>
            </w:r>
          </w:p>
        </w:tc>
        <w:tc>
          <w:tcPr>
            <w:tcW w:w="709" w:type="dxa"/>
            <w:textDirection w:val="btLr"/>
            <w:vAlign w:val="bottom"/>
          </w:tcPr>
          <w:p w14:paraId="40604E57" w14:textId="201655A9" w:rsidR="000D687E" w:rsidRPr="00200BCC" w:rsidRDefault="000D687E" w:rsidP="00115146">
            <w:pPr>
              <w:pStyle w:val="TableText"/>
              <w:jc w:val="center"/>
              <w:cnfStyle w:val="100000000000" w:firstRow="1" w:lastRow="0" w:firstColumn="0" w:lastColumn="0" w:oddVBand="0" w:evenVBand="0" w:oddHBand="0" w:evenHBand="0" w:firstRowFirstColumn="0" w:firstRowLastColumn="0" w:lastRowFirstColumn="0" w:lastRowLastColumn="0"/>
            </w:pPr>
            <w:r w:rsidRPr="00200BCC">
              <w:t>Year 1: 2015–16</w:t>
            </w:r>
          </w:p>
        </w:tc>
        <w:tc>
          <w:tcPr>
            <w:tcW w:w="709" w:type="dxa"/>
            <w:textDirection w:val="btLr"/>
            <w:vAlign w:val="bottom"/>
          </w:tcPr>
          <w:p w14:paraId="49AA2F7B" w14:textId="77777777" w:rsidR="000D687E" w:rsidRPr="00200BCC" w:rsidRDefault="000D687E" w:rsidP="00115146">
            <w:pPr>
              <w:pStyle w:val="TableText"/>
              <w:jc w:val="center"/>
              <w:cnfStyle w:val="100000000000" w:firstRow="1" w:lastRow="0" w:firstColumn="0" w:lastColumn="0" w:oddVBand="0" w:evenVBand="0" w:oddHBand="0" w:evenHBand="0" w:firstRowFirstColumn="0" w:firstRowLastColumn="0" w:lastRowFirstColumn="0" w:lastRowLastColumn="0"/>
            </w:pPr>
            <w:r w:rsidRPr="00200BCC">
              <w:t>Year 2: 2016–17</w:t>
            </w:r>
          </w:p>
        </w:tc>
        <w:tc>
          <w:tcPr>
            <w:tcW w:w="709" w:type="dxa"/>
            <w:textDirection w:val="btLr"/>
            <w:vAlign w:val="bottom"/>
          </w:tcPr>
          <w:p w14:paraId="20EC4D4A" w14:textId="77777777" w:rsidR="000D687E" w:rsidRPr="00200BCC" w:rsidRDefault="000D687E" w:rsidP="00115146">
            <w:pPr>
              <w:pStyle w:val="TableText"/>
              <w:jc w:val="center"/>
              <w:cnfStyle w:val="100000000000" w:firstRow="1" w:lastRow="0" w:firstColumn="0" w:lastColumn="0" w:oddVBand="0" w:evenVBand="0" w:oddHBand="0" w:evenHBand="0" w:firstRowFirstColumn="0" w:firstRowLastColumn="0" w:lastRowFirstColumn="0" w:lastRowLastColumn="0"/>
            </w:pPr>
            <w:r w:rsidRPr="00200BCC">
              <w:t>Year 3: 2017–18</w:t>
            </w:r>
          </w:p>
        </w:tc>
        <w:tc>
          <w:tcPr>
            <w:tcW w:w="4820" w:type="dxa"/>
            <w:vMerge w:val="restart"/>
            <w:vAlign w:val="bottom"/>
          </w:tcPr>
          <w:p w14:paraId="245DCDED" w14:textId="77777777" w:rsidR="000D687E" w:rsidRDefault="000D687E" w:rsidP="00115146">
            <w:pPr>
              <w:pStyle w:val="TableText"/>
              <w:cnfStyle w:val="100000000000" w:firstRow="1" w:lastRow="0" w:firstColumn="0" w:lastColumn="0" w:oddVBand="0" w:evenVBand="0" w:oddHBand="0" w:evenHBand="0" w:firstRowFirstColumn="0" w:firstRowLastColumn="0" w:lastRowFirstColumn="0" w:lastRowLastColumn="0"/>
            </w:pPr>
            <w:r>
              <w:t>Explanation</w:t>
            </w:r>
          </w:p>
        </w:tc>
      </w:tr>
      <w:tr w:rsidR="000D687E" w14:paraId="068CD61D" w14:textId="77777777" w:rsidTr="00115146">
        <w:trPr>
          <w:cnfStyle w:val="000000100000" w:firstRow="0" w:lastRow="0" w:firstColumn="0" w:lastColumn="0" w:oddVBand="0" w:evenVBand="0" w:oddHBand="1" w:evenHBand="0" w:firstRowFirstColumn="0" w:firstRowLastColumn="0" w:lastRowFirstColumn="0" w:lastRowLastColumn="0"/>
          <w:trHeight w:val="281"/>
        </w:trPr>
        <w:tc>
          <w:tcPr>
            <w:cnfStyle w:val="001000000000" w:firstRow="0" w:lastRow="0" w:firstColumn="1" w:lastColumn="0" w:oddVBand="0" w:evenVBand="0" w:oddHBand="0" w:evenHBand="0" w:firstRowFirstColumn="0" w:firstRowLastColumn="0" w:lastRowFirstColumn="0" w:lastRowLastColumn="0"/>
            <w:tcW w:w="1843" w:type="dxa"/>
            <w:gridSpan w:val="2"/>
            <w:vMerge/>
          </w:tcPr>
          <w:p w14:paraId="671A2EB1" w14:textId="77777777" w:rsidR="000D687E" w:rsidRPr="00CD6245" w:rsidRDefault="000D687E" w:rsidP="00822FA3">
            <w:pPr>
              <w:pStyle w:val="TableHeader"/>
              <w:jc w:val="center"/>
            </w:pPr>
          </w:p>
        </w:tc>
        <w:tc>
          <w:tcPr>
            <w:tcW w:w="709" w:type="dxa"/>
            <w:shd w:val="clear" w:color="auto" w:fill="000000" w:themeFill="text1"/>
            <w:vAlign w:val="center"/>
          </w:tcPr>
          <w:p w14:paraId="727E18FC" w14:textId="77777777" w:rsidR="000D687E" w:rsidRPr="00200BCC" w:rsidRDefault="000D687E" w:rsidP="00115146">
            <w:pPr>
              <w:pStyle w:val="TableHeader"/>
              <w:jc w:val="right"/>
              <w:cnfStyle w:val="000000100000" w:firstRow="0" w:lastRow="0" w:firstColumn="0" w:lastColumn="0" w:oddVBand="0" w:evenVBand="0" w:oddHBand="1" w:evenHBand="0" w:firstRowFirstColumn="0" w:firstRowLastColumn="0" w:lastRowFirstColumn="0" w:lastRowLastColumn="0"/>
              <w:rPr>
                <w:color w:val="auto"/>
              </w:rPr>
            </w:pPr>
            <w:r w:rsidRPr="00200BCC">
              <w:rPr>
                <w:color w:val="auto"/>
              </w:rPr>
              <w:t>%</w:t>
            </w:r>
          </w:p>
        </w:tc>
        <w:tc>
          <w:tcPr>
            <w:tcW w:w="709" w:type="dxa"/>
            <w:shd w:val="clear" w:color="auto" w:fill="000000" w:themeFill="text1"/>
            <w:vAlign w:val="center"/>
          </w:tcPr>
          <w:p w14:paraId="6A916FD5" w14:textId="77777777" w:rsidR="000D687E" w:rsidRPr="00200BCC" w:rsidRDefault="000D687E" w:rsidP="00115146">
            <w:pPr>
              <w:pStyle w:val="TableHeader"/>
              <w:jc w:val="right"/>
              <w:cnfStyle w:val="000000100000" w:firstRow="0" w:lastRow="0" w:firstColumn="0" w:lastColumn="0" w:oddVBand="0" w:evenVBand="0" w:oddHBand="1" w:evenHBand="0" w:firstRowFirstColumn="0" w:firstRowLastColumn="0" w:lastRowFirstColumn="0" w:lastRowLastColumn="0"/>
              <w:rPr>
                <w:color w:val="auto"/>
              </w:rPr>
            </w:pPr>
            <w:r w:rsidRPr="00200BCC">
              <w:rPr>
                <w:color w:val="auto"/>
              </w:rPr>
              <w:t>%</w:t>
            </w:r>
          </w:p>
        </w:tc>
        <w:tc>
          <w:tcPr>
            <w:tcW w:w="709" w:type="dxa"/>
            <w:shd w:val="clear" w:color="auto" w:fill="000000" w:themeFill="text1"/>
            <w:vAlign w:val="center"/>
          </w:tcPr>
          <w:p w14:paraId="687C3AFC" w14:textId="77777777" w:rsidR="000D687E" w:rsidRPr="00200BCC" w:rsidRDefault="000D687E" w:rsidP="00115146">
            <w:pPr>
              <w:pStyle w:val="TableHeader"/>
              <w:jc w:val="right"/>
              <w:cnfStyle w:val="000000100000" w:firstRow="0" w:lastRow="0" w:firstColumn="0" w:lastColumn="0" w:oddVBand="0" w:evenVBand="0" w:oddHBand="1" w:evenHBand="0" w:firstRowFirstColumn="0" w:firstRowLastColumn="0" w:lastRowFirstColumn="0" w:lastRowLastColumn="0"/>
              <w:rPr>
                <w:color w:val="auto"/>
              </w:rPr>
            </w:pPr>
            <w:r w:rsidRPr="00200BCC">
              <w:rPr>
                <w:color w:val="auto"/>
              </w:rPr>
              <w:t>%</w:t>
            </w:r>
          </w:p>
        </w:tc>
        <w:tc>
          <w:tcPr>
            <w:tcW w:w="4820" w:type="dxa"/>
            <w:vMerge/>
          </w:tcPr>
          <w:p w14:paraId="00EFB203" w14:textId="77777777" w:rsidR="000D687E" w:rsidRDefault="000D687E" w:rsidP="00567B7A">
            <w:pPr>
              <w:pStyle w:val="TableHeader"/>
              <w:cnfStyle w:val="000000100000" w:firstRow="0" w:lastRow="0" w:firstColumn="0" w:lastColumn="0" w:oddVBand="0" w:evenVBand="0" w:oddHBand="1" w:evenHBand="0" w:firstRowFirstColumn="0" w:firstRowLastColumn="0" w:lastRowFirstColumn="0" w:lastRowLastColumn="0"/>
            </w:pPr>
          </w:p>
        </w:tc>
      </w:tr>
      <w:tr w:rsidR="000D687E" w:rsidRPr="00CD6245" w14:paraId="12BF01DF" w14:textId="77777777" w:rsidTr="005C6BD3">
        <w:tc>
          <w:tcPr>
            <w:cnfStyle w:val="001000000000" w:firstRow="0" w:lastRow="0" w:firstColumn="1" w:lastColumn="0" w:oddVBand="0" w:evenVBand="0" w:oddHBand="0" w:evenHBand="0" w:firstRowFirstColumn="0" w:firstRowLastColumn="0" w:lastRowFirstColumn="0" w:lastRowLastColumn="0"/>
            <w:tcW w:w="425" w:type="dxa"/>
          </w:tcPr>
          <w:p w14:paraId="63FED2C7" w14:textId="77777777" w:rsidR="000D687E" w:rsidRPr="00CD6245" w:rsidRDefault="000D687E" w:rsidP="00567B7A">
            <w:pPr>
              <w:pStyle w:val="TableText"/>
            </w:pPr>
            <w:r w:rsidRPr="00CD6245">
              <w:t>1</w:t>
            </w:r>
          </w:p>
        </w:tc>
        <w:tc>
          <w:tcPr>
            <w:tcW w:w="1418" w:type="dxa"/>
          </w:tcPr>
          <w:p w14:paraId="41E90321" w14:textId="77777777" w:rsidR="000D687E" w:rsidRPr="00726E77" w:rsidRDefault="000D687E" w:rsidP="00567B7A">
            <w:pPr>
              <w:pStyle w:val="TableText"/>
              <w:cnfStyle w:val="000000000000" w:firstRow="0" w:lastRow="0" w:firstColumn="0" w:lastColumn="0" w:oddVBand="0" w:evenVBand="0" w:oddHBand="0" w:evenHBand="0" w:firstRowFirstColumn="0" w:firstRowLastColumn="0" w:lastRowFirstColumn="0" w:lastRowLastColumn="0"/>
            </w:pPr>
            <w:r w:rsidRPr="00726E77">
              <w:t xml:space="preserve">Value created </w:t>
            </w:r>
          </w:p>
        </w:tc>
        <w:tc>
          <w:tcPr>
            <w:tcW w:w="709" w:type="dxa"/>
          </w:tcPr>
          <w:p w14:paraId="2329D39E" w14:textId="77777777" w:rsidR="000D687E" w:rsidRDefault="000D687E" w:rsidP="006B0393">
            <w:pPr>
              <w:pStyle w:val="Tablenumbers"/>
              <w:cnfStyle w:val="000000000000" w:firstRow="0" w:lastRow="0" w:firstColumn="0" w:lastColumn="0" w:oddVBand="0" w:evenVBand="0" w:oddHBand="0" w:evenHBand="0" w:firstRowFirstColumn="0" w:firstRowLastColumn="0" w:lastRowFirstColumn="0" w:lastRowLastColumn="0"/>
            </w:pPr>
            <w:r>
              <w:t>4</w:t>
            </w:r>
          </w:p>
        </w:tc>
        <w:tc>
          <w:tcPr>
            <w:tcW w:w="709" w:type="dxa"/>
          </w:tcPr>
          <w:p w14:paraId="16A82AF2" w14:textId="77777777" w:rsidR="000D687E" w:rsidRDefault="000D687E" w:rsidP="006B0393">
            <w:pPr>
              <w:pStyle w:val="Tablenumbers"/>
              <w:cnfStyle w:val="000000000000" w:firstRow="0" w:lastRow="0" w:firstColumn="0" w:lastColumn="0" w:oddVBand="0" w:evenVBand="0" w:oddHBand="0" w:evenHBand="0" w:firstRowFirstColumn="0" w:firstRowLastColumn="0" w:lastRowFirstColumn="0" w:lastRowLastColumn="0"/>
            </w:pPr>
            <w:r>
              <w:t>0.2</w:t>
            </w:r>
          </w:p>
        </w:tc>
        <w:tc>
          <w:tcPr>
            <w:tcW w:w="709" w:type="dxa"/>
          </w:tcPr>
          <w:p w14:paraId="4C843186" w14:textId="77777777" w:rsidR="000D687E" w:rsidRPr="00CD6245" w:rsidRDefault="000D687E" w:rsidP="006B0393">
            <w:pPr>
              <w:pStyle w:val="Tablenumbers"/>
              <w:cnfStyle w:val="000000000000" w:firstRow="0" w:lastRow="0" w:firstColumn="0" w:lastColumn="0" w:oddVBand="0" w:evenVBand="0" w:oddHBand="0" w:evenHBand="0" w:firstRowFirstColumn="0" w:firstRowLastColumn="0" w:lastRowFirstColumn="0" w:lastRowLastColumn="0"/>
            </w:pPr>
            <w:r>
              <w:t>0.8</w:t>
            </w:r>
          </w:p>
        </w:tc>
        <w:tc>
          <w:tcPr>
            <w:tcW w:w="4820" w:type="dxa"/>
          </w:tcPr>
          <w:p w14:paraId="066CB095" w14:textId="33DB63D4" w:rsidR="000D687E" w:rsidRPr="00CD6245" w:rsidRDefault="00D23123" w:rsidP="00567B7A">
            <w:pPr>
              <w:pStyle w:val="TableText"/>
              <w:cnfStyle w:val="000000000000" w:firstRow="0" w:lastRow="0" w:firstColumn="0" w:lastColumn="0" w:oddVBand="0" w:evenVBand="0" w:oddHBand="0" w:evenHBand="0" w:firstRowFirstColumn="0" w:firstRowLastColumn="0" w:lastRowFirstColumn="0" w:lastRowLastColumn="0"/>
            </w:pPr>
            <w:r>
              <w:t xml:space="preserve">DHHS </w:t>
            </w:r>
            <w:r w:rsidR="000D687E" w:rsidRPr="00576C2B">
              <w:t>applied a consistent procurement methodology that included monitoring and reporting the outcome of negotiation and/or Best and Final Offers in procurement activities t</w:t>
            </w:r>
            <w:r w:rsidR="00FA7AD1">
              <w:t>o</w:t>
            </w:r>
            <w:r w:rsidR="000D687E" w:rsidRPr="00576C2B">
              <w:t xml:space="preserve"> identif</w:t>
            </w:r>
            <w:r w:rsidR="00FA7AD1">
              <w:t>y</w:t>
            </w:r>
            <w:r w:rsidR="000D687E" w:rsidRPr="00576C2B">
              <w:t xml:space="preserve"> total savings of $3.9 million over the financial year.</w:t>
            </w:r>
            <w:r w:rsidR="000D687E">
              <w:t xml:space="preserve"> Quality of data has now improved thanks to this</w:t>
            </w:r>
            <w:r w:rsidR="000D687E" w:rsidRPr="00576C2B">
              <w:t xml:space="preserve"> formal reporting</w:t>
            </w:r>
            <w:r w:rsidR="000D687E">
              <w:t xml:space="preserve"> process</w:t>
            </w:r>
            <w:r w:rsidR="000D687E" w:rsidRPr="00576C2B">
              <w:t>.</w:t>
            </w:r>
          </w:p>
        </w:tc>
      </w:tr>
      <w:tr w:rsidR="000D687E" w:rsidRPr="00CD6245" w14:paraId="215954E3" w14:textId="77777777" w:rsidTr="005C6B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5" w:type="dxa"/>
          </w:tcPr>
          <w:p w14:paraId="44B79543" w14:textId="77777777" w:rsidR="000D687E" w:rsidRPr="00CD6245" w:rsidRDefault="000D687E" w:rsidP="00567B7A">
            <w:pPr>
              <w:pStyle w:val="TableText"/>
            </w:pPr>
            <w:r w:rsidRPr="00CD6245">
              <w:t>2</w:t>
            </w:r>
          </w:p>
        </w:tc>
        <w:tc>
          <w:tcPr>
            <w:tcW w:w="1418" w:type="dxa"/>
          </w:tcPr>
          <w:p w14:paraId="51E60F98" w14:textId="6B673091" w:rsidR="000D687E" w:rsidRPr="00726E77" w:rsidRDefault="000D687E" w:rsidP="00567B7A">
            <w:pPr>
              <w:pStyle w:val="TableText"/>
              <w:cnfStyle w:val="000000100000" w:firstRow="0" w:lastRow="0" w:firstColumn="0" w:lastColumn="0" w:oddVBand="0" w:evenVBand="0" w:oddHBand="1" w:evenHBand="0" w:firstRowFirstColumn="0" w:firstRowLastColumn="0" w:lastRowFirstColumn="0" w:lastRowLastColumn="0"/>
            </w:pPr>
            <w:r w:rsidRPr="00726E77">
              <w:t xml:space="preserve">Proportion of P-Card </w:t>
            </w:r>
            <w:r w:rsidR="00D11C9B">
              <w:t xml:space="preserve">(or equivalent) </w:t>
            </w:r>
            <w:r w:rsidRPr="00726E77">
              <w:t>transactions</w:t>
            </w:r>
          </w:p>
        </w:tc>
        <w:tc>
          <w:tcPr>
            <w:tcW w:w="709" w:type="dxa"/>
          </w:tcPr>
          <w:p w14:paraId="01F11569" w14:textId="77777777" w:rsidR="000D687E" w:rsidRDefault="000D687E" w:rsidP="006B0393">
            <w:pPr>
              <w:pStyle w:val="Tablenumbers"/>
              <w:cnfStyle w:val="000000100000" w:firstRow="0" w:lastRow="0" w:firstColumn="0" w:lastColumn="0" w:oddVBand="0" w:evenVBand="0" w:oddHBand="1" w:evenHBand="0" w:firstRowFirstColumn="0" w:firstRowLastColumn="0" w:lastRowFirstColumn="0" w:lastRowLastColumn="0"/>
            </w:pPr>
            <w:r>
              <w:t>11.3</w:t>
            </w:r>
          </w:p>
        </w:tc>
        <w:tc>
          <w:tcPr>
            <w:tcW w:w="709" w:type="dxa"/>
          </w:tcPr>
          <w:p w14:paraId="18CF12CC" w14:textId="77777777" w:rsidR="000D687E" w:rsidRDefault="000D687E" w:rsidP="006B0393">
            <w:pPr>
              <w:pStyle w:val="Tablenumbers"/>
              <w:cnfStyle w:val="000000100000" w:firstRow="0" w:lastRow="0" w:firstColumn="0" w:lastColumn="0" w:oddVBand="0" w:evenVBand="0" w:oddHBand="1" w:evenHBand="0" w:firstRowFirstColumn="0" w:firstRowLastColumn="0" w:lastRowFirstColumn="0" w:lastRowLastColumn="0"/>
            </w:pPr>
            <w:r>
              <w:t>12.3</w:t>
            </w:r>
          </w:p>
        </w:tc>
        <w:tc>
          <w:tcPr>
            <w:tcW w:w="709" w:type="dxa"/>
          </w:tcPr>
          <w:p w14:paraId="5B10D1AF" w14:textId="77777777" w:rsidR="000D687E" w:rsidRPr="00CD6245" w:rsidRDefault="000D687E" w:rsidP="006B0393">
            <w:pPr>
              <w:pStyle w:val="Tablenumbers"/>
              <w:cnfStyle w:val="000000100000" w:firstRow="0" w:lastRow="0" w:firstColumn="0" w:lastColumn="0" w:oddVBand="0" w:evenVBand="0" w:oddHBand="1" w:evenHBand="0" w:firstRowFirstColumn="0" w:firstRowLastColumn="0" w:lastRowFirstColumn="0" w:lastRowLastColumn="0"/>
            </w:pPr>
            <w:r>
              <w:t>16.5</w:t>
            </w:r>
          </w:p>
        </w:tc>
        <w:tc>
          <w:tcPr>
            <w:tcW w:w="4820" w:type="dxa"/>
          </w:tcPr>
          <w:p w14:paraId="2F49128C" w14:textId="275C96A7" w:rsidR="000D687E" w:rsidRPr="00CD6245" w:rsidRDefault="00D23123" w:rsidP="00567B7A">
            <w:pPr>
              <w:pStyle w:val="TableText"/>
              <w:cnfStyle w:val="000000100000" w:firstRow="0" w:lastRow="0" w:firstColumn="0" w:lastColumn="0" w:oddVBand="0" w:evenVBand="0" w:oddHBand="1" w:evenHBand="0" w:firstRowFirstColumn="0" w:firstRowLastColumn="0" w:lastRowFirstColumn="0" w:lastRowLastColumn="0"/>
            </w:pPr>
            <w:r>
              <w:t>DHHS</w:t>
            </w:r>
            <w:r w:rsidR="000D687E">
              <w:t xml:space="preserve"> </w:t>
            </w:r>
            <w:r w:rsidR="000D687E" w:rsidRPr="00576C2B">
              <w:t>continue</w:t>
            </w:r>
            <w:r>
              <w:t>s</w:t>
            </w:r>
            <w:r w:rsidR="000D687E" w:rsidRPr="00576C2B">
              <w:t xml:space="preserve"> to support</w:t>
            </w:r>
            <w:r w:rsidR="000D687E">
              <w:t xml:space="preserve"> P-Cards</w:t>
            </w:r>
            <w:r w:rsidR="000D687E" w:rsidRPr="00576C2B">
              <w:t xml:space="preserve"> as a payment mechanism for low</w:t>
            </w:r>
            <w:r w:rsidR="00B33C59">
              <w:t>-</w:t>
            </w:r>
            <w:r w:rsidR="000D687E" w:rsidRPr="00576C2B">
              <w:t>value transactions.</w:t>
            </w:r>
            <w:r w:rsidR="000D687E">
              <w:t xml:space="preserve"> The increase may be due to </w:t>
            </w:r>
            <w:r>
              <w:t xml:space="preserve">the Department’s </w:t>
            </w:r>
            <w:r w:rsidR="000D687E">
              <w:t xml:space="preserve">effort to </w:t>
            </w:r>
            <w:r w:rsidR="000D687E" w:rsidRPr="00576C2B">
              <w:t xml:space="preserve">eliminate cheques </w:t>
            </w:r>
            <w:r w:rsidR="000D687E">
              <w:t xml:space="preserve">where </w:t>
            </w:r>
            <w:r w:rsidR="000D687E" w:rsidRPr="00576C2B">
              <w:t>practica</w:t>
            </w:r>
            <w:r w:rsidR="000D687E">
              <w:t>l</w:t>
            </w:r>
            <w:r w:rsidR="000D687E" w:rsidRPr="00576C2B">
              <w:t>.</w:t>
            </w:r>
          </w:p>
        </w:tc>
      </w:tr>
      <w:tr w:rsidR="000D687E" w:rsidRPr="00CD6245" w14:paraId="533A60E6" w14:textId="77777777" w:rsidTr="005C6BD3">
        <w:tc>
          <w:tcPr>
            <w:cnfStyle w:val="001000000000" w:firstRow="0" w:lastRow="0" w:firstColumn="1" w:lastColumn="0" w:oddVBand="0" w:evenVBand="0" w:oddHBand="0" w:evenHBand="0" w:firstRowFirstColumn="0" w:firstRowLastColumn="0" w:lastRowFirstColumn="0" w:lastRowLastColumn="0"/>
            <w:tcW w:w="425" w:type="dxa"/>
          </w:tcPr>
          <w:p w14:paraId="7B1A3BA3" w14:textId="77777777" w:rsidR="000D687E" w:rsidRPr="00CD6245" w:rsidRDefault="000D687E" w:rsidP="00567B7A">
            <w:pPr>
              <w:pStyle w:val="TableText"/>
            </w:pPr>
            <w:r w:rsidRPr="00CD6245">
              <w:t>3</w:t>
            </w:r>
          </w:p>
        </w:tc>
        <w:tc>
          <w:tcPr>
            <w:tcW w:w="1418" w:type="dxa"/>
          </w:tcPr>
          <w:p w14:paraId="386EDEBE" w14:textId="77777777" w:rsidR="000D687E" w:rsidRPr="00726E77" w:rsidRDefault="000D687E" w:rsidP="00567B7A">
            <w:pPr>
              <w:pStyle w:val="TableText"/>
              <w:cnfStyle w:val="000000000000" w:firstRow="0" w:lastRow="0" w:firstColumn="0" w:lastColumn="0" w:oddVBand="0" w:evenVBand="0" w:oddHBand="0" w:evenHBand="0" w:firstRowFirstColumn="0" w:firstRowLastColumn="0" w:lastRowFirstColumn="0" w:lastRowLastColumn="0"/>
            </w:pPr>
            <w:r w:rsidRPr="00726E77">
              <w:t>Increase in procurement capability</w:t>
            </w:r>
          </w:p>
        </w:tc>
        <w:tc>
          <w:tcPr>
            <w:tcW w:w="709" w:type="dxa"/>
          </w:tcPr>
          <w:p w14:paraId="1063E2B0" w14:textId="77777777" w:rsidR="000D687E" w:rsidRDefault="000D687E" w:rsidP="006B0393">
            <w:pPr>
              <w:pStyle w:val="Tablenumbers"/>
              <w:cnfStyle w:val="000000000000" w:firstRow="0" w:lastRow="0" w:firstColumn="0" w:lastColumn="0" w:oddVBand="0" w:evenVBand="0" w:oddHBand="0" w:evenHBand="0" w:firstRowFirstColumn="0" w:firstRowLastColumn="0" w:lastRowFirstColumn="0" w:lastRowLastColumn="0"/>
            </w:pPr>
            <w:r>
              <w:t>2</w:t>
            </w:r>
          </w:p>
        </w:tc>
        <w:tc>
          <w:tcPr>
            <w:tcW w:w="709" w:type="dxa"/>
          </w:tcPr>
          <w:p w14:paraId="62FC2E3C" w14:textId="77777777" w:rsidR="000D687E" w:rsidRDefault="000D687E" w:rsidP="006B0393">
            <w:pPr>
              <w:pStyle w:val="Tablenumbers"/>
              <w:cnfStyle w:val="000000000000" w:firstRow="0" w:lastRow="0" w:firstColumn="0" w:lastColumn="0" w:oddVBand="0" w:evenVBand="0" w:oddHBand="0" w:evenHBand="0" w:firstRowFirstColumn="0" w:firstRowLastColumn="0" w:lastRowFirstColumn="0" w:lastRowLastColumn="0"/>
            </w:pPr>
            <w:r>
              <w:t>6.6</w:t>
            </w:r>
          </w:p>
        </w:tc>
        <w:tc>
          <w:tcPr>
            <w:tcW w:w="709" w:type="dxa"/>
          </w:tcPr>
          <w:p w14:paraId="7F86ABC1" w14:textId="77777777" w:rsidR="000D687E" w:rsidRPr="00CD6245" w:rsidRDefault="000D687E" w:rsidP="006B0393">
            <w:pPr>
              <w:pStyle w:val="Tablenumbers"/>
              <w:cnfStyle w:val="000000000000" w:firstRow="0" w:lastRow="0" w:firstColumn="0" w:lastColumn="0" w:oddVBand="0" w:evenVBand="0" w:oddHBand="0" w:evenHBand="0" w:firstRowFirstColumn="0" w:firstRowLastColumn="0" w:lastRowFirstColumn="0" w:lastRowLastColumn="0"/>
            </w:pPr>
            <w:r>
              <w:t>2.7</w:t>
            </w:r>
          </w:p>
        </w:tc>
        <w:tc>
          <w:tcPr>
            <w:tcW w:w="4820" w:type="dxa"/>
          </w:tcPr>
          <w:p w14:paraId="6C7803E5" w14:textId="59398BD5" w:rsidR="000D687E" w:rsidRPr="00CD6245" w:rsidRDefault="000D687E" w:rsidP="00567B7A">
            <w:pPr>
              <w:pStyle w:val="TableText"/>
              <w:cnfStyle w:val="000000000000" w:firstRow="0" w:lastRow="0" w:firstColumn="0" w:lastColumn="0" w:oddVBand="0" w:evenVBand="0" w:oddHBand="0" w:evenHBand="0" w:firstRowFirstColumn="0" w:firstRowLastColumn="0" w:lastRowFirstColumn="0" w:lastRowLastColumn="0"/>
            </w:pPr>
            <w:r w:rsidRPr="00576C2B">
              <w:t xml:space="preserve">The results reflect the increased capability of the </w:t>
            </w:r>
            <w:r w:rsidR="00D23123">
              <w:t>D</w:t>
            </w:r>
            <w:r w:rsidRPr="00576C2B">
              <w:t>epartment's procurement function.</w:t>
            </w:r>
            <w:r w:rsidR="003542D7">
              <w:t xml:space="preserve"> DHHS scored full marks for capability so could not have scored higher than a 2.7 per cent increase. </w:t>
            </w:r>
          </w:p>
        </w:tc>
      </w:tr>
      <w:tr w:rsidR="000D687E" w:rsidRPr="00CD6245" w14:paraId="76AAA398" w14:textId="77777777" w:rsidTr="005C6B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5" w:type="dxa"/>
          </w:tcPr>
          <w:p w14:paraId="01A44960" w14:textId="77777777" w:rsidR="000D687E" w:rsidRPr="00CD6245" w:rsidRDefault="000D687E" w:rsidP="00567B7A">
            <w:pPr>
              <w:pStyle w:val="TableText"/>
            </w:pPr>
            <w:r w:rsidRPr="00CD6245">
              <w:lastRenderedPageBreak/>
              <w:t>4</w:t>
            </w:r>
          </w:p>
        </w:tc>
        <w:tc>
          <w:tcPr>
            <w:tcW w:w="1418" w:type="dxa"/>
          </w:tcPr>
          <w:p w14:paraId="169F97FB" w14:textId="77777777" w:rsidR="000D687E" w:rsidRPr="00726E77" w:rsidRDefault="000D687E" w:rsidP="00567B7A">
            <w:pPr>
              <w:pStyle w:val="TableText"/>
              <w:cnfStyle w:val="000000100000" w:firstRow="0" w:lastRow="0" w:firstColumn="0" w:lastColumn="0" w:oddVBand="0" w:evenVBand="0" w:oddHBand="1" w:evenHBand="0" w:firstRowFirstColumn="0" w:firstRowLastColumn="0" w:lastRowFirstColumn="0" w:lastRowLastColumn="0"/>
            </w:pPr>
            <w:r w:rsidRPr="00726E77">
              <w:t>Cost of procurement resources</w:t>
            </w:r>
          </w:p>
        </w:tc>
        <w:tc>
          <w:tcPr>
            <w:tcW w:w="709" w:type="dxa"/>
          </w:tcPr>
          <w:p w14:paraId="03964331" w14:textId="77777777" w:rsidR="000D687E" w:rsidRDefault="000D687E" w:rsidP="006B0393">
            <w:pPr>
              <w:pStyle w:val="Tablenumbers"/>
              <w:cnfStyle w:val="000000100000" w:firstRow="0" w:lastRow="0" w:firstColumn="0" w:lastColumn="0" w:oddVBand="0" w:evenVBand="0" w:oddHBand="1" w:evenHBand="0" w:firstRowFirstColumn="0" w:firstRowLastColumn="0" w:lastRowFirstColumn="0" w:lastRowLastColumn="0"/>
            </w:pPr>
            <w:r>
              <w:t>0.6</w:t>
            </w:r>
          </w:p>
        </w:tc>
        <w:tc>
          <w:tcPr>
            <w:tcW w:w="709" w:type="dxa"/>
          </w:tcPr>
          <w:p w14:paraId="369C66F6" w14:textId="77777777" w:rsidR="000D687E" w:rsidRDefault="000D687E" w:rsidP="006B0393">
            <w:pPr>
              <w:pStyle w:val="Tablenumbers"/>
              <w:cnfStyle w:val="000000100000" w:firstRow="0" w:lastRow="0" w:firstColumn="0" w:lastColumn="0" w:oddVBand="0" w:evenVBand="0" w:oddHBand="1" w:evenHBand="0" w:firstRowFirstColumn="0" w:firstRowLastColumn="0" w:lastRowFirstColumn="0" w:lastRowLastColumn="0"/>
            </w:pPr>
            <w:r>
              <w:t>0.7</w:t>
            </w:r>
          </w:p>
        </w:tc>
        <w:tc>
          <w:tcPr>
            <w:tcW w:w="709" w:type="dxa"/>
          </w:tcPr>
          <w:p w14:paraId="2926B762" w14:textId="77777777" w:rsidR="000D687E" w:rsidRPr="00CD6245" w:rsidRDefault="000D687E" w:rsidP="006B0393">
            <w:pPr>
              <w:pStyle w:val="Tablenumbers"/>
              <w:cnfStyle w:val="000000100000" w:firstRow="0" w:lastRow="0" w:firstColumn="0" w:lastColumn="0" w:oddVBand="0" w:evenVBand="0" w:oddHBand="1" w:evenHBand="0" w:firstRowFirstColumn="0" w:firstRowLastColumn="0" w:lastRowFirstColumn="0" w:lastRowLastColumn="0"/>
            </w:pPr>
            <w:r>
              <w:t>0.7</w:t>
            </w:r>
          </w:p>
        </w:tc>
        <w:tc>
          <w:tcPr>
            <w:tcW w:w="4820" w:type="dxa"/>
          </w:tcPr>
          <w:p w14:paraId="4D55FBD3" w14:textId="41E63D2C" w:rsidR="000D687E" w:rsidRPr="00CD6245" w:rsidRDefault="000D687E" w:rsidP="00567B7A">
            <w:pPr>
              <w:pStyle w:val="TableText"/>
              <w:cnfStyle w:val="000000100000" w:firstRow="0" w:lastRow="0" w:firstColumn="0" w:lastColumn="0" w:oddVBand="0" w:evenVBand="0" w:oddHBand="1" w:evenHBand="0" w:firstRowFirstColumn="0" w:firstRowLastColumn="0" w:lastRowFirstColumn="0" w:lastRowLastColumn="0"/>
            </w:pPr>
            <w:r w:rsidRPr="00576C2B">
              <w:t>Results continue to reflect a low cost for driving compliant procurement processes conducted in accordance with VGPB policies.</w:t>
            </w:r>
            <w:r>
              <w:t xml:space="preserve"> </w:t>
            </w:r>
            <w:r w:rsidR="00D23123">
              <w:t>These</w:t>
            </w:r>
            <w:r>
              <w:t xml:space="preserve"> consistent r</w:t>
            </w:r>
            <w:r w:rsidRPr="00576C2B">
              <w:t>esults reflect the careful management of procurement resources.</w:t>
            </w:r>
          </w:p>
        </w:tc>
      </w:tr>
      <w:tr w:rsidR="009967B5" w:rsidRPr="00CD6245" w14:paraId="4327359D" w14:textId="77777777" w:rsidTr="005C6BD3">
        <w:tc>
          <w:tcPr>
            <w:cnfStyle w:val="001000000000" w:firstRow="0" w:lastRow="0" w:firstColumn="1" w:lastColumn="0" w:oddVBand="0" w:evenVBand="0" w:oddHBand="0" w:evenHBand="0" w:firstRowFirstColumn="0" w:firstRowLastColumn="0" w:lastRowFirstColumn="0" w:lastRowLastColumn="0"/>
            <w:tcW w:w="425" w:type="dxa"/>
            <w:vMerge w:val="restart"/>
          </w:tcPr>
          <w:p w14:paraId="68185BA9" w14:textId="2A3BE707" w:rsidR="009967B5" w:rsidRPr="00CD6245" w:rsidRDefault="009967B5" w:rsidP="009967B5">
            <w:pPr>
              <w:pStyle w:val="TableText"/>
            </w:pPr>
            <w:r>
              <w:t>5</w:t>
            </w:r>
          </w:p>
        </w:tc>
        <w:tc>
          <w:tcPr>
            <w:tcW w:w="1418" w:type="dxa"/>
          </w:tcPr>
          <w:p w14:paraId="09816287" w14:textId="0F1D1B0C" w:rsidR="009967B5" w:rsidRPr="00726E77" w:rsidRDefault="009967B5" w:rsidP="009967B5">
            <w:pPr>
              <w:pStyle w:val="TableText"/>
              <w:cnfStyle w:val="000000000000" w:firstRow="0" w:lastRow="0" w:firstColumn="0" w:lastColumn="0" w:oddVBand="0" w:evenVBand="0" w:oddHBand="0" w:evenHBand="0" w:firstRowFirstColumn="0" w:firstRowLastColumn="0" w:lastRowFirstColumn="0" w:lastRowLastColumn="0"/>
            </w:pPr>
            <w:r w:rsidRPr="000451B5">
              <w:t xml:space="preserve">Successful </w:t>
            </w:r>
            <w:r>
              <w:t>s</w:t>
            </w:r>
            <w:r w:rsidRPr="008F30C8">
              <w:t>upplie</w:t>
            </w:r>
            <w:r>
              <w:t xml:space="preserve">r </w:t>
            </w:r>
            <w:r w:rsidRPr="000451B5">
              <w:t>satisfied</w:t>
            </w:r>
          </w:p>
        </w:tc>
        <w:tc>
          <w:tcPr>
            <w:tcW w:w="709" w:type="dxa"/>
          </w:tcPr>
          <w:p w14:paraId="43AD7962" w14:textId="61A0A8B7" w:rsidR="009967B5" w:rsidRDefault="009967B5" w:rsidP="006B0393">
            <w:pPr>
              <w:pStyle w:val="Tablenumbers"/>
              <w:cnfStyle w:val="000000000000" w:firstRow="0" w:lastRow="0" w:firstColumn="0" w:lastColumn="0" w:oddVBand="0" w:evenVBand="0" w:oddHBand="0" w:evenHBand="0" w:firstRowFirstColumn="0" w:firstRowLastColumn="0" w:lastRowFirstColumn="0" w:lastRowLastColumn="0"/>
            </w:pPr>
            <w:r>
              <w:t>92</w:t>
            </w:r>
          </w:p>
        </w:tc>
        <w:tc>
          <w:tcPr>
            <w:tcW w:w="709" w:type="dxa"/>
          </w:tcPr>
          <w:p w14:paraId="7116821C" w14:textId="34AB135E" w:rsidR="009967B5" w:rsidRDefault="009967B5" w:rsidP="006B0393">
            <w:pPr>
              <w:pStyle w:val="Tablenumbers"/>
              <w:cnfStyle w:val="000000000000" w:firstRow="0" w:lastRow="0" w:firstColumn="0" w:lastColumn="0" w:oddVBand="0" w:evenVBand="0" w:oddHBand="0" w:evenHBand="0" w:firstRowFirstColumn="0" w:firstRowLastColumn="0" w:lastRowFirstColumn="0" w:lastRowLastColumn="0"/>
            </w:pPr>
            <w:r>
              <w:t>82</w:t>
            </w:r>
          </w:p>
        </w:tc>
        <w:tc>
          <w:tcPr>
            <w:tcW w:w="709" w:type="dxa"/>
          </w:tcPr>
          <w:p w14:paraId="078A6064" w14:textId="73BB1225" w:rsidR="009967B5" w:rsidRDefault="009967B5" w:rsidP="006B0393">
            <w:pPr>
              <w:pStyle w:val="Tablenumbers"/>
              <w:cnfStyle w:val="000000000000" w:firstRow="0" w:lastRow="0" w:firstColumn="0" w:lastColumn="0" w:oddVBand="0" w:evenVBand="0" w:oddHBand="0" w:evenHBand="0" w:firstRowFirstColumn="0" w:firstRowLastColumn="0" w:lastRowFirstColumn="0" w:lastRowLastColumn="0"/>
            </w:pPr>
            <w:r>
              <w:t>78</w:t>
            </w:r>
          </w:p>
        </w:tc>
        <w:tc>
          <w:tcPr>
            <w:tcW w:w="4820" w:type="dxa"/>
            <w:vMerge w:val="restart"/>
          </w:tcPr>
          <w:p w14:paraId="62A08550" w14:textId="3A97F11D" w:rsidR="009967B5" w:rsidRDefault="009967B5" w:rsidP="009967B5">
            <w:pPr>
              <w:pStyle w:val="TableText"/>
              <w:cnfStyle w:val="000000000000" w:firstRow="0" w:lastRow="0" w:firstColumn="0" w:lastColumn="0" w:oddVBand="0" w:evenVBand="0" w:oddHBand="0" w:evenHBand="0" w:firstRowFirstColumn="0" w:firstRowLastColumn="0" w:lastRowFirstColumn="0" w:lastRowLastColumn="0"/>
            </w:pPr>
            <w:r>
              <w:t xml:space="preserve">DHHS </w:t>
            </w:r>
            <w:r w:rsidRPr="00F8549B">
              <w:t>offer</w:t>
            </w:r>
            <w:r>
              <w:t>s</w:t>
            </w:r>
            <w:r w:rsidRPr="00F8549B">
              <w:t xml:space="preserve"> debriefing sessions to unsuccessful bidders.</w:t>
            </w:r>
            <w:r>
              <w:t xml:space="preserve"> </w:t>
            </w:r>
            <w:r w:rsidRPr="00F8549B">
              <w:t>There have been no obvious indicators during the year to support the reduction in satisfaction of unsuccessful bidders.</w:t>
            </w:r>
            <w:r>
              <w:t xml:space="preserve"> DHHS only had an 11 per cent survey response rate so it could be that non-responders had no issue with performance. DHHS will look for </w:t>
            </w:r>
            <w:r w:rsidRPr="00F8549B">
              <w:t>opportunities to improve communications with bidders during 'open' (under analysis) processes, to keep them better informed. Survey results will be discussed with all procurement officers.</w:t>
            </w:r>
          </w:p>
        </w:tc>
      </w:tr>
      <w:tr w:rsidR="009967B5" w:rsidRPr="00CD6245" w14:paraId="2D32BF4F" w14:textId="77777777" w:rsidTr="005C6B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5" w:type="dxa"/>
            <w:vMerge/>
          </w:tcPr>
          <w:p w14:paraId="0C2B5949" w14:textId="77777777" w:rsidR="009967B5" w:rsidRPr="00CD6245" w:rsidRDefault="009967B5" w:rsidP="009967B5">
            <w:pPr>
              <w:pStyle w:val="TableText"/>
            </w:pPr>
          </w:p>
        </w:tc>
        <w:tc>
          <w:tcPr>
            <w:tcW w:w="1418" w:type="dxa"/>
          </w:tcPr>
          <w:p w14:paraId="760D09B4" w14:textId="6AA359EC" w:rsidR="009967B5" w:rsidRPr="00726E77" w:rsidRDefault="009967B5" w:rsidP="009967B5">
            <w:pPr>
              <w:pStyle w:val="TableText"/>
              <w:cnfStyle w:val="000000100000" w:firstRow="0" w:lastRow="0" w:firstColumn="0" w:lastColumn="0" w:oddVBand="0" w:evenVBand="0" w:oddHBand="1" w:evenHBand="0" w:firstRowFirstColumn="0" w:firstRowLastColumn="0" w:lastRowFirstColumn="0" w:lastRowLastColumn="0"/>
            </w:pPr>
            <w:r w:rsidRPr="000451B5">
              <w:t xml:space="preserve">Unsuccessful </w:t>
            </w:r>
            <w:r>
              <w:t>s</w:t>
            </w:r>
            <w:r w:rsidRPr="008F30C8">
              <w:t>upplie</w:t>
            </w:r>
            <w:r>
              <w:t xml:space="preserve">r </w:t>
            </w:r>
            <w:r w:rsidRPr="000451B5">
              <w:t>satisfied</w:t>
            </w:r>
          </w:p>
        </w:tc>
        <w:tc>
          <w:tcPr>
            <w:tcW w:w="709" w:type="dxa"/>
          </w:tcPr>
          <w:p w14:paraId="6D3A2377" w14:textId="0F1C4806" w:rsidR="009967B5" w:rsidRDefault="009967B5" w:rsidP="006B0393">
            <w:pPr>
              <w:pStyle w:val="Tablenumbers"/>
              <w:cnfStyle w:val="000000100000" w:firstRow="0" w:lastRow="0" w:firstColumn="0" w:lastColumn="0" w:oddVBand="0" w:evenVBand="0" w:oddHBand="1" w:evenHBand="0" w:firstRowFirstColumn="0" w:firstRowLastColumn="0" w:lastRowFirstColumn="0" w:lastRowLastColumn="0"/>
            </w:pPr>
            <w:r>
              <w:t>40</w:t>
            </w:r>
          </w:p>
        </w:tc>
        <w:tc>
          <w:tcPr>
            <w:tcW w:w="709" w:type="dxa"/>
          </w:tcPr>
          <w:p w14:paraId="6A6F8DC7" w14:textId="6B0391DF" w:rsidR="009967B5" w:rsidRDefault="009967B5" w:rsidP="006B0393">
            <w:pPr>
              <w:pStyle w:val="Tablenumbers"/>
              <w:cnfStyle w:val="000000100000" w:firstRow="0" w:lastRow="0" w:firstColumn="0" w:lastColumn="0" w:oddVBand="0" w:evenVBand="0" w:oddHBand="1" w:evenHBand="0" w:firstRowFirstColumn="0" w:firstRowLastColumn="0" w:lastRowFirstColumn="0" w:lastRowLastColumn="0"/>
            </w:pPr>
            <w:r>
              <w:t>53</w:t>
            </w:r>
          </w:p>
        </w:tc>
        <w:tc>
          <w:tcPr>
            <w:tcW w:w="709" w:type="dxa"/>
          </w:tcPr>
          <w:p w14:paraId="549F0DBE" w14:textId="46DFFB52" w:rsidR="009967B5" w:rsidRDefault="009967B5" w:rsidP="006B0393">
            <w:pPr>
              <w:pStyle w:val="Tablenumbers"/>
              <w:cnfStyle w:val="000000100000" w:firstRow="0" w:lastRow="0" w:firstColumn="0" w:lastColumn="0" w:oddVBand="0" w:evenVBand="0" w:oddHBand="1" w:evenHBand="0" w:firstRowFirstColumn="0" w:firstRowLastColumn="0" w:lastRowFirstColumn="0" w:lastRowLastColumn="0"/>
            </w:pPr>
            <w:r>
              <w:t>38</w:t>
            </w:r>
          </w:p>
        </w:tc>
        <w:tc>
          <w:tcPr>
            <w:tcW w:w="4820" w:type="dxa"/>
            <w:vMerge/>
          </w:tcPr>
          <w:p w14:paraId="74DF14ED" w14:textId="77777777" w:rsidR="009967B5" w:rsidRDefault="009967B5" w:rsidP="009967B5">
            <w:pPr>
              <w:pStyle w:val="TableText"/>
              <w:cnfStyle w:val="000000100000" w:firstRow="0" w:lastRow="0" w:firstColumn="0" w:lastColumn="0" w:oddVBand="0" w:evenVBand="0" w:oddHBand="1" w:evenHBand="0" w:firstRowFirstColumn="0" w:firstRowLastColumn="0" w:lastRowFirstColumn="0" w:lastRowLastColumn="0"/>
            </w:pPr>
          </w:p>
        </w:tc>
      </w:tr>
      <w:tr w:rsidR="000D687E" w:rsidRPr="00CD6245" w14:paraId="5FB79C11" w14:textId="77777777" w:rsidTr="005C6BD3">
        <w:trPr>
          <w:trHeight w:val="283"/>
        </w:trPr>
        <w:tc>
          <w:tcPr>
            <w:cnfStyle w:val="001000000000" w:firstRow="0" w:lastRow="0" w:firstColumn="1" w:lastColumn="0" w:oddVBand="0" w:evenVBand="0" w:oddHBand="0" w:evenHBand="0" w:firstRowFirstColumn="0" w:firstRowLastColumn="0" w:lastRowFirstColumn="0" w:lastRowLastColumn="0"/>
            <w:tcW w:w="425" w:type="dxa"/>
          </w:tcPr>
          <w:p w14:paraId="0CC93D7E" w14:textId="77777777" w:rsidR="000D687E" w:rsidRPr="00CD6245" w:rsidRDefault="000D687E" w:rsidP="00567B7A">
            <w:pPr>
              <w:pStyle w:val="TableText"/>
            </w:pPr>
            <w:r w:rsidRPr="00CD6245">
              <w:t>6</w:t>
            </w:r>
          </w:p>
        </w:tc>
        <w:tc>
          <w:tcPr>
            <w:tcW w:w="1418" w:type="dxa"/>
          </w:tcPr>
          <w:p w14:paraId="1F48BE67" w14:textId="77777777" w:rsidR="000D687E" w:rsidRPr="00726E77" w:rsidRDefault="000D687E" w:rsidP="00567B7A">
            <w:pPr>
              <w:pStyle w:val="TableText"/>
              <w:cnfStyle w:val="000000000000" w:firstRow="0" w:lastRow="0" w:firstColumn="0" w:lastColumn="0" w:oddVBand="0" w:evenVBand="0" w:oddHBand="0" w:evenHBand="0" w:firstRowFirstColumn="0" w:firstRowLastColumn="0" w:lastRowFirstColumn="0" w:lastRowLastColumn="0"/>
            </w:pPr>
            <w:r w:rsidRPr="00726E77">
              <w:t>Planned procurement activity</w:t>
            </w:r>
          </w:p>
        </w:tc>
        <w:tc>
          <w:tcPr>
            <w:tcW w:w="709" w:type="dxa"/>
          </w:tcPr>
          <w:p w14:paraId="44BD2EAA" w14:textId="77777777" w:rsidR="000D687E" w:rsidRDefault="000D687E" w:rsidP="006B0393">
            <w:pPr>
              <w:pStyle w:val="Tablenumbers"/>
              <w:cnfStyle w:val="000000000000" w:firstRow="0" w:lastRow="0" w:firstColumn="0" w:lastColumn="0" w:oddVBand="0" w:evenVBand="0" w:oddHBand="0" w:evenHBand="0" w:firstRowFirstColumn="0" w:firstRowLastColumn="0" w:lastRowFirstColumn="0" w:lastRowLastColumn="0"/>
            </w:pPr>
            <w:r>
              <w:t>31.6</w:t>
            </w:r>
          </w:p>
        </w:tc>
        <w:tc>
          <w:tcPr>
            <w:tcW w:w="709" w:type="dxa"/>
          </w:tcPr>
          <w:p w14:paraId="28B400E8" w14:textId="77777777" w:rsidR="000D687E" w:rsidRDefault="000D687E" w:rsidP="006B0393">
            <w:pPr>
              <w:pStyle w:val="Tablenumbers"/>
              <w:cnfStyle w:val="000000000000" w:firstRow="0" w:lastRow="0" w:firstColumn="0" w:lastColumn="0" w:oddVBand="0" w:evenVBand="0" w:oddHBand="0" w:evenHBand="0" w:firstRowFirstColumn="0" w:firstRowLastColumn="0" w:lastRowFirstColumn="0" w:lastRowLastColumn="0"/>
            </w:pPr>
            <w:r>
              <w:t>5.7</w:t>
            </w:r>
          </w:p>
        </w:tc>
        <w:tc>
          <w:tcPr>
            <w:tcW w:w="709" w:type="dxa"/>
          </w:tcPr>
          <w:p w14:paraId="1C939342" w14:textId="77777777" w:rsidR="000D687E" w:rsidRPr="00CD6245" w:rsidRDefault="000D687E" w:rsidP="006B0393">
            <w:pPr>
              <w:pStyle w:val="Tablenumbers"/>
              <w:cnfStyle w:val="000000000000" w:firstRow="0" w:lastRow="0" w:firstColumn="0" w:lastColumn="0" w:oddVBand="0" w:evenVBand="0" w:oddHBand="0" w:evenHBand="0" w:firstRowFirstColumn="0" w:firstRowLastColumn="0" w:lastRowFirstColumn="0" w:lastRowLastColumn="0"/>
            </w:pPr>
            <w:r>
              <w:t>9.3</w:t>
            </w:r>
          </w:p>
        </w:tc>
        <w:tc>
          <w:tcPr>
            <w:tcW w:w="4820" w:type="dxa"/>
          </w:tcPr>
          <w:p w14:paraId="64850FAF" w14:textId="65AFE67E" w:rsidR="000D687E" w:rsidRPr="00CD6245" w:rsidRDefault="000D687E" w:rsidP="00567B7A">
            <w:pPr>
              <w:pStyle w:val="TableText"/>
              <w:cnfStyle w:val="000000000000" w:firstRow="0" w:lastRow="0" w:firstColumn="0" w:lastColumn="0" w:oddVBand="0" w:evenVBand="0" w:oddHBand="0" w:evenHBand="0" w:firstRowFirstColumn="0" w:firstRowLastColumn="0" w:lastRowFirstColumn="0" w:lastRowLastColumn="0"/>
            </w:pPr>
            <w:r w:rsidRPr="00F8549B">
              <w:t xml:space="preserve">While the numbers reported </w:t>
            </w:r>
            <w:r w:rsidR="00FA7AD1">
              <w:t xml:space="preserve">only </w:t>
            </w:r>
            <w:r>
              <w:t>represent the projects</w:t>
            </w:r>
            <w:r w:rsidR="00FA7AD1">
              <w:t xml:space="preserve"> published</w:t>
            </w:r>
            <w:r>
              <w:t xml:space="preserve"> in </w:t>
            </w:r>
            <w:r w:rsidR="00BD0C9D">
              <w:t>its</w:t>
            </w:r>
            <w:r>
              <w:t xml:space="preserve"> procurement </w:t>
            </w:r>
            <w:r w:rsidR="00FA7AD1">
              <w:t xml:space="preserve">activity </w:t>
            </w:r>
            <w:r>
              <w:t>plan</w:t>
            </w:r>
            <w:r w:rsidR="00FA7AD1">
              <w:t xml:space="preserve"> </w:t>
            </w:r>
            <w:r>
              <w:t>at the start of July 2017,</w:t>
            </w:r>
            <w:r w:rsidRPr="00F8549B">
              <w:t xml:space="preserve"> the actual number of </w:t>
            </w:r>
            <w:r>
              <w:t xml:space="preserve">unpublished, yet </w:t>
            </w:r>
            <w:r w:rsidRPr="00F8549B">
              <w:t>planned</w:t>
            </w:r>
            <w:r>
              <w:t>,</w:t>
            </w:r>
            <w:r w:rsidRPr="00F8549B">
              <w:t xml:space="preserve"> procurement activities is estimated at between 400 to 500 jobs.</w:t>
            </w:r>
            <w:r>
              <w:t xml:space="preserve"> </w:t>
            </w:r>
            <w:r w:rsidRPr="00F8549B">
              <w:t>Procurement Services continues to refine procurement planning, particularly encouraging business owners to identify procurement jobs well in advance.</w:t>
            </w:r>
          </w:p>
        </w:tc>
      </w:tr>
    </w:tbl>
    <w:bookmarkEnd w:id="174"/>
    <w:p w14:paraId="09E779D0" w14:textId="77777777" w:rsidR="002A7E78" w:rsidRDefault="002A7E78" w:rsidP="002A7E78">
      <w:pPr>
        <w:pStyle w:val="Heading3NoNum"/>
      </w:pPr>
      <w:r>
        <w:t>Activities planned for 2018–19</w:t>
      </w:r>
    </w:p>
    <w:p w14:paraId="1038E354" w14:textId="77777777" w:rsidR="002A7E78" w:rsidRDefault="002A7E78" w:rsidP="002A7E78">
      <w:pPr>
        <w:pStyle w:val="Normal1"/>
      </w:pPr>
      <w:r w:rsidRPr="00CD6245">
        <w:t xml:space="preserve">In </w:t>
      </w:r>
      <w:r>
        <w:t>2018–19,</w:t>
      </w:r>
      <w:r w:rsidRPr="00CD6245">
        <w:t xml:space="preserve"> </w:t>
      </w:r>
      <w:r>
        <w:t>DHHS</w:t>
      </w:r>
      <w:r w:rsidRPr="00CD6245">
        <w:t xml:space="preserve"> will:</w:t>
      </w:r>
    </w:p>
    <w:p w14:paraId="7175BAEB" w14:textId="77777777" w:rsidR="002A7E78" w:rsidRDefault="002A7E78" w:rsidP="002A7E78">
      <w:pPr>
        <w:pStyle w:val="Bullet1"/>
      </w:pPr>
      <w:r>
        <w:t>implement Victoria’s Social Procurement Framework;</w:t>
      </w:r>
    </w:p>
    <w:p w14:paraId="4C90CC6C" w14:textId="77777777" w:rsidR="002A7E78" w:rsidRDefault="002A7E78" w:rsidP="002A7E78">
      <w:pPr>
        <w:pStyle w:val="Bullet1"/>
      </w:pPr>
      <w:r>
        <w:t>implement Quick Source to streamline the engagement process with panel providers;</w:t>
      </w:r>
    </w:p>
    <w:p w14:paraId="69FF193C" w14:textId="77777777" w:rsidR="002A7E78" w:rsidRDefault="002A7E78" w:rsidP="002A7E78">
      <w:pPr>
        <w:pStyle w:val="Bullet1"/>
      </w:pPr>
      <w:r>
        <w:t>support department initiatives to streamline engaging consultants, such as a greater focus on internal resources rather than contracting externally and better management of spend on contractors;</w:t>
      </w:r>
    </w:p>
    <w:p w14:paraId="7A77F001" w14:textId="77777777" w:rsidR="002A7E78" w:rsidRDefault="002A7E78" w:rsidP="002A7E78">
      <w:pPr>
        <w:pStyle w:val="Bullet1"/>
      </w:pPr>
      <w:r>
        <w:t>centralise the staffing services function in Corporate Services so DHHS can contract on-hire staff through the Staffing Services SPC more efficiently; and</w:t>
      </w:r>
    </w:p>
    <w:p w14:paraId="663F5511" w14:textId="77777777" w:rsidR="002A7E78" w:rsidRDefault="002A7E78" w:rsidP="002A7E78">
      <w:pPr>
        <w:pStyle w:val="Bullet1"/>
      </w:pPr>
      <w:r>
        <w:t>review spend data to identify further opportunities for savings.</w:t>
      </w:r>
    </w:p>
    <w:p w14:paraId="4DB14292" w14:textId="77777777" w:rsidR="00BD7F88" w:rsidRDefault="00BD7F88">
      <w:pPr>
        <w:rPr>
          <w:rFonts w:ascii="Calibri" w:hAnsi="Calibri" w:cs="Calibri"/>
          <w:color w:val="4D4D4D"/>
          <w:kern w:val="28"/>
          <w:sz w:val="30"/>
          <w:szCs w:val="22"/>
          <w:lang w:eastAsia="en-US"/>
        </w:rPr>
      </w:pPr>
      <w:r>
        <w:br w:type="page"/>
      </w:r>
    </w:p>
    <w:p w14:paraId="2148018B" w14:textId="00DA31B3" w:rsidR="00442D45" w:rsidRDefault="00442D45" w:rsidP="008C072C">
      <w:pPr>
        <w:pStyle w:val="Heading2NoNum"/>
      </w:pPr>
      <w:bookmarkStart w:id="181" w:name="_Toc524354085"/>
      <w:bookmarkStart w:id="182" w:name="_Hlk522704168"/>
      <w:r w:rsidRPr="00CD6245">
        <w:lastRenderedPageBreak/>
        <w:t>Department of Justice and Regulation</w:t>
      </w:r>
      <w:bookmarkEnd w:id="181"/>
    </w:p>
    <w:p w14:paraId="56FF47C1" w14:textId="77777777" w:rsidR="00BD7F88" w:rsidRDefault="00BD7F88" w:rsidP="00BD7F88">
      <w:pPr>
        <w:pStyle w:val="Normal1"/>
      </w:pPr>
      <w:r w:rsidRPr="00082DFB">
        <w:t>The Department of Justice and Regulation</w:t>
      </w:r>
      <w:r>
        <w:t xml:space="preserve"> (DJR)</w:t>
      </w:r>
      <w:r w:rsidRPr="00082DFB">
        <w:t xml:space="preserve"> deliver</w:t>
      </w:r>
      <w:r>
        <w:t>s</w:t>
      </w:r>
      <w:r w:rsidRPr="00082DFB">
        <w:t xml:space="preserve"> high-quality services to Victorians and support</w:t>
      </w:r>
      <w:r>
        <w:t>s</w:t>
      </w:r>
      <w:r w:rsidRPr="00082DFB">
        <w:t xml:space="preserve"> a safe, just, innovative and thriving Victoria.</w:t>
      </w:r>
    </w:p>
    <w:p w14:paraId="1A708E2F" w14:textId="1C622AC1" w:rsidR="00BD7F88" w:rsidRPr="003C34A7" w:rsidRDefault="00BD7F88" w:rsidP="003C34A7">
      <w:pPr>
        <w:pStyle w:val="Normal1"/>
      </w:pPr>
      <w:r w:rsidRPr="003C34A7">
        <w:rPr>
          <w:noProof/>
          <w:lang w:val="en-US" w:eastAsia="en-US"/>
        </w:rPr>
        <mc:AlternateContent>
          <mc:Choice Requires="wps">
            <w:drawing>
              <wp:anchor distT="0" distB="0" distL="114300" distR="114300" simplePos="0" relativeHeight="251650560" behindDoc="0" locked="0" layoutInCell="1" allowOverlap="1" wp14:anchorId="2E425E44" wp14:editId="5243B4E4">
                <wp:simplePos x="0" y="0"/>
                <wp:positionH relativeFrom="margin">
                  <wp:posOffset>4133850</wp:posOffset>
                </wp:positionH>
                <wp:positionV relativeFrom="margin">
                  <wp:posOffset>981075</wp:posOffset>
                </wp:positionV>
                <wp:extent cx="1676400" cy="1266825"/>
                <wp:effectExtent l="0" t="0" r="0" b="9525"/>
                <wp:wrapSquare wrapText="bothSides"/>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6400" cy="1266825"/>
                        </a:xfrm>
                        <a:prstGeom prst="rect">
                          <a:avLst/>
                        </a:prstGeom>
                        <a:solidFill>
                          <a:sysClr val="window" lastClr="FFFFFF"/>
                        </a:solidFill>
                        <a:ln w="6350">
                          <a:solidFill>
                            <a:prstClr val="black"/>
                          </a:solidFill>
                        </a:ln>
                      </wps:spPr>
                      <wps:txbx>
                        <w:txbxContent>
                          <w:p w14:paraId="01B3A0C2" w14:textId="77777777" w:rsidR="001206E5" w:rsidRPr="00D67286" w:rsidRDefault="001206E5" w:rsidP="00BD7F88">
                            <w:pPr>
                              <w:rPr>
                                <w:rFonts w:ascii="Calibri" w:hAnsi="Calibri" w:cs="Calibri"/>
                                <w:b/>
                                <w:sz w:val="20"/>
                                <w:szCs w:val="20"/>
                              </w:rPr>
                            </w:pPr>
                            <w:r w:rsidRPr="00D67286">
                              <w:rPr>
                                <w:rFonts w:ascii="Calibri" w:hAnsi="Calibri" w:cs="Calibri"/>
                                <w:b/>
                                <w:sz w:val="20"/>
                                <w:szCs w:val="20"/>
                              </w:rPr>
                              <w:t xml:space="preserve">AO: </w:t>
                            </w:r>
                            <w:r w:rsidRPr="00D67286">
                              <w:rPr>
                                <w:rFonts w:ascii="Calibri" w:hAnsi="Calibri" w:cs="Calibri"/>
                                <w:sz w:val="20"/>
                                <w:szCs w:val="20"/>
                              </w:rPr>
                              <w:t>Greg Wilson, Secretary</w:t>
                            </w:r>
                          </w:p>
                          <w:p w14:paraId="632AECB2" w14:textId="77777777" w:rsidR="001206E5" w:rsidRPr="00D67286" w:rsidRDefault="001206E5" w:rsidP="00BD7F88">
                            <w:pPr>
                              <w:rPr>
                                <w:rFonts w:ascii="Calibri" w:hAnsi="Calibri" w:cs="Calibri"/>
                                <w:sz w:val="20"/>
                                <w:szCs w:val="20"/>
                              </w:rPr>
                            </w:pPr>
                            <w:r w:rsidRPr="00D67286">
                              <w:rPr>
                                <w:rFonts w:ascii="Calibri" w:hAnsi="Calibri" w:cs="Calibri"/>
                                <w:b/>
                                <w:sz w:val="20"/>
                                <w:szCs w:val="20"/>
                              </w:rPr>
                              <w:t>CPO</w:t>
                            </w:r>
                            <w:r w:rsidRPr="00D67286">
                              <w:rPr>
                                <w:rFonts w:ascii="Calibri" w:hAnsi="Calibri" w:cs="Calibri"/>
                                <w:sz w:val="20"/>
                                <w:szCs w:val="20"/>
                              </w:rPr>
                              <w:t>: Philip Chalkley, CPO, Office of the CPO</w:t>
                            </w:r>
                          </w:p>
                          <w:p w14:paraId="00C747AE" w14:textId="3BA9F0BC" w:rsidR="001206E5" w:rsidRPr="00D67286" w:rsidRDefault="001206E5" w:rsidP="00BD7F88">
                            <w:pPr>
                              <w:rPr>
                                <w:rFonts w:ascii="Calibri" w:hAnsi="Calibri" w:cs="Calibri"/>
                                <w:sz w:val="20"/>
                                <w:szCs w:val="20"/>
                              </w:rPr>
                            </w:pPr>
                            <w:r w:rsidRPr="00D67286">
                              <w:rPr>
                                <w:rFonts w:ascii="Calibri" w:hAnsi="Calibri" w:cs="Calibri"/>
                                <w:b/>
                                <w:sz w:val="20"/>
                                <w:szCs w:val="20"/>
                              </w:rPr>
                              <w:t>IPU Chair</w:t>
                            </w:r>
                            <w:r w:rsidRPr="00D67286">
                              <w:rPr>
                                <w:rFonts w:ascii="Calibri" w:hAnsi="Calibri" w:cs="Calibri"/>
                                <w:sz w:val="20"/>
                                <w:szCs w:val="20"/>
                              </w:rPr>
                              <w:t xml:space="preserve">: Shaun Condron, Deputy Secretary, Finance, Infrastructure and </w:t>
                            </w:r>
                            <w:r>
                              <w:rPr>
                                <w:rFonts w:ascii="Calibri" w:hAnsi="Calibri" w:cs="Calibri"/>
                                <w:sz w:val="20"/>
                                <w:szCs w:val="20"/>
                              </w:rPr>
                              <w:t xml:space="preserve"> G</w:t>
                            </w:r>
                            <w:r w:rsidRPr="00D67286">
                              <w:rPr>
                                <w:rFonts w:ascii="Calibri" w:hAnsi="Calibri" w:cs="Calibri"/>
                                <w:sz w:val="20"/>
                                <w:szCs w:val="20"/>
                              </w:rPr>
                              <w:t>overnance</w:t>
                            </w:r>
                          </w:p>
                          <w:p w14:paraId="78158E9D" w14:textId="77777777" w:rsidR="001206E5" w:rsidRPr="001B5DFB" w:rsidRDefault="001206E5" w:rsidP="00BD7F88">
                            <w:pP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425E44" id="Text Box 39" o:spid="_x0000_s1080" type="#_x0000_t202" style="position:absolute;left:0;text-align:left;margin-left:325.5pt;margin-top:77.25pt;width:132pt;height:99.75pt;z-index:25165056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" fillcolor="window" strokeweight=".5pt">
                <v:path arrowok="t"/>
                <v:textbox>
                  <w:txbxContent>
                    <w:p w14:paraId="01B3A0C2" w14:textId="77777777" w:rsidR="001206E5" w:rsidRPr="00D67286" w:rsidRDefault="001206E5" w:rsidP="00BD7F88">
                      <w:pPr>
                        <w:rPr>
                          <w:rFonts w:ascii="Calibri" w:hAnsi="Calibri" w:cs="Calibri"/>
                          <w:b/>
                          <w:sz w:val="20"/>
                          <w:szCs w:val="20"/>
                        </w:rPr>
                      </w:pPr>
                      <w:r w:rsidRPr="00D67286">
                        <w:rPr>
                          <w:rFonts w:ascii="Calibri" w:hAnsi="Calibri" w:cs="Calibri"/>
                          <w:b/>
                          <w:sz w:val="20"/>
                          <w:szCs w:val="20"/>
                        </w:rPr>
                        <w:t xml:space="preserve">AO: </w:t>
                      </w:r>
                      <w:r w:rsidRPr="00D67286">
                        <w:rPr>
                          <w:rFonts w:ascii="Calibri" w:hAnsi="Calibri" w:cs="Calibri"/>
                          <w:sz w:val="20"/>
                          <w:szCs w:val="20"/>
                        </w:rPr>
                        <w:t>Greg Wilson, Secretary</w:t>
                      </w:r>
                    </w:p>
                    <w:p w14:paraId="632AECB2" w14:textId="77777777" w:rsidR="001206E5" w:rsidRPr="00D67286" w:rsidRDefault="001206E5" w:rsidP="00BD7F88">
                      <w:pPr>
                        <w:rPr>
                          <w:rFonts w:ascii="Calibri" w:hAnsi="Calibri" w:cs="Calibri"/>
                          <w:sz w:val="20"/>
                          <w:szCs w:val="20"/>
                        </w:rPr>
                      </w:pPr>
                      <w:r w:rsidRPr="00D67286">
                        <w:rPr>
                          <w:rFonts w:ascii="Calibri" w:hAnsi="Calibri" w:cs="Calibri"/>
                          <w:b/>
                          <w:sz w:val="20"/>
                          <w:szCs w:val="20"/>
                        </w:rPr>
                        <w:t>CPO</w:t>
                      </w:r>
                      <w:r w:rsidRPr="00D67286">
                        <w:rPr>
                          <w:rFonts w:ascii="Calibri" w:hAnsi="Calibri" w:cs="Calibri"/>
                          <w:sz w:val="20"/>
                          <w:szCs w:val="20"/>
                        </w:rPr>
                        <w:t>: Philip Chalkley, CPO, Office of the CPO</w:t>
                      </w:r>
                    </w:p>
                    <w:p w14:paraId="00C747AE" w14:textId="3BA9F0BC" w:rsidR="001206E5" w:rsidRPr="00D67286" w:rsidRDefault="001206E5" w:rsidP="00BD7F88">
                      <w:pPr>
                        <w:rPr>
                          <w:rFonts w:ascii="Calibri" w:hAnsi="Calibri" w:cs="Calibri"/>
                          <w:sz w:val="20"/>
                          <w:szCs w:val="20"/>
                        </w:rPr>
                      </w:pPr>
                      <w:r w:rsidRPr="00D67286">
                        <w:rPr>
                          <w:rFonts w:ascii="Calibri" w:hAnsi="Calibri" w:cs="Calibri"/>
                          <w:b/>
                          <w:sz w:val="20"/>
                          <w:szCs w:val="20"/>
                        </w:rPr>
                        <w:t>IPU Chair</w:t>
                      </w:r>
                      <w:r w:rsidRPr="00D67286">
                        <w:rPr>
                          <w:rFonts w:ascii="Calibri" w:hAnsi="Calibri" w:cs="Calibri"/>
                          <w:sz w:val="20"/>
                          <w:szCs w:val="20"/>
                        </w:rPr>
                        <w:t xml:space="preserve">: Shaun Condron, Deputy Secretary, Finance, Infrastructure and </w:t>
                      </w:r>
                      <w:r>
                        <w:rPr>
                          <w:rFonts w:ascii="Calibri" w:hAnsi="Calibri" w:cs="Calibri"/>
                          <w:sz w:val="20"/>
                          <w:szCs w:val="20"/>
                        </w:rPr>
                        <w:t xml:space="preserve"> G</w:t>
                      </w:r>
                      <w:r w:rsidRPr="00D67286">
                        <w:rPr>
                          <w:rFonts w:ascii="Calibri" w:hAnsi="Calibri" w:cs="Calibri"/>
                          <w:sz w:val="20"/>
                          <w:szCs w:val="20"/>
                        </w:rPr>
                        <w:t>overnance</w:t>
                      </w:r>
                    </w:p>
                    <w:p w14:paraId="78158E9D" w14:textId="77777777" w:rsidR="001206E5" w:rsidRPr="001B5DFB" w:rsidRDefault="001206E5" w:rsidP="00BD7F88">
                      <w:pPr>
                        <w:rPr>
                          <w:sz w:val="20"/>
                          <w:szCs w:val="20"/>
                        </w:rPr>
                      </w:pPr>
                    </w:p>
                  </w:txbxContent>
                </v:textbox>
                <w10:wrap type="square" anchorx="margin" anchory="margin"/>
              </v:shape>
            </w:pict>
          </mc:Fallback>
        </mc:AlternateContent>
      </w:r>
      <w:r w:rsidR="00C86798">
        <w:t>DJR</w:t>
      </w:r>
      <w:r w:rsidRPr="003C34A7">
        <w:t xml:space="preserve"> lead</w:t>
      </w:r>
      <w:r w:rsidR="00C86798">
        <w:t>s</w:t>
      </w:r>
      <w:r w:rsidRPr="003C34A7">
        <w:t xml:space="preserve"> the delivery of justice and regulation services in Victoria. </w:t>
      </w:r>
      <w:r w:rsidR="00C86798">
        <w:t>DJR has</w:t>
      </w:r>
      <w:r w:rsidRPr="003C34A7">
        <w:t xml:space="preserve"> extensive service delivery responsibilities, which range from managing the state’s prison system to providing consumer protection and enforcing court warrants.</w:t>
      </w:r>
    </w:p>
    <w:p w14:paraId="6B0B5718" w14:textId="4F5FE4FB" w:rsidR="00BD7F88" w:rsidRDefault="00C86798" w:rsidP="00BD7F88">
      <w:pPr>
        <w:pStyle w:val="Normal1"/>
      </w:pPr>
      <w:r>
        <w:t xml:space="preserve">DJR </w:t>
      </w:r>
      <w:r w:rsidR="00BD7F88">
        <w:t>manage</w:t>
      </w:r>
      <w:r>
        <w:t>s</w:t>
      </w:r>
      <w:r w:rsidR="00BD7F88">
        <w:t xml:space="preserve"> the development and implementation of a range of laws, regulation and policy in areas across the portfolio (such as in gaming, racing and emergency management) and ensure</w:t>
      </w:r>
      <w:r w:rsidR="00504DD0">
        <w:t>s</w:t>
      </w:r>
      <w:r w:rsidR="00BD7F88">
        <w:t xml:space="preserve"> that all elements of the justice and regulation system are working efficiently and effectively</w:t>
      </w:r>
      <w:r w:rsidR="006B6CDE">
        <w:t>.</w:t>
      </w:r>
    </w:p>
    <w:p w14:paraId="2D193280" w14:textId="77777777" w:rsidR="00BD7F88" w:rsidRDefault="00BD7F88" w:rsidP="00BD7F88">
      <w:pPr>
        <w:pStyle w:val="Heading3NoNum"/>
      </w:pPr>
      <w:r w:rsidRPr="00CD6245">
        <w:t>Procurement profile</w:t>
      </w:r>
    </w:p>
    <w:p w14:paraId="3AB318DD" w14:textId="5935E193" w:rsidR="00BD7F88" w:rsidRDefault="00BD7F88" w:rsidP="00BD7F88">
      <w:pPr>
        <w:pStyle w:val="Normal1"/>
      </w:pPr>
      <w:r>
        <w:t>DJR has a devolved procurement model, incorporating a mix of business units with a central procurement area with a broad range of procurement practitioners and capability.</w:t>
      </w:r>
    </w:p>
    <w:p w14:paraId="03CDB141" w14:textId="031BA61D" w:rsidR="00BD7F88" w:rsidRDefault="00BD7F88" w:rsidP="00BD7F88">
      <w:pPr>
        <w:pStyle w:val="Normal1"/>
      </w:pPr>
      <w:r>
        <w:t>More than 180 full-time equivalent employees across DJR are inv</w:t>
      </w:r>
      <w:r w:rsidR="006B6CDE">
        <w:t>ested</w:t>
      </w:r>
      <w:r>
        <w:t xml:space="preserve"> in supporting sourcing, purchasing and contract management activities.</w:t>
      </w:r>
    </w:p>
    <w:p w14:paraId="0515AB5C" w14:textId="17059611" w:rsidR="00BD7F88" w:rsidRDefault="00BD7F88" w:rsidP="00BD7F88">
      <w:pPr>
        <w:pStyle w:val="Normal1"/>
      </w:pPr>
      <w:r>
        <w:t>Predominant categories of spend are private prisons, construction and property, ICT, road safety, and contractors and consultants</w:t>
      </w:r>
      <w:r w:rsidR="00DB7EAB">
        <w:t>.</w:t>
      </w:r>
    </w:p>
    <w:p w14:paraId="2B5BAA5C" w14:textId="77777777" w:rsidR="00BD7F88" w:rsidRPr="007A584B" w:rsidRDefault="00BD7F88" w:rsidP="00BD7F88">
      <w:pPr>
        <w:pStyle w:val="Heading3NoNum"/>
      </w:pPr>
      <w:r w:rsidRPr="007A584B">
        <w:t>Compliance with VGPB policies and related activities</w:t>
      </w:r>
    </w:p>
    <w:p w14:paraId="76A35F43" w14:textId="000C0C5A" w:rsidR="00BD7F88" w:rsidRDefault="00BD7F88" w:rsidP="00BD7F88">
      <w:pPr>
        <w:pStyle w:val="Normal1"/>
        <w:rPr>
          <w:lang w:eastAsia="en-US"/>
        </w:rPr>
      </w:pPr>
      <w:r>
        <w:rPr>
          <w:lang w:eastAsia="en-US"/>
        </w:rPr>
        <w:fldChar w:fldCharType="begin"/>
      </w:r>
      <w:r>
        <w:rPr>
          <w:lang w:eastAsia="en-US"/>
        </w:rPr>
        <w:instrText xml:space="preserve"> REF _Ref489543125 \h </w:instrText>
      </w:r>
      <w:r>
        <w:rPr>
          <w:lang w:eastAsia="en-US"/>
        </w:rPr>
      </w:r>
      <w:r>
        <w:rPr>
          <w:lang w:eastAsia="en-US"/>
        </w:rPr>
        <w:fldChar w:fldCharType="separate"/>
      </w:r>
      <w:r w:rsidR="00A07703" w:rsidRPr="007A584B">
        <w:t xml:space="preserve">Table </w:t>
      </w:r>
      <w:r w:rsidR="00A07703">
        <w:rPr>
          <w:noProof/>
        </w:rPr>
        <w:t>32</w:t>
      </w:r>
      <w:r>
        <w:rPr>
          <w:lang w:eastAsia="en-US"/>
        </w:rPr>
        <w:fldChar w:fldCharType="end"/>
      </w:r>
      <w:r>
        <w:rPr>
          <w:lang w:eastAsia="en-US"/>
        </w:rPr>
        <w:t xml:space="preserve"> lists </w:t>
      </w:r>
      <w:r w:rsidR="00FA7AD1">
        <w:rPr>
          <w:lang w:eastAsia="en-US"/>
        </w:rPr>
        <w:t xml:space="preserve">DJR’s </w:t>
      </w:r>
      <w:r>
        <w:rPr>
          <w:lang w:eastAsia="en-US"/>
        </w:rPr>
        <w:t xml:space="preserve">activities to ensure and improve compliance with VGPB supply policies. </w:t>
      </w:r>
      <w:r w:rsidRPr="00212617">
        <w:rPr>
          <w:lang w:eastAsia="en-US"/>
        </w:rPr>
        <w:t xml:space="preserve">Compliance activities are </w:t>
      </w:r>
      <w:r>
        <w:rPr>
          <w:lang w:eastAsia="en-US"/>
        </w:rPr>
        <w:t xml:space="preserve">grouped against VGPB supply policies, </w:t>
      </w:r>
      <w:r w:rsidRPr="00212617">
        <w:rPr>
          <w:lang w:eastAsia="en-US"/>
        </w:rPr>
        <w:t>though activities often overlap with multiple policies.</w:t>
      </w:r>
    </w:p>
    <w:p w14:paraId="748A975B" w14:textId="28BEBF1B" w:rsidR="00BD7F88" w:rsidRDefault="00BD7F88" w:rsidP="00BD7F88">
      <w:pPr>
        <w:pStyle w:val="Normal1"/>
        <w:rPr>
          <w:lang w:eastAsia="en-US"/>
        </w:rPr>
      </w:pPr>
      <w:r>
        <w:rPr>
          <w:lang w:eastAsia="en-US"/>
        </w:rPr>
        <w:t>DJR completed a</w:t>
      </w:r>
      <w:r w:rsidR="00154021">
        <w:rPr>
          <w:lang w:eastAsia="en-US"/>
        </w:rPr>
        <w:t xml:space="preserve">n internal audit of VGPB policies </w:t>
      </w:r>
      <w:r>
        <w:rPr>
          <w:lang w:eastAsia="en-US"/>
        </w:rPr>
        <w:t xml:space="preserve">in June 2018. The </w:t>
      </w:r>
      <w:r w:rsidR="003069BD">
        <w:rPr>
          <w:lang w:eastAsia="en-US"/>
        </w:rPr>
        <w:t xml:space="preserve">audit resulted in </w:t>
      </w:r>
      <w:r>
        <w:rPr>
          <w:lang w:eastAsia="en-US"/>
        </w:rPr>
        <w:t xml:space="preserve">one low-risk finding and three recommendations, which will be implemented by </w:t>
      </w:r>
      <w:r>
        <w:t>December 2018</w:t>
      </w:r>
      <w:r>
        <w:rPr>
          <w:lang w:eastAsia="en-US"/>
        </w:rPr>
        <w:t>. The agreed management actions focus on o</w:t>
      </w:r>
      <w:r w:rsidRPr="0077273E">
        <w:rPr>
          <w:lang w:eastAsia="en-US"/>
        </w:rPr>
        <w:t>pportunities to enhance communication, sharing and consistency of procurement outcomes</w:t>
      </w:r>
      <w:r>
        <w:t>.</w:t>
      </w:r>
    </w:p>
    <w:p w14:paraId="03DD6E61" w14:textId="5867C531" w:rsidR="00BD7F88" w:rsidRDefault="00BD7F88" w:rsidP="00BD7F88">
      <w:pPr>
        <w:pStyle w:val="Caption"/>
      </w:pPr>
      <w:bookmarkStart w:id="183" w:name="_Ref489543125"/>
      <w:bookmarkStart w:id="184" w:name="_Toc503949266"/>
      <w:bookmarkStart w:id="185" w:name="_Toc524354025"/>
      <w:r w:rsidRPr="007A584B">
        <w:t xml:space="preserve">Table </w:t>
      </w:r>
      <w:r>
        <w:rPr>
          <w:noProof/>
        </w:rPr>
        <w:fldChar w:fldCharType="begin"/>
      </w:r>
      <w:r>
        <w:rPr>
          <w:noProof/>
        </w:rPr>
        <w:instrText xml:space="preserve"> SEQ Table \* ARABIC </w:instrText>
      </w:r>
      <w:r>
        <w:rPr>
          <w:noProof/>
        </w:rPr>
        <w:fldChar w:fldCharType="separate"/>
      </w:r>
      <w:r w:rsidR="00A07703">
        <w:rPr>
          <w:noProof/>
        </w:rPr>
        <w:t>32</w:t>
      </w:r>
      <w:r>
        <w:rPr>
          <w:noProof/>
        </w:rPr>
        <w:fldChar w:fldCharType="end"/>
      </w:r>
      <w:bookmarkEnd w:id="183"/>
      <w:r w:rsidRPr="007A584B">
        <w:t xml:space="preserve">: </w:t>
      </w:r>
      <w:r>
        <w:t xml:space="preserve">DJR’s </w:t>
      </w:r>
      <w:r w:rsidRPr="007A584B">
        <w:t>compliance activities in 201</w:t>
      </w:r>
      <w:r>
        <w:t>7–18</w:t>
      </w:r>
      <w:bookmarkEnd w:id="184"/>
      <w:bookmarkEnd w:id="185"/>
    </w:p>
    <w:tbl>
      <w:tblPr>
        <w:tblStyle w:val="ListTable31"/>
        <w:tblW w:w="8647" w:type="dxa"/>
        <w:tblInd w:w="704" w:type="dxa"/>
        <w:tblLook w:val="04A0" w:firstRow="1" w:lastRow="0" w:firstColumn="1" w:lastColumn="0" w:noHBand="0" w:noVBand="1"/>
      </w:tblPr>
      <w:tblGrid>
        <w:gridCol w:w="2552"/>
        <w:gridCol w:w="6095"/>
      </w:tblGrid>
      <w:tr w:rsidR="00BD7F88" w14:paraId="5C7209D0" w14:textId="77777777" w:rsidTr="00F66493">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2552" w:type="dxa"/>
          </w:tcPr>
          <w:p w14:paraId="60E03D81" w14:textId="77777777" w:rsidR="00BD7F88" w:rsidRPr="00D67286" w:rsidRDefault="00BD7F88" w:rsidP="00822FA3">
            <w:pPr>
              <w:pStyle w:val="TableText"/>
            </w:pPr>
            <w:r w:rsidRPr="00D67286">
              <w:t>VGPB policy</w:t>
            </w:r>
          </w:p>
        </w:tc>
        <w:tc>
          <w:tcPr>
            <w:tcW w:w="6095" w:type="dxa"/>
          </w:tcPr>
          <w:p w14:paraId="15A45588" w14:textId="77777777" w:rsidR="00BD7F88" w:rsidRPr="00D67286" w:rsidRDefault="00BD7F88" w:rsidP="00822FA3">
            <w:pPr>
              <w:pStyle w:val="TableText"/>
              <w:cnfStyle w:val="100000000000" w:firstRow="1" w:lastRow="0" w:firstColumn="0" w:lastColumn="0" w:oddVBand="0" w:evenVBand="0" w:oddHBand="0" w:evenHBand="0" w:firstRowFirstColumn="0" w:firstRowLastColumn="0" w:lastRowFirstColumn="0" w:lastRowLastColumn="0"/>
            </w:pPr>
            <w:r w:rsidRPr="00D67286">
              <w:t>Activities</w:t>
            </w:r>
          </w:p>
        </w:tc>
      </w:tr>
      <w:tr w:rsidR="00BD7F88" w14:paraId="066D209E" w14:textId="77777777" w:rsidTr="00822F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tcPr>
          <w:p w14:paraId="1DEF4E60" w14:textId="77777777" w:rsidR="00BD7F88" w:rsidRPr="00D67286" w:rsidRDefault="00BD7F88" w:rsidP="00C8604F">
            <w:pPr>
              <w:pStyle w:val="TableText"/>
              <w:rPr>
                <w:b w:val="0"/>
                <w:bCs w:val="0"/>
              </w:rPr>
            </w:pPr>
            <w:r w:rsidRPr="00D67286">
              <w:rPr>
                <w:b w:val="0"/>
                <w:bCs w:val="0"/>
              </w:rPr>
              <w:t>Governance</w:t>
            </w:r>
          </w:p>
        </w:tc>
        <w:tc>
          <w:tcPr>
            <w:tcW w:w="6095" w:type="dxa"/>
          </w:tcPr>
          <w:p w14:paraId="009E7C3D" w14:textId="70BF2721" w:rsidR="00BD7F88" w:rsidRPr="00822FA3" w:rsidRDefault="00473191" w:rsidP="00822FA3">
            <w:pPr>
              <w:pStyle w:val="TableBullet"/>
              <w:cnfStyle w:val="000000100000" w:firstRow="0" w:lastRow="0" w:firstColumn="0" w:lastColumn="0" w:oddVBand="0" w:evenVBand="0" w:oddHBand="1" w:evenHBand="0" w:firstRowFirstColumn="0" w:firstRowLastColumn="0" w:lastRowFirstColumn="0" w:lastRowLastColumn="0"/>
            </w:pPr>
            <w:r>
              <w:t>F</w:t>
            </w:r>
            <w:r w:rsidR="00BD7F88" w:rsidRPr="00822FA3">
              <w:t xml:space="preserve">inalised the upgrade of </w:t>
            </w:r>
            <w:r w:rsidR="00B23FDA">
              <w:t>p</w:t>
            </w:r>
            <w:r w:rsidR="00BD7F88" w:rsidRPr="00822FA3">
              <w:t>urchase</w:t>
            </w:r>
            <w:r w:rsidR="00B23FDA">
              <w:t>-</w:t>
            </w:r>
            <w:r w:rsidR="00BD7F88" w:rsidRPr="00822FA3">
              <w:t>to</w:t>
            </w:r>
            <w:r w:rsidR="00B23FDA">
              <w:t>-</w:t>
            </w:r>
            <w:r w:rsidR="00BD7F88" w:rsidRPr="00822FA3">
              <w:t>ay practices, eCatalogues and associated training to drive more efficient and effective supplier relationships and outcomes and increase</w:t>
            </w:r>
            <w:r w:rsidR="006B6CDE">
              <w:t xml:space="preserve"> DJR’s</w:t>
            </w:r>
            <w:r w:rsidR="00BD7F88" w:rsidRPr="00822FA3">
              <w:t xml:space="preserve"> use of online catalogues.</w:t>
            </w:r>
          </w:p>
          <w:p w14:paraId="5B10EEF3" w14:textId="5E449C73" w:rsidR="00BD7F88" w:rsidRPr="00822FA3" w:rsidRDefault="00473191" w:rsidP="00822FA3">
            <w:pPr>
              <w:pStyle w:val="TableBullet"/>
              <w:cnfStyle w:val="000000100000" w:firstRow="0" w:lastRow="0" w:firstColumn="0" w:lastColumn="0" w:oddVBand="0" w:evenVBand="0" w:oddHBand="1" w:evenHBand="0" w:firstRowFirstColumn="0" w:firstRowLastColumn="0" w:lastRowFirstColumn="0" w:lastRowLastColumn="0"/>
            </w:pPr>
            <w:r>
              <w:t>E</w:t>
            </w:r>
            <w:r w:rsidR="00BD7F88" w:rsidRPr="00822FA3">
              <w:t>mbedded a benefits realisation framework.</w:t>
            </w:r>
          </w:p>
          <w:p w14:paraId="030220A1" w14:textId="309B42D6" w:rsidR="00092526" w:rsidRDefault="00473191" w:rsidP="00473191">
            <w:pPr>
              <w:pStyle w:val="TableBullet"/>
              <w:cnfStyle w:val="000000100000" w:firstRow="0" w:lastRow="0" w:firstColumn="0" w:lastColumn="0" w:oddVBand="0" w:evenVBand="0" w:oddHBand="1" w:evenHBand="0" w:firstRowFirstColumn="0" w:firstRowLastColumn="0" w:lastRowFirstColumn="0" w:lastRowLastColumn="0"/>
            </w:pPr>
            <w:r>
              <w:t>S</w:t>
            </w:r>
            <w:r w:rsidR="00BD7F88" w:rsidRPr="00822FA3">
              <w:t>tarted a departmental review of procurement to identify ways to deliver procurement more efficiently and increase capability</w:t>
            </w:r>
            <w:r w:rsidR="00504DD0">
              <w:t>.</w:t>
            </w:r>
          </w:p>
          <w:p w14:paraId="33ABC25C" w14:textId="5A493760" w:rsidR="00BD7F88" w:rsidRPr="00822FA3" w:rsidRDefault="00092526" w:rsidP="00822FA3">
            <w:pPr>
              <w:pStyle w:val="TableBullet"/>
              <w:cnfStyle w:val="000000100000" w:firstRow="0" w:lastRow="0" w:firstColumn="0" w:lastColumn="0" w:oddVBand="0" w:evenVBand="0" w:oddHBand="1" w:evenHBand="0" w:firstRowFirstColumn="0" w:firstRowLastColumn="0" w:lastRowFirstColumn="0" w:lastRowLastColumn="0"/>
            </w:pPr>
            <w:r>
              <w:t>I</w:t>
            </w:r>
            <w:r w:rsidR="00BD7F88" w:rsidRPr="00822FA3">
              <w:t>mproved current practices to reduce the risk of fraud and corruption</w:t>
            </w:r>
            <w:r w:rsidR="00FA7AD1" w:rsidRPr="00822FA3">
              <w:t>.</w:t>
            </w:r>
          </w:p>
          <w:p w14:paraId="5F4C1FCF" w14:textId="09F82703" w:rsidR="00BD7F88" w:rsidRPr="00822FA3" w:rsidRDefault="00473191" w:rsidP="00822FA3">
            <w:pPr>
              <w:pStyle w:val="TableBullet"/>
              <w:cnfStyle w:val="000000100000" w:firstRow="0" w:lastRow="0" w:firstColumn="0" w:lastColumn="0" w:oddVBand="0" w:evenVBand="0" w:oddHBand="1" w:evenHBand="0" w:firstRowFirstColumn="0" w:firstRowLastColumn="0" w:lastRowFirstColumn="0" w:lastRowLastColumn="0"/>
            </w:pPr>
            <w:r>
              <w:t>I</w:t>
            </w:r>
            <w:r w:rsidR="00BD7F88" w:rsidRPr="00822FA3">
              <w:t>ncorporated public construction procurement activity into the existing Procurement Approval Board governance arrangements.</w:t>
            </w:r>
          </w:p>
        </w:tc>
      </w:tr>
      <w:tr w:rsidR="00BD7F88" w14:paraId="4298D90B" w14:textId="77777777" w:rsidTr="00822FA3">
        <w:tc>
          <w:tcPr>
            <w:cnfStyle w:val="001000000000" w:firstRow="0" w:lastRow="0" w:firstColumn="1" w:lastColumn="0" w:oddVBand="0" w:evenVBand="0" w:oddHBand="0" w:evenHBand="0" w:firstRowFirstColumn="0" w:firstRowLastColumn="0" w:lastRowFirstColumn="0" w:lastRowLastColumn="0"/>
            <w:tcW w:w="2552" w:type="dxa"/>
          </w:tcPr>
          <w:p w14:paraId="23890DC4" w14:textId="77777777" w:rsidR="00BD7F88" w:rsidRPr="00D67286" w:rsidRDefault="00BD7F88" w:rsidP="00C8604F">
            <w:pPr>
              <w:pStyle w:val="TableText"/>
              <w:rPr>
                <w:b w:val="0"/>
                <w:bCs w:val="0"/>
              </w:rPr>
            </w:pPr>
            <w:r w:rsidRPr="00D67286">
              <w:rPr>
                <w:b w:val="0"/>
                <w:bCs w:val="0"/>
              </w:rPr>
              <w:t>Complexity and capability</w:t>
            </w:r>
          </w:p>
        </w:tc>
        <w:tc>
          <w:tcPr>
            <w:tcW w:w="6095" w:type="dxa"/>
          </w:tcPr>
          <w:p w14:paraId="23E9063C" w14:textId="30D2C327" w:rsidR="006B6CDE" w:rsidRDefault="00473191" w:rsidP="00822FA3">
            <w:pPr>
              <w:pStyle w:val="TableBullet"/>
              <w:cnfStyle w:val="000000000000" w:firstRow="0" w:lastRow="0" w:firstColumn="0" w:lastColumn="0" w:oddVBand="0" w:evenVBand="0" w:oddHBand="0" w:evenHBand="0" w:firstRowFirstColumn="0" w:firstRowLastColumn="0" w:lastRowFirstColumn="0" w:lastRowLastColumn="0"/>
            </w:pPr>
            <w:r>
              <w:t>E</w:t>
            </w:r>
            <w:r w:rsidR="00BD7F88" w:rsidRPr="00822FA3">
              <w:t xml:space="preserve">xpanded </w:t>
            </w:r>
            <w:r>
              <w:t>DJR’s</w:t>
            </w:r>
            <w:r w:rsidR="00C86798" w:rsidRPr="00822FA3">
              <w:t xml:space="preserve"> </w:t>
            </w:r>
            <w:r w:rsidR="00BD7F88" w:rsidRPr="00822FA3">
              <w:t>procurement training profile to include several specialist modules and a</w:t>
            </w:r>
            <w:r w:rsidR="002B2C83" w:rsidRPr="00822FA3">
              <w:t>n</w:t>
            </w:r>
            <w:r w:rsidR="00BD7F88" w:rsidRPr="00822FA3">
              <w:t xml:space="preserve"> RMIT Certificate IV in Procurement </w:t>
            </w:r>
            <w:r w:rsidR="002B2C83" w:rsidRPr="00822FA3">
              <w:t>and</w:t>
            </w:r>
            <w:r w:rsidR="00BD7F88" w:rsidRPr="00822FA3">
              <w:t xml:space="preserve"> Contracting.</w:t>
            </w:r>
          </w:p>
          <w:p w14:paraId="007AC1F2" w14:textId="4EB79A8F" w:rsidR="00BD7F88" w:rsidRPr="00822FA3" w:rsidRDefault="006B6CDE" w:rsidP="00822FA3">
            <w:pPr>
              <w:pStyle w:val="TableBullet"/>
              <w:cnfStyle w:val="000000000000" w:firstRow="0" w:lastRow="0" w:firstColumn="0" w:lastColumn="0" w:oddVBand="0" w:evenVBand="0" w:oddHBand="0" w:evenHBand="0" w:firstRowFirstColumn="0" w:firstRowLastColumn="0" w:lastRowFirstColumn="0" w:lastRowLastColumn="0"/>
            </w:pPr>
            <w:r>
              <w:t>T</w:t>
            </w:r>
            <w:r w:rsidR="00BD7F88" w:rsidRPr="00822FA3">
              <w:t xml:space="preserve">rained </w:t>
            </w:r>
            <w:r w:rsidR="00C86798" w:rsidRPr="00822FA3">
              <w:t>more than</w:t>
            </w:r>
            <w:r w:rsidR="00BD7F88" w:rsidRPr="00822FA3">
              <w:t xml:space="preserve"> 800 departmental employees in procurement-related training modules.</w:t>
            </w:r>
          </w:p>
          <w:p w14:paraId="006F22DB" w14:textId="0528F76B" w:rsidR="00BD7F88" w:rsidRPr="00822FA3" w:rsidRDefault="00473191" w:rsidP="00822FA3">
            <w:pPr>
              <w:pStyle w:val="TableBullet"/>
              <w:cnfStyle w:val="000000000000" w:firstRow="0" w:lastRow="0" w:firstColumn="0" w:lastColumn="0" w:oddVBand="0" w:evenVBand="0" w:oddHBand="0" w:evenHBand="0" w:firstRowFirstColumn="0" w:firstRowLastColumn="0" w:lastRowFirstColumn="0" w:lastRowLastColumn="0"/>
            </w:pPr>
            <w:r>
              <w:t>S</w:t>
            </w:r>
            <w:r w:rsidR="00BD7F88" w:rsidRPr="00822FA3">
              <w:t xml:space="preserve">et up a </w:t>
            </w:r>
            <w:r w:rsidRPr="00F6212F">
              <w:t>Purchasing Support Centre</w:t>
            </w:r>
            <w:r w:rsidRPr="00822FA3">
              <w:t xml:space="preserve"> </w:t>
            </w:r>
            <w:r w:rsidR="00BD7F88" w:rsidRPr="00822FA3">
              <w:t>to help the business with purchasing practices.</w:t>
            </w:r>
          </w:p>
        </w:tc>
      </w:tr>
      <w:tr w:rsidR="00BD7F88" w14:paraId="65C2048F" w14:textId="77777777" w:rsidTr="00822F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tcPr>
          <w:p w14:paraId="7CCB43C9" w14:textId="77777777" w:rsidR="00BD7F88" w:rsidRPr="00D67286" w:rsidRDefault="00BD7F88" w:rsidP="00C8604F">
            <w:pPr>
              <w:pStyle w:val="TableText"/>
              <w:rPr>
                <w:b w:val="0"/>
                <w:bCs w:val="0"/>
              </w:rPr>
            </w:pPr>
            <w:r w:rsidRPr="00D67286">
              <w:rPr>
                <w:b w:val="0"/>
                <w:bCs w:val="0"/>
              </w:rPr>
              <w:t>Market analysis and review</w:t>
            </w:r>
          </w:p>
        </w:tc>
        <w:tc>
          <w:tcPr>
            <w:tcW w:w="6095" w:type="dxa"/>
          </w:tcPr>
          <w:p w14:paraId="1CF45DDF" w14:textId="33D0F9D2" w:rsidR="00BD7F88" w:rsidRPr="00822FA3" w:rsidRDefault="00473191" w:rsidP="00822FA3">
            <w:pPr>
              <w:pStyle w:val="TableBullet"/>
              <w:cnfStyle w:val="000000100000" w:firstRow="0" w:lastRow="0" w:firstColumn="0" w:lastColumn="0" w:oddVBand="0" w:evenVBand="0" w:oddHBand="1" w:evenHBand="0" w:firstRowFirstColumn="0" w:firstRowLastColumn="0" w:lastRowFirstColumn="0" w:lastRowLastColumn="0"/>
            </w:pPr>
            <w:r>
              <w:rPr>
                <w:szCs w:val="20"/>
              </w:rPr>
              <w:t>P</w:t>
            </w:r>
            <w:r w:rsidR="00BD7F88" w:rsidRPr="00822FA3">
              <w:rPr>
                <w:szCs w:val="20"/>
              </w:rPr>
              <w:t xml:space="preserve">rocured a </w:t>
            </w:r>
            <w:r w:rsidR="00BD7F88" w:rsidRPr="00822FA3">
              <w:t>new</w:t>
            </w:r>
            <w:r w:rsidR="00BD7F88" w:rsidRPr="00822FA3">
              <w:rPr>
                <w:szCs w:val="20"/>
              </w:rPr>
              <w:t xml:space="preserve"> e</w:t>
            </w:r>
            <w:r w:rsidR="00B33C59" w:rsidRPr="00822FA3">
              <w:rPr>
                <w:szCs w:val="20"/>
              </w:rPr>
              <w:t>-s</w:t>
            </w:r>
            <w:r w:rsidR="00BD7F88" w:rsidRPr="00822FA3">
              <w:rPr>
                <w:szCs w:val="20"/>
              </w:rPr>
              <w:t>ourcing tool to automate the procurement process and provide greater consistency and transparency.</w:t>
            </w:r>
          </w:p>
        </w:tc>
      </w:tr>
      <w:tr w:rsidR="00BD7F88" w14:paraId="7780F7B6" w14:textId="77777777" w:rsidTr="00822FA3">
        <w:tc>
          <w:tcPr>
            <w:cnfStyle w:val="001000000000" w:firstRow="0" w:lastRow="0" w:firstColumn="1" w:lastColumn="0" w:oddVBand="0" w:evenVBand="0" w:oddHBand="0" w:evenHBand="0" w:firstRowFirstColumn="0" w:firstRowLastColumn="0" w:lastRowFirstColumn="0" w:lastRowLastColumn="0"/>
            <w:tcW w:w="2552" w:type="dxa"/>
          </w:tcPr>
          <w:p w14:paraId="5F35C5E7" w14:textId="77777777" w:rsidR="00BD7F88" w:rsidRPr="00D67286" w:rsidRDefault="00BD7F88" w:rsidP="00C8604F">
            <w:pPr>
              <w:pStyle w:val="TableText"/>
              <w:rPr>
                <w:b w:val="0"/>
                <w:bCs w:val="0"/>
              </w:rPr>
            </w:pPr>
            <w:r w:rsidRPr="00D67286">
              <w:rPr>
                <w:b w:val="0"/>
                <w:bCs w:val="0"/>
              </w:rPr>
              <w:lastRenderedPageBreak/>
              <w:t>Market approach</w:t>
            </w:r>
          </w:p>
        </w:tc>
        <w:tc>
          <w:tcPr>
            <w:tcW w:w="6095" w:type="dxa"/>
          </w:tcPr>
          <w:p w14:paraId="2CF61499" w14:textId="4D6D52C7" w:rsidR="00BD7F88" w:rsidRPr="00822FA3" w:rsidRDefault="00473191" w:rsidP="00822FA3">
            <w:pPr>
              <w:pStyle w:val="TableBullet"/>
              <w:cnfStyle w:val="000000000000" w:firstRow="0" w:lastRow="0" w:firstColumn="0" w:lastColumn="0" w:oddVBand="0" w:evenVBand="0" w:oddHBand="0" w:evenHBand="0" w:firstRowFirstColumn="0" w:firstRowLastColumn="0" w:lastRowFirstColumn="0" w:lastRowLastColumn="0"/>
            </w:pPr>
            <w:r>
              <w:t>I</w:t>
            </w:r>
            <w:r w:rsidR="00BD7F88" w:rsidRPr="00822FA3">
              <w:t xml:space="preserve">ntroduced </w:t>
            </w:r>
            <w:r w:rsidR="00BD7F88" w:rsidRPr="00822FA3">
              <w:rPr>
                <w:szCs w:val="20"/>
              </w:rPr>
              <w:t>iSupplier</w:t>
            </w:r>
            <w:r w:rsidR="00BD7F88" w:rsidRPr="00822FA3">
              <w:t xml:space="preserve"> capability to give suppliers a ‘self-service’ capability to manage their corporate and invoice management data as part of the </w:t>
            </w:r>
            <w:r w:rsidR="00B23FDA">
              <w:t>purchase-to-pay</w:t>
            </w:r>
            <w:r w:rsidR="00B23FDA" w:rsidRPr="00822FA3">
              <w:t xml:space="preserve"> </w:t>
            </w:r>
            <w:r w:rsidR="00BD7F88" w:rsidRPr="00822FA3">
              <w:t>uplift project.</w:t>
            </w:r>
          </w:p>
        </w:tc>
      </w:tr>
      <w:tr w:rsidR="00BD7F88" w14:paraId="7ED03DB6" w14:textId="77777777" w:rsidTr="00822F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tcPr>
          <w:p w14:paraId="29AC01EC" w14:textId="77777777" w:rsidR="00BD7F88" w:rsidRPr="00D67286" w:rsidRDefault="00BD7F88" w:rsidP="00C8604F">
            <w:pPr>
              <w:pStyle w:val="TableText"/>
              <w:rPr>
                <w:b w:val="0"/>
                <w:bCs w:val="0"/>
              </w:rPr>
            </w:pPr>
            <w:r w:rsidRPr="00D67286">
              <w:rPr>
                <w:b w:val="0"/>
                <w:bCs w:val="0"/>
              </w:rPr>
              <w:t>Contract management and disclosure</w:t>
            </w:r>
          </w:p>
        </w:tc>
        <w:tc>
          <w:tcPr>
            <w:tcW w:w="6095" w:type="dxa"/>
          </w:tcPr>
          <w:p w14:paraId="46D27780" w14:textId="33646CCE" w:rsidR="00BD7F88" w:rsidRPr="00822FA3" w:rsidRDefault="00473191" w:rsidP="00822FA3">
            <w:pPr>
              <w:pStyle w:val="TableBullet"/>
              <w:cnfStyle w:val="000000100000" w:firstRow="0" w:lastRow="0" w:firstColumn="0" w:lastColumn="0" w:oddVBand="0" w:evenVBand="0" w:oddHBand="1" w:evenHBand="0" w:firstRowFirstColumn="0" w:firstRowLastColumn="0" w:lastRowFirstColumn="0" w:lastRowLastColumn="0"/>
            </w:pPr>
            <w:r>
              <w:t>I</w:t>
            </w:r>
            <w:r w:rsidR="00BD7F88" w:rsidRPr="00822FA3">
              <w:t>ntroduced a contract management framework to guide contract managers through the contract management lifecycle.</w:t>
            </w:r>
          </w:p>
          <w:p w14:paraId="133F4F41" w14:textId="6F039606" w:rsidR="00BD7F88" w:rsidRPr="00822FA3" w:rsidRDefault="00473191" w:rsidP="00822FA3">
            <w:pPr>
              <w:pStyle w:val="TableBullet"/>
              <w:cnfStyle w:val="000000100000" w:firstRow="0" w:lastRow="0" w:firstColumn="0" w:lastColumn="0" w:oddVBand="0" w:evenVBand="0" w:oddHBand="1" w:evenHBand="0" w:firstRowFirstColumn="0" w:firstRowLastColumn="0" w:lastRowFirstColumn="0" w:lastRowLastColumn="0"/>
            </w:pPr>
            <w:r>
              <w:t>U</w:t>
            </w:r>
            <w:r w:rsidR="00BD7F88" w:rsidRPr="00822FA3">
              <w:t xml:space="preserve">pgraded </w:t>
            </w:r>
            <w:r w:rsidR="00BD0C9D">
              <w:t>the</w:t>
            </w:r>
            <w:r w:rsidR="00BD0C9D" w:rsidRPr="00822FA3">
              <w:t xml:space="preserve"> </w:t>
            </w:r>
            <w:r w:rsidR="00BD7F88" w:rsidRPr="00822FA3">
              <w:t>contract management system to improve reporting</w:t>
            </w:r>
            <w:r w:rsidR="003378AB">
              <w:t xml:space="preserve"> </w:t>
            </w:r>
            <w:r w:rsidR="006B6CDE">
              <w:t xml:space="preserve">so the Department can </w:t>
            </w:r>
            <w:r w:rsidR="00BD7F88" w:rsidRPr="00822FA3">
              <w:t>identify opportunities for aggregation and enhance</w:t>
            </w:r>
            <w:r w:rsidR="00BD0C9D">
              <w:t xml:space="preserve"> </w:t>
            </w:r>
            <w:r w:rsidR="006B6CDE">
              <w:t>its</w:t>
            </w:r>
            <w:r w:rsidR="00BD7F88" w:rsidRPr="00822FA3">
              <w:t xml:space="preserve"> </w:t>
            </w:r>
            <w:r w:rsidR="006B6CDE">
              <w:t>purchasing</w:t>
            </w:r>
            <w:r w:rsidR="006B6CDE" w:rsidRPr="00822FA3">
              <w:t xml:space="preserve"> </w:t>
            </w:r>
            <w:r w:rsidR="00BD7F88" w:rsidRPr="00822FA3">
              <w:t>power.</w:t>
            </w:r>
          </w:p>
        </w:tc>
      </w:tr>
    </w:tbl>
    <w:p w14:paraId="15DC6BCD" w14:textId="3D1FE464" w:rsidR="00BD7F88" w:rsidRPr="00CD6245" w:rsidRDefault="00BD7F88" w:rsidP="00BD7F88">
      <w:pPr>
        <w:pStyle w:val="Heading3NoNum"/>
      </w:pPr>
      <w:r w:rsidRPr="00CD6245">
        <w:t>Performance</w:t>
      </w:r>
    </w:p>
    <w:p w14:paraId="4420548A" w14:textId="46BBC8C6" w:rsidR="00BD7F88" w:rsidRDefault="00BD7F88" w:rsidP="00BD7F88">
      <w:pPr>
        <w:pStyle w:val="Normal1"/>
      </w:pPr>
      <w:r>
        <w:fldChar w:fldCharType="begin"/>
      </w:r>
      <w:r>
        <w:instrText xml:space="preserve"> REF _Ref489542512 \h </w:instrText>
      </w:r>
      <w:r>
        <w:fldChar w:fldCharType="separate"/>
      </w:r>
      <w:r w:rsidR="00A07703" w:rsidRPr="00CD6245">
        <w:t xml:space="preserve">Table </w:t>
      </w:r>
      <w:r w:rsidR="00A07703">
        <w:rPr>
          <w:noProof/>
        </w:rPr>
        <w:t>33</w:t>
      </w:r>
      <w:r>
        <w:fldChar w:fldCharType="end"/>
      </w:r>
      <w:r w:rsidRPr="00CD6245">
        <w:t xml:space="preserve"> </w:t>
      </w:r>
      <w:r>
        <w:t>sets out DJR’s performance in 2017–18, and a comparison with the two previous years.</w:t>
      </w:r>
    </w:p>
    <w:p w14:paraId="7806BEAB" w14:textId="0C9DD947" w:rsidR="00BD7F88" w:rsidRDefault="00BD7F88" w:rsidP="00BD7F88">
      <w:pPr>
        <w:pStyle w:val="Caption"/>
      </w:pPr>
      <w:bookmarkStart w:id="186" w:name="_Ref489542512"/>
      <w:bookmarkStart w:id="187" w:name="_Toc503949267"/>
      <w:bookmarkStart w:id="188" w:name="_Toc524354026"/>
      <w:r w:rsidRPr="00CD6245">
        <w:t xml:space="preserve">Table </w:t>
      </w:r>
      <w:r>
        <w:rPr>
          <w:noProof/>
        </w:rPr>
        <w:fldChar w:fldCharType="begin"/>
      </w:r>
      <w:r>
        <w:rPr>
          <w:noProof/>
        </w:rPr>
        <w:instrText xml:space="preserve"> SEQ Table \* ARABIC </w:instrText>
      </w:r>
      <w:r>
        <w:rPr>
          <w:noProof/>
        </w:rPr>
        <w:fldChar w:fldCharType="separate"/>
      </w:r>
      <w:r w:rsidR="00A07703">
        <w:rPr>
          <w:noProof/>
        </w:rPr>
        <w:t>33</w:t>
      </w:r>
      <w:r>
        <w:rPr>
          <w:noProof/>
        </w:rPr>
        <w:fldChar w:fldCharType="end"/>
      </w:r>
      <w:bookmarkEnd w:id="186"/>
      <w:r w:rsidRPr="00CD6245">
        <w:t xml:space="preserve">: </w:t>
      </w:r>
      <w:r>
        <w:t>DJR</w:t>
      </w:r>
      <w:r w:rsidR="00381BB6">
        <w:t>’s</w:t>
      </w:r>
      <w:r w:rsidRPr="00CD6245">
        <w:t xml:space="preserve"> performance in </w:t>
      </w:r>
      <w:r>
        <w:t>2017–18</w:t>
      </w:r>
      <w:bookmarkEnd w:id="187"/>
      <w:bookmarkEnd w:id="188"/>
    </w:p>
    <w:tbl>
      <w:tblPr>
        <w:tblStyle w:val="ListTable31"/>
        <w:tblW w:w="8647" w:type="dxa"/>
        <w:tblInd w:w="704" w:type="dxa"/>
        <w:tblLayout w:type="fixed"/>
        <w:tblLook w:val="04A0" w:firstRow="1" w:lastRow="0" w:firstColumn="1" w:lastColumn="0" w:noHBand="0" w:noVBand="1"/>
      </w:tblPr>
      <w:tblGrid>
        <w:gridCol w:w="454"/>
        <w:gridCol w:w="1672"/>
        <w:gridCol w:w="664"/>
        <w:gridCol w:w="708"/>
        <w:gridCol w:w="709"/>
        <w:gridCol w:w="4440"/>
      </w:tblGrid>
      <w:tr w:rsidR="00BD7F88" w14:paraId="2F87B53E" w14:textId="77777777" w:rsidTr="00115146">
        <w:trPr>
          <w:cnfStyle w:val="100000000000" w:firstRow="1" w:lastRow="0" w:firstColumn="0" w:lastColumn="0" w:oddVBand="0" w:evenVBand="0" w:oddHBand="0" w:evenHBand="0" w:firstRowFirstColumn="0" w:firstRowLastColumn="0" w:lastRowFirstColumn="0" w:lastRowLastColumn="0"/>
          <w:trHeight w:val="1661"/>
        </w:trPr>
        <w:tc>
          <w:tcPr>
            <w:cnfStyle w:val="001000000100" w:firstRow="0" w:lastRow="0" w:firstColumn="1" w:lastColumn="0" w:oddVBand="0" w:evenVBand="0" w:oddHBand="0" w:evenHBand="0" w:firstRowFirstColumn="1" w:firstRowLastColumn="0" w:lastRowFirstColumn="0" w:lastRowLastColumn="0"/>
            <w:tcW w:w="2126" w:type="dxa"/>
            <w:gridSpan w:val="2"/>
            <w:vMerge w:val="restart"/>
            <w:vAlign w:val="bottom"/>
          </w:tcPr>
          <w:p w14:paraId="35CDA44D" w14:textId="77777777" w:rsidR="00BD7F88" w:rsidRPr="00D67286" w:rsidRDefault="00BD7F88" w:rsidP="00115146">
            <w:pPr>
              <w:pStyle w:val="TableText"/>
            </w:pPr>
            <w:r w:rsidRPr="00D67286">
              <w:t>Performance measure</w:t>
            </w:r>
          </w:p>
        </w:tc>
        <w:tc>
          <w:tcPr>
            <w:tcW w:w="664" w:type="dxa"/>
            <w:textDirection w:val="btLr"/>
            <w:vAlign w:val="bottom"/>
          </w:tcPr>
          <w:p w14:paraId="2D24F351" w14:textId="5E9A30A7" w:rsidR="00BD7F88" w:rsidRPr="00D67286" w:rsidRDefault="00BD7F88" w:rsidP="00115146">
            <w:pPr>
              <w:pStyle w:val="TableText"/>
              <w:jc w:val="center"/>
              <w:cnfStyle w:val="100000000000" w:firstRow="1" w:lastRow="0" w:firstColumn="0" w:lastColumn="0" w:oddVBand="0" w:evenVBand="0" w:oddHBand="0" w:evenHBand="0" w:firstRowFirstColumn="0" w:firstRowLastColumn="0" w:lastRowFirstColumn="0" w:lastRowLastColumn="0"/>
            </w:pPr>
            <w:r w:rsidRPr="00D67286">
              <w:t>Year 1: 2015–16</w:t>
            </w:r>
          </w:p>
        </w:tc>
        <w:tc>
          <w:tcPr>
            <w:tcW w:w="708" w:type="dxa"/>
            <w:textDirection w:val="btLr"/>
            <w:vAlign w:val="bottom"/>
          </w:tcPr>
          <w:p w14:paraId="7D973FFE" w14:textId="77777777" w:rsidR="00BD7F88" w:rsidRPr="00D67286" w:rsidRDefault="00BD7F88" w:rsidP="00115146">
            <w:pPr>
              <w:pStyle w:val="TableText"/>
              <w:jc w:val="center"/>
              <w:cnfStyle w:val="100000000000" w:firstRow="1" w:lastRow="0" w:firstColumn="0" w:lastColumn="0" w:oddVBand="0" w:evenVBand="0" w:oddHBand="0" w:evenHBand="0" w:firstRowFirstColumn="0" w:firstRowLastColumn="0" w:lastRowFirstColumn="0" w:lastRowLastColumn="0"/>
            </w:pPr>
            <w:r w:rsidRPr="00D67286">
              <w:t>Year 2: 2016–17</w:t>
            </w:r>
          </w:p>
        </w:tc>
        <w:tc>
          <w:tcPr>
            <w:tcW w:w="709" w:type="dxa"/>
            <w:textDirection w:val="btLr"/>
            <w:vAlign w:val="bottom"/>
          </w:tcPr>
          <w:p w14:paraId="2E7EDDBF" w14:textId="77777777" w:rsidR="00BD7F88" w:rsidRPr="00D67286" w:rsidRDefault="00BD7F88" w:rsidP="00115146">
            <w:pPr>
              <w:pStyle w:val="TableText"/>
              <w:jc w:val="center"/>
              <w:cnfStyle w:val="100000000000" w:firstRow="1" w:lastRow="0" w:firstColumn="0" w:lastColumn="0" w:oddVBand="0" w:evenVBand="0" w:oddHBand="0" w:evenHBand="0" w:firstRowFirstColumn="0" w:firstRowLastColumn="0" w:lastRowFirstColumn="0" w:lastRowLastColumn="0"/>
            </w:pPr>
            <w:r w:rsidRPr="00D67286">
              <w:t>Year 3: 2017–18</w:t>
            </w:r>
          </w:p>
        </w:tc>
        <w:tc>
          <w:tcPr>
            <w:tcW w:w="4440" w:type="dxa"/>
            <w:vMerge w:val="restart"/>
            <w:vAlign w:val="bottom"/>
          </w:tcPr>
          <w:p w14:paraId="540DC692" w14:textId="77777777" w:rsidR="00BD7F88" w:rsidRPr="00D67286" w:rsidRDefault="00BD7F88" w:rsidP="00115146">
            <w:pPr>
              <w:pStyle w:val="TableText"/>
              <w:cnfStyle w:val="100000000000" w:firstRow="1" w:lastRow="0" w:firstColumn="0" w:lastColumn="0" w:oddVBand="0" w:evenVBand="0" w:oddHBand="0" w:evenHBand="0" w:firstRowFirstColumn="0" w:firstRowLastColumn="0" w:lastRowFirstColumn="0" w:lastRowLastColumn="0"/>
            </w:pPr>
            <w:r w:rsidRPr="00D67286">
              <w:t>Explanation</w:t>
            </w:r>
          </w:p>
        </w:tc>
      </w:tr>
      <w:tr w:rsidR="00BD7F88" w14:paraId="668E2FC7" w14:textId="77777777" w:rsidTr="00115146">
        <w:trPr>
          <w:cnfStyle w:val="000000100000" w:firstRow="0" w:lastRow="0" w:firstColumn="0" w:lastColumn="0" w:oddVBand="0" w:evenVBand="0" w:oddHBand="1" w:evenHBand="0" w:firstRowFirstColumn="0" w:firstRowLastColumn="0" w:lastRowFirstColumn="0" w:lastRowLastColumn="0"/>
          <w:trHeight w:val="281"/>
        </w:trPr>
        <w:tc>
          <w:tcPr>
            <w:cnfStyle w:val="001000000000" w:firstRow="0" w:lastRow="0" w:firstColumn="1" w:lastColumn="0" w:oddVBand="0" w:evenVBand="0" w:oddHBand="0" w:evenHBand="0" w:firstRowFirstColumn="0" w:firstRowLastColumn="0" w:lastRowFirstColumn="0" w:lastRowLastColumn="0"/>
            <w:tcW w:w="2126" w:type="dxa"/>
            <w:gridSpan w:val="2"/>
            <w:vMerge/>
          </w:tcPr>
          <w:p w14:paraId="0440DC13" w14:textId="77777777" w:rsidR="00BD7F88" w:rsidRPr="00D67286" w:rsidRDefault="00BD7F88" w:rsidP="00C8604F">
            <w:pPr>
              <w:pStyle w:val="TableHeader"/>
              <w:rPr>
                <w:b/>
                <w:bCs w:val="0"/>
              </w:rPr>
            </w:pPr>
          </w:p>
        </w:tc>
        <w:tc>
          <w:tcPr>
            <w:tcW w:w="664" w:type="dxa"/>
            <w:shd w:val="clear" w:color="auto" w:fill="000000" w:themeFill="text1"/>
            <w:vAlign w:val="bottom"/>
          </w:tcPr>
          <w:p w14:paraId="4747827E" w14:textId="77777777" w:rsidR="00BD7F88" w:rsidRPr="00200BCC" w:rsidRDefault="00BD7F88" w:rsidP="00115146">
            <w:pPr>
              <w:pStyle w:val="TableHeader"/>
              <w:jc w:val="right"/>
              <w:cnfStyle w:val="000000100000" w:firstRow="0" w:lastRow="0" w:firstColumn="0" w:lastColumn="0" w:oddVBand="0" w:evenVBand="0" w:oddHBand="1" w:evenHBand="0" w:firstRowFirstColumn="0" w:firstRowLastColumn="0" w:lastRowFirstColumn="0" w:lastRowLastColumn="0"/>
              <w:rPr>
                <w:bCs/>
                <w:color w:val="auto"/>
                <w:sz w:val="20"/>
                <w:szCs w:val="20"/>
              </w:rPr>
            </w:pPr>
            <w:r w:rsidRPr="00200BCC">
              <w:rPr>
                <w:bCs/>
                <w:color w:val="auto"/>
                <w:sz w:val="20"/>
                <w:szCs w:val="20"/>
              </w:rPr>
              <w:t>%</w:t>
            </w:r>
          </w:p>
        </w:tc>
        <w:tc>
          <w:tcPr>
            <w:tcW w:w="708" w:type="dxa"/>
            <w:shd w:val="clear" w:color="auto" w:fill="000000" w:themeFill="text1"/>
            <w:vAlign w:val="bottom"/>
          </w:tcPr>
          <w:p w14:paraId="1D660174" w14:textId="77777777" w:rsidR="00BD7F88" w:rsidRPr="00200BCC" w:rsidRDefault="00BD7F88" w:rsidP="00115146">
            <w:pPr>
              <w:pStyle w:val="TableHeader"/>
              <w:jc w:val="right"/>
              <w:cnfStyle w:val="000000100000" w:firstRow="0" w:lastRow="0" w:firstColumn="0" w:lastColumn="0" w:oddVBand="0" w:evenVBand="0" w:oddHBand="1" w:evenHBand="0" w:firstRowFirstColumn="0" w:firstRowLastColumn="0" w:lastRowFirstColumn="0" w:lastRowLastColumn="0"/>
              <w:rPr>
                <w:bCs/>
                <w:color w:val="auto"/>
                <w:sz w:val="20"/>
                <w:szCs w:val="20"/>
              </w:rPr>
            </w:pPr>
            <w:r w:rsidRPr="00200BCC">
              <w:rPr>
                <w:bCs/>
                <w:color w:val="auto"/>
                <w:sz w:val="20"/>
                <w:szCs w:val="20"/>
              </w:rPr>
              <w:t>%</w:t>
            </w:r>
          </w:p>
        </w:tc>
        <w:tc>
          <w:tcPr>
            <w:tcW w:w="709" w:type="dxa"/>
            <w:shd w:val="clear" w:color="auto" w:fill="000000" w:themeFill="text1"/>
            <w:vAlign w:val="bottom"/>
          </w:tcPr>
          <w:p w14:paraId="6D528545" w14:textId="77777777" w:rsidR="00BD7F88" w:rsidRPr="00200BCC" w:rsidRDefault="00BD7F88" w:rsidP="00115146">
            <w:pPr>
              <w:pStyle w:val="TableHeader"/>
              <w:jc w:val="right"/>
              <w:cnfStyle w:val="000000100000" w:firstRow="0" w:lastRow="0" w:firstColumn="0" w:lastColumn="0" w:oddVBand="0" w:evenVBand="0" w:oddHBand="1" w:evenHBand="0" w:firstRowFirstColumn="0" w:firstRowLastColumn="0" w:lastRowFirstColumn="0" w:lastRowLastColumn="0"/>
              <w:rPr>
                <w:bCs/>
                <w:color w:val="auto"/>
                <w:sz w:val="20"/>
                <w:szCs w:val="20"/>
              </w:rPr>
            </w:pPr>
            <w:r w:rsidRPr="00200BCC">
              <w:rPr>
                <w:bCs/>
                <w:color w:val="auto"/>
                <w:sz w:val="20"/>
                <w:szCs w:val="20"/>
              </w:rPr>
              <w:t>%</w:t>
            </w:r>
          </w:p>
        </w:tc>
        <w:tc>
          <w:tcPr>
            <w:tcW w:w="4440" w:type="dxa"/>
            <w:vMerge/>
          </w:tcPr>
          <w:p w14:paraId="11CFA8DF" w14:textId="77777777" w:rsidR="00BD7F88" w:rsidRPr="00D67286" w:rsidRDefault="00BD7F88" w:rsidP="00C8604F">
            <w:pPr>
              <w:pStyle w:val="TableHeader"/>
              <w:cnfStyle w:val="000000100000" w:firstRow="0" w:lastRow="0" w:firstColumn="0" w:lastColumn="0" w:oddVBand="0" w:evenVBand="0" w:oddHBand="1" w:evenHBand="0" w:firstRowFirstColumn="0" w:firstRowLastColumn="0" w:lastRowFirstColumn="0" w:lastRowLastColumn="0"/>
              <w:rPr>
                <w:sz w:val="20"/>
                <w:szCs w:val="20"/>
              </w:rPr>
            </w:pPr>
          </w:p>
        </w:tc>
      </w:tr>
      <w:tr w:rsidR="00BD7F88" w:rsidRPr="00CD6245" w14:paraId="4732827E" w14:textId="77777777" w:rsidTr="004B1827">
        <w:tc>
          <w:tcPr>
            <w:cnfStyle w:val="001000000000" w:firstRow="0" w:lastRow="0" w:firstColumn="1" w:lastColumn="0" w:oddVBand="0" w:evenVBand="0" w:oddHBand="0" w:evenHBand="0" w:firstRowFirstColumn="0" w:firstRowLastColumn="0" w:lastRowFirstColumn="0" w:lastRowLastColumn="0"/>
            <w:tcW w:w="454" w:type="dxa"/>
          </w:tcPr>
          <w:p w14:paraId="77CBCB0B" w14:textId="77777777" w:rsidR="00BD7F88" w:rsidRPr="00822FA3" w:rsidRDefault="00BD7F88" w:rsidP="00C8604F">
            <w:pPr>
              <w:pStyle w:val="TableText"/>
              <w:rPr>
                <w:b w:val="0"/>
                <w:bCs w:val="0"/>
              </w:rPr>
            </w:pPr>
            <w:r w:rsidRPr="00822FA3">
              <w:t>1</w:t>
            </w:r>
          </w:p>
        </w:tc>
        <w:tc>
          <w:tcPr>
            <w:tcW w:w="1672" w:type="dxa"/>
          </w:tcPr>
          <w:p w14:paraId="60395875" w14:textId="77777777" w:rsidR="00BD7F88" w:rsidRPr="00726E77" w:rsidRDefault="00BD7F88" w:rsidP="00C8604F">
            <w:pPr>
              <w:pStyle w:val="TableText"/>
              <w:cnfStyle w:val="000000000000" w:firstRow="0" w:lastRow="0" w:firstColumn="0" w:lastColumn="0" w:oddVBand="0" w:evenVBand="0" w:oddHBand="0" w:evenHBand="0" w:firstRowFirstColumn="0" w:firstRowLastColumn="0" w:lastRowFirstColumn="0" w:lastRowLastColumn="0"/>
            </w:pPr>
            <w:r w:rsidRPr="00726E77">
              <w:t xml:space="preserve">Value created </w:t>
            </w:r>
          </w:p>
        </w:tc>
        <w:tc>
          <w:tcPr>
            <w:tcW w:w="664" w:type="dxa"/>
          </w:tcPr>
          <w:p w14:paraId="13037D43" w14:textId="77777777" w:rsidR="00BD7F88" w:rsidRDefault="00BD7F88" w:rsidP="00C8604F">
            <w:pPr>
              <w:pStyle w:val="TableText"/>
              <w:cnfStyle w:val="000000000000" w:firstRow="0" w:lastRow="0" w:firstColumn="0" w:lastColumn="0" w:oddVBand="0" w:evenVBand="0" w:oddHBand="0" w:evenHBand="0" w:firstRowFirstColumn="0" w:firstRowLastColumn="0" w:lastRowFirstColumn="0" w:lastRowLastColumn="0"/>
            </w:pPr>
            <w:r>
              <w:t>0.04</w:t>
            </w:r>
          </w:p>
        </w:tc>
        <w:tc>
          <w:tcPr>
            <w:tcW w:w="708" w:type="dxa"/>
          </w:tcPr>
          <w:p w14:paraId="07E93761" w14:textId="77777777" w:rsidR="00BD7F88" w:rsidRDefault="00BD7F88" w:rsidP="00C8604F">
            <w:pPr>
              <w:pStyle w:val="TableText"/>
              <w:cnfStyle w:val="000000000000" w:firstRow="0" w:lastRow="0" w:firstColumn="0" w:lastColumn="0" w:oddVBand="0" w:evenVBand="0" w:oddHBand="0" w:evenHBand="0" w:firstRowFirstColumn="0" w:firstRowLastColumn="0" w:lastRowFirstColumn="0" w:lastRowLastColumn="0"/>
            </w:pPr>
            <w:r>
              <w:t>0.4</w:t>
            </w:r>
          </w:p>
        </w:tc>
        <w:tc>
          <w:tcPr>
            <w:tcW w:w="709" w:type="dxa"/>
          </w:tcPr>
          <w:p w14:paraId="18FE3505" w14:textId="77777777" w:rsidR="00BD7F88" w:rsidRPr="00CD6245" w:rsidRDefault="00BD7F88" w:rsidP="00C8604F">
            <w:pPr>
              <w:pStyle w:val="TableText"/>
              <w:cnfStyle w:val="000000000000" w:firstRow="0" w:lastRow="0" w:firstColumn="0" w:lastColumn="0" w:oddVBand="0" w:evenVBand="0" w:oddHBand="0" w:evenHBand="0" w:firstRowFirstColumn="0" w:firstRowLastColumn="0" w:lastRowFirstColumn="0" w:lastRowLastColumn="0"/>
            </w:pPr>
            <w:r>
              <w:t>0.4</w:t>
            </w:r>
          </w:p>
        </w:tc>
        <w:tc>
          <w:tcPr>
            <w:tcW w:w="4440" w:type="dxa"/>
          </w:tcPr>
          <w:p w14:paraId="6B44BDCE" w14:textId="139A2C13" w:rsidR="00BD7F88" w:rsidRPr="00CD6245" w:rsidRDefault="00BD7F88" w:rsidP="00C8604F">
            <w:pPr>
              <w:pStyle w:val="TableText"/>
              <w:cnfStyle w:val="000000000000" w:firstRow="0" w:lastRow="0" w:firstColumn="0" w:lastColumn="0" w:oddVBand="0" w:evenVBand="0" w:oddHBand="0" w:evenHBand="0" w:firstRowFirstColumn="0" w:firstRowLastColumn="0" w:lastRowFirstColumn="0" w:lastRowLastColumn="0"/>
            </w:pPr>
            <w:r>
              <w:t>V</w:t>
            </w:r>
            <w:r w:rsidRPr="005C5EC8">
              <w:t xml:space="preserve">alue created has remained relatively steady. </w:t>
            </w:r>
            <w:r w:rsidR="00C86798">
              <w:t>DJR</w:t>
            </w:r>
            <w:r w:rsidR="00C86798" w:rsidRPr="005C5EC8">
              <w:t xml:space="preserve"> </w:t>
            </w:r>
            <w:r w:rsidRPr="005C5EC8">
              <w:t>anticipate</w:t>
            </w:r>
            <w:r w:rsidR="00C86798">
              <w:t>s</w:t>
            </w:r>
            <w:r w:rsidRPr="005C5EC8">
              <w:t xml:space="preserve"> over the coming year </w:t>
            </w:r>
            <w:r>
              <w:t xml:space="preserve">that </w:t>
            </w:r>
            <w:r w:rsidR="00092526">
              <w:t>the</w:t>
            </w:r>
            <w:r>
              <w:t xml:space="preserve"> new </w:t>
            </w:r>
            <w:r w:rsidRPr="005C5EC8">
              <w:t xml:space="preserve">benefits realisation framework will </w:t>
            </w:r>
            <w:r>
              <w:t xml:space="preserve">help </w:t>
            </w:r>
            <w:r w:rsidRPr="005C5EC8">
              <w:t>reflect actual benefits derived from procurement in the next reporting period.</w:t>
            </w:r>
          </w:p>
        </w:tc>
      </w:tr>
      <w:tr w:rsidR="00BD7F88" w:rsidRPr="00CD6245" w14:paraId="309D3012" w14:textId="77777777" w:rsidTr="004B18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4" w:type="dxa"/>
          </w:tcPr>
          <w:p w14:paraId="77C502F2" w14:textId="77777777" w:rsidR="00BD7F88" w:rsidRPr="00822FA3" w:rsidRDefault="00BD7F88" w:rsidP="00C8604F">
            <w:pPr>
              <w:pStyle w:val="TableText"/>
              <w:rPr>
                <w:b w:val="0"/>
                <w:bCs w:val="0"/>
              </w:rPr>
            </w:pPr>
            <w:r w:rsidRPr="00822FA3">
              <w:t>2</w:t>
            </w:r>
          </w:p>
        </w:tc>
        <w:tc>
          <w:tcPr>
            <w:tcW w:w="1672" w:type="dxa"/>
          </w:tcPr>
          <w:p w14:paraId="5C0F02B0" w14:textId="704D11F3" w:rsidR="00BD7F88" w:rsidRPr="00726E77" w:rsidRDefault="00BD7F88" w:rsidP="00C8604F">
            <w:pPr>
              <w:pStyle w:val="TableText"/>
              <w:cnfStyle w:val="000000100000" w:firstRow="0" w:lastRow="0" w:firstColumn="0" w:lastColumn="0" w:oddVBand="0" w:evenVBand="0" w:oddHBand="1" w:evenHBand="0" w:firstRowFirstColumn="0" w:firstRowLastColumn="0" w:lastRowFirstColumn="0" w:lastRowLastColumn="0"/>
            </w:pPr>
            <w:r w:rsidRPr="00726E77">
              <w:t>Proportion of P-Card</w:t>
            </w:r>
            <w:r w:rsidR="00D11C9B">
              <w:t xml:space="preserve"> (or equivalent)</w:t>
            </w:r>
            <w:r w:rsidRPr="00726E77">
              <w:t xml:space="preserve"> transactions</w:t>
            </w:r>
          </w:p>
        </w:tc>
        <w:tc>
          <w:tcPr>
            <w:tcW w:w="664" w:type="dxa"/>
          </w:tcPr>
          <w:p w14:paraId="46E6EEAE" w14:textId="77777777" w:rsidR="00BD7F88" w:rsidRDefault="00BD7F88" w:rsidP="00C8604F">
            <w:pPr>
              <w:pStyle w:val="TableText"/>
              <w:cnfStyle w:val="000000100000" w:firstRow="0" w:lastRow="0" w:firstColumn="0" w:lastColumn="0" w:oddVBand="0" w:evenVBand="0" w:oddHBand="1" w:evenHBand="0" w:firstRowFirstColumn="0" w:firstRowLastColumn="0" w:lastRowFirstColumn="0" w:lastRowLastColumn="0"/>
            </w:pPr>
            <w:r>
              <w:t>19.0</w:t>
            </w:r>
          </w:p>
        </w:tc>
        <w:tc>
          <w:tcPr>
            <w:tcW w:w="708" w:type="dxa"/>
          </w:tcPr>
          <w:p w14:paraId="245F73C3" w14:textId="77777777" w:rsidR="00BD7F88" w:rsidRDefault="00BD7F88" w:rsidP="00C8604F">
            <w:pPr>
              <w:pStyle w:val="TableText"/>
              <w:cnfStyle w:val="000000100000" w:firstRow="0" w:lastRow="0" w:firstColumn="0" w:lastColumn="0" w:oddVBand="0" w:evenVBand="0" w:oddHBand="1" w:evenHBand="0" w:firstRowFirstColumn="0" w:firstRowLastColumn="0" w:lastRowFirstColumn="0" w:lastRowLastColumn="0"/>
            </w:pPr>
            <w:r>
              <w:t>10.4</w:t>
            </w:r>
          </w:p>
        </w:tc>
        <w:tc>
          <w:tcPr>
            <w:tcW w:w="709" w:type="dxa"/>
          </w:tcPr>
          <w:p w14:paraId="7CE8BE8D" w14:textId="77777777" w:rsidR="00BD7F88" w:rsidRPr="00CD6245" w:rsidRDefault="00BD7F88" w:rsidP="00C8604F">
            <w:pPr>
              <w:pStyle w:val="TableText"/>
              <w:cnfStyle w:val="000000100000" w:firstRow="0" w:lastRow="0" w:firstColumn="0" w:lastColumn="0" w:oddVBand="0" w:evenVBand="0" w:oddHBand="1" w:evenHBand="0" w:firstRowFirstColumn="0" w:firstRowLastColumn="0" w:lastRowFirstColumn="0" w:lastRowLastColumn="0"/>
            </w:pPr>
            <w:r>
              <w:t>12.7</w:t>
            </w:r>
          </w:p>
        </w:tc>
        <w:tc>
          <w:tcPr>
            <w:tcW w:w="4440" w:type="dxa"/>
          </w:tcPr>
          <w:p w14:paraId="07E328B4" w14:textId="1DC4F007" w:rsidR="00BD7F88" w:rsidRPr="00CD6245" w:rsidRDefault="00BD7F88" w:rsidP="00C8604F">
            <w:pPr>
              <w:pStyle w:val="TableText"/>
              <w:cnfStyle w:val="000000100000" w:firstRow="0" w:lastRow="0" w:firstColumn="0" w:lastColumn="0" w:oddVBand="0" w:evenVBand="0" w:oddHBand="1" w:evenHBand="0" w:firstRowFirstColumn="0" w:firstRowLastColumn="0" w:lastRowFirstColumn="0" w:lastRowLastColumn="0"/>
            </w:pPr>
            <w:r>
              <w:t xml:space="preserve">Slight </w:t>
            </w:r>
            <w:r w:rsidRPr="00D67286">
              <w:t xml:space="preserve">increase this financial year. </w:t>
            </w:r>
            <w:r w:rsidR="00C86798">
              <w:t>DJR</w:t>
            </w:r>
            <w:r w:rsidRPr="00D67286">
              <w:t xml:space="preserve"> </w:t>
            </w:r>
            <w:r>
              <w:t>had</w:t>
            </w:r>
            <w:r w:rsidRPr="00D67286">
              <w:t xml:space="preserve"> a 22</w:t>
            </w:r>
            <w:r w:rsidR="00427183">
              <w:t> </w:t>
            </w:r>
            <w:r>
              <w:t>per</w:t>
            </w:r>
            <w:r w:rsidR="00427183">
              <w:t> </w:t>
            </w:r>
            <w:r>
              <w:t>cent</w:t>
            </w:r>
            <w:r w:rsidRPr="00D67286">
              <w:t xml:space="preserve"> increase in the value of spend below $2</w:t>
            </w:r>
            <w:r>
              <w:t> </w:t>
            </w:r>
            <w:r w:rsidRPr="00D67286">
              <w:t>000 and 5.5</w:t>
            </w:r>
            <w:r>
              <w:t xml:space="preserve"> per cent</w:t>
            </w:r>
            <w:r w:rsidRPr="00D67286">
              <w:t xml:space="preserve"> increase in overall spend on P-Cards.</w:t>
            </w:r>
          </w:p>
        </w:tc>
      </w:tr>
      <w:tr w:rsidR="00BD7F88" w:rsidRPr="00CD6245" w14:paraId="133ACA8B" w14:textId="77777777" w:rsidTr="004B1827">
        <w:tc>
          <w:tcPr>
            <w:cnfStyle w:val="001000000000" w:firstRow="0" w:lastRow="0" w:firstColumn="1" w:lastColumn="0" w:oddVBand="0" w:evenVBand="0" w:oddHBand="0" w:evenHBand="0" w:firstRowFirstColumn="0" w:firstRowLastColumn="0" w:lastRowFirstColumn="0" w:lastRowLastColumn="0"/>
            <w:tcW w:w="454" w:type="dxa"/>
          </w:tcPr>
          <w:p w14:paraId="194A029A" w14:textId="77777777" w:rsidR="00BD7F88" w:rsidRPr="00822FA3" w:rsidRDefault="00BD7F88" w:rsidP="00C8604F">
            <w:pPr>
              <w:pStyle w:val="TableText"/>
              <w:rPr>
                <w:b w:val="0"/>
                <w:bCs w:val="0"/>
              </w:rPr>
            </w:pPr>
            <w:r w:rsidRPr="00822FA3">
              <w:t>3</w:t>
            </w:r>
          </w:p>
        </w:tc>
        <w:tc>
          <w:tcPr>
            <w:tcW w:w="1672" w:type="dxa"/>
          </w:tcPr>
          <w:p w14:paraId="47527C2D" w14:textId="77777777" w:rsidR="00BD7F88" w:rsidRPr="00726E77" w:rsidRDefault="00BD7F88" w:rsidP="00C8604F">
            <w:pPr>
              <w:pStyle w:val="TableText"/>
              <w:cnfStyle w:val="000000000000" w:firstRow="0" w:lastRow="0" w:firstColumn="0" w:lastColumn="0" w:oddVBand="0" w:evenVBand="0" w:oddHBand="0" w:evenHBand="0" w:firstRowFirstColumn="0" w:firstRowLastColumn="0" w:lastRowFirstColumn="0" w:lastRowLastColumn="0"/>
            </w:pPr>
            <w:r w:rsidRPr="00726E77">
              <w:t>Increase in procurement capability</w:t>
            </w:r>
          </w:p>
        </w:tc>
        <w:tc>
          <w:tcPr>
            <w:tcW w:w="664" w:type="dxa"/>
          </w:tcPr>
          <w:p w14:paraId="4272A6F6" w14:textId="77777777" w:rsidR="00BD7F88" w:rsidRDefault="00BD7F88" w:rsidP="00C8604F">
            <w:pPr>
              <w:pStyle w:val="TableText"/>
              <w:cnfStyle w:val="000000000000" w:firstRow="0" w:lastRow="0" w:firstColumn="0" w:lastColumn="0" w:oddVBand="0" w:evenVBand="0" w:oddHBand="0" w:evenHBand="0" w:firstRowFirstColumn="0" w:firstRowLastColumn="0" w:lastRowFirstColumn="0" w:lastRowLastColumn="0"/>
            </w:pPr>
            <w:r>
              <w:t>..</w:t>
            </w:r>
          </w:p>
        </w:tc>
        <w:tc>
          <w:tcPr>
            <w:tcW w:w="708" w:type="dxa"/>
          </w:tcPr>
          <w:p w14:paraId="437BF253" w14:textId="77777777" w:rsidR="00BD7F88" w:rsidRDefault="00BD7F88" w:rsidP="00C8604F">
            <w:pPr>
              <w:pStyle w:val="TableText"/>
              <w:cnfStyle w:val="000000000000" w:firstRow="0" w:lastRow="0" w:firstColumn="0" w:lastColumn="0" w:oddVBand="0" w:evenVBand="0" w:oddHBand="0" w:evenHBand="0" w:firstRowFirstColumn="0" w:firstRowLastColumn="0" w:lastRowFirstColumn="0" w:lastRowLastColumn="0"/>
            </w:pPr>
            <w:r>
              <w:t>..</w:t>
            </w:r>
          </w:p>
        </w:tc>
        <w:tc>
          <w:tcPr>
            <w:tcW w:w="709" w:type="dxa"/>
          </w:tcPr>
          <w:p w14:paraId="050C3485" w14:textId="49783EA8" w:rsidR="00BD7F88" w:rsidRPr="00CD6245" w:rsidRDefault="001C3A21" w:rsidP="00C8604F">
            <w:pPr>
              <w:pStyle w:val="TableText"/>
              <w:cnfStyle w:val="000000000000" w:firstRow="0" w:lastRow="0" w:firstColumn="0" w:lastColumn="0" w:oddVBand="0" w:evenVBand="0" w:oddHBand="0" w:evenHBand="0" w:firstRowFirstColumn="0" w:firstRowLastColumn="0" w:lastRowFirstColumn="0" w:lastRowLastColumn="0"/>
            </w:pPr>
            <w:r>
              <w:t>−</w:t>
            </w:r>
            <w:r w:rsidR="00BD7F88">
              <w:t>3.3</w:t>
            </w:r>
          </w:p>
        </w:tc>
        <w:tc>
          <w:tcPr>
            <w:tcW w:w="4440" w:type="dxa"/>
          </w:tcPr>
          <w:p w14:paraId="4047880A" w14:textId="2739029A" w:rsidR="00BD7F88" w:rsidRPr="00CD6245" w:rsidRDefault="00C86798" w:rsidP="00C8604F">
            <w:pPr>
              <w:pStyle w:val="TableText"/>
              <w:cnfStyle w:val="000000000000" w:firstRow="0" w:lastRow="0" w:firstColumn="0" w:lastColumn="0" w:oddVBand="0" w:evenVBand="0" w:oddHBand="0" w:evenHBand="0" w:firstRowFirstColumn="0" w:firstRowLastColumn="0" w:lastRowFirstColumn="0" w:lastRowLastColumn="0"/>
            </w:pPr>
            <w:r>
              <w:t xml:space="preserve">DJR has </w:t>
            </w:r>
            <w:r w:rsidR="00BD7F88">
              <w:t>several</w:t>
            </w:r>
            <w:r w:rsidR="00BD7F88" w:rsidRPr="007227AE">
              <w:t xml:space="preserve"> initiatives in place to improve procurement capability, with sourcing and procurement technology being a focus area.</w:t>
            </w:r>
          </w:p>
        </w:tc>
      </w:tr>
      <w:tr w:rsidR="00BD7F88" w:rsidRPr="00CD6245" w14:paraId="275F1F07" w14:textId="77777777" w:rsidTr="004B18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4" w:type="dxa"/>
          </w:tcPr>
          <w:p w14:paraId="5178E0FB" w14:textId="77777777" w:rsidR="00BD7F88" w:rsidRPr="00822FA3" w:rsidRDefault="00BD7F88" w:rsidP="00C8604F">
            <w:pPr>
              <w:pStyle w:val="TableText"/>
              <w:rPr>
                <w:b w:val="0"/>
                <w:bCs w:val="0"/>
              </w:rPr>
            </w:pPr>
            <w:r w:rsidRPr="00822FA3">
              <w:t>4</w:t>
            </w:r>
          </w:p>
        </w:tc>
        <w:tc>
          <w:tcPr>
            <w:tcW w:w="1672" w:type="dxa"/>
          </w:tcPr>
          <w:p w14:paraId="255BD6A6" w14:textId="77777777" w:rsidR="00BD7F88" w:rsidRPr="00726E77" w:rsidRDefault="00BD7F88" w:rsidP="00C8604F">
            <w:pPr>
              <w:pStyle w:val="TableText"/>
              <w:cnfStyle w:val="000000100000" w:firstRow="0" w:lastRow="0" w:firstColumn="0" w:lastColumn="0" w:oddVBand="0" w:evenVBand="0" w:oddHBand="1" w:evenHBand="0" w:firstRowFirstColumn="0" w:firstRowLastColumn="0" w:lastRowFirstColumn="0" w:lastRowLastColumn="0"/>
            </w:pPr>
            <w:r w:rsidRPr="00726E77">
              <w:t>Cost of procurement resources</w:t>
            </w:r>
          </w:p>
        </w:tc>
        <w:tc>
          <w:tcPr>
            <w:tcW w:w="664" w:type="dxa"/>
          </w:tcPr>
          <w:p w14:paraId="4F46737F" w14:textId="77777777" w:rsidR="00BD7F88" w:rsidRDefault="00BD7F88" w:rsidP="00C8604F">
            <w:pPr>
              <w:pStyle w:val="TableText"/>
              <w:cnfStyle w:val="000000100000" w:firstRow="0" w:lastRow="0" w:firstColumn="0" w:lastColumn="0" w:oddVBand="0" w:evenVBand="0" w:oddHBand="1" w:evenHBand="0" w:firstRowFirstColumn="0" w:firstRowLastColumn="0" w:lastRowFirstColumn="0" w:lastRowLastColumn="0"/>
            </w:pPr>
            <w:r>
              <w:t>3.6</w:t>
            </w:r>
          </w:p>
        </w:tc>
        <w:tc>
          <w:tcPr>
            <w:tcW w:w="708" w:type="dxa"/>
          </w:tcPr>
          <w:p w14:paraId="5CC9BD21" w14:textId="77777777" w:rsidR="00BD7F88" w:rsidRDefault="00BD7F88" w:rsidP="00C8604F">
            <w:pPr>
              <w:pStyle w:val="TableText"/>
              <w:cnfStyle w:val="000000100000" w:firstRow="0" w:lastRow="0" w:firstColumn="0" w:lastColumn="0" w:oddVBand="0" w:evenVBand="0" w:oddHBand="1" w:evenHBand="0" w:firstRowFirstColumn="0" w:firstRowLastColumn="0" w:lastRowFirstColumn="0" w:lastRowLastColumn="0"/>
            </w:pPr>
            <w:r>
              <w:t>3.8</w:t>
            </w:r>
          </w:p>
        </w:tc>
        <w:tc>
          <w:tcPr>
            <w:tcW w:w="709" w:type="dxa"/>
          </w:tcPr>
          <w:p w14:paraId="42698DB4" w14:textId="77777777" w:rsidR="00BD7F88" w:rsidRPr="00CD6245" w:rsidRDefault="00BD7F88" w:rsidP="00C8604F">
            <w:pPr>
              <w:pStyle w:val="TableText"/>
              <w:cnfStyle w:val="000000100000" w:firstRow="0" w:lastRow="0" w:firstColumn="0" w:lastColumn="0" w:oddVBand="0" w:evenVBand="0" w:oddHBand="1" w:evenHBand="0" w:firstRowFirstColumn="0" w:firstRowLastColumn="0" w:lastRowFirstColumn="0" w:lastRowLastColumn="0"/>
            </w:pPr>
            <w:r>
              <w:t>7.0</w:t>
            </w:r>
          </w:p>
        </w:tc>
        <w:tc>
          <w:tcPr>
            <w:tcW w:w="4440" w:type="dxa"/>
          </w:tcPr>
          <w:p w14:paraId="666E0FC0" w14:textId="5BCAD45F" w:rsidR="00BD7F88" w:rsidRPr="00CD6245" w:rsidRDefault="008A45E3" w:rsidP="00C8604F">
            <w:pPr>
              <w:pStyle w:val="TableText"/>
              <w:cnfStyle w:val="000000100000" w:firstRow="0" w:lastRow="0" w:firstColumn="0" w:lastColumn="0" w:oddVBand="0" w:evenVBand="0" w:oddHBand="1" w:evenHBand="0" w:firstRowFirstColumn="0" w:firstRowLastColumn="0" w:lastRowFirstColumn="0" w:lastRowLastColumn="0"/>
            </w:pPr>
            <w:r w:rsidRPr="00235F70">
              <w:t>This result is attributed to an increase in the number of staff conducting procurement-related activities in 2017–18</w:t>
            </w:r>
            <w:r w:rsidR="0070033A">
              <w:t>,</w:t>
            </w:r>
            <w:r w:rsidRPr="00235F70">
              <w:t xml:space="preserve"> and </w:t>
            </w:r>
            <w:r w:rsidR="0070033A">
              <w:t xml:space="preserve">a </w:t>
            </w:r>
            <w:r w:rsidRPr="00235F70">
              <w:t xml:space="preserve">decrease in DJR’s overall annual contract spend. This result was led by a recent review of procurement which allowed </w:t>
            </w:r>
            <w:r w:rsidR="000D5E4B">
              <w:t>DJR</w:t>
            </w:r>
            <w:r w:rsidRPr="00235F70">
              <w:t xml:space="preserve"> to better identify and capture staff involved in procurement, leading to an increase in this performance measure</w:t>
            </w:r>
            <w:r w:rsidR="00BD7F88" w:rsidRPr="00235F70">
              <w:t>.</w:t>
            </w:r>
          </w:p>
        </w:tc>
      </w:tr>
      <w:tr w:rsidR="006B0393" w:rsidRPr="00CD6245" w14:paraId="646DB95E" w14:textId="77777777" w:rsidTr="004B1827">
        <w:tc>
          <w:tcPr>
            <w:cnfStyle w:val="001000000000" w:firstRow="0" w:lastRow="0" w:firstColumn="1" w:lastColumn="0" w:oddVBand="0" w:evenVBand="0" w:oddHBand="0" w:evenHBand="0" w:firstRowFirstColumn="0" w:firstRowLastColumn="0" w:lastRowFirstColumn="0" w:lastRowLastColumn="0"/>
            <w:tcW w:w="454" w:type="dxa"/>
            <w:vMerge w:val="restart"/>
          </w:tcPr>
          <w:p w14:paraId="61463471" w14:textId="3A2CA403" w:rsidR="006B0393" w:rsidRPr="00822FA3" w:rsidRDefault="006B0393" w:rsidP="006B0393">
            <w:pPr>
              <w:pStyle w:val="TableText"/>
            </w:pPr>
            <w:r w:rsidRPr="00822FA3">
              <w:t>5</w:t>
            </w:r>
          </w:p>
        </w:tc>
        <w:tc>
          <w:tcPr>
            <w:tcW w:w="1672" w:type="dxa"/>
          </w:tcPr>
          <w:p w14:paraId="5D56BBE0" w14:textId="107455E9" w:rsidR="006B0393" w:rsidRPr="00726E77" w:rsidRDefault="006B0393" w:rsidP="006B0393">
            <w:pPr>
              <w:pStyle w:val="TableText"/>
              <w:cnfStyle w:val="000000000000" w:firstRow="0" w:lastRow="0" w:firstColumn="0" w:lastColumn="0" w:oddVBand="0" w:evenVBand="0" w:oddHBand="0" w:evenHBand="0" w:firstRowFirstColumn="0" w:firstRowLastColumn="0" w:lastRowFirstColumn="0" w:lastRowLastColumn="0"/>
            </w:pPr>
            <w:r w:rsidRPr="000451B5">
              <w:t xml:space="preserve">Successful </w:t>
            </w:r>
            <w:r>
              <w:t>s</w:t>
            </w:r>
            <w:r w:rsidRPr="008F30C8">
              <w:t>upplie</w:t>
            </w:r>
            <w:r>
              <w:t xml:space="preserve">r </w:t>
            </w:r>
            <w:r w:rsidRPr="000451B5">
              <w:t>satisfied</w:t>
            </w:r>
          </w:p>
        </w:tc>
        <w:tc>
          <w:tcPr>
            <w:tcW w:w="664" w:type="dxa"/>
          </w:tcPr>
          <w:p w14:paraId="63725EA2" w14:textId="65BDC20F" w:rsidR="006B0393" w:rsidRDefault="006B0393" w:rsidP="006B0393">
            <w:pPr>
              <w:pStyle w:val="TableText"/>
              <w:cnfStyle w:val="000000000000" w:firstRow="0" w:lastRow="0" w:firstColumn="0" w:lastColumn="0" w:oddVBand="0" w:evenVBand="0" w:oddHBand="0" w:evenHBand="0" w:firstRowFirstColumn="0" w:firstRowLastColumn="0" w:lastRowFirstColumn="0" w:lastRowLastColumn="0"/>
            </w:pPr>
            <w:r>
              <w:t>65</w:t>
            </w:r>
          </w:p>
        </w:tc>
        <w:tc>
          <w:tcPr>
            <w:tcW w:w="708" w:type="dxa"/>
          </w:tcPr>
          <w:p w14:paraId="35A55A06" w14:textId="2DE1B393" w:rsidR="006B0393" w:rsidRDefault="006B0393" w:rsidP="006B0393">
            <w:pPr>
              <w:pStyle w:val="TableText"/>
              <w:cnfStyle w:val="000000000000" w:firstRow="0" w:lastRow="0" w:firstColumn="0" w:lastColumn="0" w:oddVBand="0" w:evenVBand="0" w:oddHBand="0" w:evenHBand="0" w:firstRowFirstColumn="0" w:firstRowLastColumn="0" w:lastRowFirstColumn="0" w:lastRowLastColumn="0"/>
            </w:pPr>
            <w:r>
              <w:t>70</w:t>
            </w:r>
          </w:p>
        </w:tc>
        <w:tc>
          <w:tcPr>
            <w:tcW w:w="709" w:type="dxa"/>
          </w:tcPr>
          <w:p w14:paraId="237B649C" w14:textId="54A790AF" w:rsidR="006B0393" w:rsidRDefault="006B0393" w:rsidP="006B0393">
            <w:pPr>
              <w:pStyle w:val="TableText"/>
              <w:cnfStyle w:val="000000000000" w:firstRow="0" w:lastRow="0" w:firstColumn="0" w:lastColumn="0" w:oddVBand="0" w:evenVBand="0" w:oddHBand="0" w:evenHBand="0" w:firstRowFirstColumn="0" w:firstRowLastColumn="0" w:lastRowFirstColumn="0" w:lastRowLastColumn="0"/>
            </w:pPr>
            <w:r>
              <w:t>73</w:t>
            </w:r>
          </w:p>
        </w:tc>
        <w:tc>
          <w:tcPr>
            <w:tcW w:w="4440" w:type="dxa"/>
            <w:vMerge w:val="restart"/>
          </w:tcPr>
          <w:p w14:paraId="4FCF72A3" w14:textId="73F73AF6" w:rsidR="006B0393" w:rsidRDefault="006B0393" w:rsidP="006B0393">
            <w:pPr>
              <w:pStyle w:val="Default"/>
              <w:spacing w:after="8"/>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While there was a decrease in the overall satisfaction of unsuccessful suppliers, the size of the sample group and response rate was too small to compare results to the previous year. DJR expects the new e-sourcing tool to improve supplier satisfaction with all aspects of the source-to-contract process.</w:t>
            </w:r>
          </w:p>
        </w:tc>
      </w:tr>
      <w:tr w:rsidR="006B0393" w:rsidRPr="00CD6245" w14:paraId="427D4F20" w14:textId="77777777" w:rsidTr="004B18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4" w:type="dxa"/>
            <w:vMerge/>
          </w:tcPr>
          <w:p w14:paraId="43A16298" w14:textId="77777777" w:rsidR="006B0393" w:rsidRPr="00822FA3" w:rsidRDefault="006B0393" w:rsidP="006B0393">
            <w:pPr>
              <w:pStyle w:val="TableText"/>
            </w:pPr>
          </w:p>
        </w:tc>
        <w:tc>
          <w:tcPr>
            <w:tcW w:w="1672" w:type="dxa"/>
          </w:tcPr>
          <w:p w14:paraId="21502EEC" w14:textId="463A1650" w:rsidR="006B0393" w:rsidRPr="00726E77" w:rsidRDefault="006B0393" w:rsidP="006B0393">
            <w:pPr>
              <w:pStyle w:val="TableText"/>
              <w:cnfStyle w:val="000000100000" w:firstRow="0" w:lastRow="0" w:firstColumn="0" w:lastColumn="0" w:oddVBand="0" w:evenVBand="0" w:oddHBand="1" w:evenHBand="0" w:firstRowFirstColumn="0" w:firstRowLastColumn="0" w:lastRowFirstColumn="0" w:lastRowLastColumn="0"/>
            </w:pPr>
            <w:r w:rsidRPr="000451B5">
              <w:t xml:space="preserve">Unsuccessful </w:t>
            </w:r>
            <w:r>
              <w:t>s</w:t>
            </w:r>
            <w:r w:rsidRPr="008F30C8">
              <w:t>upplie</w:t>
            </w:r>
            <w:r>
              <w:t xml:space="preserve">r </w:t>
            </w:r>
            <w:r w:rsidRPr="000451B5">
              <w:t>satisfied</w:t>
            </w:r>
          </w:p>
        </w:tc>
        <w:tc>
          <w:tcPr>
            <w:tcW w:w="664" w:type="dxa"/>
          </w:tcPr>
          <w:p w14:paraId="1C24D513" w14:textId="676719B2" w:rsidR="006B0393" w:rsidRDefault="006B0393" w:rsidP="006B0393">
            <w:pPr>
              <w:pStyle w:val="TableText"/>
              <w:cnfStyle w:val="000000100000" w:firstRow="0" w:lastRow="0" w:firstColumn="0" w:lastColumn="0" w:oddVBand="0" w:evenVBand="0" w:oddHBand="1" w:evenHBand="0" w:firstRowFirstColumn="0" w:firstRowLastColumn="0" w:lastRowFirstColumn="0" w:lastRowLastColumn="0"/>
            </w:pPr>
            <w:r>
              <w:t>36</w:t>
            </w:r>
          </w:p>
        </w:tc>
        <w:tc>
          <w:tcPr>
            <w:tcW w:w="708" w:type="dxa"/>
          </w:tcPr>
          <w:p w14:paraId="4C0EFC5D" w14:textId="4F92DE50" w:rsidR="006B0393" w:rsidRDefault="006B0393" w:rsidP="006B0393">
            <w:pPr>
              <w:pStyle w:val="TableText"/>
              <w:cnfStyle w:val="000000100000" w:firstRow="0" w:lastRow="0" w:firstColumn="0" w:lastColumn="0" w:oddVBand="0" w:evenVBand="0" w:oddHBand="1" w:evenHBand="0" w:firstRowFirstColumn="0" w:firstRowLastColumn="0" w:lastRowFirstColumn="0" w:lastRowLastColumn="0"/>
            </w:pPr>
            <w:r>
              <w:t>50</w:t>
            </w:r>
          </w:p>
        </w:tc>
        <w:tc>
          <w:tcPr>
            <w:tcW w:w="709" w:type="dxa"/>
          </w:tcPr>
          <w:p w14:paraId="75F45A0B" w14:textId="61AA6F0F" w:rsidR="006B0393" w:rsidRDefault="006B0393" w:rsidP="006B0393">
            <w:pPr>
              <w:pStyle w:val="TableText"/>
              <w:cnfStyle w:val="000000100000" w:firstRow="0" w:lastRow="0" w:firstColumn="0" w:lastColumn="0" w:oddVBand="0" w:evenVBand="0" w:oddHBand="1" w:evenHBand="0" w:firstRowFirstColumn="0" w:firstRowLastColumn="0" w:lastRowFirstColumn="0" w:lastRowLastColumn="0"/>
            </w:pPr>
            <w:r>
              <w:t>40</w:t>
            </w:r>
          </w:p>
        </w:tc>
        <w:tc>
          <w:tcPr>
            <w:tcW w:w="4440" w:type="dxa"/>
            <w:vMerge/>
          </w:tcPr>
          <w:p w14:paraId="3A2F452B" w14:textId="77777777" w:rsidR="006B0393" w:rsidRDefault="006B0393" w:rsidP="006B0393">
            <w:pPr>
              <w:pStyle w:val="Default"/>
              <w:spacing w:after="8"/>
              <w:cnfStyle w:val="000000100000" w:firstRow="0" w:lastRow="0" w:firstColumn="0" w:lastColumn="0" w:oddVBand="0" w:evenVBand="0" w:oddHBand="1" w:evenHBand="0" w:firstRowFirstColumn="0" w:firstRowLastColumn="0" w:lastRowFirstColumn="0" w:lastRowLastColumn="0"/>
              <w:rPr>
                <w:sz w:val="20"/>
                <w:szCs w:val="20"/>
              </w:rPr>
            </w:pPr>
          </w:p>
        </w:tc>
      </w:tr>
      <w:tr w:rsidR="00BD7F88" w:rsidRPr="00CD6245" w14:paraId="028D99B6" w14:textId="77777777" w:rsidTr="004B1827">
        <w:trPr>
          <w:trHeight w:val="283"/>
        </w:trPr>
        <w:tc>
          <w:tcPr>
            <w:cnfStyle w:val="001000000000" w:firstRow="0" w:lastRow="0" w:firstColumn="1" w:lastColumn="0" w:oddVBand="0" w:evenVBand="0" w:oddHBand="0" w:evenHBand="0" w:firstRowFirstColumn="0" w:firstRowLastColumn="0" w:lastRowFirstColumn="0" w:lastRowLastColumn="0"/>
            <w:tcW w:w="454" w:type="dxa"/>
          </w:tcPr>
          <w:p w14:paraId="778D3007" w14:textId="77777777" w:rsidR="00BD7F88" w:rsidRPr="00822FA3" w:rsidRDefault="00BD7F88" w:rsidP="00C8604F">
            <w:pPr>
              <w:pStyle w:val="TableText"/>
              <w:rPr>
                <w:b w:val="0"/>
                <w:bCs w:val="0"/>
              </w:rPr>
            </w:pPr>
            <w:r w:rsidRPr="00822FA3">
              <w:t>6</w:t>
            </w:r>
          </w:p>
        </w:tc>
        <w:tc>
          <w:tcPr>
            <w:tcW w:w="1672" w:type="dxa"/>
          </w:tcPr>
          <w:p w14:paraId="7E787EB1" w14:textId="77777777" w:rsidR="00BD7F88" w:rsidRPr="00726E77" w:rsidRDefault="00BD7F88" w:rsidP="00C8604F">
            <w:pPr>
              <w:pStyle w:val="TableText"/>
              <w:cnfStyle w:val="000000000000" w:firstRow="0" w:lastRow="0" w:firstColumn="0" w:lastColumn="0" w:oddVBand="0" w:evenVBand="0" w:oddHBand="0" w:evenHBand="0" w:firstRowFirstColumn="0" w:firstRowLastColumn="0" w:lastRowFirstColumn="0" w:lastRowLastColumn="0"/>
            </w:pPr>
            <w:r w:rsidRPr="00726E77">
              <w:t>Planned procurement activity</w:t>
            </w:r>
          </w:p>
        </w:tc>
        <w:tc>
          <w:tcPr>
            <w:tcW w:w="664" w:type="dxa"/>
          </w:tcPr>
          <w:p w14:paraId="6FA14828" w14:textId="77777777" w:rsidR="00BD7F88" w:rsidRDefault="00BD7F88" w:rsidP="00C8604F">
            <w:pPr>
              <w:pStyle w:val="TableText"/>
              <w:cnfStyle w:val="000000000000" w:firstRow="0" w:lastRow="0" w:firstColumn="0" w:lastColumn="0" w:oddVBand="0" w:evenVBand="0" w:oddHBand="0" w:evenHBand="0" w:firstRowFirstColumn="0" w:firstRowLastColumn="0" w:lastRowFirstColumn="0" w:lastRowLastColumn="0"/>
            </w:pPr>
            <w:r>
              <w:t>21</w:t>
            </w:r>
          </w:p>
        </w:tc>
        <w:tc>
          <w:tcPr>
            <w:tcW w:w="708" w:type="dxa"/>
          </w:tcPr>
          <w:p w14:paraId="195A0A1D" w14:textId="77777777" w:rsidR="00BD7F88" w:rsidRDefault="00BD7F88" w:rsidP="00C8604F">
            <w:pPr>
              <w:pStyle w:val="TableText"/>
              <w:cnfStyle w:val="000000000000" w:firstRow="0" w:lastRow="0" w:firstColumn="0" w:lastColumn="0" w:oddVBand="0" w:evenVBand="0" w:oddHBand="0" w:evenHBand="0" w:firstRowFirstColumn="0" w:firstRowLastColumn="0" w:lastRowFirstColumn="0" w:lastRowLastColumn="0"/>
            </w:pPr>
            <w:r>
              <w:t>10.6</w:t>
            </w:r>
          </w:p>
        </w:tc>
        <w:tc>
          <w:tcPr>
            <w:tcW w:w="709" w:type="dxa"/>
          </w:tcPr>
          <w:p w14:paraId="2E42BD73" w14:textId="77777777" w:rsidR="00BD7F88" w:rsidRPr="00CD6245" w:rsidRDefault="00BD7F88" w:rsidP="00C8604F">
            <w:pPr>
              <w:pStyle w:val="TableText"/>
              <w:cnfStyle w:val="000000000000" w:firstRow="0" w:lastRow="0" w:firstColumn="0" w:lastColumn="0" w:oddVBand="0" w:evenVBand="0" w:oddHBand="0" w:evenHBand="0" w:firstRowFirstColumn="0" w:firstRowLastColumn="0" w:lastRowFirstColumn="0" w:lastRowLastColumn="0"/>
            </w:pPr>
            <w:r>
              <w:t>22.0</w:t>
            </w:r>
          </w:p>
        </w:tc>
        <w:tc>
          <w:tcPr>
            <w:tcW w:w="4440" w:type="dxa"/>
          </w:tcPr>
          <w:p w14:paraId="516AA01F" w14:textId="3B915412" w:rsidR="00BD7F88" w:rsidRPr="00CD6245" w:rsidRDefault="00BD7F88" w:rsidP="00C8604F">
            <w:pPr>
              <w:pStyle w:val="TableText"/>
              <w:cnfStyle w:val="000000000000" w:firstRow="0" w:lastRow="0" w:firstColumn="0" w:lastColumn="0" w:oddVBand="0" w:evenVBand="0" w:oddHBand="0" w:evenHBand="0" w:firstRowFirstColumn="0" w:firstRowLastColumn="0" w:lastRowFirstColumn="0" w:lastRowLastColumn="0"/>
            </w:pPr>
            <w:r w:rsidRPr="00796A15">
              <w:t>Overall</w:t>
            </w:r>
            <w:r>
              <w:t>,</w:t>
            </w:r>
            <w:r w:rsidRPr="00796A15">
              <w:t xml:space="preserve"> planning has improved with more than 20</w:t>
            </w:r>
            <w:r w:rsidR="002B2C83">
              <w:t> </w:t>
            </w:r>
            <w:r w:rsidRPr="00796A15">
              <w:t>per cent of procurements greater than $100</w:t>
            </w:r>
            <w:r>
              <w:t> </w:t>
            </w:r>
            <w:r w:rsidRPr="00796A15">
              <w:t xml:space="preserve">000 being captured on the </w:t>
            </w:r>
            <w:r w:rsidR="00137613">
              <w:t>p</w:t>
            </w:r>
            <w:r w:rsidRPr="00796A15">
              <w:t xml:space="preserve">rocurement </w:t>
            </w:r>
            <w:r w:rsidR="00137613">
              <w:t>a</w:t>
            </w:r>
            <w:r w:rsidRPr="00796A15">
              <w:t xml:space="preserve">ctivity </w:t>
            </w:r>
            <w:r w:rsidR="00137613">
              <w:t>p</w:t>
            </w:r>
            <w:r>
              <w:t>lan</w:t>
            </w:r>
            <w:r w:rsidRPr="00796A15">
              <w:t xml:space="preserve">. </w:t>
            </w:r>
            <w:r w:rsidR="00C86798">
              <w:t>DJR</w:t>
            </w:r>
            <w:r w:rsidRPr="00796A15">
              <w:t xml:space="preserve"> expect</w:t>
            </w:r>
            <w:r w:rsidR="00C86798">
              <w:t>s</w:t>
            </w:r>
            <w:r>
              <w:t xml:space="preserve"> </w:t>
            </w:r>
            <w:r w:rsidRPr="00796A15">
              <w:t>improvements to increase with the adoption</w:t>
            </w:r>
            <w:r>
              <w:t xml:space="preserve"> </w:t>
            </w:r>
            <w:r w:rsidRPr="00796A15">
              <w:t xml:space="preserve">of </w:t>
            </w:r>
            <w:r w:rsidR="00BD0C9D">
              <w:t>its</w:t>
            </w:r>
            <w:r>
              <w:t xml:space="preserve"> </w:t>
            </w:r>
            <w:r w:rsidRPr="00796A15">
              <w:t>source</w:t>
            </w:r>
            <w:r>
              <w:t>-</w:t>
            </w:r>
            <w:r w:rsidRPr="00796A15">
              <w:t>to</w:t>
            </w:r>
            <w:r>
              <w:t>-</w:t>
            </w:r>
            <w:r w:rsidRPr="00796A15">
              <w:t>contract tool.</w:t>
            </w:r>
          </w:p>
        </w:tc>
      </w:tr>
    </w:tbl>
    <w:p w14:paraId="5F09B4D4" w14:textId="77777777" w:rsidR="00BD7F88" w:rsidRPr="00053802" w:rsidRDefault="00BD7F88" w:rsidP="00BD7F88"/>
    <w:p w14:paraId="334B448D" w14:textId="77777777" w:rsidR="002A7E78" w:rsidRDefault="002A7E78" w:rsidP="002A7E78">
      <w:pPr>
        <w:pStyle w:val="Heading3NoNum"/>
      </w:pPr>
      <w:r>
        <w:lastRenderedPageBreak/>
        <w:t>Activities planned for 2018–19</w:t>
      </w:r>
    </w:p>
    <w:p w14:paraId="6991A638" w14:textId="77777777" w:rsidR="002A7E78" w:rsidRPr="00656E6D" w:rsidRDefault="002A7E78" w:rsidP="002A7E78">
      <w:pPr>
        <w:pStyle w:val="Normal1"/>
        <w:rPr>
          <w:lang w:eastAsia="en-US"/>
        </w:rPr>
      </w:pPr>
      <w:r>
        <w:rPr>
          <w:lang w:eastAsia="en-US"/>
        </w:rPr>
        <w:t>In 2018–19, DJR will:</w:t>
      </w:r>
    </w:p>
    <w:p w14:paraId="13A299BF" w14:textId="77777777" w:rsidR="002A7E78" w:rsidRDefault="002A7E78" w:rsidP="002A7E78">
      <w:pPr>
        <w:pStyle w:val="Bullet1"/>
        <w:rPr>
          <w:lang w:eastAsia="en-US"/>
        </w:rPr>
      </w:pPr>
      <w:r>
        <w:rPr>
          <w:lang w:eastAsia="en-US"/>
        </w:rPr>
        <w:t>upgrade and introduce new procurement technology, including a supplier portal, mobile purchasing applications and an electronic sourcing tool;</w:t>
      </w:r>
    </w:p>
    <w:p w14:paraId="5FF10156" w14:textId="77777777" w:rsidR="002A7E78" w:rsidRDefault="002A7E78" w:rsidP="002A7E78">
      <w:pPr>
        <w:pStyle w:val="Bullet1"/>
        <w:rPr>
          <w:lang w:eastAsia="en-US"/>
        </w:rPr>
      </w:pPr>
      <w:r>
        <w:rPr>
          <w:lang w:eastAsia="en-US"/>
        </w:rPr>
        <w:t>establish a supplier relationship framework to leverage key suppliers, manage risk, improve performance and consolidate suppliers;</w:t>
      </w:r>
    </w:p>
    <w:p w14:paraId="3BCD2EFD" w14:textId="77777777" w:rsidR="002A7E78" w:rsidRDefault="002A7E78" w:rsidP="002A7E78">
      <w:pPr>
        <w:pStyle w:val="Bullet1"/>
        <w:rPr>
          <w:lang w:eastAsia="en-US"/>
        </w:rPr>
      </w:pPr>
      <w:r>
        <w:rPr>
          <w:lang w:eastAsia="en-US"/>
        </w:rPr>
        <w:t>introduce a category management framework and further eCatalogues to optimise spend across DJR in each category of goods and services;</w:t>
      </w:r>
    </w:p>
    <w:p w14:paraId="49906538" w14:textId="77777777" w:rsidR="002A7E78" w:rsidRDefault="002A7E78" w:rsidP="002A7E78">
      <w:pPr>
        <w:pStyle w:val="Bullet1"/>
        <w:rPr>
          <w:lang w:eastAsia="en-US"/>
        </w:rPr>
      </w:pPr>
      <w:r>
        <w:rPr>
          <w:lang w:eastAsia="en-US"/>
        </w:rPr>
        <w:t>introduce a social procurement strategy and embed Victoria’s Social Procurement Framework to maximise the social value created by DJR’s spending;</w:t>
      </w:r>
    </w:p>
    <w:p w14:paraId="4387EFDB" w14:textId="77777777" w:rsidR="002A7E78" w:rsidRPr="0038456D" w:rsidRDefault="002A7E78" w:rsidP="002A7E78">
      <w:pPr>
        <w:pStyle w:val="Bullet1"/>
        <w:rPr>
          <w:lang w:eastAsia="en-US"/>
        </w:rPr>
      </w:pPr>
      <w:r>
        <w:rPr>
          <w:lang w:eastAsia="en-US"/>
        </w:rPr>
        <w:t>improve</w:t>
      </w:r>
      <w:r w:rsidRPr="0038456D">
        <w:rPr>
          <w:lang w:eastAsia="en-US"/>
        </w:rPr>
        <w:t xml:space="preserve"> measurement and reporting to identify improvement opportunities and confirm using diverse suppliers, including local businesses and Koori suppliers; and</w:t>
      </w:r>
    </w:p>
    <w:p w14:paraId="51098E95" w14:textId="77777777" w:rsidR="002A7E78" w:rsidRPr="00656E6D" w:rsidRDefault="002A7E78" w:rsidP="002A7E78">
      <w:pPr>
        <w:pStyle w:val="Bullet1"/>
        <w:rPr>
          <w:lang w:eastAsia="en-US"/>
        </w:rPr>
      </w:pPr>
      <w:r>
        <w:rPr>
          <w:lang w:eastAsia="en-US"/>
        </w:rPr>
        <w:t>work to attract and retain highly capable staff to deliver benefits to DJR and the community through improved procurement.</w:t>
      </w:r>
    </w:p>
    <w:p w14:paraId="126B0242" w14:textId="77777777" w:rsidR="00BD7F88" w:rsidRDefault="00BD7F88" w:rsidP="00BD7F88"/>
    <w:p w14:paraId="3E98A9B7" w14:textId="77777777" w:rsidR="00BD7F88" w:rsidRPr="00BD7F88" w:rsidRDefault="00BD7F88" w:rsidP="00BD7F88">
      <w:pPr>
        <w:rPr>
          <w:lang w:eastAsia="en-US"/>
        </w:rPr>
      </w:pPr>
    </w:p>
    <w:p w14:paraId="103FF100" w14:textId="77777777" w:rsidR="000D687E" w:rsidRDefault="000D687E">
      <w:pPr>
        <w:rPr>
          <w:rFonts w:ascii="Calibri" w:hAnsi="Calibri" w:cs="Calibri"/>
          <w:color w:val="4D4D4D"/>
          <w:kern w:val="28"/>
          <w:sz w:val="30"/>
          <w:szCs w:val="22"/>
          <w:lang w:eastAsia="en-US"/>
        </w:rPr>
      </w:pPr>
      <w:bookmarkStart w:id="189" w:name="_Toc366693341"/>
      <w:r>
        <w:br w:type="page"/>
      </w:r>
    </w:p>
    <w:p w14:paraId="64892D46" w14:textId="000D365D" w:rsidR="00442D45" w:rsidRDefault="00442D45" w:rsidP="008C072C">
      <w:pPr>
        <w:pStyle w:val="Heading2NoNum"/>
      </w:pPr>
      <w:bookmarkStart w:id="190" w:name="_Toc524354086"/>
      <w:bookmarkEnd w:id="182"/>
      <w:r w:rsidRPr="00CD6245">
        <w:lastRenderedPageBreak/>
        <w:t>Department of Premier and Cabinet</w:t>
      </w:r>
      <w:bookmarkEnd w:id="190"/>
    </w:p>
    <w:p w14:paraId="129AAD0B" w14:textId="436C0696" w:rsidR="000D687E" w:rsidRDefault="000D687E" w:rsidP="000D687E">
      <w:pPr>
        <w:pStyle w:val="Normal1"/>
      </w:pPr>
      <w:r w:rsidRPr="005647F2">
        <w:t>The Department of Premier and Cabinet (DPC) leads the Victorian public service, advising government on emerging policy issues and reviewing the impact of government decisions</w:t>
      </w:r>
      <w:r>
        <w:t>. DPC</w:t>
      </w:r>
      <w:r w:rsidRPr="00D150DD">
        <w:t xml:space="preserve"> work</w:t>
      </w:r>
      <w:r>
        <w:t>s</w:t>
      </w:r>
      <w:r w:rsidRPr="00D150DD">
        <w:t xml:space="preserve"> for the people of Victoria by helping the government achieve its strategic objective</w:t>
      </w:r>
      <w:r>
        <w:t>s. DPC manages the issues that affect the government as a whole and promote</w:t>
      </w:r>
      <w:r w:rsidR="003F0957">
        <w:t>s</w:t>
      </w:r>
      <w:r>
        <w:t xml:space="preserve"> Victoria’s interests nationally and internationally.</w:t>
      </w:r>
    </w:p>
    <w:p w14:paraId="52ED2D4D" w14:textId="3A56D026" w:rsidR="000D687E" w:rsidRDefault="003F0957" w:rsidP="000D687E">
      <w:pPr>
        <w:pStyle w:val="Heading3NoNum"/>
      </w:pPr>
      <w:r>
        <w:rPr>
          <w:noProof/>
          <w:lang w:val="en-US"/>
        </w:rPr>
        <mc:AlternateContent>
          <mc:Choice Requires="wps">
            <w:drawing>
              <wp:anchor distT="0" distB="0" distL="114300" distR="114300" simplePos="0" relativeHeight="251658752" behindDoc="0" locked="0" layoutInCell="1" allowOverlap="1" wp14:anchorId="5420DEF7" wp14:editId="2F7C022B">
                <wp:simplePos x="0" y="0"/>
                <wp:positionH relativeFrom="margin">
                  <wp:align>right</wp:align>
                </wp:positionH>
                <wp:positionV relativeFrom="margin">
                  <wp:posOffset>1280160</wp:posOffset>
                </wp:positionV>
                <wp:extent cx="2040890" cy="1409700"/>
                <wp:effectExtent l="0" t="0" r="16510" b="19050"/>
                <wp:wrapSquare wrapText="bothSides"/>
                <wp:docPr id="54" name="Text Box 54"/>
                <wp:cNvGraphicFramePr/>
                <a:graphic xmlns:a="http://schemas.openxmlformats.org/drawingml/2006/main">
                  <a:graphicData uri="http://schemas.microsoft.com/office/word/2010/wordprocessingShape">
                    <wps:wsp>
                      <wps:cNvSpPr txBox="1"/>
                      <wps:spPr>
                        <a:xfrm>
                          <a:off x="0" y="0"/>
                          <a:ext cx="2040890" cy="1409700"/>
                        </a:xfrm>
                        <a:prstGeom prst="rect">
                          <a:avLst/>
                        </a:prstGeom>
                        <a:solidFill>
                          <a:schemeClr val="lt1"/>
                        </a:solidFill>
                        <a:ln w="6350">
                          <a:solidFill>
                            <a:prstClr val="black"/>
                          </a:solidFill>
                        </a:ln>
                      </wps:spPr>
                      <wps:txbx>
                        <w:txbxContent>
                          <w:p w14:paraId="7EBA676C" w14:textId="77777777" w:rsidR="001206E5" w:rsidRPr="000D687E" w:rsidRDefault="001206E5" w:rsidP="000D687E">
                            <w:pPr>
                              <w:rPr>
                                <w:rFonts w:asciiTheme="majorHAnsi" w:hAnsiTheme="majorHAnsi" w:cstheme="majorHAnsi"/>
                                <w:b/>
                                <w:sz w:val="20"/>
                                <w:szCs w:val="20"/>
                              </w:rPr>
                            </w:pPr>
                            <w:r w:rsidRPr="000D687E">
                              <w:rPr>
                                <w:rFonts w:asciiTheme="majorHAnsi" w:hAnsiTheme="majorHAnsi" w:cstheme="majorHAnsi"/>
                                <w:b/>
                                <w:sz w:val="20"/>
                                <w:szCs w:val="20"/>
                              </w:rPr>
                              <w:t xml:space="preserve">AO: </w:t>
                            </w:r>
                            <w:r w:rsidRPr="000D687E">
                              <w:rPr>
                                <w:rFonts w:asciiTheme="majorHAnsi" w:hAnsiTheme="majorHAnsi" w:cstheme="majorHAnsi"/>
                                <w:sz w:val="20"/>
                                <w:szCs w:val="20"/>
                              </w:rPr>
                              <w:t xml:space="preserve">Chris Eccles, Secretary </w:t>
                            </w:r>
                          </w:p>
                          <w:p w14:paraId="501E9044" w14:textId="77777777" w:rsidR="001206E5" w:rsidRPr="000D687E" w:rsidRDefault="001206E5" w:rsidP="000D687E">
                            <w:pPr>
                              <w:rPr>
                                <w:rFonts w:asciiTheme="majorHAnsi" w:hAnsiTheme="majorHAnsi" w:cstheme="majorHAnsi"/>
                                <w:sz w:val="20"/>
                                <w:szCs w:val="20"/>
                              </w:rPr>
                            </w:pPr>
                            <w:r w:rsidRPr="000D687E">
                              <w:rPr>
                                <w:rFonts w:asciiTheme="majorHAnsi" w:hAnsiTheme="majorHAnsi" w:cstheme="majorHAnsi"/>
                                <w:b/>
                                <w:sz w:val="20"/>
                                <w:szCs w:val="20"/>
                              </w:rPr>
                              <w:t>CPO</w:t>
                            </w:r>
                            <w:r w:rsidRPr="000D687E">
                              <w:rPr>
                                <w:rFonts w:asciiTheme="majorHAnsi" w:hAnsiTheme="majorHAnsi" w:cstheme="majorHAnsi"/>
                                <w:sz w:val="20"/>
                                <w:szCs w:val="20"/>
                              </w:rPr>
                              <w:t xml:space="preserve">: Kylie Callander, CPO, Procurement Branch, Corporate Services </w:t>
                            </w:r>
                          </w:p>
                          <w:p w14:paraId="3F91560C" w14:textId="77777777" w:rsidR="001206E5" w:rsidRPr="000D687E" w:rsidRDefault="001206E5" w:rsidP="000D687E">
                            <w:pPr>
                              <w:rPr>
                                <w:rFonts w:asciiTheme="majorHAnsi" w:hAnsiTheme="majorHAnsi" w:cstheme="majorHAnsi"/>
                                <w:sz w:val="20"/>
                                <w:szCs w:val="20"/>
                              </w:rPr>
                            </w:pPr>
                            <w:r w:rsidRPr="000D687E">
                              <w:rPr>
                                <w:rFonts w:asciiTheme="majorHAnsi" w:hAnsiTheme="majorHAnsi" w:cstheme="majorHAnsi"/>
                                <w:b/>
                                <w:sz w:val="20"/>
                                <w:szCs w:val="20"/>
                              </w:rPr>
                              <w:t>IPU Chair</w:t>
                            </w:r>
                            <w:r w:rsidRPr="000D687E">
                              <w:rPr>
                                <w:rFonts w:asciiTheme="majorHAnsi" w:hAnsiTheme="majorHAnsi" w:cstheme="majorHAnsi"/>
                                <w:sz w:val="20"/>
                                <w:szCs w:val="20"/>
                              </w:rPr>
                              <w:t>: Susan Middleditch, Executive Director, Corporate Services, Governance, Policy and Coordination</w:t>
                            </w:r>
                          </w:p>
                          <w:p w14:paraId="459EDFED" w14:textId="77777777" w:rsidR="001206E5" w:rsidRDefault="001206E5" w:rsidP="000D687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20DEF7" id="Text Box 54" o:spid="_x0000_s1081" type="#_x0000_t202" style="position:absolute;left:0;text-align:left;margin-left:109.5pt;margin-top:100.8pt;width:160.7pt;height:111pt;z-index:251658752;visibility:visible;mso-wrap-style:square;mso-width-percent:0;mso-height-percent:0;mso-wrap-distance-left:9pt;mso-wrap-distance-top:0;mso-wrap-distance-right:9pt;mso-wrap-distance-bottom:0;mso-position-horizontal:righ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" fillcolor="white [3201]" strokeweight=".5pt">
                <v:textbox>
                  <w:txbxContent>
                    <w:p w14:paraId="7EBA676C" w14:textId="77777777" w:rsidR="001206E5" w:rsidRPr="000D687E" w:rsidRDefault="001206E5" w:rsidP="000D687E">
                      <w:pPr>
                        <w:rPr>
                          <w:rFonts w:asciiTheme="majorHAnsi" w:hAnsiTheme="majorHAnsi" w:cstheme="majorHAnsi"/>
                          <w:b/>
                          <w:sz w:val="20"/>
                          <w:szCs w:val="20"/>
                        </w:rPr>
                      </w:pPr>
                      <w:r w:rsidRPr="000D687E">
                        <w:rPr>
                          <w:rFonts w:asciiTheme="majorHAnsi" w:hAnsiTheme="majorHAnsi" w:cstheme="majorHAnsi"/>
                          <w:b/>
                          <w:sz w:val="20"/>
                          <w:szCs w:val="20"/>
                        </w:rPr>
                        <w:t xml:space="preserve">AO: </w:t>
                      </w:r>
                      <w:r w:rsidRPr="000D687E">
                        <w:rPr>
                          <w:rFonts w:asciiTheme="majorHAnsi" w:hAnsiTheme="majorHAnsi" w:cstheme="majorHAnsi"/>
                          <w:sz w:val="20"/>
                          <w:szCs w:val="20"/>
                        </w:rPr>
                        <w:t xml:space="preserve">Chris Eccles, Secretary </w:t>
                      </w:r>
                    </w:p>
                    <w:p w14:paraId="501E9044" w14:textId="77777777" w:rsidR="001206E5" w:rsidRPr="000D687E" w:rsidRDefault="001206E5" w:rsidP="000D687E">
                      <w:pPr>
                        <w:rPr>
                          <w:rFonts w:asciiTheme="majorHAnsi" w:hAnsiTheme="majorHAnsi" w:cstheme="majorHAnsi"/>
                          <w:sz w:val="20"/>
                          <w:szCs w:val="20"/>
                        </w:rPr>
                      </w:pPr>
                      <w:r w:rsidRPr="000D687E">
                        <w:rPr>
                          <w:rFonts w:asciiTheme="majorHAnsi" w:hAnsiTheme="majorHAnsi" w:cstheme="majorHAnsi"/>
                          <w:b/>
                          <w:sz w:val="20"/>
                          <w:szCs w:val="20"/>
                        </w:rPr>
                        <w:t>CPO</w:t>
                      </w:r>
                      <w:r w:rsidRPr="000D687E">
                        <w:rPr>
                          <w:rFonts w:asciiTheme="majorHAnsi" w:hAnsiTheme="majorHAnsi" w:cstheme="majorHAnsi"/>
                          <w:sz w:val="20"/>
                          <w:szCs w:val="20"/>
                        </w:rPr>
                        <w:t xml:space="preserve">: Kylie Callander, CPO, Procurement Branch, Corporate Services </w:t>
                      </w:r>
                    </w:p>
                    <w:p w14:paraId="3F91560C" w14:textId="77777777" w:rsidR="001206E5" w:rsidRPr="000D687E" w:rsidRDefault="001206E5" w:rsidP="000D687E">
                      <w:pPr>
                        <w:rPr>
                          <w:rFonts w:asciiTheme="majorHAnsi" w:hAnsiTheme="majorHAnsi" w:cstheme="majorHAnsi"/>
                          <w:sz w:val="20"/>
                          <w:szCs w:val="20"/>
                        </w:rPr>
                      </w:pPr>
                      <w:r w:rsidRPr="000D687E">
                        <w:rPr>
                          <w:rFonts w:asciiTheme="majorHAnsi" w:hAnsiTheme="majorHAnsi" w:cstheme="majorHAnsi"/>
                          <w:b/>
                          <w:sz w:val="20"/>
                          <w:szCs w:val="20"/>
                        </w:rPr>
                        <w:t>IPU Chair</w:t>
                      </w:r>
                      <w:r w:rsidRPr="000D687E">
                        <w:rPr>
                          <w:rFonts w:asciiTheme="majorHAnsi" w:hAnsiTheme="majorHAnsi" w:cstheme="majorHAnsi"/>
                          <w:sz w:val="20"/>
                          <w:szCs w:val="20"/>
                        </w:rPr>
                        <w:t>: Susan Middleditch, Executive Director, Corporate Services, Governance, Policy and Coordination</w:t>
                      </w:r>
                    </w:p>
                    <w:p w14:paraId="459EDFED" w14:textId="77777777" w:rsidR="001206E5" w:rsidRDefault="001206E5" w:rsidP="000D687E"/>
                  </w:txbxContent>
                </v:textbox>
                <w10:wrap type="square" anchorx="margin" anchory="margin"/>
              </v:shape>
            </w:pict>
          </mc:Fallback>
        </mc:AlternateContent>
      </w:r>
      <w:r w:rsidR="000D687E">
        <w:t>Procurement profile</w:t>
      </w:r>
    </w:p>
    <w:p w14:paraId="6FEFD20D" w14:textId="3A00CB95" w:rsidR="000D687E" w:rsidRPr="00B737E5" w:rsidRDefault="000D687E" w:rsidP="000D687E">
      <w:pPr>
        <w:pStyle w:val="Normal1"/>
      </w:pPr>
      <w:r w:rsidRPr="00B737E5">
        <w:t xml:space="preserve">The Corporate Procurement Team supports DPC and portfolio agencies through a </w:t>
      </w:r>
      <w:r>
        <w:t>centre-led system of procurement</w:t>
      </w:r>
      <w:r w:rsidR="003F0957">
        <w:t xml:space="preserve">. It </w:t>
      </w:r>
      <w:r w:rsidRPr="00B737E5">
        <w:t>provides a range of specialised services including procurement policy, process and best practice advice, capability uplift and market engagement advice</w:t>
      </w:r>
      <w:r>
        <w:t xml:space="preserve"> to the </w:t>
      </w:r>
      <w:r w:rsidR="0072562D">
        <w:t>D</w:t>
      </w:r>
      <w:r>
        <w:t>epartment</w:t>
      </w:r>
      <w:r w:rsidRPr="00B737E5">
        <w:t>.</w:t>
      </w:r>
      <w:r w:rsidRPr="00150CE2">
        <w:t xml:space="preserve"> </w:t>
      </w:r>
      <w:r>
        <w:t>This year</w:t>
      </w:r>
      <w:r w:rsidR="003F0957">
        <w:t xml:space="preserve">, DPC </w:t>
      </w:r>
      <w:r>
        <w:t>implemented</w:t>
      </w:r>
      <w:r w:rsidR="008A45E3">
        <w:t xml:space="preserve"> </w:t>
      </w:r>
      <w:r w:rsidR="008A45E3" w:rsidRPr="0038456D">
        <w:t>its own</w:t>
      </w:r>
      <w:r>
        <w:t xml:space="preserve"> Procurement Reform Strategy 2018–19 to address governance, service delivery, capability and technology improvements.</w:t>
      </w:r>
    </w:p>
    <w:p w14:paraId="5E5A349B" w14:textId="57EC356C" w:rsidR="000D687E" w:rsidRDefault="00427183" w:rsidP="000D687E">
      <w:pPr>
        <w:pStyle w:val="Normal1"/>
      </w:pPr>
      <w:r>
        <w:t>DPC</w:t>
      </w:r>
      <w:r w:rsidR="000D687E" w:rsidRPr="00C26FEB">
        <w:t xml:space="preserve"> predominantly procure</w:t>
      </w:r>
      <w:r>
        <w:t>s</w:t>
      </w:r>
      <w:r w:rsidR="000D687E" w:rsidRPr="00C26FEB">
        <w:t xml:space="preserve"> services</w:t>
      </w:r>
      <w:r w:rsidR="000D687E">
        <w:t xml:space="preserve"> related to:</w:t>
      </w:r>
    </w:p>
    <w:p w14:paraId="45A11020" w14:textId="77777777" w:rsidR="000D687E" w:rsidRPr="00B737E5" w:rsidRDefault="000D687E" w:rsidP="0038456D">
      <w:pPr>
        <w:pStyle w:val="Bullet1"/>
      </w:pPr>
      <w:r w:rsidRPr="00B737E5">
        <w:t>professional advisory</w:t>
      </w:r>
      <w:r>
        <w:t>;</w:t>
      </w:r>
    </w:p>
    <w:p w14:paraId="4EF47217" w14:textId="77777777" w:rsidR="000D687E" w:rsidRPr="00B737E5" w:rsidRDefault="000D687E" w:rsidP="0038456D">
      <w:pPr>
        <w:pStyle w:val="Bullet1"/>
      </w:pPr>
      <w:r w:rsidRPr="00B737E5">
        <w:t>marketing</w:t>
      </w:r>
      <w:r>
        <w:t>;</w:t>
      </w:r>
    </w:p>
    <w:p w14:paraId="12C9CDBA" w14:textId="77777777" w:rsidR="000D687E" w:rsidRPr="00B737E5" w:rsidRDefault="000D687E" w:rsidP="0038456D">
      <w:pPr>
        <w:pStyle w:val="Bullet1"/>
      </w:pPr>
      <w:r w:rsidRPr="00B737E5">
        <w:t>social research</w:t>
      </w:r>
      <w:r>
        <w:t>;</w:t>
      </w:r>
      <w:r w:rsidRPr="00B737E5">
        <w:t xml:space="preserve"> and</w:t>
      </w:r>
    </w:p>
    <w:p w14:paraId="62E6053A" w14:textId="77777777" w:rsidR="000D687E" w:rsidRPr="00B737E5" w:rsidRDefault="000D687E" w:rsidP="0038456D">
      <w:pPr>
        <w:pStyle w:val="Bullet1"/>
      </w:pPr>
      <w:r w:rsidRPr="00B737E5">
        <w:t>strategic communications.</w:t>
      </w:r>
    </w:p>
    <w:p w14:paraId="2D6365CD" w14:textId="52488B10" w:rsidR="000D687E" w:rsidRDefault="000D687E" w:rsidP="000D687E">
      <w:pPr>
        <w:pStyle w:val="Normal1"/>
      </w:pPr>
      <w:r>
        <w:t xml:space="preserve">DPC also </w:t>
      </w:r>
      <w:r w:rsidRPr="00C26FEB">
        <w:t xml:space="preserve">leads the </w:t>
      </w:r>
      <w:r w:rsidR="003F0957">
        <w:t>W</w:t>
      </w:r>
      <w:r w:rsidRPr="00C26FEB">
        <w:t xml:space="preserve">hole of Victorian </w:t>
      </w:r>
      <w:r>
        <w:t>G</w:t>
      </w:r>
      <w:r w:rsidRPr="00C26FEB">
        <w:t>overnment</w:t>
      </w:r>
      <w:r>
        <w:t xml:space="preserve"> (WoVG)</w:t>
      </w:r>
      <w:r w:rsidRPr="00C26FEB">
        <w:t xml:space="preserve"> ICT </w:t>
      </w:r>
      <w:r>
        <w:t xml:space="preserve">SPC </w:t>
      </w:r>
      <w:r w:rsidRPr="00C26FEB">
        <w:t xml:space="preserve">arrangements. The </w:t>
      </w:r>
      <w:r>
        <w:t>ICT Procurement T</w:t>
      </w:r>
      <w:r w:rsidRPr="00C26FEB">
        <w:t xml:space="preserve">eam manages significant </w:t>
      </w:r>
      <w:r>
        <w:t xml:space="preserve">government </w:t>
      </w:r>
      <w:r w:rsidRPr="00C26FEB">
        <w:t>contracts</w:t>
      </w:r>
      <w:r>
        <w:t xml:space="preserve"> to </w:t>
      </w:r>
      <w:r w:rsidRPr="00C26FEB">
        <w:t xml:space="preserve">mitigate procurement risk, improve aggregated buying opportunities for the Victorian </w:t>
      </w:r>
      <w:r>
        <w:t>G</w:t>
      </w:r>
      <w:r w:rsidRPr="00C26FEB">
        <w:t>overnment and ensure value</w:t>
      </w:r>
      <w:r>
        <w:t>-</w:t>
      </w:r>
      <w:r w:rsidRPr="00C26FEB">
        <w:t>for</w:t>
      </w:r>
      <w:r>
        <w:t>-</w:t>
      </w:r>
      <w:r w:rsidRPr="00C26FEB">
        <w:t>money outcomes.</w:t>
      </w:r>
      <w:r>
        <w:t xml:space="preserve"> Some of these goods and services include:</w:t>
      </w:r>
    </w:p>
    <w:p w14:paraId="59453A3E" w14:textId="2CEC57F4" w:rsidR="000D687E" w:rsidRDefault="000D687E" w:rsidP="0038456D">
      <w:pPr>
        <w:pStyle w:val="Bullet1"/>
      </w:pPr>
      <w:r>
        <w:t>software applications and licen</w:t>
      </w:r>
      <w:r w:rsidR="00B33C59">
        <w:t>s</w:t>
      </w:r>
      <w:r>
        <w:t>ing;</w:t>
      </w:r>
    </w:p>
    <w:p w14:paraId="4FD85562" w14:textId="77777777" w:rsidR="000D687E" w:rsidRDefault="000D687E" w:rsidP="0038456D">
      <w:pPr>
        <w:pStyle w:val="Bullet1"/>
      </w:pPr>
      <w:r>
        <w:t>hardware;</w:t>
      </w:r>
    </w:p>
    <w:p w14:paraId="395069EB" w14:textId="77777777" w:rsidR="000D687E" w:rsidRDefault="000D687E" w:rsidP="0038456D">
      <w:pPr>
        <w:pStyle w:val="Bullet1"/>
      </w:pPr>
      <w:r>
        <w:t>telecommunications; and</w:t>
      </w:r>
    </w:p>
    <w:p w14:paraId="5CFC23A0" w14:textId="45221F39" w:rsidR="000D687E" w:rsidRDefault="000D687E" w:rsidP="0038456D">
      <w:pPr>
        <w:pStyle w:val="Bullet1"/>
      </w:pPr>
      <w:r>
        <w:t xml:space="preserve">eServices </w:t>
      </w:r>
      <w:r w:rsidR="003F0957">
        <w:t>and</w:t>
      </w:r>
      <w:r>
        <w:t xml:space="preserve"> IT </w:t>
      </w:r>
      <w:r w:rsidR="003F0957">
        <w:t>i</w:t>
      </w:r>
      <w:r>
        <w:t>nfrastructure registers.</w:t>
      </w:r>
    </w:p>
    <w:p w14:paraId="4FEFA75C" w14:textId="77777777" w:rsidR="000D687E" w:rsidRPr="007A584B" w:rsidRDefault="000D687E" w:rsidP="000D687E">
      <w:pPr>
        <w:pStyle w:val="Heading3NoNum"/>
      </w:pPr>
      <w:r w:rsidRPr="007A584B">
        <w:t>Compliance with VGPB policies and related activities</w:t>
      </w:r>
    </w:p>
    <w:p w14:paraId="37F46663" w14:textId="00558B1A" w:rsidR="000D687E" w:rsidRDefault="000D687E" w:rsidP="000D687E">
      <w:pPr>
        <w:pStyle w:val="Normal1"/>
      </w:pPr>
      <w:r>
        <w:fldChar w:fldCharType="begin"/>
      </w:r>
      <w:r>
        <w:instrText xml:space="preserve"> REF _Ref489541259 \h </w:instrText>
      </w:r>
      <w:r>
        <w:fldChar w:fldCharType="separate"/>
      </w:r>
      <w:r w:rsidR="00A07703" w:rsidRPr="007A584B">
        <w:t xml:space="preserve">Table </w:t>
      </w:r>
      <w:r w:rsidR="00A07703">
        <w:rPr>
          <w:noProof/>
        </w:rPr>
        <w:t>34</w:t>
      </w:r>
      <w:r>
        <w:fldChar w:fldCharType="end"/>
      </w:r>
      <w:r>
        <w:t xml:space="preserve"> lists activities completed by DPC to ensure and improve compliance with VGPB supply policies. </w:t>
      </w:r>
      <w:r w:rsidRPr="00212617">
        <w:rPr>
          <w:lang w:eastAsia="en-US"/>
        </w:rPr>
        <w:t xml:space="preserve">Compliance activities are </w:t>
      </w:r>
      <w:r>
        <w:rPr>
          <w:lang w:eastAsia="en-US"/>
        </w:rPr>
        <w:t xml:space="preserve">grouped against VGPB supply policies, </w:t>
      </w:r>
      <w:r w:rsidRPr="00212617">
        <w:rPr>
          <w:lang w:eastAsia="en-US"/>
        </w:rPr>
        <w:t>though activities often overlap with multiple policies.</w:t>
      </w:r>
    </w:p>
    <w:p w14:paraId="3608C85F" w14:textId="5E7411BB" w:rsidR="000D687E" w:rsidRDefault="000D687E" w:rsidP="000D687E">
      <w:pPr>
        <w:pStyle w:val="Normal1"/>
        <w:rPr>
          <w:lang w:eastAsia="en-US"/>
        </w:rPr>
      </w:pPr>
      <w:r>
        <w:rPr>
          <w:lang w:eastAsia="en-US"/>
        </w:rPr>
        <w:t xml:space="preserve">DPC underwent a VGPB audit in 2016–17. Five areas around governance (including reporting requirements) and market analysis were identified for improvement. These improvements </w:t>
      </w:r>
      <w:r w:rsidR="003F0957">
        <w:rPr>
          <w:lang w:eastAsia="en-US"/>
        </w:rPr>
        <w:t>were</w:t>
      </w:r>
      <w:r>
        <w:rPr>
          <w:lang w:eastAsia="en-US"/>
        </w:rPr>
        <w:t xml:space="preserve"> addressed in the Procurement Reform Strategy 2018–19</w:t>
      </w:r>
      <w:r w:rsidR="003F0957">
        <w:rPr>
          <w:lang w:eastAsia="en-US"/>
        </w:rPr>
        <w:t>,</w:t>
      </w:r>
      <w:r>
        <w:rPr>
          <w:lang w:eastAsia="en-US"/>
        </w:rPr>
        <w:t xml:space="preserve"> which was implemented in March 2018. Implementing DPC’s IPU is planned for July 2018.</w:t>
      </w:r>
    </w:p>
    <w:p w14:paraId="09FBA747" w14:textId="60340934" w:rsidR="000D687E" w:rsidRDefault="000D687E" w:rsidP="000D687E">
      <w:pPr>
        <w:pStyle w:val="Caption"/>
      </w:pPr>
      <w:bookmarkStart w:id="191" w:name="_Ref489541259"/>
      <w:bookmarkStart w:id="192" w:name="_Toc478646285"/>
      <w:bookmarkStart w:id="193" w:name="_Toc503949268"/>
      <w:bookmarkStart w:id="194" w:name="_Toc524354027"/>
      <w:r w:rsidRPr="007A584B">
        <w:t xml:space="preserve">Table </w:t>
      </w:r>
      <w:r>
        <w:rPr>
          <w:noProof/>
        </w:rPr>
        <w:fldChar w:fldCharType="begin"/>
      </w:r>
      <w:r>
        <w:rPr>
          <w:noProof/>
        </w:rPr>
        <w:instrText xml:space="preserve"> SEQ Table \* ARABIC </w:instrText>
      </w:r>
      <w:r>
        <w:rPr>
          <w:noProof/>
        </w:rPr>
        <w:fldChar w:fldCharType="separate"/>
      </w:r>
      <w:r w:rsidR="00A07703">
        <w:rPr>
          <w:noProof/>
        </w:rPr>
        <w:t>34</w:t>
      </w:r>
      <w:r>
        <w:rPr>
          <w:noProof/>
        </w:rPr>
        <w:fldChar w:fldCharType="end"/>
      </w:r>
      <w:bookmarkEnd w:id="191"/>
      <w:r w:rsidRPr="007A584B">
        <w:t xml:space="preserve">: </w:t>
      </w:r>
      <w:r>
        <w:t xml:space="preserve">DPC’s </w:t>
      </w:r>
      <w:r w:rsidRPr="007A584B">
        <w:t>compliance activities in 201</w:t>
      </w:r>
      <w:bookmarkEnd w:id="192"/>
      <w:r>
        <w:t>7–18</w:t>
      </w:r>
      <w:bookmarkEnd w:id="193"/>
      <w:bookmarkEnd w:id="194"/>
    </w:p>
    <w:tbl>
      <w:tblPr>
        <w:tblStyle w:val="ListTable31"/>
        <w:tblW w:w="8647" w:type="dxa"/>
        <w:tblInd w:w="704" w:type="dxa"/>
        <w:tblLook w:val="04A0" w:firstRow="1" w:lastRow="0" w:firstColumn="1" w:lastColumn="0" w:noHBand="0" w:noVBand="1"/>
      </w:tblPr>
      <w:tblGrid>
        <w:gridCol w:w="1672"/>
        <w:gridCol w:w="6975"/>
      </w:tblGrid>
      <w:tr w:rsidR="000D687E" w14:paraId="592BC4E8" w14:textId="77777777" w:rsidTr="00F66493">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672" w:type="dxa"/>
          </w:tcPr>
          <w:p w14:paraId="164CFC34" w14:textId="77777777" w:rsidR="000D687E" w:rsidRDefault="000D687E" w:rsidP="0025012A">
            <w:pPr>
              <w:pStyle w:val="TableText"/>
            </w:pPr>
            <w:r>
              <w:t>VGPB policy</w:t>
            </w:r>
          </w:p>
        </w:tc>
        <w:tc>
          <w:tcPr>
            <w:tcW w:w="6975" w:type="dxa"/>
          </w:tcPr>
          <w:p w14:paraId="22740D37" w14:textId="77777777" w:rsidR="000D687E" w:rsidRDefault="000D687E" w:rsidP="0025012A">
            <w:pPr>
              <w:pStyle w:val="TableText"/>
              <w:cnfStyle w:val="100000000000" w:firstRow="1" w:lastRow="0" w:firstColumn="0" w:lastColumn="0" w:oddVBand="0" w:evenVBand="0" w:oddHBand="0" w:evenHBand="0" w:firstRowFirstColumn="0" w:firstRowLastColumn="0" w:lastRowFirstColumn="0" w:lastRowLastColumn="0"/>
            </w:pPr>
            <w:r>
              <w:t>Activities</w:t>
            </w:r>
          </w:p>
        </w:tc>
      </w:tr>
      <w:tr w:rsidR="000D687E" w14:paraId="297E6499" w14:textId="77777777" w:rsidTr="002501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2" w:type="dxa"/>
          </w:tcPr>
          <w:p w14:paraId="7F2DCE85" w14:textId="77777777" w:rsidR="000D687E" w:rsidRPr="003058E0" w:rsidRDefault="000D687E" w:rsidP="00567B7A">
            <w:pPr>
              <w:pStyle w:val="TableText"/>
            </w:pPr>
            <w:r w:rsidRPr="003058E0">
              <w:t>Governance</w:t>
            </w:r>
          </w:p>
        </w:tc>
        <w:tc>
          <w:tcPr>
            <w:tcW w:w="6975" w:type="dxa"/>
          </w:tcPr>
          <w:p w14:paraId="1B58C725" w14:textId="1F985DD9" w:rsidR="000D687E" w:rsidRPr="00822FA3" w:rsidRDefault="00655B1E" w:rsidP="00822FA3">
            <w:pPr>
              <w:pStyle w:val="TableBullet"/>
              <w:cnfStyle w:val="000000100000" w:firstRow="0" w:lastRow="0" w:firstColumn="0" w:lastColumn="0" w:oddVBand="0" w:evenVBand="0" w:oddHBand="1" w:evenHBand="0" w:firstRowFirstColumn="0" w:firstRowLastColumn="0" w:lastRowFirstColumn="0" w:lastRowLastColumn="0"/>
            </w:pPr>
            <w:r>
              <w:t>I</w:t>
            </w:r>
            <w:r w:rsidR="000D687E" w:rsidRPr="00822FA3">
              <w:t xml:space="preserve">mplemented the DPC Procurement Reform Strategy 2018–19. The strategy reviewed </w:t>
            </w:r>
            <w:r w:rsidR="00427183" w:rsidRPr="00822FA3">
              <w:t>DPC’s</w:t>
            </w:r>
            <w:r w:rsidR="000D687E" w:rsidRPr="00822FA3">
              <w:t xml:space="preserve"> reform activities across corporate procurement with a focus on robust governance, simplifying procurement information,</w:t>
            </w:r>
            <w:r w:rsidR="003F0957" w:rsidRPr="00822FA3">
              <w:t xml:space="preserve"> automation and innovation</w:t>
            </w:r>
            <w:r w:rsidR="0072562D">
              <w:t xml:space="preserve"> and</w:t>
            </w:r>
            <w:r w:rsidR="003F0957" w:rsidRPr="00822FA3">
              <w:t xml:space="preserve"> </w:t>
            </w:r>
            <w:r w:rsidR="000D687E" w:rsidRPr="00822FA3">
              <w:t>having the right procurement skills.</w:t>
            </w:r>
          </w:p>
          <w:p w14:paraId="37DC8F9D" w14:textId="2C332F35" w:rsidR="000D687E" w:rsidRPr="00822FA3" w:rsidRDefault="00655B1E" w:rsidP="00822FA3">
            <w:pPr>
              <w:pStyle w:val="TableBullet"/>
              <w:cnfStyle w:val="000000100000" w:firstRow="0" w:lastRow="0" w:firstColumn="0" w:lastColumn="0" w:oddVBand="0" w:evenVBand="0" w:oddHBand="1" w:evenHBand="0" w:firstRowFirstColumn="0" w:firstRowLastColumn="0" w:lastRowFirstColumn="0" w:lastRowLastColumn="0"/>
            </w:pPr>
            <w:r>
              <w:t>A</w:t>
            </w:r>
            <w:r w:rsidR="000D687E" w:rsidRPr="00822FA3">
              <w:t xml:space="preserve">s part of </w:t>
            </w:r>
            <w:r w:rsidR="00092526">
              <w:t>the</w:t>
            </w:r>
            <w:r w:rsidR="000D687E" w:rsidRPr="00822FA3">
              <w:t xml:space="preserve"> reform strategy, </w:t>
            </w:r>
            <w:r w:rsidR="00427183" w:rsidRPr="00822FA3">
              <w:t>DPC</w:t>
            </w:r>
            <w:r w:rsidR="000D687E" w:rsidRPr="00822FA3">
              <w:t xml:space="preserve"> set up the IPU governance structure and internal approval process. The IPU will be fully implemented in July 2018.</w:t>
            </w:r>
          </w:p>
          <w:p w14:paraId="237E4437" w14:textId="7A5BA49F" w:rsidR="000D687E" w:rsidRPr="00822FA3" w:rsidRDefault="00655B1E" w:rsidP="00822FA3">
            <w:pPr>
              <w:pStyle w:val="TableBullet"/>
              <w:cnfStyle w:val="000000100000" w:firstRow="0" w:lastRow="0" w:firstColumn="0" w:lastColumn="0" w:oddVBand="0" w:evenVBand="0" w:oddHBand="1" w:evenHBand="0" w:firstRowFirstColumn="0" w:firstRowLastColumn="0" w:lastRowFirstColumn="0" w:lastRowLastColumn="0"/>
            </w:pPr>
            <w:r>
              <w:t>I</w:t>
            </w:r>
            <w:r w:rsidR="000D687E" w:rsidRPr="00822FA3">
              <w:t xml:space="preserve">mplemented a complaints register and reviewed and improved </w:t>
            </w:r>
            <w:r w:rsidR="00BD0C9D">
              <w:t>the</w:t>
            </w:r>
            <w:r w:rsidR="000D687E" w:rsidRPr="00822FA3">
              <w:t xml:space="preserve"> complaints management process.</w:t>
            </w:r>
          </w:p>
          <w:p w14:paraId="3E0BC514" w14:textId="3A4683E2" w:rsidR="000D687E" w:rsidRPr="00822FA3" w:rsidRDefault="00655B1E" w:rsidP="00822FA3">
            <w:pPr>
              <w:pStyle w:val="TableBullet"/>
              <w:cnfStyle w:val="000000100000" w:firstRow="0" w:lastRow="0" w:firstColumn="0" w:lastColumn="0" w:oddVBand="0" w:evenVBand="0" w:oddHBand="1" w:evenHBand="0" w:firstRowFirstColumn="0" w:firstRowLastColumn="0" w:lastRowFirstColumn="0" w:lastRowLastColumn="0"/>
            </w:pPr>
            <w:r>
              <w:lastRenderedPageBreak/>
              <w:t>R</w:t>
            </w:r>
            <w:r w:rsidR="000D687E" w:rsidRPr="00822FA3">
              <w:t>eviewed and updated DPC procurement policy, processes and templates in line with VGPB policies</w:t>
            </w:r>
            <w:r w:rsidR="0054602B">
              <w:t xml:space="preserve">, and </w:t>
            </w:r>
            <w:r w:rsidR="000D687E" w:rsidRPr="00822FA3">
              <w:t>implemented a breach register.</w:t>
            </w:r>
          </w:p>
          <w:p w14:paraId="64945499" w14:textId="3E3E3DC8" w:rsidR="000D687E" w:rsidRPr="00822FA3" w:rsidRDefault="00655B1E" w:rsidP="00822FA3">
            <w:pPr>
              <w:pStyle w:val="TableBullet"/>
              <w:cnfStyle w:val="000000100000" w:firstRow="0" w:lastRow="0" w:firstColumn="0" w:lastColumn="0" w:oddVBand="0" w:evenVBand="0" w:oddHBand="1" w:evenHBand="0" w:firstRowFirstColumn="0" w:firstRowLastColumn="0" w:lastRowFirstColumn="0" w:lastRowLastColumn="0"/>
            </w:pPr>
            <w:r>
              <w:t>D</w:t>
            </w:r>
            <w:r w:rsidR="000D687E" w:rsidRPr="00822FA3">
              <w:t>eveloped a reporting calendar outlining key reporting requirements and dates to improve timeliness and quality reporting.</w:t>
            </w:r>
          </w:p>
        </w:tc>
      </w:tr>
      <w:tr w:rsidR="000D687E" w14:paraId="5EBE58EA" w14:textId="77777777" w:rsidTr="0025012A">
        <w:tc>
          <w:tcPr>
            <w:cnfStyle w:val="001000000000" w:firstRow="0" w:lastRow="0" w:firstColumn="1" w:lastColumn="0" w:oddVBand="0" w:evenVBand="0" w:oddHBand="0" w:evenHBand="0" w:firstRowFirstColumn="0" w:firstRowLastColumn="0" w:lastRowFirstColumn="0" w:lastRowLastColumn="0"/>
            <w:tcW w:w="1672" w:type="dxa"/>
          </w:tcPr>
          <w:p w14:paraId="70E61473" w14:textId="77777777" w:rsidR="000D687E" w:rsidRPr="003058E0" w:rsidRDefault="000D687E" w:rsidP="00567B7A">
            <w:pPr>
              <w:pStyle w:val="TableText"/>
            </w:pPr>
            <w:r w:rsidRPr="003058E0">
              <w:lastRenderedPageBreak/>
              <w:t>Complexity and capability</w:t>
            </w:r>
          </w:p>
        </w:tc>
        <w:tc>
          <w:tcPr>
            <w:tcW w:w="6975" w:type="dxa"/>
          </w:tcPr>
          <w:p w14:paraId="6F96C423" w14:textId="7E1CC8D0" w:rsidR="0054602B" w:rsidRDefault="00655B1E" w:rsidP="00655B1E">
            <w:pPr>
              <w:pStyle w:val="TableBullet"/>
              <w:cnfStyle w:val="000000000000" w:firstRow="0" w:lastRow="0" w:firstColumn="0" w:lastColumn="0" w:oddVBand="0" w:evenVBand="0" w:oddHBand="0" w:evenHBand="0" w:firstRowFirstColumn="0" w:firstRowLastColumn="0" w:lastRowFirstColumn="0" w:lastRowLastColumn="0"/>
            </w:pPr>
            <w:r>
              <w:t>I</w:t>
            </w:r>
            <w:r w:rsidR="000D687E" w:rsidRPr="00822FA3">
              <w:t xml:space="preserve">mplemented one-on-one procurement training </w:t>
            </w:r>
            <w:r w:rsidR="00427183" w:rsidRPr="00822FA3">
              <w:t xml:space="preserve">with </w:t>
            </w:r>
            <w:r w:rsidR="000D687E" w:rsidRPr="00822FA3">
              <w:t>key stakeholders in DPC to increase their procurement knowledge.</w:t>
            </w:r>
          </w:p>
          <w:p w14:paraId="45AB7BEF" w14:textId="24704FE0" w:rsidR="000D687E" w:rsidRPr="00822FA3" w:rsidRDefault="0054602B" w:rsidP="00822FA3">
            <w:pPr>
              <w:pStyle w:val="TableBullet"/>
              <w:cnfStyle w:val="000000000000" w:firstRow="0" w:lastRow="0" w:firstColumn="0" w:lastColumn="0" w:oddVBand="0" w:evenVBand="0" w:oddHBand="0" w:evenHBand="0" w:firstRowFirstColumn="0" w:firstRowLastColumn="0" w:lastRowFirstColumn="0" w:lastRowLastColumn="0"/>
            </w:pPr>
            <w:r>
              <w:t>R</w:t>
            </w:r>
            <w:r w:rsidR="000D687E" w:rsidRPr="00822FA3">
              <w:t>an business unit procurement briefings and presentations and provided formal training opportunities to staff who frequently procure.</w:t>
            </w:r>
          </w:p>
        </w:tc>
      </w:tr>
      <w:tr w:rsidR="000D687E" w14:paraId="2414A9E5" w14:textId="77777777" w:rsidTr="002501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2" w:type="dxa"/>
          </w:tcPr>
          <w:p w14:paraId="4765E1B9" w14:textId="77777777" w:rsidR="000D687E" w:rsidRPr="003058E0" w:rsidRDefault="000D687E" w:rsidP="00567B7A">
            <w:pPr>
              <w:pStyle w:val="TableText"/>
            </w:pPr>
            <w:r w:rsidRPr="003058E0">
              <w:t>Market analysis and review</w:t>
            </w:r>
          </w:p>
        </w:tc>
        <w:tc>
          <w:tcPr>
            <w:tcW w:w="6975" w:type="dxa"/>
          </w:tcPr>
          <w:p w14:paraId="2A915272" w14:textId="7B853249" w:rsidR="000D687E" w:rsidRPr="00822FA3" w:rsidRDefault="00655B1E" w:rsidP="00822FA3">
            <w:pPr>
              <w:pStyle w:val="TableBullet"/>
              <w:cnfStyle w:val="000000100000" w:firstRow="0" w:lastRow="0" w:firstColumn="0" w:lastColumn="0" w:oddVBand="0" w:evenVBand="0" w:oddHBand="1" w:evenHBand="0" w:firstRowFirstColumn="0" w:firstRowLastColumn="0" w:lastRowFirstColumn="0" w:lastRowLastColumn="0"/>
            </w:pPr>
            <w:r>
              <w:t xml:space="preserve">Analysed corporate spend </w:t>
            </w:r>
            <w:r w:rsidR="000D687E" w:rsidRPr="00822FA3">
              <w:t>to inform category strategies such as uniform, consultancies and end</w:t>
            </w:r>
            <w:r w:rsidR="003F0957" w:rsidRPr="00822FA3">
              <w:t>-</w:t>
            </w:r>
            <w:r w:rsidR="000D687E" w:rsidRPr="00822FA3">
              <w:t>user computing.</w:t>
            </w:r>
          </w:p>
        </w:tc>
      </w:tr>
      <w:tr w:rsidR="000D687E" w14:paraId="53C6684D" w14:textId="77777777" w:rsidTr="0025012A">
        <w:tc>
          <w:tcPr>
            <w:cnfStyle w:val="001000000000" w:firstRow="0" w:lastRow="0" w:firstColumn="1" w:lastColumn="0" w:oddVBand="0" w:evenVBand="0" w:oddHBand="0" w:evenHBand="0" w:firstRowFirstColumn="0" w:firstRowLastColumn="0" w:lastRowFirstColumn="0" w:lastRowLastColumn="0"/>
            <w:tcW w:w="1672" w:type="dxa"/>
          </w:tcPr>
          <w:p w14:paraId="47C67ECC" w14:textId="77777777" w:rsidR="000D687E" w:rsidRPr="003058E0" w:rsidRDefault="000D687E" w:rsidP="00567B7A">
            <w:pPr>
              <w:pStyle w:val="TableText"/>
            </w:pPr>
            <w:r w:rsidRPr="003058E0">
              <w:t>Market approach</w:t>
            </w:r>
          </w:p>
        </w:tc>
        <w:tc>
          <w:tcPr>
            <w:tcW w:w="6975" w:type="dxa"/>
          </w:tcPr>
          <w:p w14:paraId="24FB3253" w14:textId="1E49D05B" w:rsidR="000D687E" w:rsidRPr="00822FA3" w:rsidRDefault="00655B1E" w:rsidP="00822FA3">
            <w:pPr>
              <w:pStyle w:val="TableBullet"/>
              <w:cnfStyle w:val="000000000000" w:firstRow="0" w:lastRow="0" w:firstColumn="0" w:lastColumn="0" w:oddVBand="0" w:evenVBand="0" w:oddHBand="0" w:evenHBand="0" w:firstRowFirstColumn="0" w:firstRowLastColumn="0" w:lastRowFirstColumn="0" w:lastRowLastColumn="0"/>
            </w:pPr>
            <w:r>
              <w:t>A</w:t>
            </w:r>
            <w:r w:rsidR="000D687E" w:rsidRPr="00822FA3">
              <w:t xml:space="preserve">dded a search tool to the eServices register to better support market approach activity and buyer usability. </w:t>
            </w:r>
          </w:p>
        </w:tc>
      </w:tr>
      <w:tr w:rsidR="000D687E" w14:paraId="03851002" w14:textId="77777777" w:rsidTr="002501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2" w:type="dxa"/>
          </w:tcPr>
          <w:p w14:paraId="7D9C3D1E" w14:textId="77777777" w:rsidR="000D687E" w:rsidRPr="003058E0" w:rsidRDefault="000D687E" w:rsidP="00567B7A">
            <w:pPr>
              <w:pStyle w:val="TableText"/>
            </w:pPr>
            <w:r w:rsidRPr="003058E0">
              <w:t>Contract management and disclosure</w:t>
            </w:r>
          </w:p>
        </w:tc>
        <w:tc>
          <w:tcPr>
            <w:tcW w:w="6975" w:type="dxa"/>
          </w:tcPr>
          <w:p w14:paraId="6DE19E5C" w14:textId="60CBD149" w:rsidR="000D687E" w:rsidRPr="00822FA3" w:rsidRDefault="00655B1E" w:rsidP="00822FA3">
            <w:pPr>
              <w:pStyle w:val="TableBullet"/>
              <w:cnfStyle w:val="000000100000" w:firstRow="0" w:lastRow="0" w:firstColumn="0" w:lastColumn="0" w:oddVBand="0" w:evenVBand="0" w:oddHBand="1" w:evenHBand="0" w:firstRowFirstColumn="0" w:firstRowLastColumn="0" w:lastRowFirstColumn="0" w:lastRowLastColumn="0"/>
            </w:pPr>
            <w:r>
              <w:t>B</w:t>
            </w:r>
            <w:r w:rsidR="000D687E" w:rsidRPr="00822FA3">
              <w:t xml:space="preserve">egan centralising corporate contract records to improve records. </w:t>
            </w:r>
          </w:p>
        </w:tc>
      </w:tr>
    </w:tbl>
    <w:p w14:paraId="22C3D573" w14:textId="2B6718E2" w:rsidR="000D687E" w:rsidRPr="00CD6245" w:rsidRDefault="000D687E" w:rsidP="000D687E">
      <w:pPr>
        <w:pStyle w:val="Heading3NoNum"/>
      </w:pPr>
      <w:r w:rsidRPr="00CD6245">
        <w:t>Performance</w:t>
      </w:r>
    </w:p>
    <w:p w14:paraId="4DE06382" w14:textId="7C4008D3" w:rsidR="000D687E" w:rsidRPr="00CD6245" w:rsidRDefault="000D687E" w:rsidP="000D687E">
      <w:pPr>
        <w:pStyle w:val="Normal1"/>
      </w:pPr>
      <w:r>
        <w:fldChar w:fldCharType="begin"/>
      </w:r>
      <w:r>
        <w:instrText xml:space="preserve"> REF _Ref489541247 \h </w:instrText>
      </w:r>
      <w:r>
        <w:fldChar w:fldCharType="separate"/>
      </w:r>
      <w:r w:rsidR="00A07703" w:rsidRPr="00CD6245">
        <w:t xml:space="preserve">Table </w:t>
      </w:r>
      <w:r w:rsidR="00A07703">
        <w:rPr>
          <w:noProof/>
        </w:rPr>
        <w:t>35</w:t>
      </w:r>
      <w:r>
        <w:fldChar w:fldCharType="end"/>
      </w:r>
      <w:r w:rsidRPr="00CD6245">
        <w:t xml:space="preserve"> </w:t>
      </w:r>
      <w:r>
        <w:t>sets out DPC’s performance in 2017–18, compared with the two previous years.</w:t>
      </w:r>
    </w:p>
    <w:p w14:paraId="34565E0D" w14:textId="2ACA0D41" w:rsidR="000D687E" w:rsidRDefault="000D687E" w:rsidP="000D687E">
      <w:pPr>
        <w:pStyle w:val="Caption"/>
      </w:pPr>
      <w:bookmarkStart w:id="195" w:name="_Ref489541247"/>
      <w:bookmarkStart w:id="196" w:name="_Toc478646284"/>
      <w:bookmarkStart w:id="197" w:name="_Toc503949269"/>
      <w:bookmarkStart w:id="198" w:name="_Toc524354028"/>
      <w:r w:rsidRPr="00CD6245">
        <w:t xml:space="preserve">Table </w:t>
      </w:r>
      <w:r>
        <w:rPr>
          <w:noProof/>
        </w:rPr>
        <w:fldChar w:fldCharType="begin"/>
      </w:r>
      <w:r>
        <w:rPr>
          <w:noProof/>
        </w:rPr>
        <w:instrText xml:space="preserve"> SEQ Table \* ARABIC </w:instrText>
      </w:r>
      <w:r>
        <w:rPr>
          <w:noProof/>
        </w:rPr>
        <w:fldChar w:fldCharType="separate"/>
      </w:r>
      <w:r w:rsidR="00A07703">
        <w:rPr>
          <w:noProof/>
        </w:rPr>
        <w:t>35</w:t>
      </w:r>
      <w:r>
        <w:rPr>
          <w:noProof/>
        </w:rPr>
        <w:fldChar w:fldCharType="end"/>
      </w:r>
      <w:bookmarkEnd w:id="195"/>
      <w:r w:rsidRPr="00CD6245">
        <w:t xml:space="preserve">: </w:t>
      </w:r>
      <w:r>
        <w:t>DPC</w:t>
      </w:r>
      <w:r w:rsidR="00381BB6">
        <w:t>’s</w:t>
      </w:r>
      <w:r w:rsidRPr="00CD6245">
        <w:t xml:space="preserve"> performance in </w:t>
      </w:r>
      <w:r>
        <w:t>2017–18</w:t>
      </w:r>
      <w:bookmarkEnd w:id="196"/>
      <w:bookmarkEnd w:id="197"/>
      <w:bookmarkEnd w:id="198"/>
    </w:p>
    <w:tbl>
      <w:tblPr>
        <w:tblStyle w:val="ListTable31"/>
        <w:tblW w:w="8647" w:type="dxa"/>
        <w:tblInd w:w="704" w:type="dxa"/>
        <w:tblLook w:val="04A0" w:firstRow="1" w:lastRow="0" w:firstColumn="1" w:lastColumn="0" w:noHBand="0" w:noVBand="1"/>
      </w:tblPr>
      <w:tblGrid>
        <w:gridCol w:w="352"/>
        <w:gridCol w:w="1989"/>
        <w:gridCol w:w="513"/>
        <w:gridCol w:w="571"/>
        <w:gridCol w:w="577"/>
        <w:gridCol w:w="4645"/>
      </w:tblGrid>
      <w:tr w:rsidR="000D687E" w14:paraId="5DA3BB40" w14:textId="77777777" w:rsidTr="00115146">
        <w:trPr>
          <w:cnfStyle w:val="100000000000" w:firstRow="1" w:lastRow="0" w:firstColumn="0" w:lastColumn="0" w:oddVBand="0" w:evenVBand="0" w:oddHBand="0" w:evenHBand="0" w:firstRowFirstColumn="0" w:firstRowLastColumn="0" w:lastRowFirstColumn="0" w:lastRowLastColumn="0"/>
          <w:trHeight w:val="1661"/>
        </w:trPr>
        <w:tc>
          <w:tcPr>
            <w:cnfStyle w:val="001000000100" w:firstRow="0" w:lastRow="0" w:firstColumn="1" w:lastColumn="0" w:oddVBand="0" w:evenVBand="0" w:oddHBand="0" w:evenHBand="0" w:firstRowFirstColumn="1" w:firstRowLastColumn="0" w:lastRowFirstColumn="0" w:lastRowLastColumn="0"/>
            <w:tcW w:w="2341" w:type="dxa"/>
            <w:gridSpan w:val="2"/>
            <w:vMerge w:val="restart"/>
            <w:vAlign w:val="bottom"/>
          </w:tcPr>
          <w:p w14:paraId="7062DACF" w14:textId="77777777" w:rsidR="000D687E" w:rsidRPr="00CD6245" w:rsidRDefault="000D687E" w:rsidP="00115146">
            <w:pPr>
              <w:pStyle w:val="TableText"/>
            </w:pPr>
            <w:bookmarkStart w:id="199" w:name="_Hlk521415048"/>
            <w:r w:rsidRPr="00CD6245">
              <w:t>Performance measure</w:t>
            </w:r>
          </w:p>
        </w:tc>
        <w:tc>
          <w:tcPr>
            <w:tcW w:w="513" w:type="dxa"/>
            <w:textDirection w:val="btLr"/>
            <w:vAlign w:val="bottom"/>
          </w:tcPr>
          <w:p w14:paraId="1B7118FC" w14:textId="0F8D9282" w:rsidR="000D687E" w:rsidRDefault="000D687E" w:rsidP="00115146">
            <w:pPr>
              <w:pStyle w:val="TableText"/>
              <w:jc w:val="center"/>
              <w:cnfStyle w:val="100000000000" w:firstRow="1" w:lastRow="0" w:firstColumn="0" w:lastColumn="0" w:oddVBand="0" w:evenVBand="0" w:oddHBand="0" w:evenHBand="0" w:firstRowFirstColumn="0" w:firstRowLastColumn="0" w:lastRowFirstColumn="0" w:lastRowLastColumn="0"/>
            </w:pPr>
            <w:r>
              <w:t>Year 1: 2015–16</w:t>
            </w:r>
          </w:p>
        </w:tc>
        <w:tc>
          <w:tcPr>
            <w:tcW w:w="571" w:type="dxa"/>
            <w:textDirection w:val="btLr"/>
            <w:vAlign w:val="bottom"/>
          </w:tcPr>
          <w:p w14:paraId="5CD830AB" w14:textId="77777777" w:rsidR="000D687E" w:rsidRDefault="000D687E" w:rsidP="00115146">
            <w:pPr>
              <w:pStyle w:val="TableText"/>
              <w:jc w:val="center"/>
              <w:cnfStyle w:val="100000000000" w:firstRow="1" w:lastRow="0" w:firstColumn="0" w:lastColumn="0" w:oddVBand="0" w:evenVBand="0" w:oddHBand="0" w:evenHBand="0" w:firstRowFirstColumn="0" w:firstRowLastColumn="0" w:lastRowFirstColumn="0" w:lastRowLastColumn="0"/>
            </w:pPr>
            <w:r>
              <w:t>Year 2: 2016–17</w:t>
            </w:r>
          </w:p>
        </w:tc>
        <w:tc>
          <w:tcPr>
            <w:tcW w:w="577" w:type="dxa"/>
            <w:textDirection w:val="btLr"/>
            <w:vAlign w:val="bottom"/>
          </w:tcPr>
          <w:p w14:paraId="6CD00801" w14:textId="77777777" w:rsidR="000D687E" w:rsidRDefault="000D687E" w:rsidP="00115146">
            <w:pPr>
              <w:pStyle w:val="TableText"/>
              <w:jc w:val="center"/>
              <w:cnfStyle w:val="100000000000" w:firstRow="1" w:lastRow="0" w:firstColumn="0" w:lastColumn="0" w:oddVBand="0" w:evenVBand="0" w:oddHBand="0" w:evenHBand="0" w:firstRowFirstColumn="0" w:firstRowLastColumn="0" w:lastRowFirstColumn="0" w:lastRowLastColumn="0"/>
            </w:pPr>
            <w:r>
              <w:t>Year 3: 2017–18</w:t>
            </w:r>
          </w:p>
        </w:tc>
        <w:tc>
          <w:tcPr>
            <w:tcW w:w="4645" w:type="dxa"/>
            <w:vMerge w:val="restart"/>
            <w:vAlign w:val="bottom"/>
          </w:tcPr>
          <w:p w14:paraId="03D0002F" w14:textId="77777777" w:rsidR="000D687E" w:rsidRDefault="000D687E" w:rsidP="00115146">
            <w:pPr>
              <w:pStyle w:val="TableText"/>
              <w:cnfStyle w:val="100000000000" w:firstRow="1" w:lastRow="0" w:firstColumn="0" w:lastColumn="0" w:oddVBand="0" w:evenVBand="0" w:oddHBand="0" w:evenHBand="0" w:firstRowFirstColumn="0" w:firstRowLastColumn="0" w:lastRowFirstColumn="0" w:lastRowLastColumn="0"/>
            </w:pPr>
            <w:r>
              <w:t>Explanation</w:t>
            </w:r>
          </w:p>
        </w:tc>
      </w:tr>
      <w:tr w:rsidR="000D687E" w14:paraId="129F7D6D" w14:textId="77777777" w:rsidTr="00115146">
        <w:trPr>
          <w:cnfStyle w:val="000000100000" w:firstRow="0" w:lastRow="0" w:firstColumn="0" w:lastColumn="0" w:oddVBand="0" w:evenVBand="0" w:oddHBand="1" w:evenHBand="0" w:firstRowFirstColumn="0" w:firstRowLastColumn="0" w:lastRowFirstColumn="0" w:lastRowLastColumn="0"/>
          <w:trHeight w:val="281"/>
        </w:trPr>
        <w:tc>
          <w:tcPr>
            <w:cnfStyle w:val="001000000000" w:firstRow="0" w:lastRow="0" w:firstColumn="1" w:lastColumn="0" w:oddVBand="0" w:evenVBand="0" w:oddHBand="0" w:evenHBand="0" w:firstRowFirstColumn="0" w:firstRowLastColumn="0" w:lastRowFirstColumn="0" w:lastRowLastColumn="0"/>
            <w:tcW w:w="2341" w:type="dxa"/>
            <w:gridSpan w:val="2"/>
            <w:vMerge/>
          </w:tcPr>
          <w:p w14:paraId="6D537E95" w14:textId="77777777" w:rsidR="000D687E" w:rsidRPr="00CD6245" w:rsidRDefault="000D687E" w:rsidP="00567B7A">
            <w:pPr>
              <w:pStyle w:val="TableHeader"/>
            </w:pPr>
          </w:p>
        </w:tc>
        <w:tc>
          <w:tcPr>
            <w:tcW w:w="513" w:type="dxa"/>
            <w:shd w:val="clear" w:color="auto" w:fill="000000" w:themeFill="text1"/>
            <w:vAlign w:val="center"/>
          </w:tcPr>
          <w:p w14:paraId="372C0F64" w14:textId="77777777" w:rsidR="000D687E" w:rsidRPr="00200BCC" w:rsidRDefault="000D687E" w:rsidP="00115146">
            <w:pPr>
              <w:pStyle w:val="TableHeader"/>
              <w:jc w:val="right"/>
              <w:cnfStyle w:val="000000100000" w:firstRow="0" w:lastRow="0" w:firstColumn="0" w:lastColumn="0" w:oddVBand="0" w:evenVBand="0" w:oddHBand="1" w:evenHBand="0" w:firstRowFirstColumn="0" w:firstRowLastColumn="0" w:lastRowFirstColumn="0" w:lastRowLastColumn="0"/>
              <w:rPr>
                <w:bCs/>
                <w:color w:val="auto"/>
                <w:sz w:val="20"/>
                <w:szCs w:val="20"/>
              </w:rPr>
            </w:pPr>
            <w:r w:rsidRPr="00200BCC">
              <w:rPr>
                <w:bCs/>
                <w:color w:val="auto"/>
                <w:sz w:val="20"/>
                <w:szCs w:val="20"/>
              </w:rPr>
              <w:t>%</w:t>
            </w:r>
          </w:p>
        </w:tc>
        <w:tc>
          <w:tcPr>
            <w:tcW w:w="571" w:type="dxa"/>
            <w:shd w:val="clear" w:color="auto" w:fill="000000" w:themeFill="text1"/>
            <w:vAlign w:val="center"/>
          </w:tcPr>
          <w:p w14:paraId="30575382" w14:textId="77777777" w:rsidR="000D687E" w:rsidRPr="00200BCC" w:rsidRDefault="000D687E" w:rsidP="00115146">
            <w:pPr>
              <w:pStyle w:val="TableHeader"/>
              <w:jc w:val="right"/>
              <w:cnfStyle w:val="000000100000" w:firstRow="0" w:lastRow="0" w:firstColumn="0" w:lastColumn="0" w:oddVBand="0" w:evenVBand="0" w:oddHBand="1" w:evenHBand="0" w:firstRowFirstColumn="0" w:firstRowLastColumn="0" w:lastRowFirstColumn="0" w:lastRowLastColumn="0"/>
              <w:rPr>
                <w:bCs/>
                <w:color w:val="auto"/>
                <w:sz w:val="20"/>
                <w:szCs w:val="20"/>
              </w:rPr>
            </w:pPr>
            <w:r w:rsidRPr="00200BCC">
              <w:rPr>
                <w:bCs/>
                <w:color w:val="auto"/>
                <w:sz w:val="20"/>
                <w:szCs w:val="20"/>
              </w:rPr>
              <w:t>%</w:t>
            </w:r>
          </w:p>
        </w:tc>
        <w:tc>
          <w:tcPr>
            <w:tcW w:w="577" w:type="dxa"/>
            <w:shd w:val="clear" w:color="auto" w:fill="000000" w:themeFill="text1"/>
            <w:vAlign w:val="center"/>
          </w:tcPr>
          <w:p w14:paraId="212B7673" w14:textId="77777777" w:rsidR="000D687E" w:rsidRPr="00200BCC" w:rsidRDefault="000D687E" w:rsidP="00115146">
            <w:pPr>
              <w:pStyle w:val="TableHeader"/>
              <w:jc w:val="right"/>
              <w:cnfStyle w:val="000000100000" w:firstRow="0" w:lastRow="0" w:firstColumn="0" w:lastColumn="0" w:oddVBand="0" w:evenVBand="0" w:oddHBand="1" w:evenHBand="0" w:firstRowFirstColumn="0" w:firstRowLastColumn="0" w:lastRowFirstColumn="0" w:lastRowLastColumn="0"/>
              <w:rPr>
                <w:bCs/>
                <w:color w:val="auto"/>
                <w:sz w:val="20"/>
                <w:szCs w:val="20"/>
              </w:rPr>
            </w:pPr>
            <w:r w:rsidRPr="00200BCC">
              <w:rPr>
                <w:bCs/>
                <w:color w:val="auto"/>
                <w:sz w:val="20"/>
                <w:szCs w:val="20"/>
              </w:rPr>
              <w:t>%</w:t>
            </w:r>
          </w:p>
        </w:tc>
        <w:tc>
          <w:tcPr>
            <w:tcW w:w="4645" w:type="dxa"/>
            <w:vMerge/>
          </w:tcPr>
          <w:p w14:paraId="1B6BD38D" w14:textId="77777777" w:rsidR="000D687E" w:rsidRDefault="000D687E" w:rsidP="00567B7A">
            <w:pPr>
              <w:pStyle w:val="TableHeader"/>
              <w:cnfStyle w:val="000000100000" w:firstRow="0" w:lastRow="0" w:firstColumn="0" w:lastColumn="0" w:oddVBand="0" w:evenVBand="0" w:oddHBand="1" w:evenHBand="0" w:firstRowFirstColumn="0" w:firstRowLastColumn="0" w:lastRowFirstColumn="0" w:lastRowLastColumn="0"/>
              <w:rPr>
                <w:sz w:val="20"/>
                <w:szCs w:val="20"/>
              </w:rPr>
            </w:pPr>
          </w:p>
        </w:tc>
      </w:tr>
      <w:tr w:rsidR="000D687E" w:rsidRPr="00CD6245" w14:paraId="37A6ED1A" w14:textId="77777777" w:rsidTr="004B1827">
        <w:tc>
          <w:tcPr>
            <w:cnfStyle w:val="001000000000" w:firstRow="0" w:lastRow="0" w:firstColumn="1" w:lastColumn="0" w:oddVBand="0" w:evenVBand="0" w:oddHBand="0" w:evenHBand="0" w:firstRowFirstColumn="0" w:firstRowLastColumn="0" w:lastRowFirstColumn="0" w:lastRowLastColumn="0"/>
            <w:tcW w:w="352" w:type="dxa"/>
          </w:tcPr>
          <w:p w14:paraId="0B9B70BA" w14:textId="77777777" w:rsidR="000D687E" w:rsidRPr="00CD6245" w:rsidRDefault="000D687E" w:rsidP="00567B7A">
            <w:pPr>
              <w:pStyle w:val="TableText"/>
            </w:pPr>
            <w:r w:rsidRPr="00CD6245">
              <w:t>1</w:t>
            </w:r>
          </w:p>
        </w:tc>
        <w:tc>
          <w:tcPr>
            <w:tcW w:w="1989" w:type="dxa"/>
          </w:tcPr>
          <w:p w14:paraId="654056E6" w14:textId="77777777" w:rsidR="000D687E" w:rsidRPr="00726E77" w:rsidRDefault="000D687E" w:rsidP="00567B7A">
            <w:pPr>
              <w:pStyle w:val="TableText"/>
              <w:cnfStyle w:val="000000000000" w:firstRow="0" w:lastRow="0" w:firstColumn="0" w:lastColumn="0" w:oddVBand="0" w:evenVBand="0" w:oddHBand="0" w:evenHBand="0" w:firstRowFirstColumn="0" w:firstRowLastColumn="0" w:lastRowFirstColumn="0" w:lastRowLastColumn="0"/>
            </w:pPr>
            <w:r w:rsidRPr="00726E77">
              <w:t xml:space="preserve">Value created </w:t>
            </w:r>
          </w:p>
        </w:tc>
        <w:tc>
          <w:tcPr>
            <w:tcW w:w="513" w:type="dxa"/>
          </w:tcPr>
          <w:p w14:paraId="7052B2C2" w14:textId="77777777" w:rsidR="000D687E" w:rsidRDefault="000D687E" w:rsidP="006B0393">
            <w:pPr>
              <w:pStyle w:val="Tablenumbers"/>
              <w:cnfStyle w:val="000000000000" w:firstRow="0" w:lastRow="0" w:firstColumn="0" w:lastColumn="0" w:oddVBand="0" w:evenVBand="0" w:oddHBand="0" w:evenHBand="0" w:firstRowFirstColumn="0" w:firstRowLastColumn="0" w:lastRowFirstColumn="0" w:lastRowLastColumn="0"/>
            </w:pPr>
            <w:r>
              <w:t>..</w:t>
            </w:r>
          </w:p>
        </w:tc>
        <w:tc>
          <w:tcPr>
            <w:tcW w:w="571" w:type="dxa"/>
          </w:tcPr>
          <w:p w14:paraId="2FA0AA53" w14:textId="77777777" w:rsidR="000D687E" w:rsidRDefault="000D687E" w:rsidP="006B0393">
            <w:pPr>
              <w:pStyle w:val="Tablenumbers"/>
              <w:cnfStyle w:val="000000000000" w:firstRow="0" w:lastRow="0" w:firstColumn="0" w:lastColumn="0" w:oddVBand="0" w:evenVBand="0" w:oddHBand="0" w:evenHBand="0" w:firstRowFirstColumn="0" w:firstRowLastColumn="0" w:lastRowFirstColumn="0" w:lastRowLastColumn="0"/>
            </w:pPr>
            <w:r>
              <w:t>39.2</w:t>
            </w:r>
          </w:p>
        </w:tc>
        <w:tc>
          <w:tcPr>
            <w:tcW w:w="577" w:type="dxa"/>
          </w:tcPr>
          <w:p w14:paraId="41B2F0B8" w14:textId="77777777" w:rsidR="000D687E" w:rsidRPr="00CD6245" w:rsidRDefault="000D687E" w:rsidP="006B0393">
            <w:pPr>
              <w:pStyle w:val="Tablenumbers"/>
              <w:cnfStyle w:val="000000000000" w:firstRow="0" w:lastRow="0" w:firstColumn="0" w:lastColumn="0" w:oddVBand="0" w:evenVBand="0" w:oddHBand="0" w:evenHBand="0" w:firstRowFirstColumn="0" w:firstRowLastColumn="0" w:lastRowFirstColumn="0" w:lastRowLastColumn="0"/>
            </w:pPr>
            <w:r>
              <w:t>6.6</w:t>
            </w:r>
          </w:p>
        </w:tc>
        <w:tc>
          <w:tcPr>
            <w:tcW w:w="4645" w:type="dxa"/>
          </w:tcPr>
          <w:p w14:paraId="08C99006" w14:textId="7B6331AC" w:rsidR="000D687E" w:rsidRPr="00CD6245" w:rsidRDefault="000D687E" w:rsidP="00567B7A">
            <w:pPr>
              <w:pStyle w:val="TableText"/>
              <w:cnfStyle w:val="000000000000" w:firstRow="0" w:lastRow="0" w:firstColumn="0" w:lastColumn="0" w:oddVBand="0" w:evenVBand="0" w:oddHBand="0" w:evenHBand="0" w:firstRowFirstColumn="0" w:firstRowLastColumn="0" w:lastRowFirstColumn="0" w:lastRowLastColumn="0"/>
            </w:pPr>
            <w:r>
              <w:t xml:space="preserve">Several SPC software contract renewals, governance improvements and training in sourcing practices </w:t>
            </w:r>
            <w:r w:rsidR="003F0957">
              <w:t>were</w:t>
            </w:r>
            <w:r>
              <w:t xml:space="preserve"> the drivers of this value. </w:t>
            </w:r>
            <w:r w:rsidRPr="006B0D78">
              <w:t xml:space="preserve">The variance in value is largely influenced </w:t>
            </w:r>
            <w:r>
              <w:t>by</w:t>
            </w:r>
            <w:r w:rsidRPr="006B0D78">
              <w:t xml:space="preserve"> </w:t>
            </w:r>
            <w:r>
              <w:t>SPC</w:t>
            </w:r>
            <w:r w:rsidRPr="006B0D78">
              <w:t xml:space="preserve"> cycles</w:t>
            </w:r>
            <w:r>
              <w:t xml:space="preserve">. </w:t>
            </w:r>
            <w:r w:rsidR="0054602B">
              <w:t>DPC</w:t>
            </w:r>
            <w:r>
              <w:t xml:space="preserve"> plan</w:t>
            </w:r>
            <w:r w:rsidR="0054602B">
              <w:t>s</w:t>
            </w:r>
            <w:r>
              <w:t xml:space="preserve"> to review</w:t>
            </w:r>
            <w:r w:rsidR="003F0957">
              <w:t xml:space="preserve"> how </w:t>
            </w:r>
            <w:r w:rsidR="0054602B">
              <w:t>it</w:t>
            </w:r>
            <w:r>
              <w:t xml:space="preserve"> calculat</w:t>
            </w:r>
            <w:r w:rsidR="003F0957">
              <w:t>e</w:t>
            </w:r>
            <w:r w:rsidR="0054602B">
              <w:t>s</w:t>
            </w:r>
            <w:r>
              <w:t xml:space="preserve"> cost savings and benefits in 2018–19.</w:t>
            </w:r>
          </w:p>
        </w:tc>
      </w:tr>
      <w:tr w:rsidR="000D687E" w:rsidRPr="00CD6245" w14:paraId="258D42BA" w14:textId="77777777" w:rsidTr="004B18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2" w:type="dxa"/>
          </w:tcPr>
          <w:p w14:paraId="19E2DDC2" w14:textId="77777777" w:rsidR="000D687E" w:rsidRPr="00CD6245" w:rsidRDefault="000D687E" w:rsidP="00567B7A">
            <w:pPr>
              <w:pStyle w:val="TableText"/>
            </w:pPr>
            <w:r w:rsidRPr="00CD6245">
              <w:t>2</w:t>
            </w:r>
          </w:p>
        </w:tc>
        <w:tc>
          <w:tcPr>
            <w:tcW w:w="1989" w:type="dxa"/>
          </w:tcPr>
          <w:p w14:paraId="2F6210C0" w14:textId="75BEC520" w:rsidR="000D687E" w:rsidRPr="00726E77" w:rsidRDefault="000D687E" w:rsidP="00567B7A">
            <w:pPr>
              <w:pStyle w:val="TableText"/>
              <w:cnfStyle w:val="000000100000" w:firstRow="0" w:lastRow="0" w:firstColumn="0" w:lastColumn="0" w:oddVBand="0" w:evenVBand="0" w:oddHBand="1" w:evenHBand="0" w:firstRowFirstColumn="0" w:firstRowLastColumn="0" w:lastRowFirstColumn="0" w:lastRowLastColumn="0"/>
            </w:pPr>
            <w:r w:rsidRPr="00726E77">
              <w:t xml:space="preserve">Proportion of P-Card </w:t>
            </w:r>
            <w:r w:rsidR="00A40FAE">
              <w:t xml:space="preserve">(or equivalent) </w:t>
            </w:r>
            <w:r w:rsidRPr="00726E77">
              <w:t>transactions</w:t>
            </w:r>
          </w:p>
        </w:tc>
        <w:tc>
          <w:tcPr>
            <w:tcW w:w="513" w:type="dxa"/>
          </w:tcPr>
          <w:p w14:paraId="60297535" w14:textId="77777777" w:rsidR="000D687E" w:rsidRDefault="000D687E" w:rsidP="006B0393">
            <w:pPr>
              <w:pStyle w:val="Tablenumbers"/>
              <w:cnfStyle w:val="000000100000" w:firstRow="0" w:lastRow="0" w:firstColumn="0" w:lastColumn="0" w:oddVBand="0" w:evenVBand="0" w:oddHBand="1" w:evenHBand="0" w:firstRowFirstColumn="0" w:firstRowLastColumn="0" w:lastRowFirstColumn="0" w:lastRowLastColumn="0"/>
            </w:pPr>
            <w:r>
              <w:t>0</w:t>
            </w:r>
          </w:p>
        </w:tc>
        <w:tc>
          <w:tcPr>
            <w:tcW w:w="571" w:type="dxa"/>
          </w:tcPr>
          <w:p w14:paraId="31825BD4" w14:textId="77777777" w:rsidR="000D687E" w:rsidRDefault="000D687E" w:rsidP="006B0393">
            <w:pPr>
              <w:pStyle w:val="Tablenumbers"/>
              <w:cnfStyle w:val="000000100000" w:firstRow="0" w:lastRow="0" w:firstColumn="0" w:lastColumn="0" w:oddVBand="0" w:evenVBand="0" w:oddHBand="1" w:evenHBand="0" w:firstRowFirstColumn="0" w:firstRowLastColumn="0" w:lastRowFirstColumn="0" w:lastRowLastColumn="0"/>
            </w:pPr>
            <w:r>
              <w:t>0</w:t>
            </w:r>
          </w:p>
        </w:tc>
        <w:tc>
          <w:tcPr>
            <w:tcW w:w="577" w:type="dxa"/>
          </w:tcPr>
          <w:p w14:paraId="7109AB3B" w14:textId="77777777" w:rsidR="000D687E" w:rsidRPr="00F66493" w:rsidRDefault="000D687E" w:rsidP="006B0393">
            <w:pPr>
              <w:pStyle w:val="Tablenumbers"/>
              <w:cnfStyle w:val="000000100000" w:firstRow="0" w:lastRow="0" w:firstColumn="0" w:lastColumn="0" w:oddVBand="0" w:evenVBand="0" w:oddHBand="1" w:evenHBand="0" w:firstRowFirstColumn="0" w:firstRowLastColumn="0" w:lastRowFirstColumn="0" w:lastRowLastColumn="0"/>
            </w:pPr>
            <w:r w:rsidRPr="00F66493">
              <w:t>0</w:t>
            </w:r>
          </w:p>
        </w:tc>
        <w:tc>
          <w:tcPr>
            <w:tcW w:w="4645" w:type="dxa"/>
          </w:tcPr>
          <w:p w14:paraId="1AFAE0C2" w14:textId="5D862EF2" w:rsidR="000D687E" w:rsidRPr="00F66493" w:rsidRDefault="000D687E" w:rsidP="00567B7A">
            <w:pPr>
              <w:pStyle w:val="TableText"/>
              <w:cnfStyle w:val="000000100000" w:firstRow="0" w:lastRow="0" w:firstColumn="0" w:lastColumn="0" w:oddVBand="0" w:evenVBand="0" w:oddHBand="1" w:evenHBand="0" w:firstRowFirstColumn="0" w:firstRowLastColumn="0" w:lastRowFirstColumn="0" w:lastRowLastColumn="0"/>
            </w:pPr>
            <w:r w:rsidRPr="00F66493">
              <w:t xml:space="preserve">DPC has not implemented </w:t>
            </w:r>
            <w:r w:rsidR="003F0957" w:rsidRPr="00F66493">
              <w:t>P-C</w:t>
            </w:r>
            <w:r w:rsidRPr="00F66493">
              <w:t>ards.</w:t>
            </w:r>
          </w:p>
        </w:tc>
      </w:tr>
      <w:tr w:rsidR="000D687E" w:rsidRPr="00CD6245" w14:paraId="26307131" w14:textId="77777777" w:rsidTr="004B1827">
        <w:tc>
          <w:tcPr>
            <w:cnfStyle w:val="001000000000" w:firstRow="0" w:lastRow="0" w:firstColumn="1" w:lastColumn="0" w:oddVBand="0" w:evenVBand="0" w:oddHBand="0" w:evenHBand="0" w:firstRowFirstColumn="0" w:firstRowLastColumn="0" w:lastRowFirstColumn="0" w:lastRowLastColumn="0"/>
            <w:tcW w:w="352" w:type="dxa"/>
          </w:tcPr>
          <w:p w14:paraId="3745A1A7" w14:textId="77777777" w:rsidR="000D687E" w:rsidRPr="00CD6245" w:rsidRDefault="000D687E" w:rsidP="00567B7A">
            <w:pPr>
              <w:pStyle w:val="TableText"/>
            </w:pPr>
            <w:r w:rsidRPr="00CD6245">
              <w:t>3</w:t>
            </w:r>
          </w:p>
        </w:tc>
        <w:tc>
          <w:tcPr>
            <w:tcW w:w="1989" w:type="dxa"/>
          </w:tcPr>
          <w:p w14:paraId="05575378" w14:textId="77777777" w:rsidR="000D687E" w:rsidRPr="00726E77" w:rsidRDefault="000D687E" w:rsidP="00567B7A">
            <w:pPr>
              <w:pStyle w:val="TableText"/>
              <w:cnfStyle w:val="000000000000" w:firstRow="0" w:lastRow="0" w:firstColumn="0" w:lastColumn="0" w:oddVBand="0" w:evenVBand="0" w:oddHBand="0" w:evenHBand="0" w:firstRowFirstColumn="0" w:firstRowLastColumn="0" w:lastRowFirstColumn="0" w:lastRowLastColumn="0"/>
            </w:pPr>
            <w:r w:rsidRPr="00726E77">
              <w:t>Increase in procurement capability</w:t>
            </w:r>
          </w:p>
        </w:tc>
        <w:tc>
          <w:tcPr>
            <w:tcW w:w="513" w:type="dxa"/>
          </w:tcPr>
          <w:p w14:paraId="0229E73B" w14:textId="77777777" w:rsidR="000D687E" w:rsidRDefault="000D687E" w:rsidP="006B0393">
            <w:pPr>
              <w:pStyle w:val="Tablenumbers"/>
              <w:cnfStyle w:val="000000000000" w:firstRow="0" w:lastRow="0" w:firstColumn="0" w:lastColumn="0" w:oddVBand="0" w:evenVBand="0" w:oddHBand="0" w:evenHBand="0" w:firstRowFirstColumn="0" w:firstRowLastColumn="0" w:lastRowFirstColumn="0" w:lastRowLastColumn="0"/>
            </w:pPr>
            <w:r>
              <w:t>..</w:t>
            </w:r>
            <w:r>
              <w:br/>
            </w:r>
          </w:p>
        </w:tc>
        <w:tc>
          <w:tcPr>
            <w:tcW w:w="571" w:type="dxa"/>
          </w:tcPr>
          <w:p w14:paraId="1C988499" w14:textId="77777777" w:rsidR="000D687E" w:rsidRDefault="000D687E" w:rsidP="006B0393">
            <w:pPr>
              <w:pStyle w:val="Tablenumbers"/>
              <w:cnfStyle w:val="000000000000" w:firstRow="0" w:lastRow="0" w:firstColumn="0" w:lastColumn="0" w:oddVBand="0" w:evenVBand="0" w:oddHBand="0" w:evenHBand="0" w:firstRowFirstColumn="0" w:firstRowLastColumn="0" w:lastRowFirstColumn="0" w:lastRowLastColumn="0"/>
            </w:pPr>
            <w:r>
              <w:t>..</w:t>
            </w:r>
          </w:p>
        </w:tc>
        <w:tc>
          <w:tcPr>
            <w:tcW w:w="577" w:type="dxa"/>
          </w:tcPr>
          <w:p w14:paraId="2223A3F9" w14:textId="77777777" w:rsidR="000D687E" w:rsidRPr="00CD6245" w:rsidRDefault="000D687E" w:rsidP="006B0393">
            <w:pPr>
              <w:pStyle w:val="Tablenumbers"/>
              <w:cnfStyle w:val="000000000000" w:firstRow="0" w:lastRow="0" w:firstColumn="0" w:lastColumn="0" w:oddVBand="0" w:evenVBand="0" w:oddHBand="0" w:evenHBand="0" w:firstRowFirstColumn="0" w:firstRowLastColumn="0" w:lastRowFirstColumn="0" w:lastRowLastColumn="0"/>
            </w:pPr>
            <w:r>
              <w:t>17.6</w:t>
            </w:r>
          </w:p>
        </w:tc>
        <w:tc>
          <w:tcPr>
            <w:tcW w:w="4645" w:type="dxa"/>
          </w:tcPr>
          <w:p w14:paraId="4C564F63" w14:textId="2775A020" w:rsidR="000D687E" w:rsidRPr="00CD6245" w:rsidRDefault="0025012A" w:rsidP="00567B7A">
            <w:pPr>
              <w:pStyle w:val="TableText"/>
              <w:cnfStyle w:val="000000000000" w:firstRow="0" w:lastRow="0" w:firstColumn="0" w:lastColumn="0" w:oddVBand="0" w:evenVBand="0" w:oddHBand="0" w:evenHBand="0" w:firstRowFirstColumn="0" w:firstRowLastColumn="0" w:lastRowFirstColumn="0" w:lastRowLastColumn="0"/>
            </w:pPr>
            <w:r>
              <w:t>DPC</w:t>
            </w:r>
            <w:r w:rsidR="000D687E" w:rsidRPr="009E44CF">
              <w:t xml:space="preserve"> had gains in all capability areas</w:t>
            </w:r>
            <w:r w:rsidR="003F0957">
              <w:t>,</w:t>
            </w:r>
            <w:r w:rsidR="000D687E" w:rsidRPr="009E44CF">
              <w:t xml:space="preserve"> with the most significant being improvements to procurement documentation processes and complaints handling.</w:t>
            </w:r>
          </w:p>
        </w:tc>
      </w:tr>
      <w:tr w:rsidR="000D687E" w:rsidRPr="00CD6245" w14:paraId="096DF56F" w14:textId="77777777" w:rsidTr="004B18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2" w:type="dxa"/>
          </w:tcPr>
          <w:p w14:paraId="2B7331AE" w14:textId="77777777" w:rsidR="000D687E" w:rsidRPr="00CD6245" w:rsidRDefault="000D687E" w:rsidP="00567B7A">
            <w:pPr>
              <w:pStyle w:val="TableText"/>
            </w:pPr>
            <w:r w:rsidRPr="00CD6245">
              <w:t>4</w:t>
            </w:r>
          </w:p>
        </w:tc>
        <w:tc>
          <w:tcPr>
            <w:tcW w:w="1989" w:type="dxa"/>
          </w:tcPr>
          <w:p w14:paraId="7D45A19F" w14:textId="77777777" w:rsidR="000D687E" w:rsidRPr="00726E77" w:rsidRDefault="000D687E" w:rsidP="00567B7A">
            <w:pPr>
              <w:pStyle w:val="TableText"/>
              <w:cnfStyle w:val="000000100000" w:firstRow="0" w:lastRow="0" w:firstColumn="0" w:lastColumn="0" w:oddVBand="0" w:evenVBand="0" w:oddHBand="1" w:evenHBand="0" w:firstRowFirstColumn="0" w:firstRowLastColumn="0" w:lastRowFirstColumn="0" w:lastRowLastColumn="0"/>
            </w:pPr>
            <w:r w:rsidRPr="00726E77">
              <w:t>Cost of procurement resources</w:t>
            </w:r>
          </w:p>
        </w:tc>
        <w:tc>
          <w:tcPr>
            <w:tcW w:w="513" w:type="dxa"/>
          </w:tcPr>
          <w:p w14:paraId="7356408D" w14:textId="77777777" w:rsidR="000D687E" w:rsidRDefault="000D687E" w:rsidP="006B0393">
            <w:pPr>
              <w:pStyle w:val="Tablenumbers"/>
              <w:cnfStyle w:val="000000100000" w:firstRow="0" w:lastRow="0" w:firstColumn="0" w:lastColumn="0" w:oddVBand="0" w:evenVBand="0" w:oddHBand="1" w:evenHBand="0" w:firstRowFirstColumn="0" w:firstRowLastColumn="0" w:lastRowFirstColumn="0" w:lastRowLastColumn="0"/>
            </w:pPr>
            <w:r>
              <w:t>0.9</w:t>
            </w:r>
          </w:p>
        </w:tc>
        <w:tc>
          <w:tcPr>
            <w:tcW w:w="571" w:type="dxa"/>
          </w:tcPr>
          <w:p w14:paraId="4EF761B9" w14:textId="77777777" w:rsidR="000D687E" w:rsidRDefault="000D687E" w:rsidP="006B0393">
            <w:pPr>
              <w:pStyle w:val="Tablenumbers"/>
              <w:cnfStyle w:val="000000100000" w:firstRow="0" w:lastRow="0" w:firstColumn="0" w:lastColumn="0" w:oddVBand="0" w:evenVBand="0" w:oddHBand="1" w:evenHBand="0" w:firstRowFirstColumn="0" w:firstRowLastColumn="0" w:lastRowFirstColumn="0" w:lastRowLastColumn="0"/>
            </w:pPr>
            <w:r>
              <w:t>1.2</w:t>
            </w:r>
          </w:p>
        </w:tc>
        <w:tc>
          <w:tcPr>
            <w:tcW w:w="577" w:type="dxa"/>
          </w:tcPr>
          <w:p w14:paraId="036CE3D5" w14:textId="77777777" w:rsidR="000D687E" w:rsidRPr="00CD6245" w:rsidRDefault="000D687E" w:rsidP="006B0393">
            <w:pPr>
              <w:pStyle w:val="Tablenumbers"/>
              <w:cnfStyle w:val="000000100000" w:firstRow="0" w:lastRow="0" w:firstColumn="0" w:lastColumn="0" w:oddVBand="0" w:evenVBand="0" w:oddHBand="1" w:evenHBand="0" w:firstRowFirstColumn="0" w:firstRowLastColumn="0" w:lastRowFirstColumn="0" w:lastRowLastColumn="0"/>
            </w:pPr>
            <w:r>
              <w:t>0.5</w:t>
            </w:r>
          </w:p>
        </w:tc>
        <w:tc>
          <w:tcPr>
            <w:tcW w:w="4645" w:type="dxa"/>
          </w:tcPr>
          <w:p w14:paraId="036D0BE5" w14:textId="16E181D0" w:rsidR="000D687E" w:rsidRPr="00CD6245" w:rsidRDefault="000D687E" w:rsidP="00567B7A">
            <w:pPr>
              <w:pStyle w:val="TableText"/>
              <w:cnfStyle w:val="000000100000" w:firstRow="0" w:lastRow="0" w:firstColumn="0" w:lastColumn="0" w:oddVBand="0" w:evenVBand="0" w:oddHBand="1" w:evenHBand="0" w:firstRowFirstColumn="0" w:firstRowLastColumn="0" w:lastRowFirstColumn="0" w:lastRowLastColumn="0"/>
            </w:pPr>
            <w:r>
              <w:t xml:space="preserve">The decrease </w:t>
            </w:r>
            <w:r w:rsidRPr="009E44CF">
              <w:t>is a direct result of the WoVG ICT Procurement</w:t>
            </w:r>
            <w:r>
              <w:t xml:space="preserve"> </w:t>
            </w:r>
            <w:r w:rsidR="00137613">
              <w:t>T</w:t>
            </w:r>
            <w:r>
              <w:t>eam restructure</w:t>
            </w:r>
            <w:r w:rsidR="003F0957">
              <w:t>,</w:t>
            </w:r>
            <w:r>
              <w:t xml:space="preserve"> which starte</w:t>
            </w:r>
            <w:r w:rsidRPr="009E44CF">
              <w:t>d in April 2018.</w:t>
            </w:r>
          </w:p>
        </w:tc>
      </w:tr>
      <w:tr w:rsidR="006B0393" w:rsidRPr="00CD6245" w14:paraId="11AD0248" w14:textId="77777777" w:rsidTr="004B1827">
        <w:tc>
          <w:tcPr>
            <w:cnfStyle w:val="001000000000" w:firstRow="0" w:lastRow="0" w:firstColumn="1" w:lastColumn="0" w:oddVBand="0" w:evenVBand="0" w:oddHBand="0" w:evenHBand="0" w:firstRowFirstColumn="0" w:firstRowLastColumn="0" w:lastRowFirstColumn="0" w:lastRowLastColumn="0"/>
            <w:tcW w:w="352" w:type="dxa"/>
            <w:vMerge w:val="restart"/>
          </w:tcPr>
          <w:p w14:paraId="08CA46E7" w14:textId="1B32F967" w:rsidR="006B0393" w:rsidRPr="00CD6245" w:rsidRDefault="006B0393" w:rsidP="006B0393">
            <w:pPr>
              <w:pStyle w:val="TableText"/>
            </w:pPr>
            <w:r w:rsidRPr="00CD6245">
              <w:t>5</w:t>
            </w:r>
          </w:p>
        </w:tc>
        <w:tc>
          <w:tcPr>
            <w:tcW w:w="1989" w:type="dxa"/>
          </w:tcPr>
          <w:p w14:paraId="530ED2CD" w14:textId="5885D76C" w:rsidR="006B0393" w:rsidRPr="00726E77" w:rsidRDefault="006B0393" w:rsidP="006B0393">
            <w:pPr>
              <w:pStyle w:val="TableText"/>
              <w:cnfStyle w:val="000000000000" w:firstRow="0" w:lastRow="0" w:firstColumn="0" w:lastColumn="0" w:oddVBand="0" w:evenVBand="0" w:oddHBand="0" w:evenHBand="0" w:firstRowFirstColumn="0" w:firstRowLastColumn="0" w:lastRowFirstColumn="0" w:lastRowLastColumn="0"/>
            </w:pPr>
            <w:r w:rsidRPr="000451B5">
              <w:t xml:space="preserve">Successful </w:t>
            </w:r>
            <w:r>
              <w:t>s</w:t>
            </w:r>
            <w:r w:rsidRPr="008F30C8">
              <w:t>upplie</w:t>
            </w:r>
            <w:r>
              <w:t xml:space="preserve">r </w:t>
            </w:r>
            <w:r w:rsidRPr="000451B5">
              <w:t>satisfied</w:t>
            </w:r>
          </w:p>
        </w:tc>
        <w:tc>
          <w:tcPr>
            <w:tcW w:w="513" w:type="dxa"/>
          </w:tcPr>
          <w:p w14:paraId="7AB9D5DD" w14:textId="1ACDD8BF" w:rsidR="006B0393" w:rsidRDefault="006B0393" w:rsidP="006B0393">
            <w:pPr>
              <w:pStyle w:val="Tablenumbers"/>
              <w:cnfStyle w:val="000000000000" w:firstRow="0" w:lastRow="0" w:firstColumn="0" w:lastColumn="0" w:oddVBand="0" w:evenVBand="0" w:oddHBand="0" w:evenHBand="0" w:firstRowFirstColumn="0" w:firstRowLastColumn="0" w:lastRowFirstColumn="0" w:lastRowLastColumn="0"/>
            </w:pPr>
            <w:r>
              <w:t>57</w:t>
            </w:r>
          </w:p>
        </w:tc>
        <w:tc>
          <w:tcPr>
            <w:tcW w:w="571" w:type="dxa"/>
          </w:tcPr>
          <w:p w14:paraId="464E85DB" w14:textId="62E13049" w:rsidR="006B0393" w:rsidRDefault="006B0393" w:rsidP="006B0393">
            <w:pPr>
              <w:pStyle w:val="Tablenumbers"/>
              <w:cnfStyle w:val="000000000000" w:firstRow="0" w:lastRow="0" w:firstColumn="0" w:lastColumn="0" w:oddVBand="0" w:evenVBand="0" w:oddHBand="0" w:evenHBand="0" w:firstRowFirstColumn="0" w:firstRowLastColumn="0" w:lastRowFirstColumn="0" w:lastRowLastColumn="0"/>
            </w:pPr>
            <w:r>
              <w:t>73</w:t>
            </w:r>
          </w:p>
        </w:tc>
        <w:tc>
          <w:tcPr>
            <w:tcW w:w="577" w:type="dxa"/>
          </w:tcPr>
          <w:p w14:paraId="4D720517" w14:textId="42034CED" w:rsidR="006B0393" w:rsidRDefault="006B0393" w:rsidP="006B0393">
            <w:pPr>
              <w:pStyle w:val="Tablenumbers"/>
              <w:cnfStyle w:val="000000000000" w:firstRow="0" w:lastRow="0" w:firstColumn="0" w:lastColumn="0" w:oddVBand="0" w:evenVBand="0" w:oddHBand="0" w:evenHBand="0" w:firstRowFirstColumn="0" w:firstRowLastColumn="0" w:lastRowFirstColumn="0" w:lastRowLastColumn="0"/>
            </w:pPr>
            <w:r>
              <w:t>78</w:t>
            </w:r>
          </w:p>
        </w:tc>
        <w:tc>
          <w:tcPr>
            <w:tcW w:w="4645" w:type="dxa"/>
            <w:vMerge w:val="restart"/>
          </w:tcPr>
          <w:p w14:paraId="2A3A17BA" w14:textId="3D1CD528" w:rsidR="006B0393" w:rsidRDefault="006B0393" w:rsidP="006B0393">
            <w:pPr>
              <w:pStyle w:val="TableText"/>
              <w:cnfStyle w:val="000000000000" w:firstRow="0" w:lastRow="0" w:firstColumn="0" w:lastColumn="0" w:oddVBand="0" w:evenVBand="0" w:oddHBand="0" w:evenHBand="0" w:firstRowFirstColumn="0" w:firstRowLastColumn="0" w:lastRowFirstColumn="0" w:lastRowLastColumn="0"/>
            </w:pPr>
            <w:r>
              <w:t>Successful satisfied suppliers has increased while successful unsatisfied has decreased.</w:t>
            </w:r>
          </w:p>
        </w:tc>
      </w:tr>
      <w:tr w:rsidR="006B0393" w:rsidRPr="00CD6245" w14:paraId="2ED7F02F" w14:textId="77777777" w:rsidTr="004B18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2" w:type="dxa"/>
            <w:vMerge/>
          </w:tcPr>
          <w:p w14:paraId="6C50B183" w14:textId="77777777" w:rsidR="006B0393" w:rsidRPr="00CD6245" w:rsidRDefault="006B0393" w:rsidP="006B0393">
            <w:pPr>
              <w:pStyle w:val="TableText"/>
            </w:pPr>
          </w:p>
        </w:tc>
        <w:tc>
          <w:tcPr>
            <w:tcW w:w="1989" w:type="dxa"/>
          </w:tcPr>
          <w:p w14:paraId="6EB6D8D6" w14:textId="21A63E27" w:rsidR="006B0393" w:rsidRPr="00726E77" w:rsidRDefault="006B0393" w:rsidP="006B0393">
            <w:pPr>
              <w:pStyle w:val="TableText"/>
              <w:cnfStyle w:val="000000100000" w:firstRow="0" w:lastRow="0" w:firstColumn="0" w:lastColumn="0" w:oddVBand="0" w:evenVBand="0" w:oddHBand="1" w:evenHBand="0" w:firstRowFirstColumn="0" w:firstRowLastColumn="0" w:lastRowFirstColumn="0" w:lastRowLastColumn="0"/>
            </w:pPr>
            <w:r w:rsidRPr="000451B5">
              <w:t xml:space="preserve">Unsuccessful </w:t>
            </w:r>
            <w:r>
              <w:t>s</w:t>
            </w:r>
            <w:r w:rsidRPr="008F30C8">
              <w:t>upplie</w:t>
            </w:r>
            <w:r>
              <w:t xml:space="preserve">r </w:t>
            </w:r>
            <w:r w:rsidRPr="000451B5">
              <w:t>satisfied</w:t>
            </w:r>
          </w:p>
        </w:tc>
        <w:tc>
          <w:tcPr>
            <w:tcW w:w="513" w:type="dxa"/>
          </w:tcPr>
          <w:p w14:paraId="77A97975" w14:textId="4800429F" w:rsidR="006B0393" w:rsidRDefault="006B0393" w:rsidP="006B0393">
            <w:pPr>
              <w:pStyle w:val="Tablenumbers"/>
              <w:cnfStyle w:val="000000100000" w:firstRow="0" w:lastRow="0" w:firstColumn="0" w:lastColumn="0" w:oddVBand="0" w:evenVBand="0" w:oddHBand="1" w:evenHBand="0" w:firstRowFirstColumn="0" w:firstRowLastColumn="0" w:lastRowFirstColumn="0" w:lastRowLastColumn="0"/>
            </w:pPr>
            <w:r>
              <w:t>33</w:t>
            </w:r>
          </w:p>
        </w:tc>
        <w:tc>
          <w:tcPr>
            <w:tcW w:w="571" w:type="dxa"/>
          </w:tcPr>
          <w:p w14:paraId="3BA5771D" w14:textId="2EBD244D" w:rsidR="006B0393" w:rsidRDefault="006B0393" w:rsidP="006B0393">
            <w:pPr>
              <w:pStyle w:val="Tablenumbers"/>
              <w:cnfStyle w:val="000000100000" w:firstRow="0" w:lastRow="0" w:firstColumn="0" w:lastColumn="0" w:oddVBand="0" w:evenVBand="0" w:oddHBand="1" w:evenHBand="0" w:firstRowFirstColumn="0" w:firstRowLastColumn="0" w:lastRowFirstColumn="0" w:lastRowLastColumn="0"/>
            </w:pPr>
            <w:r>
              <w:t>36</w:t>
            </w:r>
          </w:p>
        </w:tc>
        <w:tc>
          <w:tcPr>
            <w:tcW w:w="577" w:type="dxa"/>
          </w:tcPr>
          <w:p w14:paraId="55D765E1" w14:textId="2245F239" w:rsidR="006B0393" w:rsidRDefault="006B0393" w:rsidP="006B0393">
            <w:pPr>
              <w:pStyle w:val="Tablenumbers"/>
              <w:cnfStyle w:val="000000100000" w:firstRow="0" w:lastRow="0" w:firstColumn="0" w:lastColumn="0" w:oddVBand="0" w:evenVBand="0" w:oddHBand="1" w:evenHBand="0" w:firstRowFirstColumn="0" w:firstRowLastColumn="0" w:lastRowFirstColumn="0" w:lastRowLastColumn="0"/>
            </w:pPr>
            <w:r>
              <w:t>25</w:t>
            </w:r>
          </w:p>
        </w:tc>
        <w:tc>
          <w:tcPr>
            <w:tcW w:w="4645" w:type="dxa"/>
            <w:vMerge/>
          </w:tcPr>
          <w:p w14:paraId="436C5A7B" w14:textId="77777777" w:rsidR="006B0393" w:rsidRDefault="006B0393" w:rsidP="006B0393">
            <w:pPr>
              <w:pStyle w:val="TableText"/>
              <w:cnfStyle w:val="000000100000" w:firstRow="0" w:lastRow="0" w:firstColumn="0" w:lastColumn="0" w:oddVBand="0" w:evenVBand="0" w:oddHBand="1" w:evenHBand="0" w:firstRowFirstColumn="0" w:firstRowLastColumn="0" w:lastRowFirstColumn="0" w:lastRowLastColumn="0"/>
            </w:pPr>
          </w:p>
        </w:tc>
      </w:tr>
      <w:tr w:rsidR="000D687E" w:rsidRPr="00CD6245" w14:paraId="3F9FB1AB" w14:textId="77777777" w:rsidTr="004B1827">
        <w:trPr>
          <w:trHeight w:val="283"/>
        </w:trPr>
        <w:tc>
          <w:tcPr>
            <w:cnfStyle w:val="001000000000" w:firstRow="0" w:lastRow="0" w:firstColumn="1" w:lastColumn="0" w:oddVBand="0" w:evenVBand="0" w:oddHBand="0" w:evenHBand="0" w:firstRowFirstColumn="0" w:firstRowLastColumn="0" w:lastRowFirstColumn="0" w:lastRowLastColumn="0"/>
            <w:tcW w:w="352" w:type="dxa"/>
          </w:tcPr>
          <w:p w14:paraId="15D3CD62" w14:textId="77777777" w:rsidR="000D687E" w:rsidRPr="00CD6245" w:rsidRDefault="000D687E" w:rsidP="00567B7A">
            <w:pPr>
              <w:pStyle w:val="TableText"/>
            </w:pPr>
            <w:r w:rsidRPr="00CD6245">
              <w:t>6</w:t>
            </w:r>
          </w:p>
        </w:tc>
        <w:tc>
          <w:tcPr>
            <w:tcW w:w="1989" w:type="dxa"/>
          </w:tcPr>
          <w:p w14:paraId="797AE4D7" w14:textId="77777777" w:rsidR="000D687E" w:rsidRPr="00726E77" w:rsidRDefault="000D687E" w:rsidP="00567B7A">
            <w:pPr>
              <w:pStyle w:val="TableText"/>
              <w:cnfStyle w:val="000000000000" w:firstRow="0" w:lastRow="0" w:firstColumn="0" w:lastColumn="0" w:oddVBand="0" w:evenVBand="0" w:oddHBand="0" w:evenHBand="0" w:firstRowFirstColumn="0" w:firstRowLastColumn="0" w:lastRowFirstColumn="0" w:lastRowLastColumn="0"/>
            </w:pPr>
            <w:r w:rsidRPr="00726E77">
              <w:t>Planned procurement activity</w:t>
            </w:r>
          </w:p>
        </w:tc>
        <w:tc>
          <w:tcPr>
            <w:tcW w:w="513" w:type="dxa"/>
          </w:tcPr>
          <w:p w14:paraId="7AAA0DCE" w14:textId="77777777" w:rsidR="000D687E" w:rsidRDefault="000D687E" w:rsidP="006B0393">
            <w:pPr>
              <w:pStyle w:val="Tablenumbers"/>
              <w:cnfStyle w:val="000000000000" w:firstRow="0" w:lastRow="0" w:firstColumn="0" w:lastColumn="0" w:oddVBand="0" w:evenVBand="0" w:oddHBand="0" w:evenHBand="0" w:firstRowFirstColumn="0" w:firstRowLastColumn="0" w:lastRowFirstColumn="0" w:lastRowLastColumn="0"/>
            </w:pPr>
            <w:r>
              <w:t>..</w:t>
            </w:r>
            <w:r>
              <w:br/>
            </w:r>
          </w:p>
        </w:tc>
        <w:tc>
          <w:tcPr>
            <w:tcW w:w="571" w:type="dxa"/>
          </w:tcPr>
          <w:p w14:paraId="68E081DB" w14:textId="77777777" w:rsidR="000D687E" w:rsidRDefault="000D687E" w:rsidP="006B0393">
            <w:pPr>
              <w:pStyle w:val="Tablenumbers"/>
              <w:cnfStyle w:val="000000000000" w:firstRow="0" w:lastRow="0" w:firstColumn="0" w:lastColumn="0" w:oddVBand="0" w:evenVBand="0" w:oddHBand="0" w:evenHBand="0" w:firstRowFirstColumn="0" w:firstRowLastColumn="0" w:lastRowFirstColumn="0" w:lastRowLastColumn="0"/>
            </w:pPr>
            <w:r>
              <w:t>50.0</w:t>
            </w:r>
          </w:p>
        </w:tc>
        <w:tc>
          <w:tcPr>
            <w:tcW w:w="577" w:type="dxa"/>
          </w:tcPr>
          <w:p w14:paraId="07E2AFAA" w14:textId="77777777" w:rsidR="000D687E" w:rsidRPr="00CD6245" w:rsidRDefault="000D687E" w:rsidP="006B0393">
            <w:pPr>
              <w:pStyle w:val="Tablenumbers"/>
              <w:cnfStyle w:val="000000000000" w:firstRow="0" w:lastRow="0" w:firstColumn="0" w:lastColumn="0" w:oddVBand="0" w:evenVBand="0" w:oddHBand="0" w:evenHBand="0" w:firstRowFirstColumn="0" w:firstRowLastColumn="0" w:lastRowFirstColumn="0" w:lastRowLastColumn="0"/>
            </w:pPr>
            <w:r>
              <w:t>48.4</w:t>
            </w:r>
          </w:p>
        </w:tc>
        <w:tc>
          <w:tcPr>
            <w:tcW w:w="4645" w:type="dxa"/>
          </w:tcPr>
          <w:p w14:paraId="1E79BEF6" w14:textId="61E8D652" w:rsidR="000D687E" w:rsidRPr="00CD6245" w:rsidRDefault="0054602B" w:rsidP="00567B7A">
            <w:pPr>
              <w:pStyle w:val="TableText"/>
              <w:cnfStyle w:val="000000000000" w:firstRow="0" w:lastRow="0" w:firstColumn="0" w:lastColumn="0" w:oddVBand="0" w:evenVBand="0" w:oddHBand="0" w:evenHBand="0" w:firstRowFirstColumn="0" w:firstRowLastColumn="0" w:lastRowFirstColumn="0" w:lastRowLastColumn="0"/>
            </w:pPr>
            <w:r>
              <w:t xml:space="preserve">DPC </w:t>
            </w:r>
            <w:r w:rsidR="000D687E">
              <w:t>continue</w:t>
            </w:r>
            <w:r>
              <w:t>s</w:t>
            </w:r>
            <w:r w:rsidR="000D687E" w:rsidRPr="009E44CF">
              <w:t xml:space="preserve"> to measure planne</w:t>
            </w:r>
            <w:r w:rsidR="000D687E">
              <w:t xml:space="preserve">d procurement activities but </w:t>
            </w:r>
            <w:r w:rsidR="00A6562B">
              <w:t xml:space="preserve">is </w:t>
            </w:r>
            <w:r w:rsidR="000D687E" w:rsidRPr="009E44CF">
              <w:t>also reactive to the</w:t>
            </w:r>
            <w:r w:rsidR="000D687E">
              <w:t xml:space="preserve"> service delivery needs of the </w:t>
            </w:r>
            <w:r w:rsidR="0025012A">
              <w:t>D</w:t>
            </w:r>
            <w:r w:rsidR="000D687E" w:rsidRPr="009E44CF">
              <w:t>epartment.</w:t>
            </w:r>
          </w:p>
        </w:tc>
      </w:tr>
    </w:tbl>
    <w:bookmarkEnd w:id="199"/>
    <w:p w14:paraId="6C6FBFD7" w14:textId="5DC9FBC3" w:rsidR="000D687E" w:rsidRPr="005524D2" w:rsidRDefault="000D687E" w:rsidP="005B2E7F">
      <w:pPr>
        <w:pStyle w:val="Tablenotes"/>
        <w:ind w:left="993"/>
      </w:pPr>
      <w:r w:rsidRPr="005524D2">
        <w:t xml:space="preserve">Note: DPC </w:t>
      </w:r>
      <w:r w:rsidR="0025012A">
        <w:t>is</w:t>
      </w:r>
      <w:r w:rsidRPr="005524D2">
        <w:t xml:space="preserve"> evaluating </w:t>
      </w:r>
      <w:r w:rsidR="0025012A">
        <w:t>its</w:t>
      </w:r>
      <w:r w:rsidRPr="005524D2">
        <w:t xml:space="preserve"> methodology for calculating performance measure</w:t>
      </w:r>
      <w:r w:rsidR="009556FC">
        <w:t>s</w:t>
      </w:r>
      <w:r w:rsidRPr="005524D2">
        <w:t xml:space="preserve"> 1</w:t>
      </w:r>
      <w:r w:rsidR="00F66493">
        <w:t xml:space="preserve"> and 2</w:t>
      </w:r>
      <w:r w:rsidRPr="005524D2">
        <w:t>.</w:t>
      </w:r>
    </w:p>
    <w:p w14:paraId="2BFF9671" w14:textId="77777777" w:rsidR="00F66493" w:rsidRDefault="00F66493">
      <w:pPr>
        <w:rPr>
          <w:rFonts w:ascii="Calibri" w:hAnsi="Calibri" w:cs="Calibri"/>
          <w:b/>
          <w:color w:val="4D4D4D"/>
          <w:kern w:val="28"/>
          <w:sz w:val="26"/>
          <w:szCs w:val="22"/>
          <w:lang w:eastAsia="en-US"/>
        </w:rPr>
      </w:pPr>
      <w:r>
        <w:br w:type="page"/>
      </w:r>
    </w:p>
    <w:p w14:paraId="22C8F261" w14:textId="62F3548D" w:rsidR="002A7E78" w:rsidRDefault="002A7E78" w:rsidP="002A7E78">
      <w:pPr>
        <w:pStyle w:val="Heading3NoNum"/>
      </w:pPr>
      <w:r>
        <w:lastRenderedPageBreak/>
        <w:t>Activities planned for 2018–19</w:t>
      </w:r>
    </w:p>
    <w:p w14:paraId="120734DF" w14:textId="77777777" w:rsidR="002A7E78" w:rsidRDefault="002A7E78" w:rsidP="002A7E78">
      <w:pPr>
        <w:pStyle w:val="Normal1"/>
      </w:pPr>
      <w:r w:rsidRPr="006B0D78">
        <w:t>In 2018–19, DPC will:</w:t>
      </w:r>
    </w:p>
    <w:p w14:paraId="3983F7BC" w14:textId="77777777" w:rsidR="002A7E78" w:rsidRDefault="002A7E78" w:rsidP="002A7E78">
      <w:pPr>
        <w:pStyle w:val="Bullet1"/>
      </w:pPr>
      <w:r>
        <w:t xml:space="preserve">implement a </w:t>
      </w:r>
      <w:r w:rsidRPr="006B064A">
        <w:t>sour</w:t>
      </w:r>
      <w:r>
        <w:t>c</w:t>
      </w:r>
      <w:r w:rsidRPr="006B064A">
        <w:t>ing</w:t>
      </w:r>
      <w:r>
        <w:t>-</w:t>
      </w:r>
      <w:r w:rsidRPr="006B064A">
        <w:t>to</w:t>
      </w:r>
      <w:r>
        <w:t>-</w:t>
      </w:r>
      <w:r w:rsidRPr="006B064A">
        <w:t xml:space="preserve">contract </w:t>
      </w:r>
      <w:r>
        <w:t xml:space="preserve">e-procurement </w:t>
      </w:r>
      <w:r w:rsidRPr="006B064A">
        <w:t>system</w:t>
      </w:r>
      <w:r>
        <w:t xml:space="preserve"> to simplify the procurement process for corporate procurements and WoVG ICT contract management;</w:t>
      </w:r>
    </w:p>
    <w:p w14:paraId="16C3C9A5" w14:textId="77777777" w:rsidR="002A7E78" w:rsidRDefault="002A7E78" w:rsidP="002A7E78">
      <w:pPr>
        <w:pStyle w:val="Bullet1"/>
      </w:pPr>
      <w:r>
        <w:t>i</w:t>
      </w:r>
      <w:r w:rsidRPr="006B064A">
        <w:t>mplement an improved WoVG ICT procurement operating model and structure</w:t>
      </w:r>
      <w:r>
        <w:t>, which supports the G</w:t>
      </w:r>
      <w:r w:rsidRPr="006B064A">
        <w:t>overnment</w:t>
      </w:r>
      <w:r>
        <w:t>’</w:t>
      </w:r>
      <w:r w:rsidRPr="006B064A">
        <w:t>s ICT strategy and cyber security strategy</w:t>
      </w:r>
      <w:r>
        <w:t>; and</w:t>
      </w:r>
    </w:p>
    <w:p w14:paraId="701B6EBE" w14:textId="77777777" w:rsidR="002A7E78" w:rsidRPr="007C4DFF" w:rsidRDefault="002A7E78" w:rsidP="002A7E78">
      <w:pPr>
        <w:pStyle w:val="Bullet1"/>
      </w:pPr>
      <w:r>
        <w:t xml:space="preserve">develop a social procurement strategy that outlines DPC’s social procurement opportunities and objectives and aligns procurement activities with Victoria’s </w:t>
      </w:r>
      <w:r w:rsidRPr="007C4DFF">
        <w:t>Social Procurement Framework.</w:t>
      </w:r>
    </w:p>
    <w:p w14:paraId="757E1111" w14:textId="77777777" w:rsidR="00655B1E" w:rsidRDefault="00655B1E">
      <w:pPr>
        <w:rPr>
          <w:rFonts w:ascii="Calibri" w:hAnsi="Calibri" w:cs="Calibri"/>
          <w:b/>
          <w:color w:val="4D4D4D"/>
          <w:kern w:val="28"/>
          <w:sz w:val="26"/>
          <w:szCs w:val="22"/>
          <w:lang w:eastAsia="en-US"/>
        </w:rPr>
      </w:pPr>
      <w:r>
        <w:br w:type="page"/>
      </w:r>
    </w:p>
    <w:p w14:paraId="48EFD54A" w14:textId="0C8082AA" w:rsidR="00BE07F1" w:rsidRPr="00567B7A" w:rsidRDefault="00BE07F1" w:rsidP="009B04F5">
      <w:pPr>
        <w:pStyle w:val="Heading2NoNum"/>
      </w:pPr>
      <w:bookmarkStart w:id="200" w:name="_Toc524354087"/>
      <w:bookmarkEnd w:id="189"/>
      <w:r w:rsidRPr="00567B7A">
        <w:lastRenderedPageBreak/>
        <w:t>Department of Treasury and Finance</w:t>
      </w:r>
      <w:bookmarkEnd w:id="200"/>
    </w:p>
    <w:p w14:paraId="186E2C17" w14:textId="77777777" w:rsidR="000D687E" w:rsidRDefault="000D687E" w:rsidP="000D687E">
      <w:pPr>
        <w:pStyle w:val="Normal1"/>
      </w:pPr>
      <w:r>
        <w:t xml:space="preserve">The </w:t>
      </w:r>
      <w:r w:rsidRPr="00262BAC">
        <w:t>Department of Treasury and Finance (DTF) provides economic, financial and resource</w:t>
      </w:r>
      <w:r>
        <w:t xml:space="preserve"> management advice to support the G</w:t>
      </w:r>
      <w:r w:rsidRPr="00262BAC">
        <w:t xml:space="preserve">overnment </w:t>
      </w:r>
      <w:r>
        <w:t xml:space="preserve">to </w:t>
      </w:r>
      <w:r w:rsidRPr="00262BAC">
        <w:t>deliver its policies.</w:t>
      </w:r>
    </w:p>
    <w:p w14:paraId="559E35C3" w14:textId="77777777" w:rsidR="000D687E" w:rsidRDefault="000D687E" w:rsidP="000D687E">
      <w:pPr>
        <w:pStyle w:val="Heading3NoNum"/>
      </w:pPr>
      <w:r>
        <w:rPr>
          <w:noProof/>
          <w:lang w:val="en-US"/>
        </w:rPr>
        <mc:AlternateContent>
          <mc:Choice Requires="wps">
            <w:drawing>
              <wp:anchor distT="0" distB="0" distL="114300" distR="114300" simplePos="0" relativeHeight="251659776" behindDoc="0" locked="0" layoutInCell="1" allowOverlap="1" wp14:anchorId="20E34046" wp14:editId="492580F1">
                <wp:simplePos x="0" y="0"/>
                <wp:positionH relativeFrom="margin">
                  <wp:posOffset>4276725</wp:posOffset>
                </wp:positionH>
                <wp:positionV relativeFrom="margin">
                  <wp:posOffset>1019175</wp:posOffset>
                </wp:positionV>
                <wp:extent cx="1809750" cy="1400175"/>
                <wp:effectExtent l="0" t="0" r="19050" b="28575"/>
                <wp:wrapSquare wrapText="bothSides"/>
                <wp:docPr id="58" name="Text Box 58"/>
                <wp:cNvGraphicFramePr/>
                <a:graphic xmlns:a="http://schemas.openxmlformats.org/drawingml/2006/main">
                  <a:graphicData uri="http://schemas.microsoft.com/office/word/2010/wordprocessingShape">
                    <wps:wsp>
                      <wps:cNvSpPr txBox="1"/>
                      <wps:spPr>
                        <a:xfrm>
                          <a:off x="0" y="0"/>
                          <a:ext cx="1809750" cy="1400175"/>
                        </a:xfrm>
                        <a:prstGeom prst="rect">
                          <a:avLst/>
                        </a:prstGeom>
                        <a:solidFill>
                          <a:schemeClr val="lt1"/>
                        </a:solidFill>
                        <a:ln w="6350">
                          <a:solidFill>
                            <a:prstClr val="black"/>
                          </a:solidFill>
                        </a:ln>
                      </wps:spPr>
                      <wps:txbx>
                        <w:txbxContent>
                          <w:p w14:paraId="182FE173" w14:textId="77777777" w:rsidR="001206E5" w:rsidRPr="000D687E" w:rsidRDefault="001206E5" w:rsidP="000D687E">
                            <w:pPr>
                              <w:rPr>
                                <w:rFonts w:asciiTheme="majorHAnsi" w:hAnsiTheme="majorHAnsi" w:cstheme="majorHAnsi"/>
                                <w:b/>
                                <w:sz w:val="20"/>
                                <w:szCs w:val="20"/>
                              </w:rPr>
                            </w:pPr>
                            <w:r w:rsidRPr="000D687E">
                              <w:rPr>
                                <w:rFonts w:asciiTheme="majorHAnsi" w:hAnsiTheme="majorHAnsi" w:cstheme="majorHAnsi"/>
                                <w:b/>
                                <w:sz w:val="20"/>
                                <w:szCs w:val="20"/>
                              </w:rPr>
                              <w:t xml:space="preserve">AO: </w:t>
                            </w:r>
                            <w:r w:rsidRPr="000D687E">
                              <w:rPr>
                                <w:rFonts w:asciiTheme="majorHAnsi" w:hAnsiTheme="majorHAnsi" w:cstheme="majorHAnsi"/>
                                <w:sz w:val="20"/>
                                <w:szCs w:val="20"/>
                              </w:rPr>
                              <w:t>David Martine, Secretary, Senior Executive Group</w:t>
                            </w:r>
                          </w:p>
                          <w:p w14:paraId="7FE8B072" w14:textId="77777777" w:rsidR="001206E5" w:rsidRPr="000D687E" w:rsidRDefault="001206E5" w:rsidP="000D687E">
                            <w:pPr>
                              <w:rPr>
                                <w:rFonts w:asciiTheme="majorHAnsi" w:hAnsiTheme="majorHAnsi" w:cstheme="majorHAnsi"/>
                                <w:sz w:val="20"/>
                                <w:szCs w:val="20"/>
                              </w:rPr>
                            </w:pPr>
                            <w:r w:rsidRPr="000D687E">
                              <w:rPr>
                                <w:rFonts w:asciiTheme="majorHAnsi" w:hAnsiTheme="majorHAnsi" w:cstheme="majorHAnsi"/>
                                <w:b/>
                                <w:sz w:val="20"/>
                                <w:szCs w:val="20"/>
                              </w:rPr>
                              <w:t>CPO</w:t>
                            </w:r>
                            <w:r w:rsidRPr="000D687E">
                              <w:rPr>
                                <w:rFonts w:asciiTheme="majorHAnsi" w:hAnsiTheme="majorHAnsi" w:cstheme="majorHAnsi"/>
                                <w:sz w:val="20"/>
                                <w:szCs w:val="20"/>
                              </w:rPr>
                              <w:t>: Steven Harris,  CPO, Corporate and Government Services</w:t>
                            </w:r>
                          </w:p>
                          <w:p w14:paraId="1CC6040C" w14:textId="77777777" w:rsidR="001206E5" w:rsidRPr="000D687E" w:rsidRDefault="001206E5" w:rsidP="000D687E">
                            <w:pPr>
                              <w:rPr>
                                <w:rFonts w:asciiTheme="majorHAnsi" w:hAnsiTheme="majorHAnsi" w:cstheme="majorHAnsi"/>
                                <w:sz w:val="20"/>
                                <w:szCs w:val="20"/>
                              </w:rPr>
                            </w:pPr>
                            <w:r w:rsidRPr="000D687E">
                              <w:rPr>
                                <w:rFonts w:asciiTheme="majorHAnsi" w:hAnsiTheme="majorHAnsi" w:cstheme="majorHAnsi"/>
                                <w:b/>
                                <w:sz w:val="20"/>
                                <w:szCs w:val="20"/>
                              </w:rPr>
                              <w:t>IPU Chair</w:t>
                            </w:r>
                            <w:r w:rsidRPr="000D687E">
                              <w:rPr>
                                <w:rFonts w:asciiTheme="majorHAnsi" w:hAnsiTheme="majorHAnsi" w:cstheme="majorHAnsi"/>
                                <w:sz w:val="20"/>
                                <w:szCs w:val="20"/>
                              </w:rPr>
                              <w:t>: Joe Bonnici, Finance Projects Executive, Corporate Finance</w:t>
                            </w:r>
                          </w:p>
                          <w:p w14:paraId="7395F2EF" w14:textId="77777777" w:rsidR="001206E5" w:rsidRPr="00204022" w:rsidRDefault="001206E5" w:rsidP="000D687E">
                            <w:pP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E34046" id="Text Box 58" o:spid="_x0000_s1082" type="#_x0000_t202" style="position:absolute;left:0;text-align:left;margin-left:336.75pt;margin-top:80.25pt;width:142.5pt;height:110.25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" fillcolor="white [3201]" strokeweight=".5pt">
                <v:textbox>
                  <w:txbxContent>
                    <w:p w14:paraId="182FE173" w14:textId="77777777" w:rsidR="001206E5" w:rsidRPr="000D687E" w:rsidRDefault="001206E5" w:rsidP="000D687E">
                      <w:pPr>
                        <w:rPr>
                          <w:rFonts w:asciiTheme="majorHAnsi" w:hAnsiTheme="majorHAnsi" w:cstheme="majorHAnsi"/>
                          <w:b/>
                          <w:sz w:val="20"/>
                          <w:szCs w:val="20"/>
                        </w:rPr>
                      </w:pPr>
                      <w:r w:rsidRPr="000D687E">
                        <w:rPr>
                          <w:rFonts w:asciiTheme="majorHAnsi" w:hAnsiTheme="majorHAnsi" w:cstheme="majorHAnsi"/>
                          <w:b/>
                          <w:sz w:val="20"/>
                          <w:szCs w:val="20"/>
                        </w:rPr>
                        <w:t xml:space="preserve">AO: </w:t>
                      </w:r>
                      <w:r w:rsidRPr="000D687E">
                        <w:rPr>
                          <w:rFonts w:asciiTheme="majorHAnsi" w:hAnsiTheme="majorHAnsi" w:cstheme="majorHAnsi"/>
                          <w:sz w:val="20"/>
                          <w:szCs w:val="20"/>
                        </w:rPr>
                        <w:t>David Martine, Secretary, Senior Executive Group</w:t>
                      </w:r>
                    </w:p>
                    <w:p w14:paraId="7FE8B072" w14:textId="77777777" w:rsidR="001206E5" w:rsidRPr="000D687E" w:rsidRDefault="001206E5" w:rsidP="000D687E">
                      <w:pPr>
                        <w:rPr>
                          <w:rFonts w:asciiTheme="majorHAnsi" w:hAnsiTheme="majorHAnsi" w:cstheme="majorHAnsi"/>
                          <w:sz w:val="20"/>
                          <w:szCs w:val="20"/>
                        </w:rPr>
                      </w:pPr>
                      <w:r w:rsidRPr="000D687E">
                        <w:rPr>
                          <w:rFonts w:asciiTheme="majorHAnsi" w:hAnsiTheme="majorHAnsi" w:cstheme="majorHAnsi"/>
                          <w:b/>
                          <w:sz w:val="20"/>
                          <w:szCs w:val="20"/>
                        </w:rPr>
                        <w:t>CPO</w:t>
                      </w:r>
                      <w:r w:rsidRPr="000D687E">
                        <w:rPr>
                          <w:rFonts w:asciiTheme="majorHAnsi" w:hAnsiTheme="majorHAnsi" w:cstheme="majorHAnsi"/>
                          <w:sz w:val="20"/>
                          <w:szCs w:val="20"/>
                        </w:rPr>
                        <w:t>: Steven Harris,  CPO, Corporate and Government Services</w:t>
                      </w:r>
                    </w:p>
                    <w:p w14:paraId="1CC6040C" w14:textId="77777777" w:rsidR="001206E5" w:rsidRPr="000D687E" w:rsidRDefault="001206E5" w:rsidP="000D687E">
                      <w:pPr>
                        <w:rPr>
                          <w:rFonts w:asciiTheme="majorHAnsi" w:hAnsiTheme="majorHAnsi" w:cstheme="majorHAnsi"/>
                          <w:sz w:val="20"/>
                          <w:szCs w:val="20"/>
                        </w:rPr>
                      </w:pPr>
                      <w:r w:rsidRPr="000D687E">
                        <w:rPr>
                          <w:rFonts w:asciiTheme="majorHAnsi" w:hAnsiTheme="majorHAnsi" w:cstheme="majorHAnsi"/>
                          <w:b/>
                          <w:sz w:val="20"/>
                          <w:szCs w:val="20"/>
                        </w:rPr>
                        <w:t>IPU Chair</w:t>
                      </w:r>
                      <w:r w:rsidRPr="000D687E">
                        <w:rPr>
                          <w:rFonts w:asciiTheme="majorHAnsi" w:hAnsiTheme="majorHAnsi" w:cstheme="majorHAnsi"/>
                          <w:sz w:val="20"/>
                          <w:szCs w:val="20"/>
                        </w:rPr>
                        <w:t>: Joe Bonnici, Finance Projects Executive, Corporate Finance</w:t>
                      </w:r>
                    </w:p>
                    <w:p w14:paraId="7395F2EF" w14:textId="77777777" w:rsidR="001206E5" w:rsidRPr="00204022" w:rsidRDefault="001206E5" w:rsidP="000D687E">
                      <w:pPr>
                        <w:rPr>
                          <w:sz w:val="20"/>
                          <w:szCs w:val="20"/>
                        </w:rPr>
                      </w:pPr>
                    </w:p>
                  </w:txbxContent>
                </v:textbox>
                <w10:wrap type="square" anchorx="margin" anchory="margin"/>
              </v:shape>
            </w:pict>
          </mc:Fallback>
        </mc:AlternateContent>
      </w:r>
      <w:r w:rsidRPr="00CD6245">
        <w:t>Procurement profile</w:t>
      </w:r>
    </w:p>
    <w:p w14:paraId="318157A7" w14:textId="213690CC" w:rsidR="000D687E" w:rsidRPr="00097D3C" w:rsidRDefault="000D687E" w:rsidP="000D687E">
      <w:pPr>
        <w:pStyle w:val="Normal1"/>
      </w:pPr>
      <w:r>
        <w:t xml:space="preserve">DTF’s </w:t>
      </w:r>
      <w:r w:rsidRPr="001511A2">
        <w:t>innovative</w:t>
      </w:r>
      <w:r w:rsidR="003F0957">
        <w:t>,</w:t>
      </w:r>
      <w:r w:rsidRPr="001511A2">
        <w:t xml:space="preserve"> expert advice balances economic, social </w:t>
      </w:r>
      <w:r w:rsidRPr="00097D3C">
        <w:t>and environmental goals within a framework of responsible financial management. Hence</w:t>
      </w:r>
      <w:r w:rsidR="00E95AB5">
        <w:t>,</w:t>
      </w:r>
      <w:r w:rsidRPr="00097D3C">
        <w:t xml:space="preserve"> </w:t>
      </w:r>
      <w:r w:rsidR="00BD0C9D">
        <w:t>DTF’s</w:t>
      </w:r>
      <w:r w:rsidRPr="00097D3C">
        <w:t xml:space="preserve"> procurement profile focuses largely on professional services to support these functions.</w:t>
      </w:r>
    </w:p>
    <w:p w14:paraId="4A0C6507" w14:textId="77777777" w:rsidR="000D687E" w:rsidRPr="001511A2" w:rsidRDefault="000D687E" w:rsidP="000D687E">
      <w:pPr>
        <w:pStyle w:val="Normal1"/>
      </w:pPr>
      <w:r>
        <w:t>DTF is</w:t>
      </w:r>
      <w:r w:rsidRPr="00097D3C">
        <w:t xml:space="preserve"> the lead agency for a number of </w:t>
      </w:r>
      <w:r>
        <w:t>S</w:t>
      </w:r>
      <w:r w:rsidRPr="00097D3C">
        <w:t xml:space="preserve">PCs through </w:t>
      </w:r>
      <w:r>
        <w:t xml:space="preserve">its </w:t>
      </w:r>
      <w:r w:rsidRPr="00097D3C">
        <w:t>Strategic Sourcing</w:t>
      </w:r>
      <w:r>
        <w:t xml:space="preserve"> Group. Aside from SPCs, DTF’s</w:t>
      </w:r>
      <w:r w:rsidRPr="001511A2">
        <w:t xml:space="preserve"> procurement profile was primarily transactional for 2017</w:t>
      </w:r>
      <w:r>
        <w:t>–</w:t>
      </w:r>
      <w:r w:rsidRPr="001511A2">
        <w:t>18.</w:t>
      </w:r>
    </w:p>
    <w:p w14:paraId="588CA2B2" w14:textId="7203A1B8" w:rsidR="000D687E" w:rsidRPr="007B060B" w:rsidRDefault="000D687E" w:rsidP="000D687E">
      <w:pPr>
        <w:pStyle w:val="Normal1"/>
        <w:rPr>
          <w:highlight w:val="yellow"/>
        </w:rPr>
      </w:pPr>
      <w:r>
        <w:t xml:space="preserve">DTF </w:t>
      </w:r>
      <w:r w:rsidRPr="001511A2">
        <w:t xml:space="preserve">operates a decentralised procurement environment, supported by a centralised policy framework. The Procurement Resource Unit </w:t>
      </w:r>
      <w:r w:rsidR="003F0957">
        <w:t xml:space="preserve">(PRU) </w:t>
      </w:r>
      <w:r>
        <w:t xml:space="preserve">helped about </w:t>
      </w:r>
      <w:r w:rsidRPr="001511A2">
        <w:t>120 procurers (1</w:t>
      </w:r>
      <w:r>
        <w:t>0 per cent</w:t>
      </w:r>
      <w:r w:rsidRPr="001511A2">
        <w:t xml:space="preserve"> of DTF staff) with more than 230 </w:t>
      </w:r>
      <w:r w:rsidRPr="00097D3C">
        <w:t>procurements worth more than $10</w:t>
      </w:r>
      <w:r w:rsidR="003F0957">
        <w:t> </w:t>
      </w:r>
      <w:r w:rsidRPr="00097D3C">
        <w:t>000 during 2017</w:t>
      </w:r>
      <w:r>
        <w:t>–</w:t>
      </w:r>
      <w:r w:rsidRPr="00097D3C">
        <w:t>18.</w:t>
      </w:r>
    </w:p>
    <w:p w14:paraId="264A68BF" w14:textId="3EB41346" w:rsidR="000D687E" w:rsidRPr="007A584B" w:rsidRDefault="000D687E" w:rsidP="000D687E">
      <w:pPr>
        <w:pStyle w:val="Heading3NoNum"/>
      </w:pPr>
      <w:r w:rsidRPr="007A584B">
        <w:t>Compliance with VGPB policies</w:t>
      </w:r>
      <w:r w:rsidR="006A5451">
        <w:t xml:space="preserve"> </w:t>
      </w:r>
      <w:r w:rsidR="006A5451" w:rsidRPr="007A584B">
        <w:t>and related activities</w:t>
      </w:r>
    </w:p>
    <w:p w14:paraId="0FA13850" w14:textId="56933EFC" w:rsidR="000D687E" w:rsidRDefault="000D687E" w:rsidP="000D687E">
      <w:pPr>
        <w:pStyle w:val="Normal1"/>
        <w:rPr>
          <w:lang w:eastAsia="en-US"/>
        </w:rPr>
      </w:pPr>
      <w:r>
        <w:rPr>
          <w:lang w:eastAsia="en-US"/>
        </w:rPr>
        <w:fldChar w:fldCharType="begin"/>
      </w:r>
      <w:r>
        <w:rPr>
          <w:lang w:eastAsia="en-US"/>
        </w:rPr>
        <w:instrText xml:space="preserve"> REF _Ref488919104 \h </w:instrText>
      </w:r>
      <w:r>
        <w:rPr>
          <w:lang w:eastAsia="en-US"/>
        </w:rPr>
      </w:r>
      <w:r>
        <w:rPr>
          <w:lang w:eastAsia="en-US"/>
        </w:rPr>
        <w:fldChar w:fldCharType="separate"/>
      </w:r>
      <w:r w:rsidR="00A07703" w:rsidRPr="007A584B">
        <w:t xml:space="preserve">Table </w:t>
      </w:r>
      <w:r w:rsidR="00A07703">
        <w:rPr>
          <w:noProof/>
        </w:rPr>
        <w:t>36</w:t>
      </w:r>
      <w:r>
        <w:rPr>
          <w:lang w:eastAsia="en-US"/>
        </w:rPr>
        <w:fldChar w:fldCharType="end"/>
      </w:r>
      <w:r>
        <w:rPr>
          <w:lang w:eastAsia="en-US"/>
        </w:rPr>
        <w:t xml:space="preserve"> lists DTF’s activities to ensure and improve compliance with VGPB supply policies. </w:t>
      </w:r>
      <w:r w:rsidRPr="00212617">
        <w:rPr>
          <w:lang w:eastAsia="en-US"/>
        </w:rPr>
        <w:t xml:space="preserve">Compliance activities are </w:t>
      </w:r>
      <w:r>
        <w:rPr>
          <w:lang w:eastAsia="en-US"/>
        </w:rPr>
        <w:t xml:space="preserve">grouped against VGPB supply policies, </w:t>
      </w:r>
      <w:r w:rsidRPr="00212617">
        <w:rPr>
          <w:lang w:eastAsia="en-US"/>
        </w:rPr>
        <w:t>though activities often overlap with multiple policies.</w:t>
      </w:r>
    </w:p>
    <w:p w14:paraId="32235C6D" w14:textId="435D9BAD" w:rsidR="000D687E" w:rsidRDefault="000D687E" w:rsidP="000D687E">
      <w:pPr>
        <w:pStyle w:val="Caption"/>
      </w:pPr>
      <w:bookmarkStart w:id="201" w:name="_Ref488919104"/>
      <w:bookmarkStart w:id="202" w:name="_Toc503949270"/>
      <w:bookmarkStart w:id="203" w:name="_Toc524354029"/>
      <w:r w:rsidRPr="007A584B">
        <w:t xml:space="preserve">Table </w:t>
      </w:r>
      <w:r>
        <w:rPr>
          <w:noProof/>
        </w:rPr>
        <w:fldChar w:fldCharType="begin"/>
      </w:r>
      <w:r>
        <w:rPr>
          <w:noProof/>
        </w:rPr>
        <w:instrText xml:space="preserve"> SEQ Table \* ARABIC </w:instrText>
      </w:r>
      <w:r>
        <w:rPr>
          <w:noProof/>
        </w:rPr>
        <w:fldChar w:fldCharType="separate"/>
      </w:r>
      <w:r w:rsidR="00A07703">
        <w:rPr>
          <w:noProof/>
        </w:rPr>
        <w:t>36</w:t>
      </w:r>
      <w:r>
        <w:rPr>
          <w:noProof/>
        </w:rPr>
        <w:fldChar w:fldCharType="end"/>
      </w:r>
      <w:bookmarkEnd w:id="201"/>
      <w:r w:rsidRPr="007A584B">
        <w:t xml:space="preserve">: </w:t>
      </w:r>
      <w:r>
        <w:t>DTF’s compliance activities in 2017–18</w:t>
      </w:r>
      <w:bookmarkEnd w:id="202"/>
      <w:bookmarkEnd w:id="203"/>
    </w:p>
    <w:tbl>
      <w:tblPr>
        <w:tblStyle w:val="ListTable31"/>
        <w:tblW w:w="8647" w:type="dxa"/>
        <w:tblInd w:w="817" w:type="dxa"/>
        <w:tblLook w:val="04A0" w:firstRow="1" w:lastRow="0" w:firstColumn="1" w:lastColumn="0" w:noHBand="0" w:noVBand="1"/>
      </w:tblPr>
      <w:tblGrid>
        <w:gridCol w:w="1984"/>
        <w:gridCol w:w="6663"/>
      </w:tblGrid>
      <w:tr w:rsidR="000D687E" w14:paraId="296ED5D6" w14:textId="77777777" w:rsidTr="00F66493">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984" w:type="dxa"/>
          </w:tcPr>
          <w:p w14:paraId="119D899B" w14:textId="77777777" w:rsidR="000D687E" w:rsidRDefault="000D687E" w:rsidP="0025012A">
            <w:pPr>
              <w:pStyle w:val="TableText"/>
            </w:pPr>
            <w:r>
              <w:t>VGPB policy</w:t>
            </w:r>
          </w:p>
        </w:tc>
        <w:tc>
          <w:tcPr>
            <w:tcW w:w="6663" w:type="dxa"/>
          </w:tcPr>
          <w:p w14:paraId="63B4C823" w14:textId="77777777" w:rsidR="000D687E" w:rsidRDefault="000D687E" w:rsidP="0025012A">
            <w:pPr>
              <w:pStyle w:val="TableText"/>
              <w:cnfStyle w:val="100000000000" w:firstRow="1" w:lastRow="0" w:firstColumn="0" w:lastColumn="0" w:oddVBand="0" w:evenVBand="0" w:oddHBand="0" w:evenHBand="0" w:firstRowFirstColumn="0" w:firstRowLastColumn="0" w:lastRowFirstColumn="0" w:lastRowLastColumn="0"/>
            </w:pPr>
            <w:r>
              <w:t>Activities</w:t>
            </w:r>
          </w:p>
        </w:tc>
      </w:tr>
      <w:tr w:rsidR="000D687E" w14:paraId="4F1DCCD3" w14:textId="77777777" w:rsidTr="00F664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4" w:type="dxa"/>
          </w:tcPr>
          <w:p w14:paraId="1C0E3488" w14:textId="77777777" w:rsidR="000D687E" w:rsidRPr="003058E0" w:rsidRDefault="000D687E" w:rsidP="00567B7A">
            <w:pPr>
              <w:pStyle w:val="TableText"/>
            </w:pPr>
            <w:r w:rsidRPr="003058E0">
              <w:t>Governance</w:t>
            </w:r>
          </w:p>
        </w:tc>
        <w:tc>
          <w:tcPr>
            <w:tcW w:w="6663" w:type="dxa"/>
          </w:tcPr>
          <w:p w14:paraId="68020B50" w14:textId="5B357119" w:rsidR="000D687E" w:rsidRPr="00822FA3" w:rsidRDefault="000D687E" w:rsidP="00822FA3">
            <w:pPr>
              <w:pStyle w:val="TableBullet"/>
              <w:cnfStyle w:val="000000100000" w:firstRow="0" w:lastRow="0" w:firstColumn="0" w:lastColumn="0" w:oddVBand="0" w:evenVBand="0" w:oddHBand="1" w:evenHBand="0" w:firstRowFirstColumn="0" w:firstRowLastColumn="0" w:lastRowFirstColumn="0" w:lastRowLastColumn="0"/>
            </w:pPr>
            <w:r w:rsidRPr="00822FA3">
              <w:t xml:space="preserve">This was the first year of DTF’s new four-year </w:t>
            </w:r>
            <w:r w:rsidR="0072562D">
              <w:t>p</w:t>
            </w:r>
            <w:r w:rsidRPr="00822FA3">
              <w:t xml:space="preserve">rocurement </w:t>
            </w:r>
            <w:r w:rsidR="0072562D">
              <w:t>s</w:t>
            </w:r>
            <w:r w:rsidRPr="00822FA3">
              <w:t>trategy (2017–21). The strategy delivers procurement outcomes that support the DTF Corporate Plan and achieve improvements in line with VGPB policies. The strategy includes the following initiatives:</w:t>
            </w:r>
          </w:p>
          <w:p w14:paraId="3178E7F6" w14:textId="77777777" w:rsidR="000D687E" w:rsidRPr="00822FA3" w:rsidRDefault="000D687E" w:rsidP="00822FA3">
            <w:pPr>
              <w:pStyle w:val="TableBullet"/>
              <w:numPr>
                <w:ilvl w:val="1"/>
                <w:numId w:val="4"/>
              </w:numPr>
              <w:cnfStyle w:val="000000100000" w:firstRow="0" w:lastRow="0" w:firstColumn="0" w:lastColumn="0" w:oddVBand="0" w:evenVBand="0" w:oddHBand="1" w:evenHBand="0" w:firstRowFirstColumn="0" w:firstRowLastColumn="0" w:lastRowFirstColumn="0" w:lastRowLastColumn="0"/>
            </w:pPr>
            <w:r w:rsidRPr="00822FA3">
              <w:t>enhancing IPU oversight to continuously improve the line of sight to individual procurement categories;</w:t>
            </w:r>
          </w:p>
          <w:p w14:paraId="0667916D" w14:textId="77777777" w:rsidR="000D687E" w:rsidRPr="00822FA3" w:rsidRDefault="000D687E" w:rsidP="00822FA3">
            <w:pPr>
              <w:pStyle w:val="TableBullet"/>
              <w:numPr>
                <w:ilvl w:val="1"/>
                <w:numId w:val="4"/>
              </w:numPr>
              <w:cnfStyle w:val="000000100000" w:firstRow="0" w:lastRow="0" w:firstColumn="0" w:lastColumn="0" w:oddVBand="0" w:evenVBand="0" w:oddHBand="1" w:evenHBand="0" w:firstRowFirstColumn="0" w:firstRowLastColumn="0" w:lastRowFirstColumn="0" w:lastRowLastColumn="0"/>
            </w:pPr>
            <w:r w:rsidRPr="00822FA3">
              <w:t>exploring current practices for compliance and innovation;</w:t>
            </w:r>
          </w:p>
          <w:p w14:paraId="4E42B9E5" w14:textId="77777777" w:rsidR="000D687E" w:rsidRPr="00822FA3" w:rsidRDefault="000D687E" w:rsidP="00822FA3">
            <w:pPr>
              <w:pStyle w:val="TableBullet"/>
              <w:numPr>
                <w:ilvl w:val="1"/>
                <w:numId w:val="4"/>
              </w:numPr>
              <w:cnfStyle w:val="000000100000" w:firstRow="0" w:lastRow="0" w:firstColumn="0" w:lastColumn="0" w:oddVBand="0" w:evenVBand="0" w:oddHBand="1" w:evenHBand="0" w:firstRowFirstColumn="0" w:firstRowLastColumn="0" w:lastRowFirstColumn="0" w:lastRowLastColumn="0"/>
            </w:pPr>
            <w:r w:rsidRPr="00822FA3">
              <w:t>identifying and implementing improvements from supplier feedback;</w:t>
            </w:r>
          </w:p>
          <w:p w14:paraId="70E261FA" w14:textId="77777777" w:rsidR="000D687E" w:rsidRPr="00822FA3" w:rsidRDefault="000D687E" w:rsidP="00822FA3">
            <w:pPr>
              <w:pStyle w:val="TableBullet"/>
              <w:numPr>
                <w:ilvl w:val="1"/>
                <w:numId w:val="4"/>
              </w:numPr>
              <w:cnfStyle w:val="000000100000" w:firstRow="0" w:lastRow="0" w:firstColumn="0" w:lastColumn="0" w:oddVBand="0" w:evenVBand="0" w:oddHBand="1" w:evenHBand="0" w:firstRowFirstColumn="0" w:firstRowLastColumn="0" w:lastRowFirstColumn="0" w:lastRowLastColumn="0"/>
            </w:pPr>
            <w:r w:rsidRPr="00822FA3">
              <w:t>reviewing and updating the IPU’s terms of reference; and</w:t>
            </w:r>
          </w:p>
          <w:p w14:paraId="37D5A137" w14:textId="77777777" w:rsidR="000D687E" w:rsidRPr="00822FA3" w:rsidRDefault="000D687E" w:rsidP="00822FA3">
            <w:pPr>
              <w:pStyle w:val="TableBullet"/>
              <w:numPr>
                <w:ilvl w:val="1"/>
                <w:numId w:val="4"/>
              </w:numPr>
              <w:cnfStyle w:val="000000100000" w:firstRow="0" w:lastRow="0" w:firstColumn="0" w:lastColumn="0" w:oddVBand="0" w:evenVBand="0" w:oddHBand="1" w:evenHBand="0" w:firstRowFirstColumn="0" w:firstRowLastColumn="0" w:lastRowFirstColumn="0" w:lastRowLastColumn="0"/>
            </w:pPr>
            <w:r w:rsidRPr="00822FA3">
              <w:t>investigating automated reporting and exploring data analytics, auditing and dashboards.</w:t>
            </w:r>
          </w:p>
          <w:p w14:paraId="19969C51" w14:textId="49372224" w:rsidR="000D687E" w:rsidRPr="00822FA3" w:rsidRDefault="000D687E" w:rsidP="00822FA3">
            <w:pPr>
              <w:pStyle w:val="TableBullet"/>
              <w:cnfStyle w:val="000000100000" w:firstRow="0" w:lastRow="0" w:firstColumn="0" w:lastColumn="0" w:oddVBand="0" w:evenVBand="0" w:oddHBand="1" w:evenHBand="0" w:firstRowFirstColumn="0" w:firstRowLastColumn="0" w:lastRowFirstColumn="0" w:lastRowLastColumn="0"/>
            </w:pPr>
            <w:r w:rsidRPr="00822FA3">
              <w:t xml:space="preserve">The </w:t>
            </w:r>
            <w:r w:rsidR="0072562D">
              <w:t>p</w:t>
            </w:r>
            <w:r w:rsidR="00655B1E" w:rsidRPr="00822FA3">
              <w:t xml:space="preserve">rocurement </w:t>
            </w:r>
            <w:r w:rsidR="0072562D">
              <w:t>s</w:t>
            </w:r>
            <w:r w:rsidR="00655B1E" w:rsidRPr="00822FA3">
              <w:t>tr</w:t>
            </w:r>
            <w:r w:rsidRPr="00822FA3">
              <w:t xml:space="preserve">ategy includes expanding the IPU’s scope to include enhanced reporting and oversight of all procurement in the </w:t>
            </w:r>
            <w:r w:rsidR="0025012A" w:rsidRPr="00822FA3">
              <w:t>D</w:t>
            </w:r>
            <w:r w:rsidRPr="00822FA3">
              <w:t>epartment. The</w:t>
            </w:r>
            <w:r w:rsidR="003F0957" w:rsidRPr="00822FA3">
              <w:t xml:space="preserve"> </w:t>
            </w:r>
            <w:r w:rsidRPr="00822FA3">
              <w:t>PRU and the CPO met with relevant areas to discuss their current procurement processes</w:t>
            </w:r>
            <w:r w:rsidR="00E95AB5">
              <w:t>,</w:t>
            </w:r>
            <w:r w:rsidRPr="00822FA3">
              <w:t xml:space="preserve"> which will inform future oversight improvements. As a result, there has been additional ongoing reporting provided to the IPU as part of its regular governance activities.</w:t>
            </w:r>
          </w:p>
          <w:p w14:paraId="41F78107" w14:textId="7958C6A7" w:rsidR="000D687E" w:rsidRPr="00822FA3" w:rsidRDefault="00100AA9" w:rsidP="00822FA3">
            <w:pPr>
              <w:pStyle w:val="TableBullet"/>
              <w:cnfStyle w:val="000000100000" w:firstRow="0" w:lastRow="0" w:firstColumn="0" w:lastColumn="0" w:oddVBand="0" w:evenVBand="0" w:oddHBand="1" w:evenHBand="0" w:firstRowFirstColumn="0" w:firstRowLastColumn="0" w:lastRowFirstColumn="0" w:lastRowLastColumn="0"/>
            </w:pPr>
            <w:r w:rsidRPr="0038456D">
              <w:t xml:space="preserve">The PRU consulted and continues to explore opportunities to incorporate good procurement culture within broader departmental culture programs with People and Culture. In addition, promoting good procurement behaviours has been delivered via the introduction of DTF’s </w:t>
            </w:r>
            <w:r w:rsidR="00A6562B">
              <w:t>i</w:t>
            </w:r>
            <w:r w:rsidRPr="0038456D">
              <w:t>ntegrity framework and accompanying roadshow for all business units. The use of forums</w:t>
            </w:r>
            <w:r w:rsidR="009556FC">
              <w:t>,</w:t>
            </w:r>
            <w:r w:rsidRPr="0038456D">
              <w:t xml:space="preserve"> such as th</w:t>
            </w:r>
            <w:r w:rsidR="00A6562B" w:rsidRPr="0038456D">
              <w:t>e corporate ind</w:t>
            </w:r>
            <w:r w:rsidRPr="0038456D">
              <w:t>uction program</w:t>
            </w:r>
            <w:r w:rsidR="009556FC">
              <w:t>,</w:t>
            </w:r>
            <w:r w:rsidRPr="0038456D">
              <w:t xml:space="preserve"> has also supported this objective.</w:t>
            </w:r>
          </w:p>
        </w:tc>
      </w:tr>
      <w:tr w:rsidR="000D687E" w14:paraId="4856BCF1" w14:textId="77777777" w:rsidTr="00F66493">
        <w:tc>
          <w:tcPr>
            <w:cnfStyle w:val="001000000000" w:firstRow="0" w:lastRow="0" w:firstColumn="1" w:lastColumn="0" w:oddVBand="0" w:evenVBand="0" w:oddHBand="0" w:evenHBand="0" w:firstRowFirstColumn="0" w:firstRowLastColumn="0" w:lastRowFirstColumn="0" w:lastRowLastColumn="0"/>
            <w:tcW w:w="1984" w:type="dxa"/>
          </w:tcPr>
          <w:p w14:paraId="454787FA" w14:textId="77777777" w:rsidR="000D687E" w:rsidRPr="003058E0" w:rsidRDefault="000D687E" w:rsidP="00567B7A">
            <w:pPr>
              <w:pStyle w:val="TableText"/>
            </w:pPr>
            <w:r w:rsidRPr="003058E0">
              <w:t>Complexity and capability</w:t>
            </w:r>
          </w:p>
        </w:tc>
        <w:tc>
          <w:tcPr>
            <w:tcW w:w="6663" w:type="dxa"/>
          </w:tcPr>
          <w:p w14:paraId="64386D0A" w14:textId="7C399C89" w:rsidR="000D687E" w:rsidRPr="00822FA3" w:rsidRDefault="000D687E" w:rsidP="00822FA3">
            <w:pPr>
              <w:pStyle w:val="TableBullet"/>
              <w:cnfStyle w:val="000000000000" w:firstRow="0" w:lastRow="0" w:firstColumn="0" w:lastColumn="0" w:oddVBand="0" w:evenVBand="0" w:oddHBand="0" w:evenHBand="0" w:firstRowFirstColumn="0" w:firstRowLastColumn="0" w:lastRowFirstColumn="0" w:lastRowLastColumn="0"/>
            </w:pPr>
            <w:r w:rsidRPr="00822FA3">
              <w:t xml:space="preserve">The PRU, CPO, Corporate Finance and other areas of DTF have been heavily involved in developing the Enterprise Resource Planning (ERP) system. Now close to release, the PRU and CPO have identified </w:t>
            </w:r>
            <w:r w:rsidR="001D1E07" w:rsidRPr="00822FA3">
              <w:t>several</w:t>
            </w:r>
            <w:r w:rsidRPr="00822FA3">
              <w:t xml:space="preserve"> areas where the new system can help deliver efficiencies, including contract management. The ERP is expected to go live </w:t>
            </w:r>
            <w:r w:rsidR="00E95AB5">
              <w:t>in late</w:t>
            </w:r>
            <w:r w:rsidRPr="00822FA3">
              <w:t> 2018 and the next phase of the project will kick off with the PRU implementing change management and training.</w:t>
            </w:r>
          </w:p>
          <w:p w14:paraId="63BC1610" w14:textId="1E6939DB" w:rsidR="000D687E" w:rsidRPr="00822FA3" w:rsidRDefault="000D687E" w:rsidP="00822FA3">
            <w:pPr>
              <w:pStyle w:val="TableBullet"/>
              <w:cnfStyle w:val="000000000000" w:firstRow="0" w:lastRow="0" w:firstColumn="0" w:lastColumn="0" w:oddVBand="0" w:evenVBand="0" w:oddHBand="0" w:evenHBand="0" w:firstRowFirstColumn="0" w:firstRowLastColumn="0" w:lastRowFirstColumn="0" w:lastRowLastColumn="0"/>
            </w:pPr>
            <w:r w:rsidRPr="00822FA3">
              <w:lastRenderedPageBreak/>
              <w:t xml:space="preserve">The PRU implemented improved practices for dealing with non-compliant procurements. These improvements included face-to-face meetings with relevant executive directors and financial </w:t>
            </w:r>
            <w:r w:rsidR="00E95AB5" w:rsidRPr="00822FA3">
              <w:t>delegates</w:t>
            </w:r>
            <w:r w:rsidR="00E95AB5">
              <w:t>, and</w:t>
            </w:r>
            <w:r w:rsidRPr="00822FA3">
              <w:t xml:space="preserve"> followed delivery of a refresher training course for relevant teams – particularly those teams that showed a lack of comprehensive knowledge of the policy framework.</w:t>
            </w:r>
          </w:p>
          <w:p w14:paraId="41A74033" w14:textId="4E7EB243" w:rsidR="000D687E" w:rsidRPr="00822FA3" w:rsidRDefault="000D687E" w:rsidP="00822FA3">
            <w:pPr>
              <w:pStyle w:val="TableBullet"/>
              <w:cnfStyle w:val="000000000000" w:firstRow="0" w:lastRow="0" w:firstColumn="0" w:lastColumn="0" w:oddVBand="0" w:evenVBand="0" w:oddHBand="0" w:evenHBand="0" w:firstRowFirstColumn="0" w:firstRowLastColumn="0" w:lastRowFirstColumn="0" w:lastRowLastColumn="0"/>
            </w:pPr>
            <w:r w:rsidRPr="00822FA3">
              <w:t>The PRU has strongly encouraged contract managers with low or no previous procurement experience to have an experienced contract manager review and oversee their procurement (a mentor for contract management). The PRU also provide</w:t>
            </w:r>
            <w:r w:rsidR="00B45DDC" w:rsidRPr="00822FA3">
              <w:t>s</w:t>
            </w:r>
            <w:r w:rsidRPr="00822FA3">
              <w:t xml:space="preserve"> additional support, including helping procurers find a suitable mentor to help them develop and build capability in procuring and managing contracts.</w:t>
            </w:r>
          </w:p>
        </w:tc>
      </w:tr>
      <w:tr w:rsidR="000D687E" w14:paraId="15686F96" w14:textId="77777777" w:rsidTr="00F664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4" w:type="dxa"/>
          </w:tcPr>
          <w:p w14:paraId="429B5047" w14:textId="77777777" w:rsidR="000D687E" w:rsidRPr="003058E0" w:rsidRDefault="000D687E" w:rsidP="00567B7A">
            <w:pPr>
              <w:pStyle w:val="TableText"/>
            </w:pPr>
            <w:r w:rsidRPr="003058E0">
              <w:lastRenderedPageBreak/>
              <w:t>Market analysis and review</w:t>
            </w:r>
          </w:p>
        </w:tc>
        <w:tc>
          <w:tcPr>
            <w:tcW w:w="6663" w:type="dxa"/>
          </w:tcPr>
          <w:p w14:paraId="5B638EC1" w14:textId="0D212C9D" w:rsidR="000D687E" w:rsidRPr="00822FA3" w:rsidRDefault="000D687E" w:rsidP="00822FA3">
            <w:pPr>
              <w:pStyle w:val="TableBullet"/>
              <w:cnfStyle w:val="000000100000" w:firstRow="0" w:lastRow="0" w:firstColumn="0" w:lastColumn="0" w:oddVBand="0" w:evenVBand="0" w:oddHBand="1" w:evenHBand="0" w:firstRowFirstColumn="0" w:firstRowLastColumn="0" w:lastRowFirstColumn="0" w:lastRowLastColumn="0"/>
            </w:pPr>
            <w:r w:rsidRPr="00822FA3">
              <w:t>The PRU conducted a mid</w:t>
            </w:r>
            <w:r w:rsidR="00E95AB5">
              <w:t>-</w:t>
            </w:r>
            <w:r w:rsidRPr="00822FA3">
              <w:t xml:space="preserve">year refresh of the forward procurement activity plan for the first time. This included a mechanism for identifying consultancy procurements to address the new requirement for the Secretary </w:t>
            </w:r>
            <w:r w:rsidR="009556FC">
              <w:t xml:space="preserve">(the accountable officer) </w:t>
            </w:r>
            <w:r w:rsidRPr="00822FA3">
              <w:t>to approve all consultancy procurements. This created a more efficient consultancy approval process and re-enforced the importance of procurement planning to the broader</w:t>
            </w:r>
            <w:r w:rsidR="00253C5E" w:rsidRPr="00822FA3">
              <w:t xml:space="preserve"> executive gr</w:t>
            </w:r>
            <w:r w:rsidRPr="00822FA3">
              <w:t>oup.</w:t>
            </w:r>
          </w:p>
        </w:tc>
      </w:tr>
      <w:tr w:rsidR="000D687E" w14:paraId="6343BC7D" w14:textId="77777777" w:rsidTr="00F66493">
        <w:tc>
          <w:tcPr>
            <w:cnfStyle w:val="001000000000" w:firstRow="0" w:lastRow="0" w:firstColumn="1" w:lastColumn="0" w:oddVBand="0" w:evenVBand="0" w:oddHBand="0" w:evenHBand="0" w:firstRowFirstColumn="0" w:firstRowLastColumn="0" w:lastRowFirstColumn="0" w:lastRowLastColumn="0"/>
            <w:tcW w:w="1984" w:type="dxa"/>
          </w:tcPr>
          <w:p w14:paraId="628D8F6D" w14:textId="77777777" w:rsidR="000D687E" w:rsidRPr="003058E0" w:rsidRDefault="000D687E" w:rsidP="00567B7A">
            <w:pPr>
              <w:pStyle w:val="TableText"/>
            </w:pPr>
            <w:r w:rsidRPr="003058E0">
              <w:t>Market approach</w:t>
            </w:r>
          </w:p>
        </w:tc>
        <w:tc>
          <w:tcPr>
            <w:tcW w:w="6663" w:type="dxa"/>
          </w:tcPr>
          <w:p w14:paraId="6BC442CE" w14:textId="50AD518E" w:rsidR="000D687E" w:rsidRPr="00822FA3" w:rsidRDefault="000D687E" w:rsidP="00822FA3">
            <w:pPr>
              <w:pStyle w:val="TableBullet"/>
              <w:cnfStyle w:val="000000000000" w:firstRow="0" w:lastRow="0" w:firstColumn="0" w:lastColumn="0" w:oddVBand="0" w:evenVBand="0" w:oddHBand="0" w:evenHBand="0" w:firstRowFirstColumn="0" w:firstRowLastColumn="0" w:lastRowFirstColumn="0" w:lastRowLastColumn="0"/>
            </w:pPr>
            <w:r w:rsidRPr="00822FA3">
              <w:t xml:space="preserve">With the introduction of the target for Aboriginal procurement, the PRU and CPO have </w:t>
            </w:r>
            <w:r w:rsidR="00C60DF4" w:rsidRPr="00822FA3">
              <w:t>started</w:t>
            </w:r>
            <w:r w:rsidRPr="00822FA3">
              <w:t xml:space="preserve"> promot</w:t>
            </w:r>
            <w:r w:rsidR="00C60DF4" w:rsidRPr="00822FA3">
              <w:t>ing</w:t>
            </w:r>
            <w:r w:rsidRPr="00822FA3">
              <w:t xml:space="preserve"> using Aboriginal suppliers. The PRU completed a supplier matching exercise and identified suppliers and particular areas of goods and services </w:t>
            </w:r>
            <w:r w:rsidR="00C60DF4" w:rsidRPr="00822FA3">
              <w:t xml:space="preserve">that </w:t>
            </w:r>
            <w:r w:rsidRPr="00822FA3">
              <w:t>DTF are most likely to procure. The PRU promoted this list of suppliers with key clients and published it internally.</w:t>
            </w:r>
          </w:p>
        </w:tc>
      </w:tr>
      <w:tr w:rsidR="000D687E" w14:paraId="1747BF53" w14:textId="77777777" w:rsidTr="00F664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4" w:type="dxa"/>
          </w:tcPr>
          <w:p w14:paraId="38A2F7BA" w14:textId="77777777" w:rsidR="000D687E" w:rsidRPr="003058E0" w:rsidRDefault="000D687E" w:rsidP="00567B7A">
            <w:pPr>
              <w:pStyle w:val="TableText"/>
            </w:pPr>
            <w:r w:rsidRPr="003058E0">
              <w:t>Contract management and disclosure</w:t>
            </w:r>
          </w:p>
        </w:tc>
        <w:tc>
          <w:tcPr>
            <w:tcW w:w="6663" w:type="dxa"/>
          </w:tcPr>
          <w:p w14:paraId="5F067F1F" w14:textId="44F42A21" w:rsidR="000D687E" w:rsidRPr="00822FA3" w:rsidRDefault="000D687E" w:rsidP="00822FA3">
            <w:pPr>
              <w:pStyle w:val="TableBullet"/>
              <w:cnfStyle w:val="000000100000" w:firstRow="0" w:lastRow="0" w:firstColumn="0" w:lastColumn="0" w:oddVBand="0" w:evenVBand="0" w:oddHBand="1" w:evenHBand="0" w:firstRowFirstColumn="0" w:firstRowLastColumn="0" w:lastRowFirstColumn="0" w:lastRowLastColumn="0"/>
            </w:pPr>
            <w:r w:rsidRPr="00822FA3">
              <w:t xml:space="preserve">The PRU continued to implement innovative approaches to improving compliance </w:t>
            </w:r>
            <w:r w:rsidR="00C60DF4" w:rsidRPr="00822FA3">
              <w:t xml:space="preserve">by </w:t>
            </w:r>
            <w:r w:rsidRPr="00822FA3">
              <w:t xml:space="preserve">completing post-contract reviews for expired contracts. Contract managers </w:t>
            </w:r>
            <w:r w:rsidR="00C60DF4" w:rsidRPr="00822FA3">
              <w:t>gave</w:t>
            </w:r>
            <w:r w:rsidRPr="00822FA3">
              <w:t xml:space="preserve"> verbal updates to the IPU for larger high-risk, high-value contracts at particular milestones and at the end of the contract. In particular, reports were sent to relevant financial delegates of outstanding contract reviews. The PRU also started reporting high-level trends and themes from completed reviews to identify areas for improvement.</w:t>
            </w:r>
          </w:p>
        </w:tc>
      </w:tr>
    </w:tbl>
    <w:p w14:paraId="36839EAE" w14:textId="35DE40E0" w:rsidR="000D687E" w:rsidRPr="00CD6245" w:rsidRDefault="000D687E" w:rsidP="000D687E">
      <w:pPr>
        <w:pStyle w:val="Heading3NoNum"/>
      </w:pPr>
      <w:r w:rsidRPr="00CD6245">
        <w:t>Performance</w:t>
      </w:r>
    </w:p>
    <w:p w14:paraId="726B56A5" w14:textId="35E0EB1C" w:rsidR="000D687E" w:rsidRPr="00CD6245" w:rsidRDefault="000D687E" w:rsidP="000D687E">
      <w:pPr>
        <w:pStyle w:val="Normal1"/>
      </w:pPr>
      <w:r>
        <w:fldChar w:fldCharType="begin"/>
      </w:r>
      <w:r>
        <w:instrText xml:space="preserve"> REF _Ref489543160 \h </w:instrText>
      </w:r>
      <w:r>
        <w:fldChar w:fldCharType="separate"/>
      </w:r>
      <w:r w:rsidR="00A07703" w:rsidRPr="00CD6245">
        <w:t xml:space="preserve">Table </w:t>
      </w:r>
      <w:r w:rsidR="00A07703">
        <w:rPr>
          <w:noProof/>
        </w:rPr>
        <w:t>37</w:t>
      </w:r>
      <w:r>
        <w:fldChar w:fldCharType="end"/>
      </w:r>
      <w:r w:rsidRPr="00CD6245">
        <w:t xml:space="preserve"> </w:t>
      </w:r>
      <w:r>
        <w:t>sets out DTF’s performance in 2017–18, compared with the two previous years.</w:t>
      </w:r>
    </w:p>
    <w:p w14:paraId="1AE7E531" w14:textId="3F70E855" w:rsidR="000D687E" w:rsidRDefault="000D687E" w:rsidP="000D687E">
      <w:pPr>
        <w:pStyle w:val="Caption"/>
      </w:pPr>
      <w:bookmarkStart w:id="204" w:name="_Ref489543160"/>
      <w:bookmarkStart w:id="205" w:name="_Toc503949271"/>
      <w:bookmarkStart w:id="206" w:name="_Toc524354030"/>
      <w:r w:rsidRPr="00CD6245">
        <w:t xml:space="preserve">Table </w:t>
      </w:r>
      <w:r>
        <w:rPr>
          <w:noProof/>
        </w:rPr>
        <w:fldChar w:fldCharType="begin"/>
      </w:r>
      <w:r>
        <w:rPr>
          <w:noProof/>
        </w:rPr>
        <w:instrText xml:space="preserve"> SEQ Table \* ARABIC </w:instrText>
      </w:r>
      <w:r>
        <w:rPr>
          <w:noProof/>
        </w:rPr>
        <w:fldChar w:fldCharType="separate"/>
      </w:r>
      <w:r w:rsidR="00A07703">
        <w:rPr>
          <w:noProof/>
        </w:rPr>
        <w:t>37</w:t>
      </w:r>
      <w:r>
        <w:rPr>
          <w:noProof/>
        </w:rPr>
        <w:fldChar w:fldCharType="end"/>
      </w:r>
      <w:bookmarkEnd w:id="204"/>
      <w:r w:rsidRPr="00CD6245">
        <w:t xml:space="preserve">: </w:t>
      </w:r>
      <w:r>
        <w:t>DTF</w:t>
      </w:r>
      <w:r w:rsidR="00381BB6">
        <w:t>’s</w:t>
      </w:r>
      <w:r w:rsidRPr="00CD6245">
        <w:t xml:space="preserve"> performance in </w:t>
      </w:r>
      <w:r>
        <w:t>2017–18</w:t>
      </w:r>
      <w:bookmarkEnd w:id="205"/>
      <w:bookmarkEnd w:id="206"/>
    </w:p>
    <w:tbl>
      <w:tblPr>
        <w:tblStyle w:val="ListTable31"/>
        <w:tblW w:w="8647" w:type="dxa"/>
        <w:tblInd w:w="846" w:type="dxa"/>
        <w:tblLook w:val="04A0" w:firstRow="1" w:lastRow="0" w:firstColumn="1" w:lastColumn="0" w:noHBand="0" w:noVBand="1"/>
      </w:tblPr>
      <w:tblGrid>
        <w:gridCol w:w="356"/>
        <w:gridCol w:w="1967"/>
        <w:gridCol w:w="613"/>
        <w:gridCol w:w="671"/>
        <w:gridCol w:w="571"/>
        <w:gridCol w:w="4469"/>
      </w:tblGrid>
      <w:tr w:rsidR="000D687E" w14:paraId="1A9BF2AC" w14:textId="77777777" w:rsidTr="00115146">
        <w:trPr>
          <w:cnfStyle w:val="100000000000" w:firstRow="1" w:lastRow="0" w:firstColumn="0" w:lastColumn="0" w:oddVBand="0" w:evenVBand="0" w:oddHBand="0" w:evenHBand="0" w:firstRowFirstColumn="0" w:firstRowLastColumn="0" w:lastRowFirstColumn="0" w:lastRowLastColumn="0"/>
          <w:trHeight w:val="1661"/>
        </w:trPr>
        <w:tc>
          <w:tcPr>
            <w:cnfStyle w:val="001000000100" w:firstRow="0" w:lastRow="0" w:firstColumn="1" w:lastColumn="0" w:oddVBand="0" w:evenVBand="0" w:oddHBand="0" w:evenHBand="0" w:firstRowFirstColumn="1" w:firstRowLastColumn="0" w:lastRowFirstColumn="0" w:lastRowLastColumn="0"/>
            <w:tcW w:w="2323" w:type="dxa"/>
            <w:gridSpan w:val="2"/>
            <w:vMerge w:val="restart"/>
            <w:vAlign w:val="bottom"/>
          </w:tcPr>
          <w:p w14:paraId="4D5035FB" w14:textId="77777777" w:rsidR="000D687E" w:rsidRPr="00CD6245" w:rsidRDefault="000D687E" w:rsidP="00115146">
            <w:pPr>
              <w:pStyle w:val="TableText"/>
            </w:pPr>
            <w:r w:rsidRPr="00CD6245">
              <w:t>Performance measure</w:t>
            </w:r>
          </w:p>
        </w:tc>
        <w:tc>
          <w:tcPr>
            <w:tcW w:w="613" w:type="dxa"/>
            <w:textDirection w:val="btLr"/>
            <w:vAlign w:val="bottom"/>
          </w:tcPr>
          <w:p w14:paraId="1933CC55" w14:textId="50843876" w:rsidR="000D687E" w:rsidRDefault="000D687E" w:rsidP="00115146">
            <w:pPr>
              <w:pStyle w:val="TableText"/>
              <w:jc w:val="center"/>
              <w:cnfStyle w:val="100000000000" w:firstRow="1" w:lastRow="0" w:firstColumn="0" w:lastColumn="0" w:oddVBand="0" w:evenVBand="0" w:oddHBand="0" w:evenHBand="0" w:firstRowFirstColumn="0" w:firstRowLastColumn="0" w:lastRowFirstColumn="0" w:lastRowLastColumn="0"/>
            </w:pPr>
            <w:r>
              <w:t>Year 1: 2015–16</w:t>
            </w:r>
          </w:p>
        </w:tc>
        <w:tc>
          <w:tcPr>
            <w:tcW w:w="671" w:type="dxa"/>
            <w:textDirection w:val="btLr"/>
            <w:vAlign w:val="bottom"/>
          </w:tcPr>
          <w:p w14:paraId="73328CCD" w14:textId="77777777" w:rsidR="000D687E" w:rsidRDefault="000D687E" w:rsidP="00115146">
            <w:pPr>
              <w:pStyle w:val="TableText"/>
              <w:jc w:val="center"/>
              <w:cnfStyle w:val="100000000000" w:firstRow="1" w:lastRow="0" w:firstColumn="0" w:lastColumn="0" w:oddVBand="0" w:evenVBand="0" w:oddHBand="0" w:evenHBand="0" w:firstRowFirstColumn="0" w:firstRowLastColumn="0" w:lastRowFirstColumn="0" w:lastRowLastColumn="0"/>
            </w:pPr>
            <w:r>
              <w:t>Year 2: 2016–17</w:t>
            </w:r>
          </w:p>
        </w:tc>
        <w:tc>
          <w:tcPr>
            <w:tcW w:w="571" w:type="dxa"/>
            <w:textDirection w:val="btLr"/>
            <w:vAlign w:val="bottom"/>
          </w:tcPr>
          <w:p w14:paraId="75508FF4" w14:textId="77777777" w:rsidR="000D687E" w:rsidRDefault="000D687E" w:rsidP="00115146">
            <w:pPr>
              <w:pStyle w:val="TableText"/>
              <w:jc w:val="center"/>
              <w:cnfStyle w:val="100000000000" w:firstRow="1" w:lastRow="0" w:firstColumn="0" w:lastColumn="0" w:oddVBand="0" w:evenVBand="0" w:oddHBand="0" w:evenHBand="0" w:firstRowFirstColumn="0" w:firstRowLastColumn="0" w:lastRowFirstColumn="0" w:lastRowLastColumn="0"/>
            </w:pPr>
            <w:r>
              <w:t>Year 3: 2017–18</w:t>
            </w:r>
          </w:p>
        </w:tc>
        <w:tc>
          <w:tcPr>
            <w:tcW w:w="4469" w:type="dxa"/>
            <w:vMerge w:val="restart"/>
            <w:vAlign w:val="bottom"/>
          </w:tcPr>
          <w:p w14:paraId="2EAF6AAB" w14:textId="77777777" w:rsidR="000D687E" w:rsidRDefault="000D687E" w:rsidP="00115146">
            <w:pPr>
              <w:pStyle w:val="TableText"/>
              <w:cnfStyle w:val="100000000000" w:firstRow="1" w:lastRow="0" w:firstColumn="0" w:lastColumn="0" w:oddVBand="0" w:evenVBand="0" w:oddHBand="0" w:evenHBand="0" w:firstRowFirstColumn="0" w:firstRowLastColumn="0" w:lastRowFirstColumn="0" w:lastRowLastColumn="0"/>
            </w:pPr>
            <w:r>
              <w:t>Explanation</w:t>
            </w:r>
          </w:p>
        </w:tc>
      </w:tr>
      <w:tr w:rsidR="000D687E" w14:paraId="55D3C065" w14:textId="77777777" w:rsidTr="00115146">
        <w:trPr>
          <w:cnfStyle w:val="000000100000" w:firstRow="0" w:lastRow="0" w:firstColumn="0" w:lastColumn="0" w:oddVBand="0" w:evenVBand="0" w:oddHBand="1" w:evenHBand="0" w:firstRowFirstColumn="0" w:firstRowLastColumn="0" w:lastRowFirstColumn="0" w:lastRowLastColumn="0"/>
          <w:trHeight w:val="281"/>
        </w:trPr>
        <w:tc>
          <w:tcPr>
            <w:cnfStyle w:val="001000000000" w:firstRow="0" w:lastRow="0" w:firstColumn="1" w:lastColumn="0" w:oddVBand="0" w:evenVBand="0" w:oddHBand="0" w:evenHBand="0" w:firstRowFirstColumn="0" w:firstRowLastColumn="0" w:lastRowFirstColumn="0" w:lastRowLastColumn="0"/>
            <w:tcW w:w="2323" w:type="dxa"/>
            <w:gridSpan w:val="2"/>
            <w:vMerge/>
          </w:tcPr>
          <w:p w14:paraId="6BB96E13" w14:textId="77777777" w:rsidR="000D687E" w:rsidRPr="00CD6245" w:rsidRDefault="000D687E" w:rsidP="00567B7A">
            <w:pPr>
              <w:pStyle w:val="TableHeader"/>
            </w:pPr>
          </w:p>
        </w:tc>
        <w:tc>
          <w:tcPr>
            <w:tcW w:w="613" w:type="dxa"/>
            <w:shd w:val="clear" w:color="auto" w:fill="000000" w:themeFill="text1"/>
            <w:vAlign w:val="center"/>
          </w:tcPr>
          <w:p w14:paraId="43C0B495" w14:textId="77777777" w:rsidR="000D687E" w:rsidRPr="00200BCC" w:rsidRDefault="000D687E" w:rsidP="00115146">
            <w:pPr>
              <w:pStyle w:val="TableHeader"/>
              <w:jc w:val="right"/>
              <w:cnfStyle w:val="000000100000" w:firstRow="0" w:lastRow="0" w:firstColumn="0" w:lastColumn="0" w:oddVBand="0" w:evenVBand="0" w:oddHBand="1" w:evenHBand="0" w:firstRowFirstColumn="0" w:firstRowLastColumn="0" w:lastRowFirstColumn="0" w:lastRowLastColumn="0"/>
              <w:rPr>
                <w:bCs/>
                <w:color w:val="auto"/>
                <w:sz w:val="20"/>
                <w:szCs w:val="20"/>
              </w:rPr>
            </w:pPr>
            <w:r w:rsidRPr="00200BCC">
              <w:rPr>
                <w:bCs/>
                <w:color w:val="auto"/>
                <w:sz w:val="20"/>
                <w:szCs w:val="20"/>
              </w:rPr>
              <w:t>%</w:t>
            </w:r>
          </w:p>
        </w:tc>
        <w:tc>
          <w:tcPr>
            <w:tcW w:w="671" w:type="dxa"/>
            <w:shd w:val="clear" w:color="auto" w:fill="000000" w:themeFill="text1"/>
            <w:vAlign w:val="center"/>
          </w:tcPr>
          <w:p w14:paraId="52DC7E56" w14:textId="77777777" w:rsidR="000D687E" w:rsidRPr="00200BCC" w:rsidRDefault="000D687E" w:rsidP="00115146">
            <w:pPr>
              <w:pStyle w:val="TableHeader"/>
              <w:jc w:val="right"/>
              <w:cnfStyle w:val="000000100000" w:firstRow="0" w:lastRow="0" w:firstColumn="0" w:lastColumn="0" w:oddVBand="0" w:evenVBand="0" w:oddHBand="1" w:evenHBand="0" w:firstRowFirstColumn="0" w:firstRowLastColumn="0" w:lastRowFirstColumn="0" w:lastRowLastColumn="0"/>
              <w:rPr>
                <w:bCs/>
                <w:color w:val="auto"/>
                <w:sz w:val="20"/>
                <w:szCs w:val="20"/>
              </w:rPr>
            </w:pPr>
            <w:r w:rsidRPr="00200BCC">
              <w:rPr>
                <w:bCs/>
                <w:color w:val="auto"/>
                <w:sz w:val="20"/>
                <w:szCs w:val="20"/>
              </w:rPr>
              <w:t>%</w:t>
            </w:r>
          </w:p>
        </w:tc>
        <w:tc>
          <w:tcPr>
            <w:tcW w:w="571" w:type="dxa"/>
            <w:shd w:val="clear" w:color="auto" w:fill="000000" w:themeFill="text1"/>
            <w:vAlign w:val="center"/>
          </w:tcPr>
          <w:p w14:paraId="6FE78AA5" w14:textId="77777777" w:rsidR="000D687E" w:rsidRPr="00200BCC" w:rsidRDefault="000D687E" w:rsidP="00115146">
            <w:pPr>
              <w:pStyle w:val="TableHeader"/>
              <w:jc w:val="right"/>
              <w:cnfStyle w:val="000000100000" w:firstRow="0" w:lastRow="0" w:firstColumn="0" w:lastColumn="0" w:oddVBand="0" w:evenVBand="0" w:oddHBand="1" w:evenHBand="0" w:firstRowFirstColumn="0" w:firstRowLastColumn="0" w:lastRowFirstColumn="0" w:lastRowLastColumn="0"/>
              <w:rPr>
                <w:bCs/>
                <w:color w:val="auto"/>
                <w:sz w:val="20"/>
                <w:szCs w:val="20"/>
              </w:rPr>
            </w:pPr>
            <w:r w:rsidRPr="00200BCC">
              <w:rPr>
                <w:bCs/>
                <w:color w:val="auto"/>
                <w:sz w:val="20"/>
                <w:szCs w:val="20"/>
              </w:rPr>
              <w:t>%</w:t>
            </w:r>
          </w:p>
        </w:tc>
        <w:tc>
          <w:tcPr>
            <w:tcW w:w="4469" w:type="dxa"/>
            <w:vMerge/>
          </w:tcPr>
          <w:p w14:paraId="20BEE13E" w14:textId="77777777" w:rsidR="000D687E" w:rsidRDefault="000D687E" w:rsidP="00567B7A">
            <w:pPr>
              <w:pStyle w:val="TableHeader"/>
              <w:cnfStyle w:val="000000100000" w:firstRow="0" w:lastRow="0" w:firstColumn="0" w:lastColumn="0" w:oddVBand="0" w:evenVBand="0" w:oddHBand="1" w:evenHBand="0" w:firstRowFirstColumn="0" w:firstRowLastColumn="0" w:lastRowFirstColumn="0" w:lastRowLastColumn="0"/>
              <w:rPr>
                <w:sz w:val="20"/>
                <w:szCs w:val="20"/>
              </w:rPr>
            </w:pPr>
          </w:p>
        </w:tc>
      </w:tr>
      <w:tr w:rsidR="000D687E" w:rsidRPr="00CD6245" w14:paraId="45B290C3" w14:textId="77777777" w:rsidTr="004B1827">
        <w:tc>
          <w:tcPr>
            <w:cnfStyle w:val="001000000000" w:firstRow="0" w:lastRow="0" w:firstColumn="1" w:lastColumn="0" w:oddVBand="0" w:evenVBand="0" w:oddHBand="0" w:evenHBand="0" w:firstRowFirstColumn="0" w:firstRowLastColumn="0" w:lastRowFirstColumn="0" w:lastRowLastColumn="0"/>
            <w:tcW w:w="356" w:type="dxa"/>
          </w:tcPr>
          <w:p w14:paraId="3788B75C" w14:textId="77777777" w:rsidR="000D687E" w:rsidRPr="00CD6245" w:rsidRDefault="000D687E" w:rsidP="00567B7A">
            <w:pPr>
              <w:pStyle w:val="TableText"/>
            </w:pPr>
            <w:r w:rsidRPr="00CD6245">
              <w:t>1</w:t>
            </w:r>
          </w:p>
        </w:tc>
        <w:tc>
          <w:tcPr>
            <w:tcW w:w="1967" w:type="dxa"/>
          </w:tcPr>
          <w:p w14:paraId="12EF2801" w14:textId="77777777" w:rsidR="000D687E" w:rsidRPr="00726E77" w:rsidRDefault="000D687E" w:rsidP="00567B7A">
            <w:pPr>
              <w:pStyle w:val="TableText"/>
              <w:cnfStyle w:val="000000000000" w:firstRow="0" w:lastRow="0" w:firstColumn="0" w:lastColumn="0" w:oddVBand="0" w:evenVBand="0" w:oddHBand="0" w:evenHBand="0" w:firstRowFirstColumn="0" w:firstRowLastColumn="0" w:lastRowFirstColumn="0" w:lastRowLastColumn="0"/>
            </w:pPr>
            <w:r w:rsidRPr="00726E77">
              <w:t xml:space="preserve">Value created </w:t>
            </w:r>
          </w:p>
        </w:tc>
        <w:tc>
          <w:tcPr>
            <w:tcW w:w="613" w:type="dxa"/>
          </w:tcPr>
          <w:p w14:paraId="7BDE7132" w14:textId="77777777" w:rsidR="000D687E" w:rsidRDefault="000D687E" w:rsidP="006B0393">
            <w:pPr>
              <w:pStyle w:val="Tablenumbers"/>
              <w:cnfStyle w:val="000000000000" w:firstRow="0" w:lastRow="0" w:firstColumn="0" w:lastColumn="0" w:oddVBand="0" w:evenVBand="0" w:oddHBand="0" w:evenHBand="0" w:firstRowFirstColumn="0" w:firstRowLastColumn="0" w:lastRowFirstColumn="0" w:lastRowLastColumn="0"/>
            </w:pPr>
            <w:r w:rsidRPr="00771B0F">
              <w:t>5.2</w:t>
            </w:r>
          </w:p>
        </w:tc>
        <w:tc>
          <w:tcPr>
            <w:tcW w:w="671" w:type="dxa"/>
          </w:tcPr>
          <w:p w14:paraId="1FA98C45" w14:textId="77777777" w:rsidR="000D687E" w:rsidRPr="00771B0F" w:rsidRDefault="000D687E" w:rsidP="006B0393">
            <w:pPr>
              <w:pStyle w:val="Tablenumbers"/>
              <w:cnfStyle w:val="000000000000" w:firstRow="0" w:lastRow="0" w:firstColumn="0" w:lastColumn="0" w:oddVBand="0" w:evenVBand="0" w:oddHBand="0" w:evenHBand="0" w:firstRowFirstColumn="0" w:firstRowLastColumn="0" w:lastRowFirstColumn="0" w:lastRowLastColumn="0"/>
            </w:pPr>
            <w:r w:rsidRPr="00771B0F">
              <w:t>21.5</w:t>
            </w:r>
          </w:p>
        </w:tc>
        <w:tc>
          <w:tcPr>
            <w:tcW w:w="571" w:type="dxa"/>
          </w:tcPr>
          <w:p w14:paraId="4676E558" w14:textId="77777777" w:rsidR="000D687E" w:rsidRPr="00CD6245" w:rsidRDefault="000D687E" w:rsidP="006B0393">
            <w:pPr>
              <w:pStyle w:val="Tablenumbers"/>
              <w:cnfStyle w:val="000000000000" w:firstRow="0" w:lastRow="0" w:firstColumn="0" w:lastColumn="0" w:oddVBand="0" w:evenVBand="0" w:oddHBand="0" w:evenHBand="0" w:firstRowFirstColumn="0" w:firstRowLastColumn="0" w:lastRowFirstColumn="0" w:lastRowLastColumn="0"/>
            </w:pPr>
            <w:r>
              <w:t>24.3</w:t>
            </w:r>
          </w:p>
        </w:tc>
        <w:tc>
          <w:tcPr>
            <w:tcW w:w="4469" w:type="dxa"/>
          </w:tcPr>
          <w:p w14:paraId="5A49363C" w14:textId="29D8F91C" w:rsidR="000D687E" w:rsidRPr="00CD6245" w:rsidRDefault="000D687E" w:rsidP="00567B7A">
            <w:pPr>
              <w:pStyle w:val="TableText"/>
              <w:cnfStyle w:val="000000000000" w:firstRow="0" w:lastRow="0" w:firstColumn="0" w:lastColumn="0" w:oddVBand="0" w:evenVBand="0" w:oddHBand="0" w:evenHBand="0" w:firstRowFirstColumn="0" w:firstRowLastColumn="0" w:lastRowFirstColumn="0" w:lastRowLastColumn="0"/>
            </w:pPr>
            <w:r w:rsidRPr="00501C8F">
              <w:t>The higher percentage</w:t>
            </w:r>
            <w:r>
              <w:t xml:space="preserve"> in</w:t>
            </w:r>
            <w:r w:rsidRPr="00501C8F">
              <w:t xml:space="preserve"> 2017</w:t>
            </w:r>
            <w:r>
              <w:t>–</w:t>
            </w:r>
            <w:r w:rsidRPr="00501C8F">
              <w:t>18 is mainly driven by better market research and value</w:t>
            </w:r>
            <w:r>
              <w:t>-</w:t>
            </w:r>
            <w:r w:rsidRPr="00501C8F">
              <w:t>for</w:t>
            </w:r>
            <w:r>
              <w:t>-</w:t>
            </w:r>
            <w:r w:rsidRPr="00501C8F">
              <w:t xml:space="preserve">money awareness compared to the </w:t>
            </w:r>
            <w:r w:rsidR="00C60DF4">
              <w:t>2016–17</w:t>
            </w:r>
            <w:r w:rsidRPr="00501C8F">
              <w:t xml:space="preserve"> result.</w:t>
            </w:r>
          </w:p>
        </w:tc>
      </w:tr>
      <w:tr w:rsidR="000D687E" w:rsidRPr="00CD6245" w14:paraId="3B2C9550" w14:textId="77777777" w:rsidTr="004B18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6" w:type="dxa"/>
          </w:tcPr>
          <w:p w14:paraId="6E685111" w14:textId="77777777" w:rsidR="000D687E" w:rsidRPr="00CD6245" w:rsidRDefault="000D687E" w:rsidP="00567B7A">
            <w:pPr>
              <w:pStyle w:val="TableText"/>
            </w:pPr>
            <w:r w:rsidRPr="00CD6245">
              <w:t>2</w:t>
            </w:r>
          </w:p>
        </w:tc>
        <w:tc>
          <w:tcPr>
            <w:tcW w:w="1967" w:type="dxa"/>
          </w:tcPr>
          <w:p w14:paraId="32FAFD47" w14:textId="57B685F2" w:rsidR="000D687E" w:rsidRPr="00726E77" w:rsidRDefault="000D687E" w:rsidP="00567B7A">
            <w:pPr>
              <w:pStyle w:val="TableText"/>
              <w:cnfStyle w:val="000000100000" w:firstRow="0" w:lastRow="0" w:firstColumn="0" w:lastColumn="0" w:oddVBand="0" w:evenVBand="0" w:oddHBand="1" w:evenHBand="0" w:firstRowFirstColumn="0" w:firstRowLastColumn="0" w:lastRowFirstColumn="0" w:lastRowLastColumn="0"/>
            </w:pPr>
            <w:r w:rsidRPr="00726E77">
              <w:t xml:space="preserve">Proportion of P-Card </w:t>
            </w:r>
            <w:r w:rsidR="00D11C9B">
              <w:t xml:space="preserve">(or equivalent) </w:t>
            </w:r>
            <w:r w:rsidRPr="00726E77">
              <w:t>transactions</w:t>
            </w:r>
          </w:p>
        </w:tc>
        <w:tc>
          <w:tcPr>
            <w:tcW w:w="613" w:type="dxa"/>
          </w:tcPr>
          <w:p w14:paraId="61D34942" w14:textId="77777777" w:rsidR="000D687E" w:rsidRDefault="000D687E" w:rsidP="006B0393">
            <w:pPr>
              <w:pStyle w:val="Tablenumbers"/>
              <w:cnfStyle w:val="000000100000" w:firstRow="0" w:lastRow="0" w:firstColumn="0" w:lastColumn="0" w:oddVBand="0" w:evenVBand="0" w:oddHBand="1" w:evenHBand="0" w:firstRowFirstColumn="0" w:firstRowLastColumn="0" w:lastRowFirstColumn="0" w:lastRowLastColumn="0"/>
            </w:pPr>
            <w:r w:rsidRPr="00771B0F">
              <w:t>11</w:t>
            </w:r>
          </w:p>
        </w:tc>
        <w:tc>
          <w:tcPr>
            <w:tcW w:w="671" w:type="dxa"/>
          </w:tcPr>
          <w:p w14:paraId="01AE5939" w14:textId="77777777" w:rsidR="000D687E" w:rsidRPr="00771B0F" w:rsidRDefault="000D687E" w:rsidP="006B0393">
            <w:pPr>
              <w:pStyle w:val="Tablenumbers"/>
              <w:cnfStyle w:val="000000100000" w:firstRow="0" w:lastRow="0" w:firstColumn="0" w:lastColumn="0" w:oddVBand="0" w:evenVBand="0" w:oddHBand="1" w:evenHBand="0" w:firstRowFirstColumn="0" w:firstRowLastColumn="0" w:lastRowFirstColumn="0" w:lastRowLastColumn="0"/>
            </w:pPr>
            <w:r>
              <w:t>12.3*</w:t>
            </w:r>
          </w:p>
        </w:tc>
        <w:tc>
          <w:tcPr>
            <w:tcW w:w="571" w:type="dxa"/>
          </w:tcPr>
          <w:p w14:paraId="18A196EF" w14:textId="77777777" w:rsidR="000D687E" w:rsidRPr="00CD6245" w:rsidRDefault="000D687E" w:rsidP="006B0393">
            <w:pPr>
              <w:pStyle w:val="Tablenumbers"/>
              <w:cnfStyle w:val="000000100000" w:firstRow="0" w:lastRow="0" w:firstColumn="0" w:lastColumn="0" w:oddVBand="0" w:evenVBand="0" w:oddHBand="1" w:evenHBand="0" w:firstRowFirstColumn="0" w:firstRowLastColumn="0" w:lastRowFirstColumn="0" w:lastRowLastColumn="0"/>
            </w:pPr>
            <w:r>
              <w:t>9.8</w:t>
            </w:r>
          </w:p>
        </w:tc>
        <w:tc>
          <w:tcPr>
            <w:tcW w:w="4469" w:type="dxa"/>
          </w:tcPr>
          <w:p w14:paraId="0A27FD49" w14:textId="30DA08A0" w:rsidR="000D687E" w:rsidRPr="00CD6245" w:rsidRDefault="000D687E" w:rsidP="00567B7A">
            <w:pPr>
              <w:pStyle w:val="TableText"/>
              <w:cnfStyle w:val="000000100000" w:firstRow="0" w:lastRow="0" w:firstColumn="0" w:lastColumn="0" w:oddVBand="0" w:evenVBand="0" w:oddHBand="1" w:evenHBand="0" w:firstRowFirstColumn="0" w:firstRowLastColumn="0" w:lastRowFirstColumn="0" w:lastRowLastColumn="0"/>
            </w:pPr>
            <w:r w:rsidRPr="004B3B51">
              <w:t>The use of P-</w:t>
            </w:r>
            <w:r>
              <w:t>C</w:t>
            </w:r>
            <w:r w:rsidRPr="004B3B51">
              <w:t xml:space="preserve">ards has declined over the </w:t>
            </w:r>
            <w:r w:rsidR="00AC6DC4">
              <w:t>p</w:t>
            </w:r>
            <w:r w:rsidRPr="004B3B51">
              <w:t>ast year</w:t>
            </w:r>
            <w:r w:rsidR="00C60DF4">
              <w:t xml:space="preserve">, </w:t>
            </w:r>
            <w:r w:rsidRPr="004B3B51">
              <w:t xml:space="preserve">mainly due to the perception </w:t>
            </w:r>
            <w:r>
              <w:t xml:space="preserve">of risks related to </w:t>
            </w:r>
            <w:r w:rsidRPr="004B3B51">
              <w:t>procuring via P-</w:t>
            </w:r>
            <w:r>
              <w:t>C</w:t>
            </w:r>
            <w:r w:rsidRPr="004B3B51">
              <w:t>ard. Corporate Finance</w:t>
            </w:r>
            <w:r w:rsidR="00AC6DC4">
              <w:t>,</w:t>
            </w:r>
            <w:r w:rsidRPr="004B3B51">
              <w:t xml:space="preserve"> in consultation with </w:t>
            </w:r>
            <w:r>
              <w:t>the PRU</w:t>
            </w:r>
            <w:r w:rsidR="00AC6DC4">
              <w:t>,</w:t>
            </w:r>
            <w:r>
              <w:t xml:space="preserve"> </w:t>
            </w:r>
            <w:r w:rsidRPr="004B3B51">
              <w:t xml:space="preserve">are seeking to promote </w:t>
            </w:r>
            <w:r>
              <w:t xml:space="preserve">using </w:t>
            </w:r>
            <w:r w:rsidRPr="004B3B51">
              <w:t>P-</w:t>
            </w:r>
            <w:r>
              <w:t>C</w:t>
            </w:r>
            <w:r w:rsidRPr="004B3B51">
              <w:t>ards with the introduction of the ERP Oracle cloud solution and controls to reduce the risks of P-</w:t>
            </w:r>
            <w:r>
              <w:t>C</w:t>
            </w:r>
            <w:r w:rsidRPr="004B3B51">
              <w:t>ard purchas</w:t>
            </w:r>
            <w:r>
              <w:t>es</w:t>
            </w:r>
            <w:r w:rsidRPr="004B3B51">
              <w:t>.</w:t>
            </w:r>
          </w:p>
        </w:tc>
      </w:tr>
      <w:tr w:rsidR="000D687E" w:rsidRPr="00CD6245" w14:paraId="566669CA" w14:textId="77777777" w:rsidTr="004B1827">
        <w:tc>
          <w:tcPr>
            <w:cnfStyle w:val="001000000000" w:firstRow="0" w:lastRow="0" w:firstColumn="1" w:lastColumn="0" w:oddVBand="0" w:evenVBand="0" w:oddHBand="0" w:evenHBand="0" w:firstRowFirstColumn="0" w:firstRowLastColumn="0" w:lastRowFirstColumn="0" w:lastRowLastColumn="0"/>
            <w:tcW w:w="356" w:type="dxa"/>
          </w:tcPr>
          <w:p w14:paraId="3868F5F4" w14:textId="77777777" w:rsidR="000D687E" w:rsidRPr="00CD6245" w:rsidRDefault="000D687E" w:rsidP="00567B7A">
            <w:pPr>
              <w:pStyle w:val="TableText"/>
            </w:pPr>
            <w:r w:rsidRPr="00CD6245">
              <w:t>3</w:t>
            </w:r>
          </w:p>
        </w:tc>
        <w:tc>
          <w:tcPr>
            <w:tcW w:w="1967" w:type="dxa"/>
          </w:tcPr>
          <w:p w14:paraId="2DB06DF4" w14:textId="77777777" w:rsidR="000D687E" w:rsidRPr="00726E77" w:rsidRDefault="000D687E" w:rsidP="00567B7A">
            <w:pPr>
              <w:pStyle w:val="TableText"/>
              <w:cnfStyle w:val="000000000000" w:firstRow="0" w:lastRow="0" w:firstColumn="0" w:lastColumn="0" w:oddVBand="0" w:evenVBand="0" w:oddHBand="0" w:evenHBand="0" w:firstRowFirstColumn="0" w:firstRowLastColumn="0" w:lastRowFirstColumn="0" w:lastRowLastColumn="0"/>
            </w:pPr>
            <w:r w:rsidRPr="00726E77">
              <w:t>Increase in procurement capability</w:t>
            </w:r>
          </w:p>
        </w:tc>
        <w:tc>
          <w:tcPr>
            <w:tcW w:w="613" w:type="dxa"/>
          </w:tcPr>
          <w:p w14:paraId="6476FB16" w14:textId="77777777" w:rsidR="000D687E" w:rsidRDefault="000D687E" w:rsidP="006B0393">
            <w:pPr>
              <w:pStyle w:val="Tablenumbers"/>
              <w:cnfStyle w:val="000000000000" w:firstRow="0" w:lastRow="0" w:firstColumn="0" w:lastColumn="0" w:oddVBand="0" w:evenVBand="0" w:oddHBand="0" w:evenHBand="0" w:firstRowFirstColumn="0" w:firstRowLastColumn="0" w:lastRowFirstColumn="0" w:lastRowLastColumn="0"/>
            </w:pPr>
            <w:r w:rsidRPr="00771B0F">
              <w:t>…</w:t>
            </w:r>
          </w:p>
        </w:tc>
        <w:tc>
          <w:tcPr>
            <w:tcW w:w="671" w:type="dxa"/>
          </w:tcPr>
          <w:p w14:paraId="438B65D7" w14:textId="77777777" w:rsidR="000D687E" w:rsidRPr="00771B0F" w:rsidRDefault="000D687E" w:rsidP="006B0393">
            <w:pPr>
              <w:pStyle w:val="Tablenumbers"/>
              <w:cnfStyle w:val="000000000000" w:firstRow="0" w:lastRow="0" w:firstColumn="0" w:lastColumn="0" w:oddVBand="0" w:evenVBand="0" w:oddHBand="0" w:evenHBand="0" w:firstRowFirstColumn="0" w:firstRowLastColumn="0" w:lastRowFirstColumn="0" w:lastRowLastColumn="0"/>
            </w:pPr>
            <w:r w:rsidRPr="00771B0F">
              <w:t>…</w:t>
            </w:r>
          </w:p>
        </w:tc>
        <w:tc>
          <w:tcPr>
            <w:tcW w:w="571" w:type="dxa"/>
          </w:tcPr>
          <w:p w14:paraId="55CEC3B1" w14:textId="51B573D7" w:rsidR="000D687E" w:rsidRPr="00CD6245" w:rsidRDefault="001C3A21" w:rsidP="006B0393">
            <w:pPr>
              <w:pStyle w:val="Tablenumbers"/>
              <w:cnfStyle w:val="000000000000" w:firstRow="0" w:lastRow="0" w:firstColumn="0" w:lastColumn="0" w:oddVBand="0" w:evenVBand="0" w:oddHBand="0" w:evenHBand="0" w:firstRowFirstColumn="0" w:firstRowLastColumn="0" w:lastRowFirstColumn="0" w:lastRowLastColumn="0"/>
            </w:pPr>
            <w:r>
              <w:t>−</w:t>
            </w:r>
            <w:r w:rsidR="000D687E">
              <w:t>4.3</w:t>
            </w:r>
          </w:p>
        </w:tc>
        <w:tc>
          <w:tcPr>
            <w:tcW w:w="4469" w:type="dxa"/>
          </w:tcPr>
          <w:p w14:paraId="78364E4A" w14:textId="527B81BF" w:rsidR="000D687E" w:rsidRPr="00CD6245" w:rsidRDefault="000D687E" w:rsidP="00567B7A">
            <w:pPr>
              <w:pStyle w:val="TableText"/>
              <w:cnfStyle w:val="000000000000" w:firstRow="0" w:lastRow="0" w:firstColumn="0" w:lastColumn="0" w:oddVBand="0" w:evenVBand="0" w:oddHBand="0" w:evenHBand="0" w:firstRowFirstColumn="0" w:firstRowLastColumn="0" w:lastRowFirstColumn="0" w:lastRowLastColumn="0"/>
            </w:pPr>
            <w:r w:rsidRPr="004B3B51">
              <w:t>Though the IPU noted improvements in capability</w:t>
            </w:r>
            <w:r>
              <w:t xml:space="preserve">, </w:t>
            </w:r>
            <w:r w:rsidRPr="004B3B51">
              <w:t xml:space="preserve">there are still areas to address </w:t>
            </w:r>
            <w:r>
              <w:t>in</w:t>
            </w:r>
            <w:r w:rsidRPr="004B3B51">
              <w:t xml:space="preserve"> </w:t>
            </w:r>
            <w:r w:rsidR="00C60DF4">
              <w:t>DTF</w:t>
            </w:r>
            <w:r w:rsidRPr="004B3B51">
              <w:t xml:space="preserve"> to uplift performance.</w:t>
            </w:r>
          </w:p>
        </w:tc>
      </w:tr>
      <w:tr w:rsidR="000D687E" w:rsidRPr="00CD6245" w14:paraId="3166D19F" w14:textId="77777777" w:rsidTr="004B18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6" w:type="dxa"/>
          </w:tcPr>
          <w:p w14:paraId="31F53C6E" w14:textId="77777777" w:rsidR="000D687E" w:rsidRPr="00CD6245" w:rsidRDefault="000D687E" w:rsidP="00567B7A">
            <w:pPr>
              <w:pStyle w:val="TableText"/>
            </w:pPr>
            <w:r w:rsidRPr="00CD6245">
              <w:lastRenderedPageBreak/>
              <w:t>4</w:t>
            </w:r>
          </w:p>
        </w:tc>
        <w:tc>
          <w:tcPr>
            <w:tcW w:w="1967" w:type="dxa"/>
          </w:tcPr>
          <w:p w14:paraId="281C1DD5" w14:textId="77777777" w:rsidR="000D687E" w:rsidRPr="00726E77" w:rsidRDefault="000D687E" w:rsidP="00567B7A">
            <w:pPr>
              <w:pStyle w:val="TableText"/>
              <w:cnfStyle w:val="000000100000" w:firstRow="0" w:lastRow="0" w:firstColumn="0" w:lastColumn="0" w:oddVBand="0" w:evenVBand="0" w:oddHBand="1" w:evenHBand="0" w:firstRowFirstColumn="0" w:firstRowLastColumn="0" w:lastRowFirstColumn="0" w:lastRowLastColumn="0"/>
            </w:pPr>
            <w:r w:rsidRPr="00726E77">
              <w:t>Cost of procurement resources</w:t>
            </w:r>
          </w:p>
        </w:tc>
        <w:tc>
          <w:tcPr>
            <w:tcW w:w="613" w:type="dxa"/>
          </w:tcPr>
          <w:p w14:paraId="59B12DFF" w14:textId="77777777" w:rsidR="000D687E" w:rsidRDefault="000D687E" w:rsidP="006B0393">
            <w:pPr>
              <w:pStyle w:val="Tablenumbers"/>
              <w:cnfStyle w:val="000000100000" w:firstRow="0" w:lastRow="0" w:firstColumn="0" w:lastColumn="0" w:oddVBand="0" w:evenVBand="0" w:oddHBand="1" w:evenHBand="0" w:firstRowFirstColumn="0" w:firstRowLastColumn="0" w:lastRowFirstColumn="0" w:lastRowLastColumn="0"/>
            </w:pPr>
            <w:r w:rsidRPr="00771B0F">
              <w:t>0.4</w:t>
            </w:r>
          </w:p>
        </w:tc>
        <w:tc>
          <w:tcPr>
            <w:tcW w:w="671" w:type="dxa"/>
          </w:tcPr>
          <w:p w14:paraId="7D3E839F" w14:textId="77777777" w:rsidR="000D687E" w:rsidRPr="00771B0F" w:rsidRDefault="000D687E" w:rsidP="006B0393">
            <w:pPr>
              <w:pStyle w:val="Tablenumbers"/>
              <w:cnfStyle w:val="000000100000" w:firstRow="0" w:lastRow="0" w:firstColumn="0" w:lastColumn="0" w:oddVBand="0" w:evenVBand="0" w:oddHBand="1" w:evenHBand="0" w:firstRowFirstColumn="0" w:firstRowLastColumn="0" w:lastRowFirstColumn="0" w:lastRowLastColumn="0"/>
            </w:pPr>
            <w:r w:rsidRPr="00771B0F">
              <w:t>0.3</w:t>
            </w:r>
          </w:p>
        </w:tc>
        <w:tc>
          <w:tcPr>
            <w:tcW w:w="571" w:type="dxa"/>
          </w:tcPr>
          <w:p w14:paraId="624C71DB" w14:textId="77777777" w:rsidR="000D687E" w:rsidRPr="00CD6245" w:rsidRDefault="000D687E" w:rsidP="006B0393">
            <w:pPr>
              <w:pStyle w:val="Tablenumbers"/>
              <w:cnfStyle w:val="000000100000" w:firstRow="0" w:lastRow="0" w:firstColumn="0" w:lastColumn="0" w:oddVBand="0" w:evenVBand="0" w:oddHBand="1" w:evenHBand="0" w:firstRowFirstColumn="0" w:firstRowLastColumn="0" w:lastRowFirstColumn="0" w:lastRowLastColumn="0"/>
            </w:pPr>
            <w:r>
              <w:t>0.6</w:t>
            </w:r>
          </w:p>
        </w:tc>
        <w:tc>
          <w:tcPr>
            <w:tcW w:w="4469" w:type="dxa"/>
          </w:tcPr>
          <w:p w14:paraId="29B8CB95" w14:textId="3312BE44" w:rsidR="000D687E" w:rsidRPr="00CD6245" w:rsidRDefault="000D687E" w:rsidP="00567B7A">
            <w:pPr>
              <w:pStyle w:val="TableText"/>
              <w:cnfStyle w:val="000000100000" w:firstRow="0" w:lastRow="0" w:firstColumn="0" w:lastColumn="0" w:oddVBand="0" w:evenVBand="0" w:oddHBand="1" w:evenHBand="0" w:firstRowFirstColumn="0" w:firstRowLastColumn="0" w:lastRowFirstColumn="0" w:lastRowLastColumn="0"/>
            </w:pPr>
            <w:r w:rsidRPr="00BA42F7">
              <w:t xml:space="preserve">Slight increase from </w:t>
            </w:r>
            <w:r w:rsidR="00C60DF4">
              <w:t xml:space="preserve">2016–17 </w:t>
            </w:r>
            <w:r w:rsidRPr="00BA42F7">
              <w:t xml:space="preserve">attributed to </w:t>
            </w:r>
            <w:r>
              <w:t>adding</w:t>
            </w:r>
            <w:r w:rsidRPr="00BA42F7">
              <w:t xml:space="preserve"> a</w:t>
            </w:r>
            <w:r>
              <w:t xml:space="preserve">nother resource </w:t>
            </w:r>
            <w:r w:rsidRPr="00BA42F7">
              <w:t xml:space="preserve">in the </w:t>
            </w:r>
            <w:r>
              <w:t xml:space="preserve">State Revenue Office’s </w:t>
            </w:r>
            <w:r w:rsidR="00137613">
              <w:t>IPU</w:t>
            </w:r>
            <w:r w:rsidRPr="00BA42F7">
              <w:t xml:space="preserve"> and </w:t>
            </w:r>
            <w:r w:rsidR="00C60DF4">
              <w:t>adding</w:t>
            </w:r>
            <w:r w:rsidRPr="00BA42F7">
              <w:t xml:space="preserve"> a temp</w:t>
            </w:r>
            <w:r>
              <w:t>orary</w:t>
            </w:r>
            <w:r w:rsidRPr="00BA42F7">
              <w:t xml:space="preserve"> contractor </w:t>
            </w:r>
            <w:r w:rsidR="00C60DF4">
              <w:t>in</w:t>
            </w:r>
            <w:r w:rsidRPr="00BA42F7">
              <w:t xml:space="preserve"> the PRU.</w:t>
            </w:r>
          </w:p>
        </w:tc>
      </w:tr>
      <w:tr w:rsidR="006B0393" w:rsidRPr="00CD6245" w14:paraId="0C07AD8A" w14:textId="77777777" w:rsidTr="004B1827">
        <w:tc>
          <w:tcPr>
            <w:cnfStyle w:val="001000000000" w:firstRow="0" w:lastRow="0" w:firstColumn="1" w:lastColumn="0" w:oddVBand="0" w:evenVBand="0" w:oddHBand="0" w:evenHBand="0" w:firstRowFirstColumn="0" w:firstRowLastColumn="0" w:lastRowFirstColumn="0" w:lastRowLastColumn="0"/>
            <w:tcW w:w="356" w:type="dxa"/>
            <w:vMerge w:val="restart"/>
          </w:tcPr>
          <w:p w14:paraId="6EB98AF6" w14:textId="4F3F42A6" w:rsidR="006B0393" w:rsidRPr="00CD6245" w:rsidRDefault="006B0393" w:rsidP="006B0393">
            <w:pPr>
              <w:pStyle w:val="TableText"/>
            </w:pPr>
            <w:r>
              <w:t>5</w:t>
            </w:r>
          </w:p>
        </w:tc>
        <w:tc>
          <w:tcPr>
            <w:tcW w:w="1967" w:type="dxa"/>
          </w:tcPr>
          <w:p w14:paraId="5F14F00F" w14:textId="15BAA372" w:rsidR="006B0393" w:rsidRPr="00726E77" w:rsidRDefault="006B0393" w:rsidP="006B0393">
            <w:pPr>
              <w:pStyle w:val="TableText"/>
              <w:cnfStyle w:val="000000000000" w:firstRow="0" w:lastRow="0" w:firstColumn="0" w:lastColumn="0" w:oddVBand="0" w:evenVBand="0" w:oddHBand="0" w:evenHBand="0" w:firstRowFirstColumn="0" w:firstRowLastColumn="0" w:lastRowFirstColumn="0" w:lastRowLastColumn="0"/>
            </w:pPr>
            <w:r w:rsidRPr="000451B5">
              <w:t xml:space="preserve">Successful </w:t>
            </w:r>
            <w:r>
              <w:t>s</w:t>
            </w:r>
            <w:r w:rsidRPr="008F30C8">
              <w:t>upplie</w:t>
            </w:r>
            <w:r>
              <w:t xml:space="preserve">r </w:t>
            </w:r>
            <w:r w:rsidRPr="000451B5">
              <w:t>satisfied</w:t>
            </w:r>
          </w:p>
        </w:tc>
        <w:tc>
          <w:tcPr>
            <w:tcW w:w="613" w:type="dxa"/>
          </w:tcPr>
          <w:p w14:paraId="414A507B" w14:textId="200F0D31" w:rsidR="006B0393" w:rsidRPr="00771B0F" w:rsidRDefault="006B0393" w:rsidP="006B0393">
            <w:pPr>
              <w:pStyle w:val="Tablenumbers"/>
              <w:cnfStyle w:val="000000000000" w:firstRow="0" w:lastRow="0" w:firstColumn="0" w:lastColumn="0" w:oddVBand="0" w:evenVBand="0" w:oddHBand="0" w:evenHBand="0" w:firstRowFirstColumn="0" w:firstRowLastColumn="0" w:lastRowFirstColumn="0" w:lastRowLastColumn="0"/>
            </w:pPr>
            <w:r>
              <w:t>90</w:t>
            </w:r>
          </w:p>
        </w:tc>
        <w:tc>
          <w:tcPr>
            <w:tcW w:w="671" w:type="dxa"/>
          </w:tcPr>
          <w:p w14:paraId="5AFE6123" w14:textId="65B755C7" w:rsidR="006B0393" w:rsidRPr="00771B0F" w:rsidRDefault="006B0393" w:rsidP="006B0393">
            <w:pPr>
              <w:pStyle w:val="Tablenumbers"/>
              <w:cnfStyle w:val="000000000000" w:firstRow="0" w:lastRow="0" w:firstColumn="0" w:lastColumn="0" w:oddVBand="0" w:evenVBand="0" w:oddHBand="0" w:evenHBand="0" w:firstRowFirstColumn="0" w:firstRowLastColumn="0" w:lastRowFirstColumn="0" w:lastRowLastColumn="0"/>
            </w:pPr>
            <w:r>
              <w:t>67</w:t>
            </w:r>
          </w:p>
        </w:tc>
        <w:tc>
          <w:tcPr>
            <w:tcW w:w="571" w:type="dxa"/>
          </w:tcPr>
          <w:p w14:paraId="6BE16F7A" w14:textId="28A9054E" w:rsidR="006B0393" w:rsidRDefault="006B0393" w:rsidP="006B0393">
            <w:pPr>
              <w:pStyle w:val="Tablenumbers"/>
              <w:cnfStyle w:val="000000000000" w:firstRow="0" w:lastRow="0" w:firstColumn="0" w:lastColumn="0" w:oddVBand="0" w:evenVBand="0" w:oddHBand="0" w:evenHBand="0" w:firstRowFirstColumn="0" w:firstRowLastColumn="0" w:lastRowFirstColumn="0" w:lastRowLastColumn="0"/>
            </w:pPr>
            <w:r>
              <w:t>91</w:t>
            </w:r>
          </w:p>
        </w:tc>
        <w:tc>
          <w:tcPr>
            <w:tcW w:w="4469" w:type="dxa"/>
            <w:vMerge w:val="restart"/>
          </w:tcPr>
          <w:p w14:paraId="427E8D83" w14:textId="29F0DF98" w:rsidR="006B0393" w:rsidRDefault="006B0393" w:rsidP="006B0393">
            <w:pPr>
              <w:pStyle w:val="TableText"/>
              <w:cnfStyle w:val="000000000000" w:firstRow="0" w:lastRow="0" w:firstColumn="0" w:lastColumn="0" w:oddVBand="0" w:evenVBand="0" w:oddHBand="0" w:evenHBand="0" w:firstRowFirstColumn="0" w:firstRowLastColumn="0" w:lastRowFirstColumn="0" w:lastRowLastColumn="0"/>
            </w:pPr>
            <w:r>
              <w:t>Response rate i</w:t>
            </w:r>
            <w:r w:rsidRPr="007077CA">
              <w:t>ncrease</w:t>
            </w:r>
            <w:r>
              <w:t>d</w:t>
            </w:r>
            <w:r w:rsidRPr="007077CA">
              <w:t xml:space="preserve"> from 21 to 34</w:t>
            </w:r>
            <w:r>
              <w:t xml:space="preserve">. DTF tried to </w:t>
            </w:r>
            <w:r w:rsidRPr="007077CA">
              <w:t xml:space="preserve">capture more details </w:t>
            </w:r>
            <w:r>
              <w:t>from</w:t>
            </w:r>
            <w:r w:rsidRPr="007077CA">
              <w:t xml:space="preserve"> unsuccessful suppliers. </w:t>
            </w:r>
            <w:r>
              <w:t>Successful suppliers were mostly satisfied but unsuccessful satisfied fell by 14 per cent. DTF</w:t>
            </w:r>
            <w:r w:rsidRPr="007077CA">
              <w:t xml:space="preserve"> need</w:t>
            </w:r>
            <w:r>
              <w:t>s</w:t>
            </w:r>
            <w:r w:rsidRPr="007077CA">
              <w:t xml:space="preserve"> to improve the feedback and evaluation process to increase supplier satisfaction. </w:t>
            </w:r>
            <w:r>
              <w:t xml:space="preserve">The </w:t>
            </w:r>
            <w:r w:rsidRPr="007077CA">
              <w:t>PRU promoted supplier briefing</w:t>
            </w:r>
            <w:r>
              <w:t>s</w:t>
            </w:r>
            <w:r w:rsidRPr="007077CA">
              <w:t xml:space="preserve"> and feedback at the end of evaluations and gave procurers more information on how to conduct briefings.</w:t>
            </w:r>
          </w:p>
        </w:tc>
      </w:tr>
      <w:tr w:rsidR="006B0393" w:rsidRPr="00CD6245" w14:paraId="69FB966E" w14:textId="77777777" w:rsidTr="004B18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6" w:type="dxa"/>
            <w:vMerge/>
          </w:tcPr>
          <w:p w14:paraId="6C7BE5A9" w14:textId="77777777" w:rsidR="006B0393" w:rsidRPr="00CD6245" w:rsidRDefault="006B0393" w:rsidP="006B0393">
            <w:pPr>
              <w:pStyle w:val="TableText"/>
            </w:pPr>
          </w:p>
        </w:tc>
        <w:tc>
          <w:tcPr>
            <w:tcW w:w="1967" w:type="dxa"/>
          </w:tcPr>
          <w:p w14:paraId="68267157" w14:textId="341D07E8" w:rsidR="006B0393" w:rsidRPr="00726E77" w:rsidRDefault="006B0393" w:rsidP="006B0393">
            <w:pPr>
              <w:pStyle w:val="TableText"/>
              <w:cnfStyle w:val="000000100000" w:firstRow="0" w:lastRow="0" w:firstColumn="0" w:lastColumn="0" w:oddVBand="0" w:evenVBand="0" w:oddHBand="1" w:evenHBand="0" w:firstRowFirstColumn="0" w:firstRowLastColumn="0" w:lastRowFirstColumn="0" w:lastRowLastColumn="0"/>
            </w:pPr>
            <w:r w:rsidRPr="000451B5">
              <w:t xml:space="preserve">Unsuccessful </w:t>
            </w:r>
            <w:r>
              <w:t>s</w:t>
            </w:r>
            <w:r w:rsidRPr="008F30C8">
              <w:t>upplie</w:t>
            </w:r>
            <w:r>
              <w:t xml:space="preserve">r </w:t>
            </w:r>
            <w:r w:rsidRPr="000451B5">
              <w:t>satisfied</w:t>
            </w:r>
          </w:p>
        </w:tc>
        <w:tc>
          <w:tcPr>
            <w:tcW w:w="613" w:type="dxa"/>
          </w:tcPr>
          <w:p w14:paraId="25D6F4A4" w14:textId="6AAFF852" w:rsidR="006B0393" w:rsidRPr="00771B0F" w:rsidRDefault="006B0393" w:rsidP="006B0393">
            <w:pPr>
              <w:pStyle w:val="Tablenumbers"/>
              <w:cnfStyle w:val="000000100000" w:firstRow="0" w:lastRow="0" w:firstColumn="0" w:lastColumn="0" w:oddVBand="0" w:evenVBand="0" w:oddHBand="1" w:evenHBand="0" w:firstRowFirstColumn="0" w:firstRowLastColumn="0" w:lastRowFirstColumn="0" w:lastRowLastColumn="0"/>
            </w:pPr>
            <w:r>
              <w:t>57</w:t>
            </w:r>
          </w:p>
        </w:tc>
        <w:tc>
          <w:tcPr>
            <w:tcW w:w="671" w:type="dxa"/>
          </w:tcPr>
          <w:p w14:paraId="42740FD8" w14:textId="73E67F54" w:rsidR="006B0393" w:rsidRPr="00771B0F" w:rsidRDefault="006B0393" w:rsidP="006B0393">
            <w:pPr>
              <w:pStyle w:val="Tablenumbers"/>
              <w:cnfStyle w:val="000000100000" w:firstRow="0" w:lastRow="0" w:firstColumn="0" w:lastColumn="0" w:oddVBand="0" w:evenVBand="0" w:oddHBand="1" w:evenHBand="0" w:firstRowFirstColumn="0" w:firstRowLastColumn="0" w:lastRowFirstColumn="0" w:lastRowLastColumn="0"/>
            </w:pPr>
            <w:r>
              <w:t>50</w:t>
            </w:r>
          </w:p>
        </w:tc>
        <w:tc>
          <w:tcPr>
            <w:tcW w:w="571" w:type="dxa"/>
          </w:tcPr>
          <w:p w14:paraId="7990AA41" w14:textId="04E3016D" w:rsidR="006B0393" w:rsidRDefault="006B0393" w:rsidP="006B0393">
            <w:pPr>
              <w:pStyle w:val="Tablenumbers"/>
              <w:cnfStyle w:val="000000100000" w:firstRow="0" w:lastRow="0" w:firstColumn="0" w:lastColumn="0" w:oddVBand="0" w:evenVBand="0" w:oddHBand="1" w:evenHBand="0" w:firstRowFirstColumn="0" w:firstRowLastColumn="0" w:lastRowFirstColumn="0" w:lastRowLastColumn="0"/>
            </w:pPr>
            <w:r>
              <w:t>36</w:t>
            </w:r>
          </w:p>
        </w:tc>
        <w:tc>
          <w:tcPr>
            <w:tcW w:w="4469" w:type="dxa"/>
            <w:vMerge/>
          </w:tcPr>
          <w:p w14:paraId="3DE0892F" w14:textId="77777777" w:rsidR="006B0393" w:rsidRDefault="006B0393" w:rsidP="006B0393">
            <w:pPr>
              <w:pStyle w:val="TableText"/>
              <w:cnfStyle w:val="000000100000" w:firstRow="0" w:lastRow="0" w:firstColumn="0" w:lastColumn="0" w:oddVBand="0" w:evenVBand="0" w:oddHBand="1" w:evenHBand="0" w:firstRowFirstColumn="0" w:firstRowLastColumn="0" w:lastRowFirstColumn="0" w:lastRowLastColumn="0"/>
            </w:pPr>
          </w:p>
        </w:tc>
      </w:tr>
      <w:tr w:rsidR="000D687E" w:rsidRPr="00CD6245" w14:paraId="61C9474F" w14:textId="77777777" w:rsidTr="004B1827">
        <w:trPr>
          <w:trHeight w:val="283"/>
        </w:trPr>
        <w:tc>
          <w:tcPr>
            <w:cnfStyle w:val="001000000000" w:firstRow="0" w:lastRow="0" w:firstColumn="1" w:lastColumn="0" w:oddVBand="0" w:evenVBand="0" w:oddHBand="0" w:evenHBand="0" w:firstRowFirstColumn="0" w:firstRowLastColumn="0" w:lastRowFirstColumn="0" w:lastRowLastColumn="0"/>
            <w:tcW w:w="356" w:type="dxa"/>
          </w:tcPr>
          <w:p w14:paraId="542742C3" w14:textId="77777777" w:rsidR="000D687E" w:rsidRPr="00CD6245" w:rsidRDefault="000D687E" w:rsidP="00567B7A">
            <w:pPr>
              <w:pStyle w:val="TableText"/>
            </w:pPr>
            <w:r w:rsidRPr="00CD6245">
              <w:t>6</w:t>
            </w:r>
          </w:p>
        </w:tc>
        <w:tc>
          <w:tcPr>
            <w:tcW w:w="1967" w:type="dxa"/>
          </w:tcPr>
          <w:p w14:paraId="01392389" w14:textId="77777777" w:rsidR="000D687E" w:rsidRPr="00726E77" w:rsidRDefault="000D687E" w:rsidP="00567B7A">
            <w:pPr>
              <w:pStyle w:val="TableText"/>
              <w:cnfStyle w:val="000000000000" w:firstRow="0" w:lastRow="0" w:firstColumn="0" w:lastColumn="0" w:oddVBand="0" w:evenVBand="0" w:oddHBand="0" w:evenHBand="0" w:firstRowFirstColumn="0" w:firstRowLastColumn="0" w:lastRowFirstColumn="0" w:lastRowLastColumn="0"/>
            </w:pPr>
            <w:r w:rsidRPr="00726E77">
              <w:t>Planned procurement activity</w:t>
            </w:r>
          </w:p>
        </w:tc>
        <w:tc>
          <w:tcPr>
            <w:tcW w:w="613" w:type="dxa"/>
          </w:tcPr>
          <w:p w14:paraId="0814F971" w14:textId="77777777" w:rsidR="000D687E" w:rsidRDefault="000D687E" w:rsidP="006B0393">
            <w:pPr>
              <w:pStyle w:val="Tablenumbers"/>
              <w:cnfStyle w:val="000000000000" w:firstRow="0" w:lastRow="0" w:firstColumn="0" w:lastColumn="0" w:oddVBand="0" w:evenVBand="0" w:oddHBand="0" w:evenHBand="0" w:firstRowFirstColumn="0" w:firstRowLastColumn="0" w:lastRowFirstColumn="0" w:lastRowLastColumn="0"/>
            </w:pPr>
            <w:r w:rsidRPr="00771B0F">
              <w:t>30</w:t>
            </w:r>
          </w:p>
        </w:tc>
        <w:tc>
          <w:tcPr>
            <w:tcW w:w="671" w:type="dxa"/>
          </w:tcPr>
          <w:p w14:paraId="27B22025" w14:textId="77777777" w:rsidR="000D687E" w:rsidRPr="00771B0F" w:rsidRDefault="000D687E" w:rsidP="006B0393">
            <w:pPr>
              <w:pStyle w:val="Tablenumbers"/>
              <w:cnfStyle w:val="000000000000" w:firstRow="0" w:lastRow="0" w:firstColumn="0" w:lastColumn="0" w:oddVBand="0" w:evenVBand="0" w:oddHBand="0" w:evenHBand="0" w:firstRowFirstColumn="0" w:firstRowLastColumn="0" w:lastRowFirstColumn="0" w:lastRowLastColumn="0"/>
            </w:pPr>
            <w:r w:rsidRPr="00771B0F">
              <w:t>60.5</w:t>
            </w:r>
          </w:p>
        </w:tc>
        <w:tc>
          <w:tcPr>
            <w:tcW w:w="571" w:type="dxa"/>
          </w:tcPr>
          <w:p w14:paraId="77880457" w14:textId="77777777" w:rsidR="000D687E" w:rsidRPr="00CD6245" w:rsidRDefault="000D687E" w:rsidP="006B0393">
            <w:pPr>
              <w:pStyle w:val="Tablenumbers"/>
              <w:cnfStyle w:val="000000000000" w:firstRow="0" w:lastRow="0" w:firstColumn="0" w:lastColumn="0" w:oddVBand="0" w:evenVBand="0" w:oddHBand="0" w:evenHBand="0" w:firstRowFirstColumn="0" w:firstRowLastColumn="0" w:lastRowFirstColumn="0" w:lastRowLastColumn="0"/>
            </w:pPr>
            <w:r>
              <w:t>47.2</w:t>
            </w:r>
          </w:p>
        </w:tc>
        <w:tc>
          <w:tcPr>
            <w:tcW w:w="4469" w:type="dxa"/>
          </w:tcPr>
          <w:p w14:paraId="41151B68" w14:textId="7C268579" w:rsidR="000D687E" w:rsidRPr="00CD6245" w:rsidRDefault="00655B1E" w:rsidP="00C60DF4">
            <w:pPr>
              <w:pStyle w:val="TableText"/>
              <w:cnfStyle w:val="000000000000" w:firstRow="0" w:lastRow="0" w:firstColumn="0" w:lastColumn="0" w:oddVBand="0" w:evenVBand="0" w:oddHBand="0" w:evenHBand="0" w:firstRowFirstColumn="0" w:firstRowLastColumn="0" w:lastRowFirstColumn="0" w:lastRowLastColumn="0"/>
            </w:pPr>
            <w:r>
              <w:t xml:space="preserve">DTF </w:t>
            </w:r>
            <w:r w:rsidR="000D687E">
              <w:t>monitor</w:t>
            </w:r>
            <w:r>
              <w:t>s</w:t>
            </w:r>
            <w:r w:rsidR="000D687E">
              <w:t xml:space="preserve"> this performance measure monthly and continue</w:t>
            </w:r>
            <w:r w:rsidR="007847B9">
              <w:t>s</w:t>
            </w:r>
            <w:r w:rsidR="000D687E">
              <w:t xml:space="preserve"> to raise awareness of the importance of planning.</w:t>
            </w:r>
            <w:r w:rsidR="00C60DF4">
              <w:t xml:space="preserve"> A l</w:t>
            </w:r>
            <w:r w:rsidR="00C60DF4" w:rsidRPr="00DC6CDB">
              <w:t xml:space="preserve">ate funding allocation in the last quarter of </w:t>
            </w:r>
            <w:r w:rsidR="00C60DF4">
              <w:t>2017–18 was a</w:t>
            </w:r>
            <w:r w:rsidR="000D687E" w:rsidRPr="00DC6CDB">
              <w:t xml:space="preserve"> primary driver for </w:t>
            </w:r>
            <w:r w:rsidR="00C60DF4">
              <w:t xml:space="preserve">the decrease in this measure. </w:t>
            </w:r>
            <w:r w:rsidR="00A74D73">
              <w:t xml:space="preserve">The PRU </w:t>
            </w:r>
            <w:r w:rsidR="000D687E">
              <w:t xml:space="preserve">will continue to push the importance of procurement planning by meeting with </w:t>
            </w:r>
            <w:r w:rsidR="0072562D">
              <w:t>e</w:t>
            </w:r>
            <w:r w:rsidR="000D687E">
              <w:t xml:space="preserve">xecutive </w:t>
            </w:r>
            <w:r w:rsidR="0072562D">
              <w:t>d</w:t>
            </w:r>
            <w:r w:rsidR="000D687E">
              <w:t xml:space="preserve">irectors and coordinating with Corporate Finance </w:t>
            </w:r>
            <w:r w:rsidR="00C60DF4">
              <w:t xml:space="preserve">for </w:t>
            </w:r>
            <w:r w:rsidR="000D687E">
              <w:t>planning to align with funding allocations.</w:t>
            </w:r>
          </w:p>
        </w:tc>
      </w:tr>
    </w:tbl>
    <w:p w14:paraId="01C19C70" w14:textId="2A8CD1D3" w:rsidR="000D687E" w:rsidRDefault="000D687E" w:rsidP="005B2E7F">
      <w:pPr>
        <w:pStyle w:val="Tablenotes"/>
        <w:ind w:left="993"/>
      </w:pPr>
      <w:r w:rsidRPr="00F0137A">
        <w:t xml:space="preserve">*Amended from the 19.1 reported incorrectly </w:t>
      </w:r>
      <w:r>
        <w:t>in 2016–17</w:t>
      </w:r>
      <w:r w:rsidRPr="00F0137A">
        <w:t>.</w:t>
      </w:r>
    </w:p>
    <w:p w14:paraId="767AB24D" w14:textId="77777777" w:rsidR="002A7E78" w:rsidRDefault="002A7E78" w:rsidP="002A7E78">
      <w:pPr>
        <w:pStyle w:val="Heading3NoNum"/>
      </w:pPr>
      <w:r>
        <w:t>Activities planned for 2018–19</w:t>
      </w:r>
    </w:p>
    <w:p w14:paraId="5C173453" w14:textId="77777777" w:rsidR="002A7E78" w:rsidRPr="00CD6245" w:rsidRDefault="002A7E78" w:rsidP="002A7E78">
      <w:pPr>
        <w:pStyle w:val="Normal1"/>
      </w:pPr>
      <w:r w:rsidRPr="00CD6245">
        <w:t xml:space="preserve">In </w:t>
      </w:r>
      <w:r>
        <w:t>2018–19,</w:t>
      </w:r>
      <w:r w:rsidRPr="00CD6245">
        <w:t xml:space="preserve"> </w:t>
      </w:r>
      <w:r>
        <w:t>DTF</w:t>
      </w:r>
      <w:r w:rsidRPr="00CD6245">
        <w:t xml:space="preserve"> will:</w:t>
      </w:r>
    </w:p>
    <w:p w14:paraId="013F33D7" w14:textId="01F8B48A" w:rsidR="002A7E78" w:rsidRPr="000D687E" w:rsidRDefault="002A7E78" w:rsidP="002A7E78">
      <w:pPr>
        <w:pStyle w:val="Bullet1"/>
      </w:pPr>
      <w:r w:rsidRPr="000D687E">
        <w:t xml:space="preserve">develop and </w:t>
      </w:r>
      <w:r w:rsidRPr="00AC6DC4">
        <w:t>implement a social procurement strategy</w:t>
      </w:r>
      <w:r w:rsidRPr="000D687E">
        <w:t xml:space="preserve"> for DTF</w:t>
      </w:r>
      <w:r w:rsidR="00AC6DC4">
        <w:t>, which</w:t>
      </w:r>
      <w:r w:rsidRPr="000D687E">
        <w:t xml:space="preserve"> will also serve as a model for other departments. This will include implementing enhanced procurement practices to increase expenditure with Aboriginal-owned businesses;</w:t>
      </w:r>
    </w:p>
    <w:p w14:paraId="70B470DB" w14:textId="77777777" w:rsidR="002A7E78" w:rsidRPr="000D687E" w:rsidRDefault="002A7E78" w:rsidP="002A7E78">
      <w:pPr>
        <w:pStyle w:val="Bullet1"/>
      </w:pPr>
      <w:r w:rsidRPr="000D687E">
        <w:t>implement improved and automated reporting to satisfy legislative requirements and management reporting, using the new tools available through the ERP launch;</w:t>
      </w:r>
    </w:p>
    <w:p w14:paraId="555A72C7" w14:textId="77777777" w:rsidR="002A7E78" w:rsidRPr="000D687E" w:rsidRDefault="002A7E78" w:rsidP="002A7E78">
      <w:pPr>
        <w:pStyle w:val="Bullet1"/>
      </w:pPr>
      <w:r w:rsidRPr="000D687E">
        <w:t>refresh and improve training to support probity, contract management and behavioural capability; and</w:t>
      </w:r>
    </w:p>
    <w:p w14:paraId="09F20CFF" w14:textId="77777777" w:rsidR="002A7E78" w:rsidRPr="000D687E" w:rsidRDefault="002A7E78" w:rsidP="002A7E78">
      <w:pPr>
        <w:pStyle w:val="Bullet1"/>
      </w:pPr>
      <w:r w:rsidRPr="000D687E">
        <w:t>develop a change management plan to support DTF’s transition to the ERP.</w:t>
      </w:r>
    </w:p>
    <w:p w14:paraId="68C55C81" w14:textId="77777777" w:rsidR="002A7E78" w:rsidRPr="00F0137A" w:rsidRDefault="002A7E78" w:rsidP="005B2E7F">
      <w:pPr>
        <w:pStyle w:val="Tablenotes"/>
        <w:ind w:left="993"/>
      </w:pPr>
    </w:p>
    <w:p w14:paraId="6583A447" w14:textId="77777777" w:rsidR="000D687E" w:rsidRPr="000D687E" w:rsidRDefault="000D687E" w:rsidP="000D687E">
      <w:pPr>
        <w:rPr>
          <w:lang w:eastAsia="en-US"/>
        </w:rPr>
      </w:pPr>
    </w:p>
    <w:p w14:paraId="4AE926D5" w14:textId="4C3E0FF0" w:rsidR="00546DF9" w:rsidRPr="008F30C8" w:rsidRDefault="00105FDC" w:rsidP="00546DF9">
      <w:pPr>
        <w:keepNext/>
        <w:keepLines/>
        <w:widowControl w:val="0"/>
        <w:spacing w:before="280" w:after="120" w:line="216" w:lineRule="auto"/>
        <w:ind w:left="794"/>
        <w:outlineLvl w:val="1"/>
        <w:rPr>
          <w:rFonts w:ascii="Calibri" w:hAnsi="Calibri" w:cs="Calibri"/>
          <w:color w:val="4D4D4D"/>
          <w:kern w:val="28"/>
          <w:sz w:val="30"/>
        </w:rPr>
      </w:pPr>
      <w:bookmarkStart w:id="207" w:name="_Toc478646731"/>
      <w:r>
        <w:br w:type="page"/>
      </w:r>
      <w:bookmarkStart w:id="208" w:name="_Toc524354088"/>
      <w:r w:rsidR="00820DB7">
        <w:rPr>
          <w:rFonts w:ascii="Calibri" w:hAnsi="Calibri" w:cs="Calibri"/>
          <w:color w:val="4D4D4D"/>
          <w:kern w:val="28"/>
          <w:sz w:val="30"/>
        </w:rPr>
        <w:lastRenderedPageBreak/>
        <w:t>CenITex</w:t>
      </w:r>
      <w:bookmarkEnd w:id="208"/>
    </w:p>
    <w:p w14:paraId="6D83953D" w14:textId="18CABBA9" w:rsidR="00546DF9" w:rsidRDefault="00820DB7" w:rsidP="00546DF9">
      <w:pPr>
        <w:pStyle w:val="Normal1"/>
      </w:pPr>
      <w:r>
        <w:t>CenITex</w:t>
      </w:r>
      <w:r w:rsidR="00546DF9" w:rsidRPr="00806C2C">
        <w:t xml:space="preserve"> is an information and communications technology (ICT) shared services agency, created with the aim of providing integrated and reliable ICT infrastructure, application hosting and desktop services for </w:t>
      </w:r>
      <w:r w:rsidR="00546DF9">
        <w:t>g</w:t>
      </w:r>
      <w:r w:rsidR="00546DF9" w:rsidRPr="00806C2C">
        <w:t>overnment departments and agencies.</w:t>
      </w:r>
    </w:p>
    <w:p w14:paraId="6C013985" w14:textId="77777777" w:rsidR="00546DF9" w:rsidRPr="008F30C8" w:rsidRDefault="00546DF9" w:rsidP="00546DF9">
      <w:pPr>
        <w:keepNext/>
        <w:keepLines/>
        <w:widowControl w:val="0"/>
        <w:spacing w:before="200" w:after="120" w:line="216" w:lineRule="auto"/>
        <w:ind w:left="794"/>
        <w:outlineLvl w:val="2"/>
        <w:rPr>
          <w:rFonts w:ascii="Calibri" w:hAnsi="Calibri" w:cs="Calibri"/>
          <w:b/>
          <w:color w:val="4D4D4D"/>
          <w:kern w:val="28"/>
          <w:sz w:val="26"/>
        </w:rPr>
      </w:pPr>
      <w:r w:rsidRPr="008F30C8">
        <w:rPr>
          <w:rFonts w:ascii="Calibri" w:hAnsi="Calibri" w:cs="Calibri"/>
          <w:b/>
          <w:color w:val="4D4D4D"/>
          <w:kern w:val="28"/>
          <w:sz w:val="26"/>
        </w:rPr>
        <w:t>Procurement profile</w:t>
      </w:r>
    </w:p>
    <w:p w14:paraId="0608A6F8" w14:textId="3A433F7A" w:rsidR="00546DF9" w:rsidRPr="00806C2C" w:rsidRDefault="00546DF9" w:rsidP="00546DF9">
      <w:pPr>
        <w:pStyle w:val="Normal1"/>
      </w:pPr>
      <w:r>
        <w:rPr>
          <w:noProof/>
          <w:lang w:val="en-US" w:eastAsia="en-US"/>
        </w:rPr>
        <mc:AlternateContent>
          <mc:Choice Requires="wps">
            <w:drawing>
              <wp:anchor distT="0" distB="0" distL="114300" distR="114300" simplePos="0" relativeHeight="251665920" behindDoc="0" locked="0" layoutInCell="1" allowOverlap="1" wp14:anchorId="5655BF7D" wp14:editId="329FFFD1">
                <wp:simplePos x="0" y="0"/>
                <wp:positionH relativeFrom="margin">
                  <wp:align>right</wp:align>
                </wp:positionH>
                <wp:positionV relativeFrom="margin">
                  <wp:posOffset>1374140</wp:posOffset>
                </wp:positionV>
                <wp:extent cx="1581150" cy="1657350"/>
                <wp:effectExtent l="0" t="0" r="19050" b="19050"/>
                <wp:wrapSquare wrapText="bothSides"/>
                <wp:docPr id="23" name="Text Box 23"/>
                <wp:cNvGraphicFramePr/>
                <a:graphic xmlns:a="http://schemas.openxmlformats.org/drawingml/2006/main">
                  <a:graphicData uri="http://schemas.microsoft.com/office/word/2010/wordprocessingShape">
                    <wps:wsp>
                      <wps:cNvSpPr txBox="1"/>
                      <wps:spPr>
                        <a:xfrm>
                          <a:off x="0" y="0"/>
                          <a:ext cx="1581150" cy="1657350"/>
                        </a:xfrm>
                        <a:prstGeom prst="rect">
                          <a:avLst/>
                        </a:prstGeom>
                        <a:solidFill>
                          <a:schemeClr val="lt1"/>
                        </a:solidFill>
                        <a:ln w="6350">
                          <a:solidFill>
                            <a:prstClr val="black"/>
                          </a:solidFill>
                        </a:ln>
                      </wps:spPr>
                      <wps:txbx>
                        <w:txbxContent>
                          <w:p w14:paraId="47D53E5B" w14:textId="77777777" w:rsidR="001206E5" w:rsidRPr="005A253C" w:rsidRDefault="001206E5" w:rsidP="00546DF9">
                            <w:pPr>
                              <w:spacing w:before="40" w:after="40"/>
                              <w:rPr>
                                <w:rFonts w:asciiTheme="majorHAnsi" w:hAnsiTheme="majorHAnsi" w:cstheme="majorHAnsi"/>
                                <w:b/>
                                <w:sz w:val="20"/>
                                <w:szCs w:val="20"/>
                              </w:rPr>
                            </w:pPr>
                            <w:r w:rsidRPr="005A253C">
                              <w:rPr>
                                <w:rFonts w:asciiTheme="majorHAnsi" w:hAnsiTheme="majorHAnsi" w:cstheme="majorHAnsi"/>
                                <w:b/>
                                <w:sz w:val="20"/>
                                <w:szCs w:val="20"/>
                              </w:rPr>
                              <w:t xml:space="preserve">AO: </w:t>
                            </w:r>
                            <w:r w:rsidRPr="00806C2C">
                              <w:rPr>
                                <w:rFonts w:asciiTheme="majorHAnsi" w:hAnsiTheme="majorHAnsi" w:cstheme="majorHAnsi"/>
                                <w:sz w:val="20"/>
                                <w:szCs w:val="20"/>
                              </w:rPr>
                              <w:t>Michael Vanderheide, Chief Executive</w:t>
                            </w:r>
                          </w:p>
                          <w:p w14:paraId="5AC60D76" w14:textId="77777777" w:rsidR="001206E5" w:rsidRPr="005A253C" w:rsidRDefault="001206E5" w:rsidP="00546DF9">
                            <w:pPr>
                              <w:spacing w:before="40" w:after="40"/>
                              <w:rPr>
                                <w:rFonts w:asciiTheme="majorHAnsi" w:hAnsiTheme="majorHAnsi" w:cstheme="majorHAnsi"/>
                                <w:b/>
                                <w:sz w:val="20"/>
                                <w:szCs w:val="20"/>
                              </w:rPr>
                            </w:pPr>
                            <w:r w:rsidRPr="005A253C">
                              <w:rPr>
                                <w:rFonts w:asciiTheme="majorHAnsi" w:hAnsiTheme="majorHAnsi" w:cstheme="majorHAnsi"/>
                                <w:b/>
                                <w:sz w:val="20"/>
                                <w:szCs w:val="20"/>
                              </w:rPr>
                              <w:t xml:space="preserve">CPO: </w:t>
                            </w:r>
                            <w:r w:rsidRPr="00806C2C">
                              <w:rPr>
                                <w:rFonts w:asciiTheme="majorHAnsi" w:hAnsiTheme="majorHAnsi" w:cstheme="majorHAnsi"/>
                                <w:sz w:val="20"/>
                                <w:szCs w:val="20"/>
                              </w:rPr>
                              <w:t>Jenny Lang, General Manager – Finance and Procurement, Finance and Business Services</w:t>
                            </w:r>
                          </w:p>
                          <w:p w14:paraId="7AFF50FD" w14:textId="77777777" w:rsidR="001206E5" w:rsidRPr="005A253C" w:rsidRDefault="001206E5" w:rsidP="00546DF9">
                            <w:pPr>
                              <w:spacing w:before="40" w:after="40"/>
                              <w:rPr>
                                <w:rFonts w:asciiTheme="majorHAnsi" w:hAnsiTheme="majorHAnsi" w:cstheme="majorHAnsi"/>
                                <w:b/>
                                <w:sz w:val="20"/>
                                <w:szCs w:val="20"/>
                              </w:rPr>
                            </w:pPr>
                            <w:r w:rsidRPr="005A253C">
                              <w:rPr>
                                <w:rFonts w:asciiTheme="majorHAnsi" w:hAnsiTheme="majorHAnsi" w:cstheme="majorHAnsi"/>
                                <w:b/>
                                <w:sz w:val="20"/>
                                <w:szCs w:val="20"/>
                              </w:rPr>
                              <w:t xml:space="preserve">IPU Chair: </w:t>
                            </w:r>
                            <w:r w:rsidRPr="00806C2C">
                              <w:rPr>
                                <w:rFonts w:asciiTheme="majorHAnsi" w:hAnsiTheme="majorHAnsi" w:cstheme="majorHAnsi"/>
                                <w:sz w:val="20"/>
                                <w:szCs w:val="20"/>
                              </w:rPr>
                              <w:t>Sharon Copeland-Smith, Director, Strategy and Governance</w:t>
                            </w:r>
                          </w:p>
                          <w:p w14:paraId="2FD2F40B" w14:textId="77777777" w:rsidR="001206E5" w:rsidRPr="00D05F04" w:rsidRDefault="001206E5" w:rsidP="00546DF9">
                            <w:pP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55BF7D" id="Text Box 23" o:spid="_x0000_s1083" type="#_x0000_t202" style="position:absolute;left:0;text-align:left;margin-left:73.3pt;margin-top:108.2pt;width:124.5pt;height:130.5pt;z-index:251665920;visibility:visible;mso-wrap-style:square;mso-width-percent:0;mso-height-percent:0;mso-wrap-distance-left:9pt;mso-wrap-distance-top:0;mso-wrap-distance-right:9pt;mso-wrap-distance-bottom:0;mso-position-horizontal:righ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" fillcolor="white [3201]" strokeweight=".5pt">
                <v:textbox>
                  <w:txbxContent>
                    <w:p w14:paraId="47D53E5B" w14:textId="77777777" w:rsidR="001206E5" w:rsidRPr="005A253C" w:rsidRDefault="001206E5" w:rsidP="00546DF9">
                      <w:pPr>
                        <w:spacing w:before="40" w:after="40"/>
                        <w:rPr>
                          <w:rFonts w:asciiTheme="majorHAnsi" w:hAnsiTheme="majorHAnsi" w:cstheme="majorHAnsi"/>
                          <w:b/>
                          <w:sz w:val="20"/>
                          <w:szCs w:val="20"/>
                        </w:rPr>
                      </w:pPr>
                      <w:r w:rsidRPr="005A253C">
                        <w:rPr>
                          <w:rFonts w:asciiTheme="majorHAnsi" w:hAnsiTheme="majorHAnsi" w:cstheme="majorHAnsi"/>
                          <w:b/>
                          <w:sz w:val="20"/>
                          <w:szCs w:val="20"/>
                        </w:rPr>
                        <w:t xml:space="preserve">AO: </w:t>
                      </w:r>
                      <w:r w:rsidRPr="00806C2C">
                        <w:rPr>
                          <w:rFonts w:asciiTheme="majorHAnsi" w:hAnsiTheme="majorHAnsi" w:cstheme="majorHAnsi"/>
                          <w:sz w:val="20"/>
                          <w:szCs w:val="20"/>
                        </w:rPr>
                        <w:t>Michael Vanderheide, Chief Executive</w:t>
                      </w:r>
                    </w:p>
                    <w:p w14:paraId="5AC60D76" w14:textId="77777777" w:rsidR="001206E5" w:rsidRPr="005A253C" w:rsidRDefault="001206E5" w:rsidP="00546DF9">
                      <w:pPr>
                        <w:spacing w:before="40" w:after="40"/>
                        <w:rPr>
                          <w:rFonts w:asciiTheme="majorHAnsi" w:hAnsiTheme="majorHAnsi" w:cstheme="majorHAnsi"/>
                          <w:b/>
                          <w:sz w:val="20"/>
                          <w:szCs w:val="20"/>
                        </w:rPr>
                      </w:pPr>
                      <w:r w:rsidRPr="005A253C">
                        <w:rPr>
                          <w:rFonts w:asciiTheme="majorHAnsi" w:hAnsiTheme="majorHAnsi" w:cstheme="majorHAnsi"/>
                          <w:b/>
                          <w:sz w:val="20"/>
                          <w:szCs w:val="20"/>
                        </w:rPr>
                        <w:t xml:space="preserve">CPO: </w:t>
                      </w:r>
                      <w:r w:rsidRPr="00806C2C">
                        <w:rPr>
                          <w:rFonts w:asciiTheme="majorHAnsi" w:hAnsiTheme="majorHAnsi" w:cstheme="majorHAnsi"/>
                          <w:sz w:val="20"/>
                          <w:szCs w:val="20"/>
                        </w:rPr>
                        <w:t>Jenny Lang, General Manager – Finance and Procurement, Finance and Business Services</w:t>
                      </w:r>
                    </w:p>
                    <w:p w14:paraId="7AFF50FD" w14:textId="77777777" w:rsidR="001206E5" w:rsidRPr="005A253C" w:rsidRDefault="001206E5" w:rsidP="00546DF9">
                      <w:pPr>
                        <w:spacing w:before="40" w:after="40"/>
                        <w:rPr>
                          <w:rFonts w:asciiTheme="majorHAnsi" w:hAnsiTheme="majorHAnsi" w:cstheme="majorHAnsi"/>
                          <w:b/>
                          <w:sz w:val="20"/>
                          <w:szCs w:val="20"/>
                        </w:rPr>
                      </w:pPr>
                      <w:r w:rsidRPr="005A253C">
                        <w:rPr>
                          <w:rFonts w:asciiTheme="majorHAnsi" w:hAnsiTheme="majorHAnsi" w:cstheme="majorHAnsi"/>
                          <w:b/>
                          <w:sz w:val="20"/>
                          <w:szCs w:val="20"/>
                        </w:rPr>
                        <w:t xml:space="preserve">IPU Chair: </w:t>
                      </w:r>
                      <w:r w:rsidRPr="00806C2C">
                        <w:rPr>
                          <w:rFonts w:asciiTheme="majorHAnsi" w:hAnsiTheme="majorHAnsi" w:cstheme="majorHAnsi"/>
                          <w:sz w:val="20"/>
                          <w:szCs w:val="20"/>
                        </w:rPr>
                        <w:t>Sharon Copeland-Smith, Director, Strategy and Governance</w:t>
                      </w:r>
                    </w:p>
                    <w:p w14:paraId="2FD2F40B" w14:textId="77777777" w:rsidR="001206E5" w:rsidRPr="00D05F04" w:rsidRDefault="001206E5" w:rsidP="00546DF9">
                      <w:pPr>
                        <w:rPr>
                          <w:sz w:val="20"/>
                          <w:szCs w:val="20"/>
                        </w:rPr>
                      </w:pPr>
                    </w:p>
                  </w:txbxContent>
                </v:textbox>
                <w10:wrap type="square" anchorx="margin" anchory="margin"/>
              </v:shape>
            </w:pict>
          </mc:Fallback>
        </mc:AlternateContent>
      </w:r>
      <w:r w:rsidR="00820DB7">
        <w:t>CenITex</w:t>
      </w:r>
      <w:r>
        <w:t>’s</w:t>
      </w:r>
      <w:r w:rsidRPr="00806C2C">
        <w:t xml:space="preserve"> major categories of ICT procurement spend are</w:t>
      </w:r>
      <w:r>
        <w:t xml:space="preserve"> </w:t>
      </w:r>
      <w:r w:rsidRPr="00806C2C">
        <w:t xml:space="preserve">hardware, software, data centre </w:t>
      </w:r>
      <w:r>
        <w:t>and</w:t>
      </w:r>
      <w:r w:rsidRPr="00806C2C">
        <w:t xml:space="preserve"> telecommunications</w:t>
      </w:r>
      <w:r>
        <w:t xml:space="preserve"> and</w:t>
      </w:r>
      <w:r w:rsidRPr="00806C2C">
        <w:t xml:space="preserve"> corporate services.</w:t>
      </w:r>
    </w:p>
    <w:p w14:paraId="14FA311E" w14:textId="78DD91A7" w:rsidR="00546DF9" w:rsidRPr="00806C2C" w:rsidRDefault="00546DF9" w:rsidP="00546DF9">
      <w:pPr>
        <w:pStyle w:val="Normal1"/>
      </w:pPr>
      <w:r w:rsidRPr="00806C2C">
        <w:t xml:space="preserve">Procurement is underpinned by a centre-led team of procurement experts who participate in all procurement activity. </w:t>
      </w:r>
      <w:r w:rsidR="00820DB7">
        <w:t>CenITex</w:t>
      </w:r>
      <w:r>
        <w:t xml:space="preserve">’s </w:t>
      </w:r>
      <w:r w:rsidRPr="00806C2C">
        <w:t xml:space="preserve">procurement activity is typically aligned with a transactional/leveraged procurement profile, through the assessment of complexity across procurement subcategories </w:t>
      </w:r>
      <w:r>
        <w:t>in</w:t>
      </w:r>
      <w:r w:rsidRPr="00806C2C">
        <w:t xml:space="preserve"> the major categories identified above.</w:t>
      </w:r>
    </w:p>
    <w:p w14:paraId="5D3B0824" w14:textId="31855A80" w:rsidR="00546DF9" w:rsidRPr="008F30C8" w:rsidRDefault="00546DF9" w:rsidP="00546DF9">
      <w:pPr>
        <w:pStyle w:val="Normal1"/>
      </w:pPr>
      <w:r w:rsidRPr="00806C2C">
        <w:t>Initial areas of focus for social procurement opportunit</w:t>
      </w:r>
      <w:r w:rsidR="00AC6DC4">
        <w:t>ies</w:t>
      </w:r>
      <w:r w:rsidRPr="00806C2C">
        <w:t xml:space="preserve"> will be engag</w:t>
      </w:r>
      <w:r>
        <w:t>ing</w:t>
      </w:r>
      <w:r w:rsidRPr="00806C2C">
        <w:t xml:space="preserve"> with a wider range of social suppliers via the new social benefit supplier registers and seeking to engage for environmentally sustainable outputs and objectives in the acquisition of ICT infrastructure.</w:t>
      </w:r>
    </w:p>
    <w:p w14:paraId="3CB4286B" w14:textId="117A63F2" w:rsidR="00546DF9" w:rsidRPr="008F30C8" w:rsidRDefault="00546DF9" w:rsidP="00546DF9">
      <w:pPr>
        <w:keepNext/>
        <w:keepLines/>
        <w:widowControl w:val="0"/>
        <w:spacing w:before="200" w:after="120" w:line="216" w:lineRule="auto"/>
        <w:ind w:left="794"/>
        <w:outlineLvl w:val="2"/>
        <w:rPr>
          <w:rFonts w:ascii="Calibri" w:hAnsi="Calibri" w:cs="Calibri"/>
          <w:b/>
          <w:color w:val="4D4D4D"/>
          <w:kern w:val="28"/>
          <w:sz w:val="26"/>
        </w:rPr>
      </w:pPr>
      <w:r w:rsidRPr="008F30C8">
        <w:rPr>
          <w:rFonts w:ascii="Calibri" w:hAnsi="Calibri" w:cs="Calibri"/>
          <w:b/>
          <w:color w:val="4D4D4D"/>
          <w:kern w:val="28"/>
          <w:sz w:val="26"/>
        </w:rPr>
        <w:t xml:space="preserve">Compliance with VGPB </w:t>
      </w:r>
      <w:r w:rsidR="007847B9">
        <w:rPr>
          <w:rFonts w:ascii="Calibri" w:hAnsi="Calibri" w:cs="Calibri"/>
          <w:b/>
          <w:color w:val="4D4D4D"/>
          <w:kern w:val="28"/>
          <w:sz w:val="26"/>
        </w:rPr>
        <w:t xml:space="preserve">policies </w:t>
      </w:r>
      <w:r w:rsidRPr="006A5451">
        <w:rPr>
          <w:rFonts w:ascii="Calibri" w:hAnsi="Calibri" w:cs="Calibri"/>
          <w:b/>
          <w:color w:val="4D4D4D"/>
          <w:kern w:val="28"/>
          <w:sz w:val="26"/>
        </w:rPr>
        <w:t>and related activities</w:t>
      </w:r>
    </w:p>
    <w:p w14:paraId="667F5474" w14:textId="1D69A003" w:rsidR="00546DF9" w:rsidRDefault="00546DF9" w:rsidP="00546DF9">
      <w:pPr>
        <w:pStyle w:val="Normal1"/>
        <w:rPr>
          <w:lang w:eastAsia="en-US"/>
        </w:rPr>
      </w:pPr>
      <w:r>
        <w:rPr>
          <w:lang w:eastAsia="en-US"/>
        </w:rPr>
        <w:fldChar w:fldCharType="begin"/>
      </w:r>
      <w:r>
        <w:rPr>
          <w:lang w:eastAsia="en-US"/>
        </w:rPr>
        <w:instrText xml:space="preserve"> REF _Ref519678886 \h </w:instrText>
      </w:r>
      <w:r>
        <w:rPr>
          <w:lang w:eastAsia="en-US"/>
        </w:rPr>
      </w:r>
      <w:r>
        <w:rPr>
          <w:lang w:eastAsia="en-US"/>
        </w:rPr>
        <w:fldChar w:fldCharType="separate"/>
      </w:r>
      <w:r w:rsidR="00A07703" w:rsidRPr="008F30C8">
        <w:t xml:space="preserve">Table </w:t>
      </w:r>
      <w:r w:rsidR="00A07703">
        <w:rPr>
          <w:noProof/>
        </w:rPr>
        <w:t>38</w:t>
      </w:r>
      <w:r>
        <w:rPr>
          <w:lang w:eastAsia="en-US"/>
        </w:rPr>
        <w:fldChar w:fldCharType="end"/>
      </w:r>
      <w:r>
        <w:rPr>
          <w:lang w:eastAsia="en-US"/>
        </w:rPr>
        <w:t xml:space="preserve"> lists </w:t>
      </w:r>
      <w:r w:rsidR="00820DB7">
        <w:rPr>
          <w:lang w:eastAsia="en-US"/>
        </w:rPr>
        <w:t>CenITex</w:t>
      </w:r>
      <w:r>
        <w:rPr>
          <w:lang w:eastAsia="en-US"/>
        </w:rPr>
        <w:t xml:space="preserve">’s activities to ensure and improve compliance with VGPB supply policies. </w:t>
      </w:r>
      <w:r w:rsidRPr="00212617">
        <w:rPr>
          <w:lang w:eastAsia="en-US"/>
        </w:rPr>
        <w:t xml:space="preserve">Compliance activities are </w:t>
      </w:r>
      <w:r>
        <w:rPr>
          <w:lang w:eastAsia="en-US"/>
        </w:rPr>
        <w:t xml:space="preserve">grouped against VGPB supply policies, </w:t>
      </w:r>
      <w:r w:rsidRPr="00212617">
        <w:rPr>
          <w:lang w:eastAsia="en-US"/>
        </w:rPr>
        <w:t>though activities often overlap with multiple policies.</w:t>
      </w:r>
    </w:p>
    <w:p w14:paraId="3DD7E033" w14:textId="6501DF26" w:rsidR="00546DF9" w:rsidRDefault="00546DF9" w:rsidP="00546DF9">
      <w:pPr>
        <w:pStyle w:val="Normal1"/>
        <w:rPr>
          <w:lang w:eastAsia="en-US"/>
        </w:rPr>
      </w:pPr>
      <w:r>
        <w:rPr>
          <w:lang w:eastAsia="en-US"/>
        </w:rPr>
        <w:t xml:space="preserve">In 2016–17, </w:t>
      </w:r>
      <w:r w:rsidR="00820DB7">
        <w:rPr>
          <w:lang w:eastAsia="en-US"/>
        </w:rPr>
        <w:t>CenITex</w:t>
      </w:r>
      <w:r w:rsidRPr="001A5606">
        <w:rPr>
          <w:lang w:eastAsia="en-US"/>
        </w:rPr>
        <w:t xml:space="preserve"> contracted an external auditor to develop an audit report. Many compliance activities in 2017–18</w:t>
      </w:r>
      <w:r>
        <w:rPr>
          <w:lang w:eastAsia="en-US"/>
        </w:rPr>
        <w:t xml:space="preserve"> were recommendations from this audit.</w:t>
      </w:r>
    </w:p>
    <w:p w14:paraId="1DC0DA3F" w14:textId="269F1CD1" w:rsidR="00546DF9" w:rsidRPr="008F30C8" w:rsidRDefault="00546DF9" w:rsidP="00546DF9">
      <w:pPr>
        <w:pStyle w:val="Caption"/>
      </w:pPr>
      <w:bookmarkStart w:id="209" w:name="_Ref519678886"/>
      <w:bookmarkStart w:id="210" w:name="_Toc503949256"/>
      <w:bookmarkStart w:id="211" w:name="_Ref519678879"/>
      <w:bookmarkStart w:id="212" w:name="_Toc524354031"/>
      <w:r w:rsidRPr="008F30C8">
        <w:t xml:space="preserve">Table </w:t>
      </w:r>
      <w:r w:rsidRPr="008F30C8">
        <w:rPr>
          <w:noProof/>
        </w:rPr>
        <w:fldChar w:fldCharType="begin"/>
      </w:r>
      <w:r w:rsidRPr="008F30C8">
        <w:rPr>
          <w:noProof/>
        </w:rPr>
        <w:instrText xml:space="preserve"> SEQ Table \* ARABIC </w:instrText>
      </w:r>
      <w:r w:rsidRPr="008F30C8">
        <w:rPr>
          <w:noProof/>
        </w:rPr>
        <w:fldChar w:fldCharType="separate"/>
      </w:r>
      <w:r w:rsidR="00A07703">
        <w:rPr>
          <w:noProof/>
        </w:rPr>
        <w:t>38</w:t>
      </w:r>
      <w:r w:rsidRPr="008F30C8">
        <w:rPr>
          <w:noProof/>
        </w:rPr>
        <w:fldChar w:fldCharType="end"/>
      </w:r>
      <w:bookmarkEnd w:id="209"/>
      <w:r w:rsidRPr="008F30C8">
        <w:t xml:space="preserve">: </w:t>
      </w:r>
      <w:r w:rsidR="00820DB7">
        <w:t>CenITex</w:t>
      </w:r>
      <w:r w:rsidRPr="008F30C8">
        <w:t>’s compliance activities in 2017–18</w:t>
      </w:r>
      <w:bookmarkEnd w:id="210"/>
      <w:bookmarkEnd w:id="211"/>
      <w:bookmarkEnd w:id="212"/>
    </w:p>
    <w:tbl>
      <w:tblPr>
        <w:tblStyle w:val="ListTable31"/>
        <w:tblW w:w="8505" w:type="dxa"/>
        <w:tblInd w:w="846" w:type="dxa"/>
        <w:tblLook w:val="04A0" w:firstRow="1" w:lastRow="0" w:firstColumn="1" w:lastColumn="0" w:noHBand="0" w:noVBand="1"/>
      </w:tblPr>
      <w:tblGrid>
        <w:gridCol w:w="2126"/>
        <w:gridCol w:w="6379"/>
      </w:tblGrid>
      <w:tr w:rsidR="00546DF9" w:rsidRPr="008F30C8" w14:paraId="12BFC849" w14:textId="77777777" w:rsidTr="00640A4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126" w:type="dxa"/>
          </w:tcPr>
          <w:p w14:paraId="0A8174F0" w14:textId="77777777" w:rsidR="00546DF9" w:rsidRPr="008F30C8" w:rsidRDefault="00546DF9" w:rsidP="00640A41">
            <w:pPr>
              <w:pStyle w:val="TableText"/>
            </w:pPr>
            <w:r w:rsidRPr="008F30C8">
              <w:t>VGPB policy</w:t>
            </w:r>
          </w:p>
        </w:tc>
        <w:tc>
          <w:tcPr>
            <w:tcW w:w="6379" w:type="dxa"/>
          </w:tcPr>
          <w:p w14:paraId="236FCAB2" w14:textId="77777777" w:rsidR="00546DF9" w:rsidRPr="008F30C8" w:rsidRDefault="00546DF9" w:rsidP="00640A41">
            <w:pPr>
              <w:pStyle w:val="TableText"/>
              <w:cnfStyle w:val="100000000000" w:firstRow="1" w:lastRow="0" w:firstColumn="0" w:lastColumn="0" w:oddVBand="0" w:evenVBand="0" w:oddHBand="0" w:evenHBand="0" w:firstRowFirstColumn="0" w:firstRowLastColumn="0" w:lastRowFirstColumn="0" w:lastRowLastColumn="0"/>
            </w:pPr>
            <w:r w:rsidRPr="008F30C8">
              <w:t>Activities</w:t>
            </w:r>
          </w:p>
        </w:tc>
      </w:tr>
      <w:tr w:rsidR="00546DF9" w:rsidRPr="008F30C8" w14:paraId="6C034658" w14:textId="77777777" w:rsidTr="00640A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6" w:type="dxa"/>
          </w:tcPr>
          <w:p w14:paraId="62736625" w14:textId="77777777" w:rsidR="00546DF9" w:rsidRPr="008F30C8" w:rsidRDefault="00546DF9" w:rsidP="00640A41">
            <w:pPr>
              <w:spacing w:before="20" w:after="20"/>
              <w:rPr>
                <w:rFonts w:cs="Calibri"/>
                <w:sz w:val="20"/>
                <w:szCs w:val="20"/>
              </w:rPr>
            </w:pPr>
            <w:r w:rsidRPr="008F30C8">
              <w:rPr>
                <w:rFonts w:cs="Calibri"/>
                <w:sz w:val="20"/>
                <w:szCs w:val="20"/>
              </w:rPr>
              <w:t>Governance</w:t>
            </w:r>
          </w:p>
        </w:tc>
        <w:tc>
          <w:tcPr>
            <w:tcW w:w="6379" w:type="dxa"/>
          </w:tcPr>
          <w:p w14:paraId="00227A2E" w14:textId="77777777" w:rsidR="00546DF9" w:rsidRDefault="00546DF9" w:rsidP="00640A41">
            <w:pPr>
              <w:pStyle w:val="TableBullet"/>
              <w:cnfStyle w:val="000000100000" w:firstRow="0" w:lastRow="0" w:firstColumn="0" w:lastColumn="0" w:oddVBand="0" w:evenVBand="0" w:oddHBand="1" w:evenHBand="0" w:firstRowFirstColumn="0" w:firstRowLastColumn="0" w:lastRowFirstColumn="0" w:lastRowLastColumn="0"/>
            </w:pPr>
            <w:r>
              <w:t xml:space="preserve">Revised the IPU (the </w:t>
            </w:r>
            <w:r w:rsidRPr="00822FA3">
              <w:t>Procurement Governance Committee</w:t>
            </w:r>
            <w:r>
              <w:t>)</w:t>
            </w:r>
            <w:r w:rsidRPr="00822FA3">
              <w:t xml:space="preserve"> c</w:t>
            </w:r>
            <w:r>
              <w:t>harter and membership to improve compliance with VGPB policies.</w:t>
            </w:r>
          </w:p>
          <w:p w14:paraId="45B5D6EE" w14:textId="12F9F269" w:rsidR="00546DF9" w:rsidRPr="008F30C8" w:rsidRDefault="00546DF9" w:rsidP="00640A41">
            <w:pPr>
              <w:pStyle w:val="TableBullet"/>
              <w:cnfStyle w:val="000000100000" w:firstRow="0" w:lastRow="0" w:firstColumn="0" w:lastColumn="0" w:oddVBand="0" w:evenVBand="0" w:oddHBand="1" w:evenHBand="0" w:firstRowFirstColumn="0" w:firstRowLastColumn="0" w:lastRowFirstColumn="0" w:lastRowLastColumn="0"/>
            </w:pPr>
            <w:r w:rsidRPr="00822FA3">
              <w:t>R</w:t>
            </w:r>
            <w:r>
              <w:t xml:space="preserve">edrafted </w:t>
            </w:r>
            <w:r w:rsidR="00820DB7">
              <w:t>CenITex</w:t>
            </w:r>
            <w:r>
              <w:t xml:space="preserve">’s procurement policy to better align with the VGPB framework. </w:t>
            </w:r>
          </w:p>
        </w:tc>
      </w:tr>
      <w:tr w:rsidR="00546DF9" w:rsidRPr="008F30C8" w14:paraId="26690510" w14:textId="77777777" w:rsidTr="00640A41">
        <w:tc>
          <w:tcPr>
            <w:cnfStyle w:val="001000000000" w:firstRow="0" w:lastRow="0" w:firstColumn="1" w:lastColumn="0" w:oddVBand="0" w:evenVBand="0" w:oddHBand="0" w:evenHBand="0" w:firstRowFirstColumn="0" w:firstRowLastColumn="0" w:lastRowFirstColumn="0" w:lastRowLastColumn="0"/>
            <w:tcW w:w="2126" w:type="dxa"/>
          </w:tcPr>
          <w:p w14:paraId="54AE9D0C" w14:textId="77777777" w:rsidR="00546DF9" w:rsidRPr="008F30C8" w:rsidRDefault="00546DF9" w:rsidP="00640A41">
            <w:pPr>
              <w:spacing w:before="20" w:after="20"/>
              <w:rPr>
                <w:rFonts w:cs="Calibri"/>
                <w:sz w:val="20"/>
                <w:szCs w:val="20"/>
              </w:rPr>
            </w:pPr>
            <w:r w:rsidRPr="008F30C8">
              <w:rPr>
                <w:rFonts w:cs="Calibri"/>
                <w:sz w:val="20"/>
                <w:szCs w:val="20"/>
              </w:rPr>
              <w:t>Complexity and capability</w:t>
            </w:r>
          </w:p>
        </w:tc>
        <w:tc>
          <w:tcPr>
            <w:tcW w:w="6379" w:type="dxa"/>
          </w:tcPr>
          <w:p w14:paraId="49CBB199" w14:textId="77777777" w:rsidR="00546DF9" w:rsidRPr="008F30C8" w:rsidRDefault="00546DF9" w:rsidP="00640A41">
            <w:pPr>
              <w:pStyle w:val="TableBullet"/>
              <w:cnfStyle w:val="000000000000" w:firstRow="0" w:lastRow="0" w:firstColumn="0" w:lastColumn="0" w:oddVBand="0" w:evenVBand="0" w:oddHBand="0" w:evenHBand="0" w:firstRowFirstColumn="0" w:firstRowLastColumn="0" w:lastRowFirstColumn="0" w:lastRowLastColumn="0"/>
            </w:pPr>
            <w:r w:rsidRPr="00431779">
              <w:t>Where ICT subcategory level assessments are used in</w:t>
            </w:r>
            <w:r>
              <w:t xml:space="preserve"> place</w:t>
            </w:r>
            <w:r w:rsidRPr="00431779">
              <w:t xml:space="preserve"> of</w:t>
            </w:r>
            <w:r>
              <w:t xml:space="preserve"> </w:t>
            </w:r>
            <w:r w:rsidRPr="00822FA3">
              <w:t>Procurement Initiation Documents, this</w:t>
            </w:r>
            <w:r w:rsidRPr="00431779">
              <w:t xml:space="preserve"> is being better documented in approval records with alignment to Category Activity Plans</w:t>
            </w:r>
            <w:r>
              <w:t xml:space="preserve"> (audit recommendation)</w:t>
            </w:r>
            <w:r w:rsidRPr="00431779">
              <w:t xml:space="preserve">. </w:t>
            </w:r>
          </w:p>
        </w:tc>
      </w:tr>
      <w:tr w:rsidR="00546DF9" w:rsidRPr="008F30C8" w14:paraId="6F16C824" w14:textId="77777777" w:rsidTr="00640A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6" w:type="dxa"/>
          </w:tcPr>
          <w:p w14:paraId="25F3FF6C" w14:textId="77777777" w:rsidR="00546DF9" w:rsidRPr="008F30C8" w:rsidRDefault="00546DF9" w:rsidP="00640A41">
            <w:pPr>
              <w:spacing w:before="20" w:after="20"/>
              <w:rPr>
                <w:rFonts w:cs="Calibri"/>
                <w:sz w:val="20"/>
                <w:szCs w:val="20"/>
              </w:rPr>
            </w:pPr>
            <w:r w:rsidRPr="008F30C8">
              <w:rPr>
                <w:rFonts w:cs="Calibri"/>
                <w:sz w:val="20"/>
                <w:szCs w:val="20"/>
              </w:rPr>
              <w:t>Market analysis and review</w:t>
            </w:r>
          </w:p>
        </w:tc>
        <w:tc>
          <w:tcPr>
            <w:tcW w:w="6379" w:type="dxa"/>
          </w:tcPr>
          <w:p w14:paraId="1C9A8616" w14:textId="295A74BF" w:rsidR="00546DF9" w:rsidRPr="008F30C8" w:rsidRDefault="00546DF9" w:rsidP="00640A41">
            <w:pPr>
              <w:pStyle w:val="TableBullet"/>
              <w:cnfStyle w:val="000000100000" w:firstRow="0" w:lastRow="0" w:firstColumn="0" w:lastColumn="0" w:oddVBand="0" w:evenVBand="0" w:oddHBand="1" w:evenHBand="0" w:firstRowFirstColumn="0" w:firstRowLastColumn="0" w:lastRowFirstColumn="0" w:lastRowLastColumn="0"/>
            </w:pPr>
            <w:r>
              <w:t>Improved v</w:t>
            </w:r>
            <w:r w:rsidRPr="00431779">
              <w:t>alue</w:t>
            </w:r>
            <w:r>
              <w:t>-</w:t>
            </w:r>
            <w:r w:rsidRPr="00431779">
              <w:t>for</w:t>
            </w:r>
            <w:r>
              <w:t>-</w:t>
            </w:r>
            <w:r w:rsidRPr="00431779">
              <w:t>money statements</w:t>
            </w:r>
            <w:r>
              <w:t xml:space="preserve"> to ensure they </w:t>
            </w:r>
            <w:r w:rsidRPr="00431779">
              <w:t xml:space="preserve">represent how </w:t>
            </w:r>
            <w:r w:rsidR="00820DB7">
              <w:t>CenITex</w:t>
            </w:r>
            <w:r w:rsidRPr="00431779">
              <w:t xml:space="preserve"> is achieving value for money</w:t>
            </w:r>
            <w:r>
              <w:t xml:space="preserve"> (audit recommendation)</w:t>
            </w:r>
            <w:r w:rsidRPr="00431779">
              <w:t xml:space="preserve">. </w:t>
            </w:r>
          </w:p>
        </w:tc>
      </w:tr>
      <w:tr w:rsidR="00546DF9" w:rsidRPr="008F30C8" w14:paraId="6931A6DE" w14:textId="77777777" w:rsidTr="00640A41">
        <w:tc>
          <w:tcPr>
            <w:cnfStyle w:val="001000000000" w:firstRow="0" w:lastRow="0" w:firstColumn="1" w:lastColumn="0" w:oddVBand="0" w:evenVBand="0" w:oddHBand="0" w:evenHBand="0" w:firstRowFirstColumn="0" w:firstRowLastColumn="0" w:lastRowFirstColumn="0" w:lastRowLastColumn="0"/>
            <w:tcW w:w="2126" w:type="dxa"/>
          </w:tcPr>
          <w:p w14:paraId="5808F839" w14:textId="77777777" w:rsidR="00546DF9" w:rsidRPr="008F30C8" w:rsidRDefault="00546DF9" w:rsidP="00640A41">
            <w:pPr>
              <w:spacing w:before="20" w:after="20"/>
              <w:rPr>
                <w:rFonts w:cs="Calibri"/>
                <w:sz w:val="20"/>
                <w:szCs w:val="20"/>
              </w:rPr>
            </w:pPr>
            <w:r w:rsidRPr="008F30C8">
              <w:rPr>
                <w:rFonts w:cs="Calibri"/>
                <w:sz w:val="20"/>
                <w:szCs w:val="20"/>
              </w:rPr>
              <w:t>Market approach</w:t>
            </w:r>
          </w:p>
        </w:tc>
        <w:tc>
          <w:tcPr>
            <w:tcW w:w="6379" w:type="dxa"/>
          </w:tcPr>
          <w:p w14:paraId="6B279951" w14:textId="6886FCA0" w:rsidR="00546DF9" w:rsidRPr="008F30C8" w:rsidRDefault="00546DF9" w:rsidP="00640A41">
            <w:pPr>
              <w:pStyle w:val="TableBullet"/>
              <w:cnfStyle w:val="000000000000" w:firstRow="0" w:lastRow="0" w:firstColumn="0" w:lastColumn="0" w:oddVBand="0" w:evenVBand="0" w:oddHBand="0" w:evenHBand="0" w:firstRowFirstColumn="0" w:firstRowLastColumn="0" w:lastRowFirstColumn="0" w:lastRowLastColumn="0"/>
            </w:pPr>
            <w:r>
              <w:t xml:space="preserve">Improving the way </w:t>
            </w:r>
            <w:r w:rsidR="00820DB7">
              <w:t>CenITex</w:t>
            </w:r>
            <w:r>
              <w:t xml:space="preserve"> documents p</w:t>
            </w:r>
            <w:r w:rsidRPr="00431779">
              <w:t>ath to market and associated vendor selection option detail</w:t>
            </w:r>
            <w:r>
              <w:t>s</w:t>
            </w:r>
            <w:r w:rsidRPr="00431779">
              <w:t xml:space="preserve"> in approval records</w:t>
            </w:r>
            <w:r>
              <w:t>. A</w:t>
            </w:r>
            <w:r w:rsidRPr="00431779">
              <w:t>ny pre-existing path/vendor selections</w:t>
            </w:r>
            <w:r>
              <w:t xml:space="preserve"> </w:t>
            </w:r>
            <w:r w:rsidRPr="00431779">
              <w:t xml:space="preserve">aligned to Category Activity Plans </w:t>
            </w:r>
            <w:r>
              <w:t xml:space="preserve">are also </w:t>
            </w:r>
            <w:r w:rsidRPr="00431779">
              <w:t>being documented where applicable</w:t>
            </w:r>
            <w:r>
              <w:t xml:space="preserve"> (audit recommendation). </w:t>
            </w:r>
          </w:p>
        </w:tc>
      </w:tr>
      <w:tr w:rsidR="00546DF9" w:rsidRPr="008F30C8" w14:paraId="43FD3278" w14:textId="77777777" w:rsidTr="00640A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6" w:type="dxa"/>
          </w:tcPr>
          <w:p w14:paraId="30DB88F6" w14:textId="77777777" w:rsidR="00546DF9" w:rsidRPr="008F30C8" w:rsidRDefault="00546DF9" w:rsidP="00640A41">
            <w:pPr>
              <w:spacing w:before="20" w:after="20"/>
              <w:rPr>
                <w:rFonts w:cs="Calibri"/>
                <w:sz w:val="20"/>
                <w:szCs w:val="20"/>
              </w:rPr>
            </w:pPr>
            <w:r w:rsidRPr="008F30C8">
              <w:rPr>
                <w:rFonts w:cs="Calibri"/>
                <w:sz w:val="20"/>
                <w:szCs w:val="20"/>
              </w:rPr>
              <w:t>Contract management and disclosure</w:t>
            </w:r>
          </w:p>
        </w:tc>
        <w:tc>
          <w:tcPr>
            <w:tcW w:w="6379" w:type="dxa"/>
          </w:tcPr>
          <w:p w14:paraId="712217EF" w14:textId="77777777" w:rsidR="00546DF9" w:rsidRPr="008F30C8" w:rsidRDefault="00546DF9" w:rsidP="00640A41">
            <w:pPr>
              <w:pStyle w:val="TableBullet"/>
              <w:cnfStyle w:val="000000100000" w:firstRow="0" w:lastRow="0" w:firstColumn="0" w:lastColumn="0" w:oddVBand="0" w:evenVBand="0" w:oddHBand="1" w:evenHBand="0" w:firstRowFirstColumn="0" w:firstRowLastColumn="0" w:lastRowFirstColumn="0" w:lastRowLastColumn="0"/>
            </w:pPr>
            <w:r>
              <w:t>No activities.</w:t>
            </w:r>
          </w:p>
        </w:tc>
      </w:tr>
    </w:tbl>
    <w:p w14:paraId="4EFD6DDE" w14:textId="77777777" w:rsidR="00F66493" w:rsidRDefault="00F66493" w:rsidP="00BE4CBC">
      <w:pPr>
        <w:pStyle w:val="Normal1"/>
      </w:pPr>
    </w:p>
    <w:p w14:paraId="43BF93FB" w14:textId="77777777" w:rsidR="00F66493" w:rsidRDefault="00F66493">
      <w:pPr>
        <w:rPr>
          <w:rFonts w:ascii="Calibri" w:hAnsi="Calibri" w:cs="Calibri"/>
          <w:b/>
          <w:color w:val="4D4D4D"/>
          <w:kern w:val="28"/>
          <w:sz w:val="26"/>
        </w:rPr>
      </w:pPr>
      <w:r>
        <w:rPr>
          <w:rFonts w:ascii="Calibri" w:hAnsi="Calibri" w:cs="Calibri"/>
          <w:b/>
          <w:color w:val="4D4D4D"/>
          <w:kern w:val="28"/>
          <w:sz w:val="26"/>
        </w:rPr>
        <w:br w:type="page"/>
      </w:r>
    </w:p>
    <w:p w14:paraId="6F1D3C5C" w14:textId="6B6CB097" w:rsidR="00546DF9" w:rsidRPr="008F30C8" w:rsidRDefault="00546DF9" w:rsidP="00546DF9">
      <w:pPr>
        <w:keepNext/>
        <w:keepLines/>
        <w:widowControl w:val="0"/>
        <w:spacing w:before="200" w:after="120" w:line="216" w:lineRule="auto"/>
        <w:ind w:left="794"/>
        <w:outlineLvl w:val="2"/>
        <w:rPr>
          <w:rFonts w:ascii="Calibri" w:hAnsi="Calibri" w:cs="Calibri"/>
          <w:b/>
          <w:color w:val="4D4D4D"/>
          <w:kern w:val="28"/>
          <w:sz w:val="26"/>
        </w:rPr>
      </w:pPr>
      <w:r w:rsidRPr="008F30C8">
        <w:rPr>
          <w:rFonts w:ascii="Calibri" w:hAnsi="Calibri" w:cs="Calibri"/>
          <w:b/>
          <w:color w:val="4D4D4D"/>
          <w:kern w:val="28"/>
          <w:sz w:val="26"/>
        </w:rPr>
        <w:lastRenderedPageBreak/>
        <w:t>Performance</w:t>
      </w:r>
    </w:p>
    <w:p w14:paraId="4FA192C7" w14:textId="2E3E87CE" w:rsidR="00546DF9" w:rsidRPr="00806C2C" w:rsidRDefault="00546DF9" w:rsidP="00546DF9">
      <w:pPr>
        <w:pStyle w:val="Normal1"/>
      </w:pPr>
      <w:r w:rsidRPr="00806C2C">
        <w:fldChar w:fldCharType="begin"/>
      </w:r>
      <w:r w:rsidRPr="00806C2C">
        <w:instrText xml:space="preserve"> REF _Ref519678912 \h  \* MERGEFORMAT </w:instrText>
      </w:r>
      <w:r w:rsidRPr="00806C2C">
        <w:fldChar w:fldCharType="separate"/>
      </w:r>
      <w:r w:rsidR="00A07703" w:rsidRPr="008F30C8">
        <w:t xml:space="preserve">Table </w:t>
      </w:r>
      <w:r w:rsidR="00A07703">
        <w:rPr>
          <w:noProof/>
        </w:rPr>
        <w:t>39</w:t>
      </w:r>
      <w:r w:rsidRPr="00806C2C">
        <w:fldChar w:fldCharType="end"/>
      </w:r>
      <w:r>
        <w:t xml:space="preserve"> </w:t>
      </w:r>
      <w:r w:rsidRPr="00806C2C">
        <w:t xml:space="preserve">sets out </w:t>
      </w:r>
      <w:r w:rsidR="00820DB7">
        <w:t>CenITex</w:t>
      </w:r>
      <w:r w:rsidRPr="00806C2C">
        <w:t>’s performance in 2017–18</w:t>
      </w:r>
      <w:r>
        <w:t xml:space="preserve">. </w:t>
      </w:r>
      <w:r w:rsidR="00820DB7">
        <w:t>CenITex</w:t>
      </w:r>
      <w:r>
        <w:t xml:space="preserve"> transitioned to the VGPB on 1 July 2017 so this is the first year of performance data.</w:t>
      </w:r>
    </w:p>
    <w:p w14:paraId="0488B1CA" w14:textId="530EDC6F" w:rsidR="00546DF9" w:rsidRPr="008F30C8" w:rsidRDefault="00546DF9" w:rsidP="00546DF9">
      <w:pPr>
        <w:pStyle w:val="Caption"/>
      </w:pPr>
      <w:bookmarkStart w:id="213" w:name="_Ref519678912"/>
      <w:bookmarkStart w:id="214" w:name="_Toc503949257"/>
      <w:bookmarkStart w:id="215" w:name="_Toc524354032"/>
      <w:r w:rsidRPr="008F30C8">
        <w:t xml:space="preserve">Table </w:t>
      </w:r>
      <w:r w:rsidRPr="008F30C8">
        <w:rPr>
          <w:noProof/>
        </w:rPr>
        <w:fldChar w:fldCharType="begin"/>
      </w:r>
      <w:r w:rsidRPr="008F30C8">
        <w:rPr>
          <w:noProof/>
        </w:rPr>
        <w:instrText xml:space="preserve"> SEQ Table \* ARABIC </w:instrText>
      </w:r>
      <w:r w:rsidRPr="008F30C8">
        <w:rPr>
          <w:noProof/>
        </w:rPr>
        <w:fldChar w:fldCharType="separate"/>
      </w:r>
      <w:r w:rsidR="00A07703">
        <w:rPr>
          <w:noProof/>
        </w:rPr>
        <w:t>39</w:t>
      </w:r>
      <w:r w:rsidRPr="008F30C8">
        <w:rPr>
          <w:noProof/>
        </w:rPr>
        <w:fldChar w:fldCharType="end"/>
      </w:r>
      <w:bookmarkEnd w:id="213"/>
      <w:r w:rsidRPr="008F30C8">
        <w:t xml:space="preserve">: </w:t>
      </w:r>
      <w:r w:rsidR="00820DB7">
        <w:t>CenITex</w:t>
      </w:r>
      <w:r>
        <w:t>’s</w:t>
      </w:r>
      <w:r w:rsidRPr="008F30C8">
        <w:t xml:space="preserve"> performance in 2017–18</w:t>
      </w:r>
      <w:bookmarkEnd w:id="214"/>
      <w:bookmarkEnd w:id="215"/>
    </w:p>
    <w:tbl>
      <w:tblPr>
        <w:tblStyle w:val="ListTable31"/>
        <w:tblW w:w="8602" w:type="dxa"/>
        <w:tblInd w:w="704" w:type="dxa"/>
        <w:tblLook w:val="04A0" w:firstRow="1" w:lastRow="0" w:firstColumn="1" w:lastColumn="0" w:noHBand="0" w:noVBand="1"/>
      </w:tblPr>
      <w:tblGrid>
        <w:gridCol w:w="359"/>
        <w:gridCol w:w="2004"/>
        <w:gridCol w:w="614"/>
        <w:gridCol w:w="5625"/>
      </w:tblGrid>
      <w:tr w:rsidR="00546DF9" w:rsidRPr="008F30C8" w14:paraId="5A07E30D" w14:textId="77777777" w:rsidTr="00115146">
        <w:trPr>
          <w:cnfStyle w:val="100000000000" w:firstRow="1" w:lastRow="0" w:firstColumn="0" w:lastColumn="0" w:oddVBand="0" w:evenVBand="0" w:oddHBand="0" w:evenHBand="0" w:firstRowFirstColumn="0" w:firstRowLastColumn="0" w:lastRowFirstColumn="0" w:lastRowLastColumn="0"/>
          <w:trHeight w:val="1661"/>
        </w:trPr>
        <w:tc>
          <w:tcPr>
            <w:cnfStyle w:val="001000000100" w:firstRow="0" w:lastRow="0" w:firstColumn="1" w:lastColumn="0" w:oddVBand="0" w:evenVBand="0" w:oddHBand="0" w:evenHBand="0" w:firstRowFirstColumn="1" w:firstRowLastColumn="0" w:lastRowFirstColumn="0" w:lastRowLastColumn="0"/>
            <w:tcW w:w="2363" w:type="dxa"/>
            <w:gridSpan w:val="2"/>
            <w:vMerge w:val="restart"/>
            <w:vAlign w:val="bottom"/>
          </w:tcPr>
          <w:p w14:paraId="0B194F87" w14:textId="77777777" w:rsidR="00546DF9" w:rsidRPr="00200BCC" w:rsidRDefault="00546DF9" w:rsidP="00115146">
            <w:pPr>
              <w:pStyle w:val="TableText"/>
            </w:pPr>
            <w:r w:rsidRPr="00200BCC">
              <w:t>Performance measure</w:t>
            </w:r>
          </w:p>
        </w:tc>
        <w:tc>
          <w:tcPr>
            <w:tcW w:w="614" w:type="dxa"/>
            <w:textDirection w:val="btLr"/>
            <w:vAlign w:val="bottom"/>
          </w:tcPr>
          <w:p w14:paraId="650CA9E9" w14:textId="77777777" w:rsidR="00546DF9" w:rsidRPr="00200BCC" w:rsidRDefault="00546DF9" w:rsidP="00115146">
            <w:pPr>
              <w:pStyle w:val="TableText"/>
              <w:jc w:val="center"/>
              <w:cnfStyle w:val="100000000000" w:firstRow="1" w:lastRow="0" w:firstColumn="0" w:lastColumn="0" w:oddVBand="0" w:evenVBand="0" w:oddHBand="0" w:evenHBand="0" w:firstRowFirstColumn="0" w:firstRowLastColumn="0" w:lastRowFirstColumn="0" w:lastRowLastColumn="0"/>
            </w:pPr>
            <w:r w:rsidRPr="00200BCC">
              <w:t>Year 3: 2017–18</w:t>
            </w:r>
          </w:p>
        </w:tc>
        <w:tc>
          <w:tcPr>
            <w:tcW w:w="5625" w:type="dxa"/>
            <w:vMerge w:val="restart"/>
            <w:vAlign w:val="bottom"/>
          </w:tcPr>
          <w:p w14:paraId="31DF2E81" w14:textId="77777777" w:rsidR="00546DF9" w:rsidRPr="008F30C8" w:rsidRDefault="00546DF9" w:rsidP="00115146">
            <w:pPr>
              <w:pStyle w:val="TableText"/>
              <w:cnfStyle w:val="100000000000" w:firstRow="1" w:lastRow="0" w:firstColumn="0" w:lastColumn="0" w:oddVBand="0" w:evenVBand="0" w:oddHBand="0" w:evenHBand="0" w:firstRowFirstColumn="0" w:firstRowLastColumn="0" w:lastRowFirstColumn="0" w:lastRowLastColumn="0"/>
            </w:pPr>
            <w:r w:rsidRPr="008F30C8">
              <w:t>Explanation</w:t>
            </w:r>
          </w:p>
        </w:tc>
      </w:tr>
      <w:tr w:rsidR="00546DF9" w:rsidRPr="008F30C8" w14:paraId="0C7ACF68" w14:textId="77777777" w:rsidTr="00115146">
        <w:trPr>
          <w:cnfStyle w:val="000000100000" w:firstRow="0" w:lastRow="0" w:firstColumn="0" w:lastColumn="0" w:oddVBand="0" w:evenVBand="0" w:oddHBand="1" w:evenHBand="0" w:firstRowFirstColumn="0" w:firstRowLastColumn="0" w:lastRowFirstColumn="0" w:lastRowLastColumn="0"/>
          <w:trHeight w:val="281"/>
        </w:trPr>
        <w:tc>
          <w:tcPr>
            <w:cnfStyle w:val="001000000000" w:firstRow="0" w:lastRow="0" w:firstColumn="1" w:lastColumn="0" w:oddVBand="0" w:evenVBand="0" w:oddHBand="0" w:evenHBand="0" w:firstRowFirstColumn="0" w:firstRowLastColumn="0" w:lastRowFirstColumn="0" w:lastRowLastColumn="0"/>
            <w:tcW w:w="2363" w:type="dxa"/>
            <w:gridSpan w:val="2"/>
            <w:vMerge/>
          </w:tcPr>
          <w:p w14:paraId="7B9E61E8" w14:textId="77777777" w:rsidR="00546DF9" w:rsidRPr="00200BCC" w:rsidRDefault="00546DF9" w:rsidP="00640A41">
            <w:pPr>
              <w:keepNext/>
              <w:spacing w:before="40" w:after="40"/>
              <w:rPr>
                <w:rFonts w:cs="Calibri"/>
              </w:rPr>
            </w:pPr>
          </w:p>
        </w:tc>
        <w:tc>
          <w:tcPr>
            <w:tcW w:w="614" w:type="dxa"/>
            <w:shd w:val="clear" w:color="auto" w:fill="000000" w:themeFill="text1"/>
            <w:vAlign w:val="center"/>
          </w:tcPr>
          <w:p w14:paraId="061EE89C" w14:textId="77777777" w:rsidR="00546DF9" w:rsidRPr="00200BCC" w:rsidRDefault="00546DF9" w:rsidP="00115146">
            <w:pPr>
              <w:keepNext/>
              <w:spacing w:before="40" w:after="40"/>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sz w:val="20"/>
                <w:szCs w:val="20"/>
              </w:rPr>
            </w:pPr>
            <w:r w:rsidRPr="00200BCC">
              <w:rPr>
                <w:rFonts w:asciiTheme="majorHAnsi" w:hAnsiTheme="majorHAnsi" w:cstheme="majorHAnsi"/>
                <w:b/>
                <w:bCs/>
                <w:sz w:val="20"/>
                <w:szCs w:val="20"/>
              </w:rPr>
              <w:t>%</w:t>
            </w:r>
          </w:p>
        </w:tc>
        <w:tc>
          <w:tcPr>
            <w:tcW w:w="5625" w:type="dxa"/>
            <w:vMerge/>
          </w:tcPr>
          <w:p w14:paraId="6ACE6EBA" w14:textId="77777777" w:rsidR="00546DF9" w:rsidRPr="008F30C8" w:rsidRDefault="00546DF9" w:rsidP="00640A41">
            <w:pPr>
              <w:keepNext/>
              <w:spacing w:before="40" w:after="40"/>
              <w:cnfStyle w:val="000000100000" w:firstRow="0" w:lastRow="0" w:firstColumn="0" w:lastColumn="0" w:oddVBand="0" w:evenVBand="0" w:oddHBand="1" w:evenHBand="0" w:firstRowFirstColumn="0" w:firstRowLastColumn="0" w:lastRowFirstColumn="0" w:lastRowLastColumn="0"/>
              <w:rPr>
                <w:rFonts w:cs="Calibri"/>
                <w:b/>
                <w:color w:val="FFFFFF"/>
                <w:sz w:val="20"/>
                <w:szCs w:val="20"/>
              </w:rPr>
            </w:pPr>
          </w:p>
        </w:tc>
      </w:tr>
      <w:tr w:rsidR="00546DF9" w:rsidRPr="008F30C8" w14:paraId="35F2BD00" w14:textId="77777777" w:rsidTr="004B1827">
        <w:tc>
          <w:tcPr>
            <w:cnfStyle w:val="001000000000" w:firstRow="0" w:lastRow="0" w:firstColumn="1" w:lastColumn="0" w:oddVBand="0" w:evenVBand="0" w:oddHBand="0" w:evenHBand="0" w:firstRowFirstColumn="0" w:firstRowLastColumn="0" w:lastRowFirstColumn="0" w:lastRowLastColumn="0"/>
            <w:tcW w:w="359" w:type="dxa"/>
          </w:tcPr>
          <w:p w14:paraId="5E7389BE" w14:textId="77777777" w:rsidR="00546DF9" w:rsidRPr="008F30C8" w:rsidRDefault="00546DF9" w:rsidP="00640A41">
            <w:pPr>
              <w:spacing w:before="20" w:after="20"/>
              <w:rPr>
                <w:rFonts w:cs="Calibri"/>
                <w:sz w:val="20"/>
                <w:szCs w:val="20"/>
              </w:rPr>
            </w:pPr>
            <w:r w:rsidRPr="008F30C8">
              <w:rPr>
                <w:rFonts w:cs="Calibri"/>
                <w:sz w:val="20"/>
                <w:szCs w:val="20"/>
              </w:rPr>
              <w:t>1</w:t>
            </w:r>
          </w:p>
        </w:tc>
        <w:tc>
          <w:tcPr>
            <w:tcW w:w="2004" w:type="dxa"/>
          </w:tcPr>
          <w:p w14:paraId="11782A5F" w14:textId="77777777" w:rsidR="00546DF9" w:rsidRPr="008F30C8" w:rsidRDefault="00546DF9" w:rsidP="00006A5F">
            <w:pPr>
              <w:pStyle w:val="TableText"/>
              <w:cnfStyle w:val="000000000000" w:firstRow="0" w:lastRow="0" w:firstColumn="0" w:lastColumn="0" w:oddVBand="0" w:evenVBand="0" w:oddHBand="0" w:evenHBand="0" w:firstRowFirstColumn="0" w:firstRowLastColumn="0" w:lastRowFirstColumn="0" w:lastRowLastColumn="0"/>
            </w:pPr>
            <w:r w:rsidRPr="008F30C8">
              <w:t xml:space="preserve">Value created </w:t>
            </w:r>
          </w:p>
        </w:tc>
        <w:tc>
          <w:tcPr>
            <w:tcW w:w="614" w:type="dxa"/>
          </w:tcPr>
          <w:p w14:paraId="49FE4B03" w14:textId="77777777" w:rsidR="00546DF9" w:rsidRPr="008F30C8" w:rsidRDefault="00546DF9" w:rsidP="00006A5F">
            <w:pPr>
              <w:pStyle w:val="TableText"/>
              <w:cnfStyle w:val="000000000000" w:firstRow="0" w:lastRow="0" w:firstColumn="0" w:lastColumn="0" w:oddVBand="0" w:evenVBand="0" w:oddHBand="0" w:evenHBand="0" w:firstRowFirstColumn="0" w:firstRowLastColumn="0" w:lastRowFirstColumn="0" w:lastRowLastColumn="0"/>
            </w:pPr>
            <w:r>
              <w:t>6.9</w:t>
            </w:r>
          </w:p>
        </w:tc>
        <w:tc>
          <w:tcPr>
            <w:tcW w:w="5625" w:type="dxa"/>
          </w:tcPr>
          <w:p w14:paraId="3B909D63" w14:textId="67D4DB2A" w:rsidR="00546DF9" w:rsidRPr="008F30C8" w:rsidRDefault="00820DB7" w:rsidP="00006A5F">
            <w:pPr>
              <w:pStyle w:val="TableText"/>
              <w:cnfStyle w:val="000000000000" w:firstRow="0" w:lastRow="0" w:firstColumn="0" w:lastColumn="0" w:oddVBand="0" w:evenVBand="0" w:oddHBand="0" w:evenHBand="0" w:firstRowFirstColumn="0" w:firstRowLastColumn="0" w:lastRowFirstColumn="0" w:lastRowLastColumn="0"/>
            </w:pPr>
            <w:r>
              <w:t>CenITex</w:t>
            </w:r>
            <w:r w:rsidR="00546DF9" w:rsidDel="00C35FD0">
              <w:t xml:space="preserve"> </w:t>
            </w:r>
            <w:r w:rsidR="00546DF9">
              <w:t xml:space="preserve">is </w:t>
            </w:r>
            <w:r w:rsidR="00546DF9" w:rsidRPr="00610E8B">
              <w:t xml:space="preserve">constantly looking for savings and </w:t>
            </w:r>
            <w:r w:rsidR="00546DF9">
              <w:t xml:space="preserve">cost </w:t>
            </w:r>
            <w:r w:rsidR="00546DF9" w:rsidRPr="00610E8B">
              <w:t xml:space="preserve">avoidance opportunities in </w:t>
            </w:r>
            <w:r w:rsidR="00546DF9">
              <w:t>its</w:t>
            </w:r>
            <w:r w:rsidR="00546DF9" w:rsidRPr="00610E8B">
              <w:t xml:space="preserve"> procurement activity and ha</w:t>
            </w:r>
            <w:r w:rsidR="00546DF9">
              <w:t>s</w:t>
            </w:r>
            <w:r w:rsidR="00546DF9" w:rsidRPr="00610E8B">
              <w:t xml:space="preserve"> been recording benefits information as part of both category and strategic supplier management structures for a number of years.</w:t>
            </w:r>
          </w:p>
        </w:tc>
      </w:tr>
      <w:tr w:rsidR="00546DF9" w:rsidRPr="008F30C8" w14:paraId="4F2AF67A" w14:textId="77777777" w:rsidTr="004B18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 w:type="dxa"/>
          </w:tcPr>
          <w:p w14:paraId="3C498144" w14:textId="77777777" w:rsidR="00546DF9" w:rsidRPr="008F30C8" w:rsidRDefault="00546DF9" w:rsidP="00640A41">
            <w:pPr>
              <w:spacing w:before="20" w:after="20"/>
              <w:rPr>
                <w:rFonts w:cs="Calibri"/>
                <w:sz w:val="20"/>
                <w:szCs w:val="20"/>
              </w:rPr>
            </w:pPr>
            <w:r w:rsidRPr="008F30C8">
              <w:rPr>
                <w:rFonts w:cs="Calibri"/>
                <w:sz w:val="20"/>
                <w:szCs w:val="20"/>
              </w:rPr>
              <w:t>2</w:t>
            </w:r>
          </w:p>
        </w:tc>
        <w:tc>
          <w:tcPr>
            <w:tcW w:w="2004" w:type="dxa"/>
          </w:tcPr>
          <w:p w14:paraId="6AF0E67E" w14:textId="103D79B2" w:rsidR="00546DF9" w:rsidRPr="008F30C8" w:rsidRDefault="00546DF9" w:rsidP="00006A5F">
            <w:pPr>
              <w:pStyle w:val="TableText"/>
              <w:cnfStyle w:val="000000100000" w:firstRow="0" w:lastRow="0" w:firstColumn="0" w:lastColumn="0" w:oddVBand="0" w:evenVBand="0" w:oddHBand="1" w:evenHBand="0" w:firstRowFirstColumn="0" w:firstRowLastColumn="0" w:lastRowFirstColumn="0" w:lastRowLastColumn="0"/>
            </w:pPr>
            <w:r w:rsidRPr="008F30C8">
              <w:t xml:space="preserve">Proportion of P-Card </w:t>
            </w:r>
            <w:r w:rsidR="00D11C9B">
              <w:t xml:space="preserve">(or equivalent) </w:t>
            </w:r>
            <w:r w:rsidRPr="008F30C8">
              <w:t>transactions</w:t>
            </w:r>
          </w:p>
        </w:tc>
        <w:tc>
          <w:tcPr>
            <w:tcW w:w="614" w:type="dxa"/>
          </w:tcPr>
          <w:p w14:paraId="36C752FB" w14:textId="77777777" w:rsidR="00546DF9" w:rsidRPr="008F30C8" w:rsidRDefault="00546DF9" w:rsidP="00006A5F">
            <w:pPr>
              <w:pStyle w:val="TableText"/>
              <w:cnfStyle w:val="000000100000" w:firstRow="0" w:lastRow="0" w:firstColumn="0" w:lastColumn="0" w:oddVBand="0" w:evenVBand="0" w:oddHBand="1" w:evenHBand="0" w:firstRowFirstColumn="0" w:firstRowLastColumn="0" w:lastRowFirstColumn="0" w:lastRowLastColumn="0"/>
            </w:pPr>
            <w:r>
              <w:t>32.0</w:t>
            </w:r>
          </w:p>
        </w:tc>
        <w:tc>
          <w:tcPr>
            <w:tcW w:w="5625" w:type="dxa"/>
          </w:tcPr>
          <w:p w14:paraId="17C72D8B" w14:textId="77777777" w:rsidR="00546DF9" w:rsidRPr="008F30C8" w:rsidRDefault="00546DF9" w:rsidP="00006A5F">
            <w:pPr>
              <w:pStyle w:val="TableText"/>
              <w:cnfStyle w:val="000000100000" w:firstRow="0" w:lastRow="0" w:firstColumn="0" w:lastColumn="0" w:oddVBand="0" w:evenVBand="0" w:oddHBand="1" w:evenHBand="0" w:firstRowFirstColumn="0" w:firstRowLastColumn="0" w:lastRowFirstColumn="0" w:lastRowLastColumn="0"/>
            </w:pPr>
            <w:r>
              <w:t>T</w:t>
            </w:r>
            <w:r w:rsidRPr="00610E8B">
              <w:t xml:space="preserve">his result </w:t>
            </w:r>
            <w:r>
              <w:t xml:space="preserve">will be </w:t>
            </w:r>
            <w:r w:rsidRPr="00610E8B">
              <w:t>a baseline for subsequent years.</w:t>
            </w:r>
          </w:p>
        </w:tc>
      </w:tr>
      <w:tr w:rsidR="00546DF9" w:rsidRPr="008F30C8" w14:paraId="722AF98A" w14:textId="77777777" w:rsidTr="004B1827">
        <w:tc>
          <w:tcPr>
            <w:cnfStyle w:val="001000000000" w:firstRow="0" w:lastRow="0" w:firstColumn="1" w:lastColumn="0" w:oddVBand="0" w:evenVBand="0" w:oddHBand="0" w:evenHBand="0" w:firstRowFirstColumn="0" w:firstRowLastColumn="0" w:lastRowFirstColumn="0" w:lastRowLastColumn="0"/>
            <w:tcW w:w="359" w:type="dxa"/>
          </w:tcPr>
          <w:p w14:paraId="3E3E7D03" w14:textId="77777777" w:rsidR="00546DF9" w:rsidRPr="008F30C8" w:rsidRDefault="00546DF9" w:rsidP="00640A41">
            <w:pPr>
              <w:spacing w:before="20" w:after="20"/>
              <w:rPr>
                <w:rFonts w:cs="Calibri"/>
                <w:sz w:val="20"/>
                <w:szCs w:val="20"/>
              </w:rPr>
            </w:pPr>
            <w:r w:rsidRPr="008F30C8">
              <w:rPr>
                <w:rFonts w:cs="Calibri"/>
                <w:sz w:val="20"/>
                <w:szCs w:val="20"/>
              </w:rPr>
              <w:t>3</w:t>
            </w:r>
          </w:p>
        </w:tc>
        <w:tc>
          <w:tcPr>
            <w:tcW w:w="2004" w:type="dxa"/>
          </w:tcPr>
          <w:p w14:paraId="7E4EBBFF" w14:textId="77777777" w:rsidR="00546DF9" w:rsidRPr="008F30C8" w:rsidRDefault="00546DF9" w:rsidP="00006A5F">
            <w:pPr>
              <w:pStyle w:val="TableText"/>
              <w:cnfStyle w:val="000000000000" w:firstRow="0" w:lastRow="0" w:firstColumn="0" w:lastColumn="0" w:oddVBand="0" w:evenVBand="0" w:oddHBand="0" w:evenHBand="0" w:firstRowFirstColumn="0" w:firstRowLastColumn="0" w:lastRowFirstColumn="0" w:lastRowLastColumn="0"/>
            </w:pPr>
            <w:r w:rsidRPr="008F30C8">
              <w:t>Increase in procurement capability</w:t>
            </w:r>
          </w:p>
        </w:tc>
        <w:tc>
          <w:tcPr>
            <w:tcW w:w="614" w:type="dxa"/>
          </w:tcPr>
          <w:p w14:paraId="2D8F12A9" w14:textId="77777777" w:rsidR="00546DF9" w:rsidRPr="008F30C8" w:rsidRDefault="00546DF9" w:rsidP="00006A5F">
            <w:pPr>
              <w:pStyle w:val="TableText"/>
              <w:cnfStyle w:val="000000000000" w:firstRow="0" w:lastRow="0" w:firstColumn="0" w:lastColumn="0" w:oddVBand="0" w:evenVBand="0" w:oddHBand="0" w:evenHBand="0" w:firstRowFirstColumn="0" w:firstRowLastColumn="0" w:lastRowFirstColumn="0" w:lastRowLastColumn="0"/>
            </w:pPr>
            <w:r>
              <w:t>..</w:t>
            </w:r>
          </w:p>
        </w:tc>
        <w:tc>
          <w:tcPr>
            <w:tcW w:w="5625" w:type="dxa"/>
          </w:tcPr>
          <w:p w14:paraId="64CB9BF5" w14:textId="5DA1C317" w:rsidR="00546DF9" w:rsidRPr="008F30C8" w:rsidRDefault="00546DF9" w:rsidP="00006A5F">
            <w:pPr>
              <w:pStyle w:val="TableText"/>
              <w:cnfStyle w:val="000000000000" w:firstRow="0" w:lastRow="0" w:firstColumn="0" w:lastColumn="0" w:oddVBand="0" w:evenVBand="0" w:oddHBand="0" w:evenHBand="0" w:firstRowFirstColumn="0" w:firstRowLastColumn="0" w:lastRowFirstColumn="0" w:lastRowLastColumn="0"/>
            </w:pPr>
            <w:r>
              <w:t xml:space="preserve">Capability measured at 113/150 (75.3 per cent) in 2017–18. </w:t>
            </w:r>
            <w:r w:rsidR="00820DB7">
              <w:t>CenITex</w:t>
            </w:r>
            <w:r w:rsidDel="00C35FD0">
              <w:t xml:space="preserve"> </w:t>
            </w:r>
            <w:r>
              <w:t>is s</w:t>
            </w:r>
            <w:r w:rsidRPr="00610E8B">
              <w:t xml:space="preserve">atisfied with </w:t>
            </w:r>
            <w:r>
              <w:t>this</w:t>
            </w:r>
            <w:r w:rsidRPr="00610E8B">
              <w:t xml:space="preserve"> first year result, in particular related to governance and centralised development of contracts.</w:t>
            </w:r>
            <w:r>
              <w:t xml:space="preserve"> </w:t>
            </w:r>
            <w:r w:rsidRPr="00610E8B">
              <w:t>Next year will bring a focus on improved business engagement and process documentation, supported by a proposed review of tools and technologies.</w:t>
            </w:r>
          </w:p>
        </w:tc>
      </w:tr>
      <w:tr w:rsidR="00546DF9" w:rsidRPr="008F30C8" w14:paraId="7AD62EF9" w14:textId="77777777" w:rsidTr="004B18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 w:type="dxa"/>
          </w:tcPr>
          <w:p w14:paraId="75B426C7" w14:textId="77777777" w:rsidR="00546DF9" w:rsidRPr="008F30C8" w:rsidRDefault="00546DF9" w:rsidP="00640A41">
            <w:pPr>
              <w:spacing w:before="20" w:after="20"/>
              <w:rPr>
                <w:rFonts w:cs="Calibri"/>
                <w:sz w:val="20"/>
                <w:szCs w:val="20"/>
              </w:rPr>
            </w:pPr>
            <w:r w:rsidRPr="008F30C8">
              <w:rPr>
                <w:rFonts w:cs="Calibri"/>
                <w:sz w:val="20"/>
                <w:szCs w:val="20"/>
              </w:rPr>
              <w:t>4</w:t>
            </w:r>
          </w:p>
        </w:tc>
        <w:tc>
          <w:tcPr>
            <w:tcW w:w="2004" w:type="dxa"/>
          </w:tcPr>
          <w:p w14:paraId="1B40A60B" w14:textId="77777777" w:rsidR="00546DF9" w:rsidRPr="008F30C8" w:rsidRDefault="00546DF9" w:rsidP="00006A5F">
            <w:pPr>
              <w:pStyle w:val="TableText"/>
              <w:cnfStyle w:val="000000100000" w:firstRow="0" w:lastRow="0" w:firstColumn="0" w:lastColumn="0" w:oddVBand="0" w:evenVBand="0" w:oddHBand="1" w:evenHBand="0" w:firstRowFirstColumn="0" w:firstRowLastColumn="0" w:lastRowFirstColumn="0" w:lastRowLastColumn="0"/>
            </w:pPr>
            <w:r w:rsidRPr="008F30C8">
              <w:t>Cost of procurement resources</w:t>
            </w:r>
          </w:p>
        </w:tc>
        <w:tc>
          <w:tcPr>
            <w:tcW w:w="614" w:type="dxa"/>
          </w:tcPr>
          <w:p w14:paraId="1A2EB051" w14:textId="77777777" w:rsidR="00546DF9" w:rsidRPr="008F30C8" w:rsidRDefault="00546DF9" w:rsidP="00006A5F">
            <w:pPr>
              <w:pStyle w:val="TableText"/>
              <w:cnfStyle w:val="000000100000" w:firstRow="0" w:lastRow="0" w:firstColumn="0" w:lastColumn="0" w:oddVBand="0" w:evenVBand="0" w:oddHBand="1" w:evenHBand="0" w:firstRowFirstColumn="0" w:firstRowLastColumn="0" w:lastRowFirstColumn="0" w:lastRowLastColumn="0"/>
            </w:pPr>
            <w:r>
              <w:t>2.4</w:t>
            </w:r>
          </w:p>
        </w:tc>
        <w:tc>
          <w:tcPr>
            <w:tcW w:w="5625" w:type="dxa"/>
          </w:tcPr>
          <w:p w14:paraId="0C2ECF5F" w14:textId="4D8555B1" w:rsidR="00546DF9" w:rsidRPr="008F30C8" w:rsidRDefault="00820DB7" w:rsidP="00006A5F">
            <w:pPr>
              <w:pStyle w:val="TableText"/>
              <w:cnfStyle w:val="000000100000" w:firstRow="0" w:lastRow="0" w:firstColumn="0" w:lastColumn="0" w:oddVBand="0" w:evenVBand="0" w:oddHBand="1" w:evenHBand="0" w:firstRowFirstColumn="0" w:firstRowLastColumn="0" w:lastRowFirstColumn="0" w:lastRowLastColumn="0"/>
            </w:pPr>
            <w:r>
              <w:t>CenITex</w:t>
            </w:r>
            <w:r w:rsidR="00546DF9" w:rsidRPr="00610E8B">
              <w:t xml:space="preserve"> is transforming the procurement team to create greater capacity with existing resources, </w:t>
            </w:r>
            <w:r w:rsidR="00546DF9">
              <w:t xml:space="preserve">with </w:t>
            </w:r>
            <w:r w:rsidR="00546DF9" w:rsidRPr="00610E8B">
              <w:t>increase</w:t>
            </w:r>
            <w:r w:rsidR="00546DF9">
              <w:t>d</w:t>
            </w:r>
            <w:r w:rsidR="00546DF9" w:rsidRPr="00610E8B">
              <w:t xml:space="preserve"> capability development</w:t>
            </w:r>
            <w:r w:rsidR="00546DF9">
              <w:t xml:space="preserve"> to </w:t>
            </w:r>
            <w:r w:rsidR="00546DF9" w:rsidRPr="00610E8B">
              <w:t>improve</w:t>
            </w:r>
            <w:r w:rsidR="00546DF9">
              <w:t xml:space="preserve"> its</w:t>
            </w:r>
            <w:r w:rsidR="00546DF9" w:rsidRPr="00610E8B">
              <w:t xml:space="preserve"> alignment to support the changing needs of the ICT industry.</w:t>
            </w:r>
          </w:p>
        </w:tc>
      </w:tr>
      <w:tr w:rsidR="00546DF9" w:rsidRPr="008F30C8" w14:paraId="22C496AA" w14:textId="77777777" w:rsidTr="004B1827">
        <w:tc>
          <w:tcPr>
            <w:cnfStyle w:val="001000000000" w:firstRow="0" w:lastRow="0" w:firstColumn="1" w:lastColumn="0" w:oddVBand="0" w:evenVBand="0" w:oddHBand="0" w:evenHBand="0" w:firstRowFirstColumn="0" w:firstRowLastColumn="0" w:lastRowFirstColumn="0" w:lastRowLastColumn="0"/>
            <w:tcW w:w="359" w:type="dxa"/>
            <w:vMerge w:val="restart"/>
          </w:tcPr>
          <w:p w14:paraId="05D500E5" w14:textId="77777777" w:rsidR="00546DF9" w:rsidRPr="008F30C8" w:rsidRDefault="00546DF9" w:rsidP="00640A41">
            <w:pPr>
              <w:spacing w:before="20" w:after="20"/>
              <w:rPr>
                <w:rFonts w:cs="Calibri"/>
                <w:sz w:val="20"/>
                <w:szCs w:val="20"/>
              </w:rPr>
            </w:pPr>
            <w:r>
              <w:rPr>
                <w:rFonts w:cs="Calibri"/>
                <w:sz w:val="20"/>
                <w:szCs w:val="20"/>
              </w:rPr>
              <w:t>5</w:t>
            </w:r>
          </w:p>
        </w:tc>
        <w:tc>
          <w:tcPr>
            <w:tcW w:w="2004" w:type="dxa"/>
          </w:tcPr>
          <w:p w14:paraId="578FFD2C" w14:textId="77777777" w:rsidR="00546DF9" w:rsidRPr="008F30C8" w:rsidRDefault="00546DF9" w:rsidP="00006A5F">
            <w:pPr>
              <w:pStyle w:val="TableText"/>
              <w:cnfStyle w:val="000000000000" w:firstRow="0" w:lastRow="0" w:firstColumn="0" w:lastColumn="0" w:oddVBand="0" w:evenVBand="0" w:oddHBand="0" w:evenHBand="0" w:firstRowFirstColumn="0" w:firstRowLastColumn="0" w:lastRowFirstColumn="0" w:lastRowLastColumn="0"/>
            </w:pPr>
            <w:r w:rsidRPr="000451B5">
              <w:t xml:space="preserve">Successful </w:t>
            </w:r>
            <w:r>
              <w:t>s</w:t>
            </w:r>
            <w:r w:rsidRPr="008F30C8">
              <w:t>upplie</w:t>
            </w:r>
            <w:r>
              <w:t xml:space="preserve">r </w:t>
            </w:r>
            <w:r w:rsidRPr="000451B5">
              <w:t>satisfied</w:t>
            </w:r>
          </w:p>
        </w:tc>
        <w:tc>
          <w:tcPr>
            <w:tcW w:w="614" w:type="dxa"/>
          </w:tcPr>
          <w:p w14:paraId="49F072BA" w14:textId="77777777" w:rsidR="00546DF9" w:rsidRDefault="00546DF9" w:rsidP="00006A5F">
            <w:pPr>
              <w:pStyle w:val="TableText"/>
              <w:cnfStyle w:val="000000000000" w:firstRow="0" w:lastRow="0" w:firstColumn="0" w:lastColumn="0" w:oddVBand="0" w:evenVBand="0" w:oddHBand="0" w:evenHBand="0" w:firstRowFirstColumn="0" w:firstRowLastColumn="0" w:lastRowFirstColumn="0" w:lastRowLastColumn="0"/>
            </w:pPr>
            <w:r>
              <w:t>100</w:t>
            </w:r>
          </w:p>
        </w:tc>
        <w:tc>
          <w:tcPr>
            <w:tcW w:w="5625" w:type="dxa"/>
            <w:vMerge w:val="restart"/>
          </w:tcPr>
          <w:p w14:paraId="286E1912" w14:textId="396A92BE" w:rsidR="00546DF9" w:rsidRPr="00610E8B" w:rsidRDefault="00546DF9" w:rsidP="00006A5F">
            <w:pPr>
              <w:pStyle w:val="TableText"/>
              <w:cnfStyle w:val="000000000000" w:firstRow="0" w:lastRow="0" w:firstColumn="0" w:lastColumn="0" w:oddVBand="0" w:evenVBand="0" w:oddHBand="0" w:evenHBand="0" w:firstRowFirstColumn="0" w:firstRowLastColumn="0" w:lastRowFirstColumn="0" w:lastRowLastColumn="0"/>
            </w:pPr>
            <w:r w:rsidRPr="00610E8B">
              <w:t>The results were based on a small sample size.</w:t>
            </w:r>
            <w:r>
              <w:t xml:space="preserve"> </w:t>
            </w:r>
            <w:r w:rsidR="00820DB7">
              <w:t>CenITex</w:t>
            </w:r>
            <w:r>
              <w:t xml:space="preserve"> is pleased that all </w:t>
            </w:r>
            <w:r w:rsidRPr="00610E8B">
              <w:t>successful suppliers were satisfied.</w:t>
            </w:r>
            <w:r>
              <w:t xml:space="preserve"> </w:t>
            </w:r>
            <w:r w:rsidR="00820DB7">
              <w:t>CenITex</w:t>
            </w:r>
            <w:r>
              <w:t xml:space="preserve"> </w:t>
            </w:r>
            <w:r w:rsidRPr="00610E8B">
              <w:t>will consider the areas of focus highlighted for improvement in the summary report as part of the overall drive to improve procurement processes.</w:t>
            </w:r>
          </w:p>
        </w:tc>
      </w:tr>
      <w:tr w:rsidR="00546DF9" w:rsidRPr="008F30C8" w14:paraId="30441A5A" w14:textId="77777777" w:rsidTr="004B18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 w:type="dxa"/>
            <w:vMerge/>
          </w:tcPr>
          <w:p w14:paraId="6AD4CA67" w14:textId="77777777" w:rsidR="00546DF9" w:rsidRPr="008F30C8" w:rsidRDefault="00546DF9" w:rsidP="00640A41">
            <w:pPr>
              <w:spacing w:before="20" w:after="20"/>
              <w:rPr>
                <w:rFonts w:cs="Calibri"/>
                <w:sz w:val="20"/>
                <w:szCs w:val="20"/>
              </w:rPr>
            </w:pPr>
          </w:p>
        </w:tc>
        <w:tc>
          <w:tcPr>
            <w:tcW w:w="2004" w:type="dxa"/>
          </w:tcPr>
          <w:p w14:paraId="0065B8AC" w14:textId="77777777" w:rsidR="00546DF9" w:rsidRPr="008F30C8" w:rsidRDefault="00546DF9" w:rsidP="00006A5F">
            <w:pPr>
              <w:pStyle w:val="TableText"/>
              <w:cnfStyle w:val="000000100000" w:firstRow="0" w:lastRow="0" w:firstColumn="0" w:lastColumn="0" w:oddVBand="0" w:evenVBand="0" w:oddHBand="1" w:evenHBand="0" w:firstRowFirstColumn="0" w:firstRowLastColumn="0" w:lastRowFirstColumn="0" w:lastRowLastColumn="0"/>
            </w:pPr>
            <w:r w:rsidRPr="000451B5">
              <w:t xml:space="preserve">Unsuccessful </w:t>
            </w:r>
            <w:r>
              <w:t>s</w:t>
            </w:r>
            <w:r w:rsidRPr="008F30C8">
              <w:t>upplie</w:t>
            </w:r>
            <w:r>
              <w:t xml:space="preserve">r </w:t>
            </w:r>
            <w:r w:rsidRPr="000451B5">
              <w:t>satisfied</w:t>
            </w:r>
          </w:p>
        </w:tc>
        <w:tc>
          <w:tcPr>
            <w:tcW w:w="614" w:type="dxa"/>
          </w:tcPr>
          <w:p w14:paraId="596A5DA6" w14:textId="77777777" w:rsidR="00546DF9" w:rsidRDefault="00546DF9" w:rsidP="00006A5F">
            <w:pPr>
              <w:pStyle w:val="TableText"/>
              <w:cnfStyle w:val="000000100000" w:firstRow="0" w:lastRow="0" w:firstColumn="0" w:lastColumn="0" w:oddVBand="0" w:evenVBand="0" w:oddHBand="1" w:evenHBand="0" w:firstRowFirstColumn="0" w:firstRowLastColumn="0" w:lastRowFirstColumn="0" w:lastRowLastColumn="0"/>
            </w:pPr>
            <w:r>
              <w:t>33</w:t>
            </w:r>
          </w:p>
        </w:tc>
        <w:tc>
          <w:tcPr>
            <w:tcW w:w="5625" w:type="dxa"/>
            <w:vMerge/>
          </w:tcPr>
          <w:p w14:paraId="609787DD" w14:textId="77777777" w:rsidR="00546DF9" w:rsidRPr="00610E8B" w:rsidRDefault="00546DF9" w:rsidP="00006A5F">
            <w:pPr>
              <w:pStyle w:val="TableText"/>
              <w:cnfStyle w:val="000000100000" w:firstRow="0" w:lastRow="0" w:firstColumn="0" w:lastColumn="0" w:oddVBand="0" w:evenVBand="0" w:oddHBand="1" w:evenHBand="0" w:firstRowFirstColumn="0" w:firstRowLastColumn="0" w:lastRowFirstColumn="0" w:lastRowLastColumn="0"/>
            </w:pPr>
          </w:p>
        </w:tc>
      </w:tr>
      <w:tr w:rsidR="00546DF9" w:rsidRPr="008F30C8" w14:paraId="6A391E71" w14:textId="77777777" w:rsidTr="004B1827">
        <w:trPr>
          <w:trHeight w:val="283"/>
        </w:trPr>
        <w:tc>
          <w:tcPr>
            <w:cnfStyle w:val="001000000000" w:firstRow="0" w:lastRow="0" w:firstColumn="1" w:lastColumn="0" w:oddVBand="0" w:evenVBand="0" w:oddHBand="0" w:evenHBand="0" w:firstRowFirstColumn="0" w:firstRowLastColumn="0" w:lastRowFirstColumn="0" w:lastRowLastColumn="0"/>
            <w:tcW w:w="359" w:type="dxa"/>
          </w:tcPr>
          <w:p w14:paraId="3FB3CC35" w14:textId="77777777" w:rsidR="00546DF9" w:rsidRPr="008F30C8" w:rsidRDefault="00546DF9" w:rsidP="00640A41">
            <w:pPr>
              <w:spacing w:before="20" w:after="20"/>
              <w:rPr>
                <w:rFonts w:cs="Calibri"/>
                <w:sz w:val="20"/>
                <w:szCs w:val="20"/>
              </w:rPr>
            </w:pPr>
            <w:r w:rsidRPr="008F30C8">
              <w:rPr>
                <w:rFonts w:cs="Calibri"/>
                <w:sz w:val="20"/>
                <w:szCs w:val="20"/>
              </w:rPr>
              <w:t>6</w:t>
            </w:r>
          </w:p>
        </w:tc>
        <w:tc>
          <w:tcPr>
            <w:tcW w:w="2004" w:type="dxa"/>
          </w:tcPr>
          <w:p w14:paraId="6FADDB1A" w14:textId="77777777" w:rsidR="00546DF9" w:rsidRPr="008F30C8" w:rsidRDefault="00546DF9" w:rsidP="00006A5F">
            <w:pPr>
              <w:pStyle w:val="TableText"/>
              <w:cnfStyle w:val="000000000000" w:firstRow="0" w:lastRow="0" w:firstColumn="0" w:lastColumn="0" w:oddVBand="0" w:evenVBand="0" w:oddHBand="0" w:evenHBand="0" w:firstRowFirstColumn="0" w:firstRowLastColumn="0" w:lastRowFirstColumn="0" w:lastRowLastColumn="0"/>
            </w:pPr>
            <w:r w:rsidRPr="008F30C8">
              <w:t>Planned procurement activity</w:t>
            </w:r>
          </w:p>
        </w:tc>
        <w:tc>
          <w:tcPr>
            <w:tcW w:w="614" w:type="dxa"/>
          </w:tcPr>
          <w:p w14:paraId="7BBB6A14" w14:textId="77777777" w:rsidR="00546DF9" w:rsidRPr="008F30C8" w:rsidRDefault="00546DF9" w:rsidP="00006A5F">
            <w:pPr>
              <w:pStyle w:val="TableText"/>
              <w:cnfStyle w:val="000000000000" w:firstRow="0" w:lastRow="0" w:firstColumn="0" w:lastColumn="0" w:oddVBand="0" w:evenVBand="0" w:oddHBand="0" w:evenHBand="0" w:firstRowFirstColumn="0" w:firstRowLastColumn="0" w:lastRowFirstColumn="0" w:lastRowLastColumn="0"/>
            </w:pPr>
            <w:r>
              <w:t>18.0</w:t>
            </w:r>
          </w:p>
        </w:tc>
        <w:tc>
          <w:tcPr>
            <w:tcW w:w="5625" w:type="dxa"/>
          </w:tcPr>
          <w:p w14:paraId="5FE1885C" w14:textId="4A57ED07" w:rsidR="00546DF9" w:rsidRPr="008F30C8" w:rsidRDefault="00820DB7" w:rsidP="00006A5F">
            <w:pPr>
              <w:pStyle w:val="TableText"/>
              <w:cnfStyle w:val="000000000000" w:firstRow="0" w:lastRow="0" w:firstColumn="0" w:lastColumn="0" w:oddVBand="0" w:evenVBand="0" w:oddHBand="0" w:evenHBand="0" w:firstRowFirstColumn="0" w:firstRowLastColumn="0" w:lastRowFirstColumn="0" w:lastRowLastColumn="0"/>
            </w:pPr>
            <w:r>
              <w:t>CenITex</w:t>
            </w:r>
            <w:r w:rsidR="00546DF9">
              <w:t xml:space="preserve"> </w:t>
            </w:r>
            <w:r w:rsidR="00546DF9" w:rsidRPr="00610E8B">
              <w:t>respond</w:t>
            </w:r>
            <w:r w:rsidR="00546DF9">
              <w:t>s</w:t>
            </w:r>
            <w:r w:rsidR="00546DF9" w:rsidRPr="00610E8B">
              <w:t xml:space="preserve"> to the needs of </w:t>
            </w:r>
            <w:r w:rsidR="00546DF9">
              <w:t>its</w:t>
            </w:r>
            <w:r w:rsidR="00546DF9" w:rsidRPr="00610E8B">
              <w:t xml:space="preserve"> customer base, which depend</w:t>
            </w:r>
            <w:r w:rsidR="00546DF9">
              <w:t xml:space="preserve">s </w:t>
            </w:r>
            <w:r w:rsidR="00546DF9" w:rsidRPr="00610E8B">
              <w:t xml:space="preserve">on the evolving ICT industry. </w:t>
            </w:r>
            <w:r w:rsidR="00546DF9">
              <w:t>Most</w:t>
            </w:r>
            <w:r w:rsidR="00546DF9" w:rsidRPr="00610E8B">
              <w:t xml:space="preserve"> forward planning is for internally managed and funded projects.</w:t>
            </w:r>
            <w:r w:rsidR="00546DF9">
              <w:t xml:space="preserve"> </w:t>
            </w:r>
            <w:r w:rsidR="00546DF9" w:rsidRPr="00610E8B">
              <w:t>Procurement will actively engage with internal business units to explore opportunities to improve forecasting of procurement activities.</w:t>
            </w:r>
          </w:p>
        </w:tc>
      </w:tr>
    </w:tbl>
    <w:p w14:paraId="6AAC8017" w14:textId="77777777" w:rsidR="002A7E78" w:rsidRPr="00693AF7" w:rsidRDefault="002A7E78" w:rsidP="002A7E78">
      <w:pPr>
        <w:pStyle w:val="Heading3NoNum"/>
      </w:pPr>
      <w:r w:rsidRPr="00693AF7">
        <w:t>Activities planned for 2018–19</w:t>
      </w:r>
    </w:p>
    <w:p w14:paraId="76BAD508" w14:textId="1C455927" w:rsidR="002A7E78" w:rsidRDefault="002A7E78" w:rsidP="002A7E78">
      <w:pPr>
        <w:pStyle w:val="Normal1"/>
      </w:pPr>
      <w:r>
        <w:t xml:space="preserve">In 2018–19, </w:t>
      </w:r>
      <w:r w:rsidR="00820DB7">
        <w:t>CenITex</w:t>
      </w:r>
      <w:r>
        <w:t xml:space="preserve"> will:</w:t>
      </w:r>
    </w:p>
    <w:p w14:paraId="788B9C93" w14:textId="01FBB9F5" w:rsidR="002A7E78" w:rsidRPr="001A5606" w:rsidRDefault="002A7E78" w:rsidP="002A7E78">
      <w:pPr>
        <w:pStyle w:val="Bullet1"/>
      </w:pPr>
      <w:r>
        <w:t xml:space="preserve">give all applicable buyers </w:t>
      </w:r>
      <w:r w:rsidRPr="001A5606">
        <w:t xml:space="preserve">at </w:t>
      </w:r>
      <w:r w:rsidR="00820DB7">
        <w:t>CenITex</w:t>
      </w:r>
      <w:r w:rsidRPr="001A5606">
        <w:t xml:space="preserve"> access to the register of social benefit suppliers via VendorPanel;</w:t>
      </w:r>
    </w:p>
    <w:p w14:paraId="1F02993B" w14:textId="77777777" w:rsidR="002A7E78" w:rsidRPr="001A5606" w:rsidRDefault="002A7E78" w:rsidP="002A7E78">
      <w:pPr>
        <w:pStyle w:val="Bullet1"/>
      </w:pPr>
      <w:r w:rsidRPr="001A5606">
        <w:t xml:space="preserve">update </w:t>
      </w:r>
      <w:r>
        <w:t xml:space="preserve">invitation to supply </w:t>
      </w:r>
      <w:r w:rsidRPr="001A5606">
        <w:t xml:space="preserve">documents and related market engagement documents to capture environmentally responsible and sustainable practice requirements as per </w:t>
      </w:r>
      <w:r>
        <w:rPr>
          <w:rFonts w:ascii="Tahoma" w:hAnsi="Tahoma" w:cs="Tahoma"/>
          <w:sz w:val="20"/>
          <w:szCs w:val="20"/>
        </w:rPr>
        <w:t>Victoria's</w:t>
      </w:r>
      <w:r w:rsidRPr="001A5606">
        <w:t xml:space="preserve"> Social Procurement Framework;</w:t>
      </w:r>
    </w:p>
    <w:p w14:paraId="41BD4094" w14:textId="77777777" w:rsidR="002A7E78" w:rsidRPr="001A5606" w:rsidRDefault="002A7E78" w:rsidP="002A7E78">
      <w:pPr>
        <w:pStyle w:val="Bullet1"/>
      </w:pPr>
      <w:r w:rsidRPr="001A5606">
        <w:t>restructure the procurement team to create compliance and governance roles;</w:t>
      </w:r>
    </w:p>
    <w:p w14:paraId="146346EF" w14:textId="77777777" w:rsidR="002A7E78" w:rsidRPr="001A5606" w:rsidRDefault="002A7E78" w:rsidP="002A7E78">
      <w:pPr>
        <w:pStyle w:val="Bullet1"/>
      </w:pPr>
      <w:r w:rsidRPr="001A5606">
        <w:t>restructure the category management and sourcing teams to create greater capacity with existing resources through multiskilling; and</w:t>
      </w:r>
    </w:p>
    <w:p w14:paraId="1F961619" w14:textId="5F8A4C6A" w:rsidR="00546DF9" w:rsidRPr="00F66493" w:rsidRDefault="002A7E78" w:rsidP="00BA2F5A">
      <w:pPr>
        <w:pStyle w:val="Bullet1"/>
        <w:rPr>
          <w:color w:val="4D4D4D"/>
          <w:kern w:val="28"/>
          <w:sz w:val="30"/>
          <w:lang w:eastAsia="en-US"/>
        </w:rPr>
      </w:pPr>
      <w:r w:rsidRPr="001A5606">
        <w:t>investigate requirements for a procurement system, including procure-to-pay and improved contract management functions.</w:t>
      </w:r>
      <w:r w:rsidR="00546DF9">
        <w:br w:type="page"/>
      </w:r>
    </w:p>
    <w:p w14:paraId="7B979391" w14:textId="419C2DCE" w:rsidR="0058492C" w:rsidRDefault="0058492C" w:rsidP="001E76A1">
      <w:pPr>
        <w:pStyle w:val="Heading2NoNum"/>
      </w:pPr>
      <w:bookmarkStart w:id="216" w:name="_Toc524354089"/>
      <w:bookmarkStart w:id="217" w:name="_Hlk521668754"/>
      <w:r>
        <w:lastRenderedPageBreak/>
        <w:t>P</w:t>
      </w:r>
      <w:bookmarkStart w:id="218" w:name="_Hlk522699746"/>
      <w:r>
        <w:t>ublic Transport Victoria</w:t>
      </w:r>
      <w:bookmarkEnd w:id="207"/>
      <w:bookmarkEnd w:id="216"/>
    </w:p>
    <w:p w14:paraId="75ED2524" w14:textId="5CF91919" w:rsidR="00567B7A" w:rsidRDefault="00567B7A" w:rsidP="00567B7A">
      <w:pPr>
        <w:pStyle w:val="Normal1"/>
      </w:pPr>
      <w:r w:rsidRPr="000470C8">
        <w:t>Public Transport Victoria (PTV) is a statutory authority that acts as a system authority for all public transport and an advocate for public transport users.</w:t>
      </w:r>
      <w:r>
        <w:t xml:space="preserve"> PTV </w:t>
      </w:r>
      <w:r w:rsidRPr="001144CE">
        <w:t xml:space="preserve">sits with VicRoads, VicTrack and V/Line </w:t>
      </w:r>
      <w:r>
        <w:t xml:space="preserve">and other agencies </w:t>
      </w:r>
      <w:r w:rsidRPr="001144CE">
        <w:t>under Transport for Victoria</w:t>
      </w:r>
      <w:r w:rsidR="00494F38">
        <w:t xml:space="preserve"> </w:t>
      </w:r>
      <w:r w:rsidRPr="001144CE">
        <w:t>in DEDJTR.</w:t>
      </w:r>
    </w:p>
    <w:p w14:paraId="25B6CA98" w14:textId="1823E379" w:rsidR="00567B7A" w:rsidRDefault="00567B7A" w:rsidP="00567B7A">
      <w:pPr>
        <w:pStyle w:val="Normal1"/>
      </w:pPr>
      <w:r>
        <w:rPr>
          <w:noProof/>
          <w:lang w:val="en-US" w:eastAsia="en-US"/>
        </w:rPr>
        <mc:AlternateContent>
          <mc:Choice Requires="wps">
            <w:drawing>
              <wp:anchor distT="0" distB="0" distL="114300" distR="114300" simplePos="0" relativeHeight="251660800" behindDoc="0" locked="0" layoutInCell="1" allowOverlap="1" wp14:anchorId="5B0AA8E4" wp14:editId="4AB39DD9">
                <wp:simplePos x="0" y="0"/>
                <wp:positionH relativeFrom="margin">
                  <wp:posOffset>4356735</wp:posOffset>
                </wp:positionH>
                <wp:positionV relativeFrom="margin">
                  <wp:posOffset>1337310</wp:posOffset>
                </wp:positionV>
                <wp:extent cx="1638300" cy="971550"/>
                <wp:effectExtent l="0" t="0" r="19050" b="19050"/>
                <wp:wrapSquare wrapText="bothSides"/>
                <wp:docPr id="90" name="Text Box 90"/>
                <wp:cNvGraphicFramePr/>
                <a:graphic xmlns:a="http://schemas.openxmlformats.org/drawingml/2006/main">
                  <a:graphicData uri="http://schemas.microsoft.com/office/word/2010/wordprocessingShape">
                    <wps:wsp>
                      <wps:cNvSpPr txBox="1"/>
                      <wps:spPr>
                        <a:xfrm>
                          <a:off x="0" y="0"/>
                          <a:ext cx="1638300" cy="971550"/>
                        </a:xfrm>
                        <a:prstGeom prst="rect">
                          <a:avLst/>
                        </a:prstGeom>
                        <a:solidFill>
                          <a:schemeClr val="lt1"/>
                        </a:solidFill>
                        <a:ln w="6350">
                          <a:solidFill>
                            <a:prstClr val="black"/>
                          </a:solidFill>
                        </a:ln>
                      </wps:spPr>
                      <wps:txbx>
                        <w:txbxContent>
                          <w:p w14:paraId="5D5B60F2" w14:textId="77777777" w:rsidR="001206E5" w:rsidRPr="0058492C" w:rsidRDefault="001206E5" w:rsidP="00567B7A">
                            <w:pPr>
                              <w:spacing w:before="40" w:after="40"/>
                              <w:rPr>
                                <w:rFonts w:asciiTheme="majorHAnsi" w:hAnsiTheme="majorHAnsi" w:cstheme="majorHAnsi"/>
                                <w:b/>
                                <w:sz w:val="20"/>
                                <w:szCs w:val="20"/>
                              </w:rPr>
                            </w:pPr>
                            <w:r w:rsidRPr="0058492C">
                              <w:rPr>
                                <w:rFonts w:asciiTheme="majorHAnsi" w:hAnsiTheme="majorHAnsi" w:cstheme="majorHAnsi"/>
                                <w:b/>
                                <w:sz w:val="20"/>
                                <w:szCs w:val="20"/>
                              </w:rPr>
                              <w:t xml:space="preserve">AO: </w:t>
                            </w:r>
                            <w:r>
                              <w:rPr>
                                <w:rFonts w:asciiTheme="majorHAnsi" w:hAnsiTheme="majorHAnsi" w:cstheme="majorHAnsi"/>
                                <w:sz w:val="20"/>
                                <w:szCs w:val="20"/>
                              </w:rPr>
                              <w:t>Jeroen Weimar, CEO, Office of the CEO</w:t>
                            </w:r>
                          </w:p>
                          <w:p w14:paraId="15A30A7E" w14:textId="57D31053" w:rsidR="001206E5" w:rsidRPr="0058492C" w:rsidRDefault="001206E5" w:rsidP="00567B7A">
                            <w:pPr>
                              <w:spacing w:before="40" w:after="40"/>
                              <w:rPr>
                                <w:rFonts w:asciiTheme="majorHAnsi" w:hAnsiTheme="majorHAnsi" w:cstheme="majorHAnsi"/>
                                <w:sz w:val="20"/>
                                <w:szCs w:val="20"/>
                              </w:rPr>
                            </w:pPr>
                            <w:r w:rsidRPr="0058492C">
                              <w:rPr>
                                <w:rFonts w:asciiTheme="majorHAnsi" w:hAnsiTheme="majorHAnsi" w:cstheme="majorHAnsi"/>
                                <w:b/>
                                <w:sz w:val="20"/>
                                <w:szCs w:val="20"/>
                              </w:rPr>
                              <w:t>CPO</w:t>
                            </w:r>
                            <w:r w:rsidRPr="006E4BB5">
                              <w:rPr>
                                <w:rFonts w:asciiTheme="majorHAnsi" w:hAnsiTheme="majorHAnsi" w:cstheme="majorHAnsi"/>
                                <w:b/>
                                <w:sz w:val="20"/>
                                <w:szCs w:val="20"/>
                              </w:rPr>
                              <w:t xml:space="preserve"> </w:t>
                            </w:r>
                            <w:r>
                              <w:rPr>
                                <w:rFonts w:asciiTheme="majorHAnsi" w:hAnsiTheme="majorHAnsi" w:cstheme="majorHAnsi"/>
                                <w:b/>
                                <w:sz w:val="20"/>
                                <w:szCs w:val="20"/>
                              </w:rPr>
                              <w:t xml:space="preserve">and </w:t>
                            </w:r>
                            <w:r w:rsidRPr="0058492C">
                              <w:rPr>
                                <w:rFonts w:asciiTheme="majorHAnsi" w:hAnsiTheme="majorHAnsi" w:cstheme="majorHAnsi"/>
                                <w:b/>
                                <w:sz w:val="20"/>
                                <w:szCs w:val="20"/>
                              </w:rPr>
                              <w:t>IPU Chair</w:t>
                            </w:r>
                            <w:r w:rsidRPr="0058492C">
                              <w:rPr>
                                <w:rFonts w:asciiTheme="majorHAnsi" w:hAnsiTheme="majorHAnsi" w:cstheme="majorHAnsi"/>
                                <w:sz w:val="20"/>
                                <w:szCs w:val="20"/>
                              </w:rPr>
                              <w:t>: Ken Tuke, CPO, Corporate Services</w:t>
                            </w:r>
                          </w:p>
                          <w:p w14:paraId="2AD650CD" w14:textId="03F8B8C0" w:rsidR="001206E5" w:rsidRPr="000470C8" w:rsidRDefault="001206E5" w:rsidP="00567B7A">
                            <w:pPr>
                              <w:spacing w:before="40" w:after="40"/>
                              <w:rPr>
                                <w:rFonts w:asciiTheme="majorHAnsi" w:hAnsiTheme="majorHAnsi" w:cstheme="majorHAnsi"/>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0AA8E4" id="Text Box 90" o:spid="_x0000_s1084" type="#_x0000_t202" style="position:absolute;left:0;text-align:left;margin-left:343.05pt;margin-top:105.3pt;width:129pt;height:76.5pt;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" fillcolor="white [3201]" strokeweight=".5pt">
                <v:textbox>
                  <w:txbxContent>
                    <w:p w14:paraId="5D5B60F2" w14:textId="77777777" w:rsidR="001206E5" w:rsidRPr="0058492C" w:rsidRDefault="001206E5" w:rsidP="00567B7A">
                      <w:pPr>
                        <w:spacing w:before="40" w:after="40"/>
                        <w:rPr>
                          <w:rFonts w:asciiTheme="majorHAnsi" w:hAnsiTheme="majorHAnsi" w:cstheme="majorHAnsi"/>
                          <w:b/>
                          <w:sz w:val="20"/>
                          <w:szCs w:val="20"/>
                        </w:rPr>
                      </w:pPr>
                      <w:r w:rsidRPr="0058492C">
                        <w:rPr>
                          <w:rFonts w:asciiTheme="majorHAnsi" w:hAnsiTheme="majorHAnsi" w:cstheme="majorHAnsi"/>
                          <w:b/>
                          <w:sz w:val="20"/>
                          <w:szCs w:val="20"/>
                        </w:rPr>
                        <w:t xml:space="preserve">AO: </w:t>
                      </w:r>
                      <w:r>
                        <w:rPr>
                          <w:rFonts w:asciiTheme="majorHAnsi" w:hAnsiTheme="majorHAnsi" w:cstheme="majorHAnsi"/>
                          <w:sz w:val="20"/>
                          <w:szCs w:val="20"/>
                        </w:rPr>
                        <w:t>Jeroen Weimar, CEO, Office of the CEO</w:t>
                      </w:r>
                    </w:p>
                    <w:p w14:paraId="15A30A7E" w14:textId="57D31053" w:rsidR="001206E5" w:rsidRPr="0058492C" w:rsidRDefault="001206E5" w:rsidP="00567B7A">
                      <w:pPr>
                        <w:spacing w:before="40" w:after="40"/>
                        <w:rPr>
                          <w:rFonts w:asciiTheme="majorHAnsi" w:hAnsiTheme="majorHAnsi" w:cstheme="majorHAnsi"/>
                          <w:sz w:val="20"/>
                          <w:szCs w:val="20"/>
                        </w:rPr>
                      </w:pPr>
                      <w:r w:rsidRPr="0058492C">
                        <w:rPr>
                          <w:rFonts w:asciiTheme="majorHAnsi" w:hAnsiTheme="majorHAnsi" w:cstheme="majorHAnsi"/>
                          <w:b/>
                          <w:sz w:val="20"/>
                          <w:szCs w:val="20"/>
                        </w:rPr>
                        <w:t>CPO</w:t>
                      </w:r>
                      <w:r w:rsidRPr="006E4BB5">
                        <w:rPr>
                          <w:rFonts w:asciiTheme="majorHAnsi" w:hAnsiTheme="majorHAnsi" w:cstheme="majorHAnsi"/>
                          <w:b/>
                          <w:sz w:val="20"/>
                          <w:szCs w:val="20"/>
                        </w:rPr>
                        <w:t xml:space="preserve"> </w:t>
                      </w:r>
                      <w:r>
                        <w:rPr>
                          <w:rFonts w:asciiTheme="majorHAnsi" w:hAnsiTheme="majorHAnsi" w:cstheme="majorHAnsi"/>
                          <w:b/>
                          <w:sz w:val="20"/>
                          <w:szCs w:val="20"/>
                        </w:rPr>
                        <w:t xml:space="preserve">and </w:t>
                      </w:r>
                      <w:r w:rsidRPr="0058492C">
                        <w:rPr>
                          <w:rFonts w:asciiTheme="majorHAnsi" w:hAnsiTheme="majorHAnsi" w:cstheme="majorHAnsi"/>
                          <w:b/>
                          <w:sz w:val="20"/>
                          <w:szCs w:val="20"/>
                        </w:rPr>
                        <w:t>IPU Chair</w:t>
                      </w:r>
                      <w:r w:rsidRPr="0058492C">
                        <w:rPr>
                          <w:rFonts w:asciiTheme="majorHAnsi" w:hAnsiTheme="majorHAnsi" w:cstheme="majorHAnsi"/>
                          <w:sz w:val="20"/>
                          <w:szCs w:val="20"/>
                        </w:rPr>
                        <w:t>: Ken Tuke, CPO, Corporate Services</w:t>
                      </w:r>
                    </w:p>
                    <w:p w14:paraId="2AD650CD" w14:textId="03F8B8C0" w:rsidR="001206E5" w:rsidRPr="000470C8" w:rsidRDefault="001206E5" w:rsidP="00567B7A">
                      <w:pPr>
                        <w:spacing w:before="40" w:after="40"/>
                        <w:rPr>
                          <w:rFonts w:asciiTheme="majorHAnsi" w:hAnsiTheme="majorHAnsi" w:cstheme="majorHAnsi"/>
                          <w:sz w:val="20"/>
                          <w:szCs w:val="20"/>
                        </w:rPr>
                      </w:pPr>
                    </w:p>
                  </w:txbxContent>
                </v:textbox>
                <w10:wrap type="square" anchorx="margin" anchory="margin"/>
              </v:shape>
            </w:pict>
          </mc:Fallback>
        </mc:AlternateContent>
      </w:r>
      <w:r>
        <w:t>PTV</w:t>
      </w:r>
      <w:r w:rsidRPr="001144CE">
        <w:t xml:space="preserve"> work</w:t>
      </w:r>
      <w:r>
        <w:t>s</w:t>
      </w:r>
      <w:r w:rsidRPr="001144CE">
        <w:t xml:space="preserve"> together with </w:t>
      </w:r>
      <w:r>
        <w:t xml:space="preserve">its </w:t>
      </w:r>
      <w:r w:rsidRPr="001144CE">
        <w:t>partners to deliver a simpler, more coordinated transport system for Victoria. PTV</w:t>
      </w:r>
      <w:r>
        <w:t xml:space="preserve">’s </w:t>
      </w:r>
      <w:r w:rsidRPr="001144CE">
        <w:t>vision is to deliver a safe and inclusive public transport network that all Victorians choose to use</w:t>
      </w:r>
      <w:r>
        <w:t>.</w:t>
      </w:r>
    </w:p>
    <w:p w14:paraId="7086EE13" w14:textId="77777777" w:rsidR="00567B7A" w:rsidRDefault="00567B7A" w:rsidP="00567B7A">
      <w:pPr>
        <w:pStyle w:val="Heading3NoNum"/>
      </w:pPr>
      <w:r w:rsidRPr="00CD6245">
        <w:t>Procurement profile</w:t>
      </w:r>
    </w:p>
    <w:p w14:paraId="03684C56" w14:textId="77777777" w:rsidR="00567B7A" w:rsidRDefault="00567B7A" w:rsidP="00567B7A">
      <w:pPr>
        <w:pStyle w:val="Normal1"/>
      </w:pPr>
      <w:r w:rsidRPr="00D16178">
        <w:t>PTV has influence over a range of different procurement activities including corporate, facilities, IT and</w:t>
      </w:r>
      <w:r>
        <w:t xml:space="preserve"> </w:t>
      </w:r>
      <w:r w:rsidRPr="00D16178">
        <w:t>professional servi</w:t>
      </w:r>
      <w:r>
        <w:t>ces, franchise and c</w:t>
      </w:r>
      <w:r w:rsidRPr="00D16178">
        <w:t>onstruction expenditure.</w:t>
      </w:r>
    </w:p>
    <w:p w14:paraId="5345356A" w14:textId="77777777" w:rsidR="00567B7A" w:rsidRDefault="00567B7A" w:rsidP="00567B7A">
      <w:pPr>
        <w:pStyle w:val="Normal1"/>
      </w:pPr>
      <w:r>
        <w:t>PTV’s procurement structure is covered by legislation, governance forums and ministerial directions as follows:</w:t>
      </w:r>
    </w:p>
    <w:p w14:paraId="211F09DD" w14:textId="0C71C797" w:rsidR="00567B7A" w:rsidRDefault="00567B7A" w:rsidP="00567B7A">
      <w:pPr>
        <w:pStyle w:val="Bullet1"/>
      </w:pPr>
      <w:r>
        <w:t xml:space="preserve">Corporate, facilities, IT and professional services expenditure, including engaging professional services for construction-related activities, come under the </w:t>
      </w:r>
      <w:r w:rsidR="00A10F29" w:rsidRPr="00DC3598">
        <w:rPr>
          <w:i/>
        </w:rPr>
        <w:t>Financial Management Act 1994</w:t>
      </w:r>
      <w:r>
        <w:t xml:space="preserve"> and VGPB governance.</w:t>
      </w:r>
    </w:p>
    <w:p w14:paraId="3ECA1B68" w14:textId="5ACF77AE" w:rsidR="00567B7A" w:rsidRDefault="00567B7A" w:rsidP="00567B7A">
      <w:pPr>
        <w:pStyle w:val="Bullet1"/>
      </w:pPr>
      <w:r>
        <w:t>Franchise contracts are governed by DTF’s High Value High Risk Investment Framework process for which PTV has developed a bespoke investment management lifecycle process to ensure governance of projects delivered by franchisees.</w:t>
      </w:r>
    </w:p>
    <w:p w14:paraId="6A8A407E" w14:textId="77777777" w:rsidR="00567B7A" w:rsidRDefault="00567B7A" w:rsidP="00567B7A">
      <w:pPr>
        <w:pStyle w:val="Bullet1"/>
      </w:pPr>
      <w:r>
        <w:t xml:space="preserve">Construction expenditure is subject to prescribed principles and procedures under Ministerial Directions 1 and 2 under Part 4 of the </w:t>
      </w:r>
      <w:r w:rsidRPr="00D37213">
        <w:rPr>
          <w:rStyle w:val="st"/>
          <w:i/>
        </w:rPr>
        <w:t>Project Development and Construction Management Act 1994</w:t>
      </w:r>
      <w:r>
        <w:t>.</w:t>
      </w:r>
    </w:p>
    <w:p w14:paraId="54D90833" w14:textId="642F4678" w:rsidR="00567B7A" w:rsidRDefault="00567B7A" w:rsidP="00567B7A">
      <w:pPr>
        <w:pStyle w:val="Normal1"/>
      </w:pPr>
      <w:r>
        <w:t>PTV has a procurement framework with three stacks of expenditure to provide governance and procurement oversight for the above expenditure profiles.</w:t>
      </w:r>
    </w:p>
    <w:p w14:paraId="251C71FB" w14:textId="4854773A" w:rsidR="00567B7A" w:rsidRPr="007A584B" w:rsidRDefault="00567B7A" w:rsidP="00567B7A">
      <w:pPr>
        <w:pStyle w:val="Heading3NoNum"/>
      </w:pPr>
      <w:r w:rsidRPr="007A584B">
        <w:t>Compliance with VGPB policies</w:t>
      </w:r>
      <w:r w:rsidR="006A5451">
        <w:t xml:space="preserve"> </w:t>
      </w:r>
      <w:r w:rsidR="006A5451" w:rsidRPr="007A584B">
        <w:t>and related activities</w:t>
      </w:r>
    </w:p>
    <w:p w14:paraId="4F4D81C6" w14:textId="6786CA0C" w:rsidR="00567B7A" w:rsidRDefault="00567B7A" w:rsidP="00567B7A">
      <w:pPr>
        <w:pStyle w:val="Normal1"/>
        <w:rPr>
          <w:lang w:eastAsia="en-US"/>
        </w:rPr>
      </w:pPr>
      <w:r>
        <w:rPr>
          <w:lang w:eastAsia="en-US"/>
        </w:rPr>
        <w:fldChar w:fldCharType="begin"/>
      </w:r>
      <w:r>
        <w:rPr>
          <w:lang w:eastAsia="en-US"/>
        </w:rPr>
        <w:instrText xml:space="preserve"> REF _Ref488698670 \h </w:instrText>
      </w:r>
      <w:r>
        <w:rPr>
          <w:lang w:eastAsia="en-US"/>
        </w:rPr>
      </w:r>
      <w:r>
        <w:rPr>
          <w:lang w:eastAsia="en-US"/>
        </w:rPr>
        <w:fldChar w:fldCharType="separate"/>
      </w:r>
      <w:r w:rsidR="00A07703" w:rsidRPr="007A584B">
        <w:t xml:space="preserve">Table </w:t>
      </w:r>
      <w:r w:rsidR="00A07703">
        <w:rPr>
          <w:noProof/>
        </w:rPr>
        <w:t>40</w:t>
      </w:r>
      <w:r>
        <w:rPr>
          <w:lang w:eastAsia="en-US"/>
        </w:rPr>
        <w:fldChar w:fldCharType="end"/>
      </w:r>
      <w:r>
        <w:rPr>
          <w:lang w:eastAsia="en-US"/>
        </w:rPr>
        <w:t xml:space="preserve"> lists PTV’s activities to ensure and improve compliance with VGPB supply policies. </w:t>
      </w:r>
      <w:r w:rsidRPr="00212617">
        <w:rPr>
          <w:lang w:eastAsia="en-US"/>
        </w:rPr>
        <w:t xml:space="preserve">Compliance activities are </w:t>
      </w:r>
      <w:r>
        <w:rPr>
          <w:lang w:eastAsia="en-US"/>
        </w:rPr>
        <w:t xml:space="preserve">grouped against VGPB supply policies, </w:t>
      </w:r>
      <w:r w:rsidRPr="00212617">
        <w:rPr>
          <w:lang w:eastAsia="en-US"/>
        </w:rPr>
        <w:t>though activities often overlap with multiple policies.</w:t>
      </w:r>
    </w:p>
    <w:p w14:paraId="6B786FBB" w14:textId="2F7476CB" w:rsidR="00567B7A" w:rsidRDefault="00567B7A" w:rsidP="00567B7A">
      <w:pPr>
        <w:pStyle w:val="Caption"/>
      </w:pPr>
      <w:bookmarkStart w:id="219" w:name="_Ref488698670"/>
      <w:bookmarkStart w:id="220" w:name="_Toc503949272"/>
      <w:bookmarkStart w:id="221" w:name="_Toc524354033"/>
      <w:r w:rsidRPr="007A584B">
        <w:t xml:space="preserve">Table </w:t>
      </w:r>
      <w:r>
        <w:rPr>
          <w:noProof/>
        </w:rPr>
        <w:fldChar w:fldCharType="begin"/>
      </w:r>
      <w:r>
        <w:rPr>
          <w:noProof/>
        </w:rPr>
        <w:instrText xml:space="preserve"> SEQ Table \* ARABIC </w:instrText>
      </w:r>
      <w:r>
        <w:rPr>
          <w:noProof/>
        </w:rPr>
        <w:fldChar w:fldCharType="separate"/>
      </w:r>
      <w:r w:rsidR="00A07703">
        <w:rPr>
          <w:noProof/>
        </w:rPr>
        <w:t>40</w:t>
      </w:r>
      <w:r>
        <w:rPr>
          <w:noProof/>
        </w:rPr>
        <w:fldChar w:fldCharType="end"/>
      </w:r>
      <w:bookmarkEnd w:id="219"/>
      <w:r>
        <w:t xml:space="preserve">: PTV’s </w:t>
      </w:r>
      <w:r w:rsidRPr="007A584B">
        <w:t xml:space="preserve">compliance </w:t>
      </w:r>
      <w:r>
        <w:t>activities in 2017–18</w:t>
      </w:r>
      <w:bookmarkEnd w:id="220"/>
      <w:bookmarkEnd w:id="221"/>
    </w:p>
    <w:tbl>
      <w:tblPr>
        <w:tblStyle w:val="ListTable31"/>
        <w:tblW w:w="9071" w:type="dxa"/>
        <w:tblInd w:w="704" w:type="dxa"/>
        <w:tblLook w:val="04A0" w:firstRow="1" w:lastRow="0" w:firstColumn="1" w:lastColumn="0" w:noHBand="0" w:noVBand="1"/>
      </w:tblPr>
      <w:tblGrid>
        <w:gridCol w:w="2126"/>
        <w:gridCol w:w="6945"/>
      </w:tblGrid>
      <w:tr w:rsidR="00567B7A" w14:paraId="5BA52465" w14:textId="77777777" w:rsidTr="006B039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126" w:type="dxa"/>
          </w:tcPr>
          <w:p w14:paraId="06633ADE" w14:textId="77777777" w:rsidR="00567B7A" w:rsidRDefault="00567B7A" w:rsidP="0025012A">
            <w:pPr>
              <w:pStyle w:val="TableText"/>
            </w:pPr>
            <w:bookmarkStart w:id="222" w:name="_Hlk521142147"/>
            <w:r>
              <w:t>VGPB policy</w:t>
            </w:r>
          </w:p>
        </w:tc>
        <w:tc>
          <w:tcPr>
            <w:tcW w:w="6945" w:type="dxa"/>
          </w:tcPr>
          <w:p w14:paraId="27D619B6" w14:textId="77777777" w:rsidR="00567B7A" w:rsidRDefault="00567B7A" w:rsidP="0025012A">
            <w:pPr>
              <w:pStyle w:val="TableText"/>
              <w:cnfStyle w:val="100000000000" w:firstRow="1" w:lastRow="0" w:firstColumn="0" w:lastColumn="0" w:oddVBand="0" w:evenVBand="0" w:oddHBand="0" w:evenHBand="0" w:firstRowFirstColumn="0" w:firstRowLastColumn="0" w:lastRowFirstColumn="0" w:lastRowLastColumn="0"/>
            </w:pPr>
            <w:r>
              <w:t>Activities</w:t>
            </w:r>
          </w:p>
        </w:tc>
      </w:tr>
      <w:tr w:rsidR="00567B7A" w14:paraId="586121C7" w14:textId="77777777" w:rsidTr="006B03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6" w:type="dxa"/>
          </w:tcPr>
          <w:p w14:paraId="69722941" w14:textId="77777777" w:rsidR="00567B7A" w:rsidRPr="003058E0" w:rsidRDefault="00567B7A" w:rsidP="00567B7A">
            <w:pPr>
              <w:pStyle w:val="TableText"/>
            </w:pPr>
            <w:r w:rsidRPr="003058E0">
              <w:t>Governance</w:t>
            </w:r>
          </w:p>
        </w:tc>
        <w:tc>
          <w:tcPr>
            <w:tcW w:w="6945" w:type="dxa"/>
          </w:tcPr>
          <w:p w14:paraId="059060AC" w14:textId="20957394" w:rsidR="00637074" w:rsidRPr="00F954CD" w:rsidRDefault="00637074" w:rsidP="002A7E78">
            <w:pPr>
              <w:pStyle w:val="TableBullet"/>
              <w:numPr>
                <w:ilvl w:val="0"/>
                <w:numId w:val="0"/>
              </w:numPr>
              <w:ind w:left="227"/>
              <w:cnfStyle w:val="000000100000" w:firstRow="0" w:lastRow="0" w:firstColumn="0" w:lastColumn="0" w:oddVBand="0" w:evenVBand="0" w:oddHBand="1" w:evenHBand="0" w:firstRowFirstColumn="0" w:firstRowLastColumn="0" w:lastRowFirstColumn="0" w:lastRowLastColumn="0"/>
            </w:pPr>
            <w:r w:rsidRPr="00F954CD">
              <w:rPr>
                <w:rFonts w:asciiTheme="majorHAnsi" w:hAnsiTheme="majorHAnsi" w:cstheme="majorHAnsi"/>
              </w:rPr>
              <w:t>T</w:t>
            </w:r>
            <w:r w:rsidRPr="00822FA3">
              <w:t>he PTV Procurement Branch is performing the IPU function</w:t>
            </w:r>
            <w:r>
              <w:t>.</w:t>
            </w:r>
            <w:r w:rsidR="00F954CD">
              <w:t xml:space="preserve"> </w:t>
            </w:r>
            <w:r w:rsidRPr="00F954CD">
              <w:t xml:space="preserve">To strengthen governance, PTV established the </w:t>
            </w:r>
            <w:r w:rsidR="00E40530" w:rsidRPr="00F954CD">
              <w:t>t</w:t>
            </w:r>
            <w:r w:rsidRPr="00F954CD">
              <w:t xml:space="preserve">erms of </w:t>
            </w:r>
            <w:r w:rsidR="00E40530" w:rsidRPr="00F954CD">
              <w:t>r</w:t>
            </w:r>
            <w:r w:rsidRPr="007847B9">
              <w:t xml:space="preserve">eference and appointed </w:t>
            </w:r>
            <w:r w:rsidR="00E40530" w:rsidRPr="009F5361">
              <w:rPr>
                <w:rFonts w:eastAsia="Times New Roman"/>
                <w:lang w:eastAsia="en-AU"/>
              </w:rPr>
              <w:t>Dean Tillotson</w:t>
            </w:r>
            <w:r w:rsidR="00E40530">
              <w:rPr>
                <w:rFonts w:eastAsia="Times New Roman"/>
                <w:lang w:eastAsia="en-AU"/>
              </w:rPr>
              <w:t>,</w:t>
            </w:r>
            <w:r w:rsidR="00E40530" w:rsidRPr="009F5361">
              <w:rPr>
                <w:rFonts w:eastAsia="Times New Roman"/>
                <w:lang w:eastAsia="en-AU"/>
              </w:rPr>
              <w:t xml:space="preserve"> Executive Director Corporate Services as</w:t>
            </w:r>
            <w:r w:rsidRPr="00F954CD">
              <w:t xml:space="preserve"> IPU Chair for the new Procurement Board.</w:t>
            </w:r>
          </w:p>
          <w:p w14:paraId="42C9312B" w14:textId="7B0B1D32" w:rsidR="00567B7A" w:rsidRPr="00822FA3" w:rsidRDefault="00A74D73" w:rsidP="00822FA3">
            <w:pPr>
              <w:pStyle w:val="TableBullet"/>
              <w:cnfStyle w:val="000000100000" w:firstRow="0" w:lastRow="0" w:firstColumn="0" w:lastColumn="0" w:oddVBand="0" w:evenVBand="0" w:oddHBand="1" w:evenHBand="0" w:firstRowFirstColumn="0" w:firstRowLastColumn="0" w:lastRowFirstColumn="0" w:lastRowLastColumn="0"/>
            </w:pPr>
            <w:r>
              <w:t>P</w:t>
            </w:r>
            <w:r w:rsidR="00567B7A" w:rsidRPr="00822FA3">
              <w:t xml:space="preserve">ledged to follow a three-year roadmap to align </w:t>
            </w:r>
            <w:r w:rsidR="00092526">
              <w:t>PTV’s</w:t>
            </w:r>
            <w:r w:rsidR="00567B7A" w:rsidRPr="00822FA3">
              <w:t xml:space="preserve"> procurement function with ISO 20400 Sustainable Procurement Standard. </w:t>
            </w:r>
            <w:r w:rsidR="0054602B">
              <w:t>PTV</w:t>
            </w:r>
            <w:r w:rsidR="00567B7A" w:rsidRPr="00822FA3">
              <w:t xml:space="preserve"> partnered with</w:t>
            </w:r>
            <w:r w:rsidR="008C05CD">
              <w:t xml:space="preserve"> Good Environmental Choice Australia (</w:t>
            </w:r>
            <w:r w:rsidR="008C05CD" w:rsidRPr="00D00C99">
              <w:t>GECA</w:t>
            </w:r>
            <w:r w:rsidR="008C05CD">
              <w:t>)</w:t>
            </w:r>
            <w:r w:rsidR="00567B7A" w:rsidRPr="00822FA3">
              <w:t>, a market leader in environmental certification, to help align with this Standard.</w:t>
            </w:r>
          </w:p>
          <w:p w14:paraId="3B7025A6" w14:textId="746C033E" w:rsidR="00567B7A" w:rsidRPr="00822FA3" w:rsidRDefault="00A74D73" w:rsidP="00822FA3">
            <w:pPr>
              <w:pStyle w:val="TableBullet"/>
              <w:cnfStyle w:val="000000100000" w:firstRow="0" w:lastRow="0" w:firstColumn="0" w:lastColumn="0" w:oddVBand="0" w:evenVBand="0" w:oddHBand="1" w:evenHBand="0" w:firstRowFirstColumn="0" w:firstRowLastColumn="0" w:lastRowFirstColumn="0" w:lastRowLastColumn="0"/>
            </w:pPr>
            <w:r>
              <w:t>D</w:t>
            </w:r>
            <w:r w:rsidR="00567B7A" w:rsidRPr="00822FA3">
              <w:t xml:space="preserve">eveloped a social procurement policy, strategy and implementation plan to support </w:t>
            </w:r>
            <w:r w:rsidR="00567B7A" w:rsidRPr="00822FA3">
              <w:rPr>
                <w:rFonts w:cs="Arial"/>
              </w:rPr>
              <w:t xml:space="preserve">a strategic whole-of-organisation approach to benefiting and supporting the Victorian community. </w:t>
            </w:r>
          </w:p>
        </w:tc>
      </w:tr>
      <w:tr w:rsidR="00567B7A" w14:paraId="2903D1FB" w14:textId="77777777" w:rsidTr="006B0393">
        <w:tc>
          <w:tcPr>
            <w:cnfStyle w:val="001000000000" w:firstRow="0" w:lastRow="0" w:firstColumn="1" w:lastColumn="0" w:oddVBand="0" w:evenVBand="0" w:oddHBand="0" w:evenHBand="0" w:firstRowFirstColumn="0" w:firstRowLastColumn="0" w:lastRowFirstColumn="0" w:lastRowLastColumn="0"/>
            <w:tcW w:w="2126" w:type="dxa"/>
          </w:tcPr>
          <w:p w14:paraId="2159AC48" w14:textId="77777777" w:rsidR="00567B7A" w:rsidRPr="003058E0" w:rsidRDefault="00567B7A" w:rsidP="00567B7A">
            <w:pPr>
              <w:pStyle w:val="TableText"/>
            </w:pPr>
            <w:r w:rsidRPr="003058E0">
              <w:t>Complexity and capability</w:t>
            </w:r>
          </w:p>
        </w:tc>
        <w:tc>
          <w:tcPr>
            <w:tcW w:w="6945" w:type="dxa"/>
          </w:tcPr>
          <w:p w14:paraId="08330998" w14:textId="0F48D6B8" w:rsidR="00567B7A" w:rsidRPr="00822FA3" w:rsidRDefault="00567B7A" w:rsidP="00822FA3">
            <w:pPr>
              <w:pStyle w:val="TableBullet"/>
              <w:cnfStyle w:val="000000000000" w:firstRow="0" w:lastRow="0" w:firstColumn="0" w:lastColumn="0" w:oddVBand="0" w:evenVBand="0" w:oddHBand="0" w:evenHBand="0" w:firstRowFirstColumn="0" w:firstRowLastColumn="0" w:lastRowFirstColumn="0" w:lastRowLastColumn="0"/>
            </w:pPr>
            <w:r w:rsidRPr="00822FA3">
              <w:t xml:space="preserve">In response to feedback from procurers that buying goods and services was difficult and time consuming, </w:t>
            </w:r>
            <w:r w:rsidR="003B7202">
              <w:t>PTV</w:t>
            </w:r>
            <w:r w:rsidRPr="00822FA3">
              <w:t xml:space="preserve"> developed simpler templates, streamlined processes and provided best practice example documentation.</w:t>
            </w:r>
          </w:p>
        </w:tc>
      </w:tr>
      <w:tr w:rsidR="00567B7A" w14:paraId="78328676" w14:textId="77777777" w:rsidTr="006B03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6" w:type="dxa"/>
          </w:tcPr>
          <w:p w14:paraId="129B41C9" w14:textId="77777777" w:rsidR="00567B7A" w:rsidRPr="003058E0" w:rsidRDefault="00567B7A" w:rsidP="00567B7A">
            <w:pPr>
              <w:pStyle w:val="TableText"/>
            </w:pPr>
            <w:r w:rsidRPr="003058E0">
              <w:t>Market analysis and review</w:t>
            </w:r>
          </w:p>
        </w:tc>
        <w:tc>
          <w:tcPr>
            <w:tcW w:w="6945" w:type="dxa"/>
          </w:tcPr>
          <w:p w14:paraId="693766F4" w14:textId="3EFB61DA" w:rsidR="00567B7A" w:rsidRPr="00822FA3" w:rsidRDefault="00A74D73" w:rsidP="00822FA3">
            <w:pPr>
              <w:pStyle w:val="TableBulle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Pr>
                <w:rFonts w:asciiTheme="majorHAnsi" w:hAnsiTheme="majorHAnsi" w:cstheme="majorHAnsi"/>
              </w:rPr>
              <w:t>I</w:t>
            </w:r>
            <w:r w:rsidR="00567B7A" w:rsidRPr="00822FA3">
              <w:rPr>
                <w:rFonts w:asciiTheme="majorHAnsi" w:hAnsiTheme="majorHAnsi" w:cstheme="majorHAnsi"/>
              </w:rPr>
              <w:t xml:space="preserve">n the recent safety and wellbeing </w:t>
            </w:r>
            <w:r w:rsidR="000B5F61">
              <w:rPr>
                <w:rFonts w:asciiTheme="majorHAnsi" w:hAnsiTheme="majorHAnsi" w:cstheme="majorHAnsi"/>
              </w:rPr>
              <w:t>tender</w:t>
            </w:r>
            <w:r w:rsidR="00567B7A" w:rsidRPr="00822FA3">
              <w:rPr>
                <w:rFonts w:asciiTheme="majorHAnsi" w:hAnsiTheme="majorHAnsi" w:cstheme="majorHAnsi"/>
              </w:rPr>
              <w:t>, the evaluation criteria assessed how tenderers:</w:t>
            </w:r>
          </w:p>
          <w:p w14:paraId="0D757B8E" w14:textId="012B5777" w:rsidR="00567B7A" w:rsidRPr="00822FA3" w:rsidRDefault="00567B7A" w:rsidP="00822FA3">
            <w:pPr>
              <w:pStyle w:val="TableBullet"/>
              <w:numPr>
                <w:ilvl w:val="1"/>
                <w:numId w:val="4"/>
              </w:num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822FA3">
              <w:rPr>
                <w:rFonts w:asciiTheme="majorHAnsi" w:hAnsiTheme="majorHAnsi" w:cstheme="majorHAnsi"/>
              </w:rPr>
              <w:t xml:space="preserve">treat staff responsibly and ethically through good labour policies and practices, such as </w:t>
            </w:r>
            <w:r w:rsidR="0072562D">
              <w:rPr>
                <w:rFonts w:asciiTheme="majorHAnsi" w:hAnsiTheme="majorHAnsi" w:cstheme="majorHAnsi"/>
              </w:rPr>
              <w:t>occupational health and safety</w:t>
            </w:r>
            <w:r w:rsidRPr="00822FA3">
              <w:rPr>
                <w:rFonts w:asciiTheme="majorHAnsi" w:hAnsiTheme="majorHAnsi" w:cstheme="majorHAnsi"/>
              </w:rPr>
              <w:t xml:space="preserve"> considerations; and</w:t>
            </w:r>
          </w:p>
          <w:p w14:paraId="6F11B30D" w14:textId="7C215E2D" w:rsidR="00567B7A" w:rsidRPr="00822FA3" w:rsidRDefault="00567B7A" w:rsidP="00822FA3">
            <w:pPr>
              <w:pStyle w:val="TableBullet"/>
              <w:numPr>
                <w:ilvl w:val="1"/>
                <w:numId w:val="4"/>
              </w:num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822FA3">
              <w:rPr>
                <w:rFonts w:asciiTheme="majorHAnsi" w:hAnsiTheme="majorHAnsi" w:cstheme="majorHAnsi"/>
              </w:rPr>
              <w:lastRenderedPageBreak/>
              <w:t>committed to facilitate employing disadvantaged community members through government procurement. Tenderers were asked to address or show their commitment to undertaking work to create social benefits for local communities and disadvantaged community members.</w:t>
            </w:r>
          </w:p>
          <w:p w14:paraId="150EE9F8" w14:textId="4C55B4AB" w:rsidR="00567B7A" w:rsidRPr="00822FA3" w:rsidRDefault="00A74D73" w:rsidP="00822FA3">
            <w:pPr>
              <w:pStyle w:val="TableBullet"/>
              <w:cnfStyle w:val="000000100000" w:firstRow="0" w:lastRow="0" w:firstColumn="0" w:lastColumn="0" w:oddVBand="0" w:evenVBand="0" w:oddHBand="1" w:evenHBand="0" w:firstRowFirstColumn="0" w:firstRowLastColumn="0" w:lastRowFirstColumn="0" w:lastRowLastColumn="0"/>
            </w:pPr>
            <w:r>
              <w:rPr>
                <w:rFonts w:asciiTheme="majorHAnsi" w:hAnsiTheme="majorHAnsi" w:cstheme="majorHAnsi"/>
              </w:rPr>
              <w:t>F</w:t>
            </w:r>
            <w:r w:rsidR="00567B7A" w:rsidRPr="00822FA3">
              <w:rPr>
                <w:rFonts w:asciiTheme="majorHAnsi" w:hAnsiTheme="majorHAnsi" w:cstheme="majorHAnsi"/>
              </w:rPr>
              <w:t>ormalis</w:t>
            </w:r>
            <w:r w:rsidR="001949FA" w:rsidRPr="00822FA3">
              <w:rPr>
                <w:rFonts w:asciiTheme="majorHAnsi" w:hAnsiTheme="majorHAnsi" w:cstheme="majorHAnsi"/>
              </w:rPr>
              <w:t>e</w:t>
            </w:r>
            <w:r w:rsidR="00F954CD">
              <w:rPr>
                <w:rFonts w:asciiTheme="majorHAnsi" w:hAnsiTheme="majorHAnsi" w:cstheme="majorHAnsi"/>
              </w:rPr>
              <w:t>d</w:t>
            </w:r>
            <w:r w:rsidR="00567B7A" w:rsidRPr="00822FA3">
              <w:rPr>
                <w:rFonts w:asciiTheme="majorHAnsi" w:hAnsiTheme="majorHAnsi" w:cstheme="majorHAnsi"/>
              </w:rPr>
              <w:t xml:space="preserve"> </w:t>
            </w:r>
            <w:r w:rsidR="00092526">
              <w:rPr>
                <w:rFonts w:asciiTheme="majorHAnsi" w:hAnsiTheme="majorHAnsi" w:cstheme="majorHAnsi"/>
              </w:rPr>
              <w:t>PTV’s</w:t>
            </w:r>
            <w:r w:rsidR="00092526" w:rsidRPr="00822FA3">
              <w:rPr>
                <w:rFonts w:asciiTheme="majorHAnsi" w:hAnsiTheme="majorHAnsi" w:cstheme="majorHAnsi"/>
              </w:rPr>
              <w:t xml:space="preserve"> </w:t>
            </w:r>
            <w:r w:rsidR="000C3B64" w:rsidRPr="00822FA3">
              <w:rPr>
                <w:rFonts w:asciiTheme="majorHAnsi" w:hAnsiTheme="majorHAnsi" w:cstheme="majorHAnsi"/>
              </w:rPr>
              <w:t>s</w:t>
            </w:r>
            <w:r w:rsidR="00567B7A" w:rsidRPr="00822FA3">
              <w:rPr>
                <w:rFonts w:asciiTheme="majorHAnsi" w:hAnsiTheme="majorHAnsi" w:cstheme="majorHAnsi"/>
              </w:rPr>
              <w:t xml:space="preserve">ocial procurement policy in 2018. </w:t>
            </w:r>
          </w:p>
        </w:tc>
      </w:tr>
      <w:tr w:rsidR="00567B7A" w14:paraId="4707E2BD" w14:textId="77777777" w:rsidTr="006B0393">
        <w:tc>
          <w:tcPr>
            <w:cnfStyle w:val="001000000000" w:firstRow="0" w:lastRow="0" w:firstColumn="1" w:lastColumn="0" w:oddVBand="0" w:evenVBand="0" w:oddHBand="0" w:evenHBand="0" w:firstRowFirstColumn="0" w:firstRowLastColumn="0" w:lastRowFirstColumn="0" w:lastRowLastColumn="0"/>
            <w:tcW w:w="2126" w:type="dxa"/>
          </w:tcPr>
          <w:p w14:paraId="455D65FC" w14:textId="77777777" w:rsidR="00567B7A" w:rsidRPr="003058E0" w:rsidRDefault="00567B7A" w:rsidP="00567B7A">
            <w:pPr>
              <w:pStyle w:val="TableText"/>
            </w:pPr>
            <w:r w:rsidRPr="003058E0">
              <w:lastRenderedPageBreak/>
              <w:t>Market approach</w:t>
            </w:r>
          </w:p>
        </w:tc>
        <w:tc>
          <w:tcPr>
            <w:tcW w:w="6945" w:type="dxa"/>
          </w:tcPr>
          <w:p w14:paraId="2B1E5DF9" w14:textId="02B33C82" w:rsidR="00567B7A" w:rsidRPr="00822FA3" w:rsidRDefault="00567B7A" w:rsidP="00822FA3">
            <w:pPr>
              <w:pStyle w:val="TableBullet"/>
              <w:cnfStyle w:val="000000000000" w:firstRow="0" w:lastRow="0" w:firstColumn="0" w:lastColumn="0" w:oddVBand="0" w:evenVBand="0" w:oddHBand="0" w:evenHBand="0" w:firstRowFirstColumn="0" w:firstRowLastColumn="0" w:lastRowFirstColumn="0" w:lastRowLastColumn="0"/>
            </w:pPr>
            <w:r w:rsidRPr="00822FA3">
              <w:t>A system implementation and roll-out pre-end of 2018 will see the majority of market approaches occur in a source-to-contract management system, improving visibility, compliance and process transparency for all stakeholders.</w:t>
            </w:r>
          </w:p>
        </w:tc>
      </w:tr>
      <w:tr w:rsidR="00567B7A" w14:paraId="2E2B1F46" w14:textId="77777777" w:rsidTr="006B03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6" w:type="dxa"/>
          </w:tcPr>
          <w:p w14:paraId="149238DD" w14:textId="77777777" w:rsidR="00567B7A" w:rsidRPr="003058E0" w:rsidRDefault="00567B7A" w:rsidP="00567B7A">
            <w:pPr>
              <w:pStyle w:val="TableText"/>
            </w:pPr>
            <w:r w:rsidRPr="003058E0">
              <w:t>Contract management and disclosure</w:t>
            </w:r>
          </w:p>
        </w:tc>
        <w:tc>
          <w:tcPr>
            <w:tcW w:w="6945" w:type="dxa"/>
          </w:tcPr>
          <w:p w14:paraId="489C45B5" w14:textId="3124FDC7" w:rsidR="00567B7A" w:rsidRPr="00822FA3" w:rsidRDefault="00A74D73" w:rsidP="00822FA3">
            <w:pPr>
              <w:pStyle w:val="TableBullet"/>
              <w:cnfStyle w:val="000000100000" w:firstRow="0" w:lastRow="0" w:firstColumn="0" w:lastColumn="0" w:oddVBand="0" w:evenVBand="0" w:oddHBand="1" w:evenHBand="0" w:firstRowFirstColumn="0" w:firstRowLastColumn="0" w:lastRowFirstColumn="0" w:lastRowLastColumn="0"/>
            </w:pPr>
            <w:r>
              <w:t>Began</w:t>
            </w:r>
            <w:r w:rsidR="00567B7A" w:rsidRPr="00822FA3">
              <w:t xml:space="preserve"> implementing a new contract management framework with improved processes for training contract manager</w:t>
            </w:r>
            <w:r w:rsidR="001949FA" w:rsidRPr="00822FA3">
              <w:t>s</w:t>
            </w:r>
            <w:r w:rsidR="00567B7A" w:rsidRPr="00822FA3">
              <w:t xml:space="preserve"> to be rolled out in late 2018. </w:t>
            </w:r>
          </w:p>
        </w:tc>
      </w:tr>
    </w:tbl>
    <w:bookmarkEnd w:id="222"/>
    <w:p w14:paraId="475B9732" w14:textId="4DF00BBE" w:rsidR="00567B7A" w:rsidRPr="00CD6245" w:rsidRDefault="00567B7A" w:rsidP="00567B7A">
      <w:pPr>
        <w:pStyle w:val="Heading3NoNum"/>
      </w:pPr>
      <w:r w:rsidRPr="00CD6245">
        <w:t>Performance</w:t>
      </w:r>
    </w:p>
    <w:p w14:paraId="46D9A888" w14:textId="4344702A" w:rsidR="00567B7A" w:rsidRPr="00CD6245" w:rsidRDefault="001949FA" w:rsidP="00567B7A">
      <w:pPr>
        <w:pStyle w:val="Normal1"/>
      </w:pPr>
      <w:r>
        <w:fldChar w:fldCharType="begin"/>
      </w:r>
      <w:r>
        <w:instrText xml:space="preserve"> REF _Ref521240323 \h </w:instrText>
      </w:r>
      <w:r>
        <w:fldChar w:fldCharType="separate"/>
      </w:r>
      <w:r w:rsidR="00A07703" w:rsidRPr="00CD6245">
        <w:t xml:space="preserve">Table </w:t>
      </w:r>
      <w:r w:rsidR="00A07703">
        <w:rPr>
          <w:noProof/>
        </w:rPr>
        <w:t>41</w:t>
      </w:r>
      <w:r>
        <w:fldChar w:fldCharType="end"/>
      </w:r>
      <w:r w:rsidR="00567B7A" w:rsidRPr="00CD6245">
        <w:t xml:space="preserve"> </w:t>
      </w:r>
      <w:r w:rsidR="00567B7A">
        <w:t>sets out PTV’s performance in 2017–18</w:t>
      </w:r>
      <w:r>
        <w:t xml:space="preserve">. PTV gained accreditation </w:t>
      </w:r>
      <w:r w:rsidR="00F954CD">
        <w:t xml:space="preserve">to the VGPB supply policy framework </w:t>
      </w:r>
      <w:r>
        <w:t>on 1 January 2017</w:t>
      </w:r>
      <w:r w:rsidR="00567B7A">
        <w:t xml:space="preserve">, </w:t>
      </w:r>
      <w:r>
        <w:t>so this is the first year of reporting performance measures.</w:t>
      </w:r>
    </w:p>
    <w:p w14:paraId="27234EA3" w14:textId="1F74722A" w:rsidR="00567B7A" w:rsidRDefault="00567B7A" w:rsidP="00567B7A">
      <w:pPr>
        <w:pStyle w:val="Caption"/>
      </w:pPr>
      <w:bookmarkStart w:id="223" w:name="_Ref521240323"/>
      <w:bookmarkStart w:id="224" w:name="_Toc503949273"/>
      <w:bookmarkStart w:id="225" w:name="_Toc524354034"/>
      <w:r w:rsidRPr="00CD6245">
        <w:t xml:space="preserve">Table </w:t>
      </w:r>
      <w:r>
        <w:rPr>
          <w:noProof/>
        </w:rPr>
        <w:fldChar w:fldCharType="begin"/>
      </w:r>
      <w:r>
        <w:rPr>
          <w:noProof/>
        </w:rPr>
        <w:instrText xml:space="preserve"> SEQ Table \* ARABIC </w:instrText>
      </w:r>
      <w:r>
        <w:rPr>
          <w:noProof/>
        </w:rPr>
        <w:fldChar w:fldCharType="separate"/>
      </w:r>
      <w:r w:rsidR="00A07703">
        <w:rPr>
          <w:noProof/>
        </w:rPr>
        <w:t>41</w:t>
      </w:r>
      <w:r>
        <w:rPr>
          <w:noProof/>
        </w:rPr>
        <w:fldChar w:fldCharType="end"/>
      </w:r>
      <w:bookmarkEnd w:id="223"/>
      <w:r w:rsidRPr="00CD6245">
        <w:t xml:space="preserve">: </w:t>
      </w:r>
      <w:r>
        <w:t>PTV</w:t>
      </w:r>
      <w:r w:rsidR="00381BB6">
        <w:t>’s</w:t>
      </w:r>
      <w:r w:rsidRPr="00CD6245">
        <w:t xml:space="preserve"> performance in </w:t>
      </w:r>
      <w:r>
        <w:t>2017–18</w:t>
      </w:r>
      <w:bookmarkEnd w:id="224"/>
      <w:bookmarkEnd w:id="225"/>
    </w:p>
    <w:tbl>
      <w:tblPr>
        <w:tblStyle w:val="ListTable31"/>
        <w:tblW w:w="9214" w:type="dxa"/>
        <w:tblInd w:w="846" w:type="dxa"/>
        <w:tblLayout w:type="fixed"/>
        <w:tblLook w:val="04A0" w:firstRow="1" w:lastRow="0" w:firstColumn="1" w:lastColumn="0" w:noHBand="0" w:noVBand="1"/>
      </w:tblPr>
      <w:tblGrid>
        <w:gridCol w:w="343"/>
        <w:gridCol w:w="2067"/>
        <w:gridCol w:w="610"/>
        <w:gridCol w:w="6194"/>
      </w:tblGrid>
      <w:tr w:rsidR="00567B7A" w14:paraId="230C6E39" w14:textId="77777777" w:rsidTr="00115146">
        <w:trPr>
          <w:cnfStyle w:val="100000000000" w:firstRow="1" w:lastRow="0" w:firstColumn="0" w:lastColumn="0" w:oddVBand="0" w:evenVBand="0" w:oddHBand="0" w:evenHBand="0" w:firstRowFirstColumn="0" w:firstRowLastColumn="0" w:lastRowFirstColumn="0" w:lastRowLastColumn="0"/>
          <w:trHeight w:val="1661"/>
        </w:trPr>
        <w:tc>
          <w:tcPr>
            <w:cnfStyle w:val="001000000100" w:firstRow="0" w:lastRow="0" w:firstColumn="1" w:lastColumn="0" w:oddVBand="0" w:evenVBand="0" w:oddHBand="0" w:evenHBand="0" w:firstRowFirstColumn="1" w:firstRowLastColumn="0" w:lastRowFirstColumn="0" w:lastRowLastColumn="0"/>
            <w:tcW w:w="2410" w:type="dxa"/>
            <w:gridSpan w:val="2"/>
            <w:vMerge w:val="restart"/>
            <w:vAlign w:val="bottom"/>
          </w:tcPr>
          <w:p w14:paraId="108C85E7" w14:textId="77777777" w:rsidR="00567B7A" w:rsidRPr="00CD6245" w:rsidRDefault="00567B7A" w:rsidP="00115146">
            <w:pPr>
              <w:pStyle w:val="TableText"/>
            </w:pPr>
            <w:r w:rsidRPr="00CD6245">
              <w:t>Performance measure</w:t>
            </w:r>
          </w:p>
        </w:tc>
        <w:tc>
          <w:tcPr>
            <w:tcW w:w="610" w:type="dxa"/>
            <w:textDirection w:val="btLr"/>
            <w:vAlign w:val="bottom"/>
          </w:tcPr>
          <w:p w14:paraId="79F9BBB7" w14:textId="77777777" w:rsidR="00567B7A" w:rsidRDefault="00567B7A" w:rsidP="00115146">
            <w:pPr>
              <w:pStyle w:val="TableText"/>
              <w:jc w:val="center"/>
              <w:cnfStyle w:val="100000000000" w:firstRow="1" w:lastRow="0" w:firstColumn="0" w:lastColumn="0" w:oddVBand="0" w:evenVBand="0" w:oddHBand="0" w:evenHBand="0" w:firstRowFirstColumn="0" w:firstRowLastColumn="0" w:lastRowFirstColumn="0" w:lastRowLastColumn="0"/>
            </w:pPr>
            <w:r>
              <w:t>Year 3: 2017–18</w:t>
            </w:r>
          </w:p>
        </w:tc>
        <w:tc>
          <w:tcPr>
            <w:tcW w:w="6194" w:type="dxa"/>
            <w:vMerge w:val="restart"/>
            <w:vAlign w:val="bottom"/>
          </w:tcPr>
          <w:p w14:paraId="7CA362A6" w14:textId="77777777" w:rsidR="00567B7A" w:rsidRDefault="00567B7A" w:rsidP="00115146">
            <w:pPr>
              <w:pStyle w:val="TableText"/>
              <w:cnfStyle w:val="100000000000" w:firstRow="1" w:lastRow="0" w:firstColumn="0" w:lastColumn="0" w:oddVBand="0" w:evenVBand="0" w:oddHBand="0" w:evenHBand="0" w:firstRowFirstColumn="0" w:firstRowLastColumn="0" w:lastRowFirstColumn="0" w:lastRowLastColumn="0"/>
            </w:pPr>
            <w:r>
              <w:t>Explanation</w:t>
            </w:r>
          </w:p>
        </w:tc>
      </w:tr>
      <w:tr w:rsidR="00567B7A" w14:paraId="4850F885" w14:textId="77777777" w:rsidTr="00115146">
        <w:trPr>
          <w:cnfStyle w:val="000000100000" w:firstRow="0" w:lastRow="0" w:firstColumn="0" w:lastColumn="0" w:oddVBand="0" w:evenVBand="0" w:oddHBand="1" w:evenHBand="0" w:firstRowFirstColumn="0" w:firstRowLastColumn="0" w:lastRowFirstColumn="0" w:lastRowLastColumn="0"/>
          <w:trHeight w:val="281"/>
        </w:trPr>
        <w:tc>
          <w:tcPr>
            <w:cnfStyle w:val="001000000000" w:firstRow="0" w:lastRow="0" w:firstColumn="1" w:lastColumn="0" w:oddVBand="0" w:evenVBand="0" w:oddHBand="0" w:evenHBand="0" w:firstRowFirstColumn="0" w:firstRowLastColumn="0" w:lastRowFirstColumn="0" w:lastRowLastColumn="0"/>
            <w:tcW w:w="2410" w:type="dxa"/>
            <w:gridSpan w:val="2"/>
            <w:vMerge/>
          </w:tcPr>
          <w:p w14:paraId="2EED342F" w14:textId="77777777" w:rsidR="00567B7A" w:rsidRPr="00CD6245" w:rsidRDefault="00567B7A" w:rsidP="00567B7A">
            <w:pPr>
              <w:pStyle w:val="TableHeader"/>
            </w:pPr>
          </w:p>
        </w:tc>
        <w:tc>
          <w:tcPr>
            <w:tcW w:w="610" w:type="dxa"/>
            <w:shd w:val="clear" w:color="auto" w:fill="000000" w:themeFill="text1"/>
            <w:vAlign w:val="center"/>
          </w:tcPr>
          <w:p w14:paraId="5CF7C0BF" w14:textId="77777777" w:rsidR="00567B7A" w:rsidRPr="00200BCC" w:rsidRDefault="00567B7A" w:rsidP="00115146">
            <w:pPr>
              <w:pStyle w:val="TableHeader"/>
              <w:jc w:val="right"/>
              <w:cnfStyle w:val="000000100000" w:firstRow="0" w:lastRow="0" w:firstColumn="0" w:lastColumn="0" w:oddVBand="0" w:evenVBand="0" w:oddHBand="1" w:evenHBand="0" w:firstRowFirstColumn="0" w:firstRowLastColumn="0" w:lastRowFirstColumn="0" w:lastRowLastColumn="0"/>
              <w:rPr>
                <w:bCs/>
                <w:sz w:val="20"/>
                <w:szCs w:val="20"/>
              </w:rPr>
            </w:pPr>
            <w:r w:rsidRPr="00200BCC">
              <w:rPr>
                <w:bCs/>
                <w:color w:val="auto"/>
                <w:sz w:val="20"/>
                <w:szCs w:val="20"/>
              </w:rPr>
              <w:t>%</w:t>
            </w:r>
          </w:p>
        </w:tc>
        <w:tc>
          <w:tcPr>
            <w:tcW w:w="6194" w:type="dxa"/>
            <w:vMerge/>
          </w:tcPr>
          <w:p w14:paraId="27AA38C7" w14:textId="77777777" w:rsidR="00567B7A" w:rsidRDefault="00567B7A" w:rsidP="00567B7A">
            <w:pPr>
              <w:pStyle w:val="TableHeader"/>
              <w:cnfStyle w:val="000000100000" w:firstRow="0" w:lastRow="0" w:firstColumn="0" w:lastColumn="0" w:oddVBand="0" w:evenVBand="0" w:oddHBand="1" w:evenHBand="0" w:firstRowFirstColumn="0" w:firstRowLastColumn="0" w:lastRowFirstColumn="0" w:lastRowLastColumn="0"/>
              <w:rPr>
                <w:sz w:val="20"/>
                <w:szCs w:val="20"/>
              </w:rPr>
            </w:pPr>
          </w:p>
        </w:tc>
      </w:tr>
      <w:tr w:rsidR="00567B7A" w:rsidRPr="00CD6245" w14:paraId="6A973DFB" w14:textId="77777777" w:rsidTr="004B1827">
        <w:tc>
          <w:tcPr>
            <w:cnfStyle w:val="001000000000" w:firstRow="0" w:lastRow="0" w:firstColumn="1" w:lastColumn="0" w:oddVBand="0" w:evenVBand="0" w:oddHBand="0" w:evenHBand="0" w:firstRowFirstColumn="0" w:firstRowLastColumn="0" w:lastRowFirstColumn="0" w:lastRowLastColumn="0"/>
            <w:tcW w:w="343" w:type="dxa"/>
          </w:tcPr>
          <w:p w14:paraId="655AD211" w14:textId="77777777" w:rsidR="00567B7A" w:rsidRPr="00CD6245" w:rsidRDefault="00567B7A" w:rsidP="00567B7A">
            <w:pPr>
              <w:pStyle w:val="TableText"/>
            </w:pPr>
            <w:r w:rsidRPr="00CD6245">
              <w:t>1</w:t>
            </w:r>
          </w:p>
        </w:tc>
        <w:tc>
          <w:tcPr>
            <w:tcW w:w="2067" w:type="dxa"/>
          </w:tcPr>
          <w:p w14:paraId="6839C884" w14:textId="77777777" w:rsidR="00567B7A" w:rsidRPr="00726E77" w:rsidRDefault="00567B7A" w:rsidP="00567B7A">
            <w:pPr>
              <w:pStyle w:val="TableText"/>
              <w:cnfStyle w:val="000000000000" w:firstRow="0" w:lastRow="0" w:firstColumn="0" w:lastColumn="0" w:oddVBand="0" w:evenVBand="0" w:oddHBand="0" w:evenHBand="0" w:firstRowFirstColumn="0" w:firstRowLastColumn="0" w:lastRowFirstColumn="0" w:lastRowLastColumn="0"/>
            </w:pPr>
            <w:r w:rsidRPr="00726E77">
              <w:t xml:space="preserve">Value created </w:t>
            </w:r>
          </w:p>
        </w:tc>
        <w:tc>
          <w:tcPr>
            <w:tcW w:w="610" w:type="dxa"/>
          </w:tcPr>
          <w:p w14:paraId="0BCE50D7" w14:textId="77777777" w:rsidR="00567B7A" w:rsidRPr="00CD6245" w:rsidRDefault="00567B7A" w:rsidP="006B0393">
            <w:pPr>
              <w:pStyle w:val="Tablenumbers"/>
              <w:cnfStyle w:val="000000000000" w:firstRow="0" w:lastRow="0" w:firstColumn="0" w:lastColumn="0" w:oddVBand="0" w:evenVBand="0" w:oddHBand="0" w:evenHBand="0" w:firstRowFirstColumn="0" w:firstRowLastColumn="0" w:lastRowFirstColumn="0" w:lastRowLastColumn="0"/>
            </w:pPr>
            <w:r>
              <w:t>0.2</w:t>
            </w:r>
          </w:p>
        </w:tc>
        <w:tc>
          <w:tcPr>
            <w:tcW w:w="6194" w:type="dxa"/>
          </w:tcPr>
          <w:p w14:paraId="04FFF644" w14:textId="732877C2" w:rsidR="00567B7A" w:rsidRPr="00CD6245" w:rsidRDefault="00567B7A" w:rsidP="00567B7A">
            <w:pPr>
              <w:pStyle w:val="TableText"/>
              <w:cnfStyle w:val="000000000000" w:firstRow="0" w:lastRow="0" w:firstColumn="0" w:lastColumn="0" w:oddVBand="0" w:evenVBand="0" w:oddHBand="0" w:evenHBand="0" w:firstRowFirstColumn="0" w:firstRowLastColumn="0" w:lastRowFirstColumn="0" w:lastRowLastColumn="0"/>
            </w:pPr>
            <w:r w:rsidRPr="00DC4AE7">
              <w:t xml:space="preserve">Procurement savings are not significant </w:t>
            </w:r>
            <w:r>
              <w:t>but</w:t>
            </w:r>
            <w:r w:rsidRPr="00DC4AE7">
              <w:t xml:space="preserve"> the Procurement Branch is making a concerted effort to announce savings to </w:t>
            </w:r>
            <w:r w:rsidR="001949FA">
              <w:t xml:space="preserve">the </w:t>
            </w:r>
            <w:r w:rsidRPr="00DC4AE7">
              <w:t>Executive to highlight the importance.</w:t>
            </w:r>
            <w:r>
              <w:t xml:space="preserve"> </w:t>
            </w:r>
            <w:r w:rsidR="0054602B">
              <w:t>PTV</w:t>
            </w:r>
            <w:r>
              <w:t xml:space="preserve"> anticipate</w:t>
            </w:r>
            <w:r w:rsidR="0054602B">
              <w:t>s</w:t>
            </w:r>
            <w:r>
              <w:t xml:space="preserve"> </w:t>
            </w:r>
            <w:r w:rsidRPr="00DC4AE7">
              <w:t>higher savings in 2018</w:t>
            </w:r>
            <w:r>
              <w:t>–</w:t>
            </w:r>
            <w:r w:rsidRPr="00DC4AE7">
              <w:t>19</w:t>
            </w:r>
            <w:r>
              <w:t xml:space="preserve">. </w:t>
            </w:r>
          </w:p>
        </w:tc>
      </w:tr>
      <w:tr w:rsidR="00567B7A" w:rsidRPr="00CD6245" w14:paraId="72E35ED4" w14:textId="77777777" w:rsidTr="004B18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3" w:type="dxa"/>
          </w:tcPr>
          <w:p w14:paraId="4731B7A0" w14:textId="77777777" w:rsidR="00567B7A" w:rsidRPr="00CD6245" w:rsidRDefault="00567B7A" w:rsidP="00567B7A">
            <w:pPr>
              <w:pStyle w:val="TableText"/>
            </w:pPr>
            <w:r w:rsidRPr="00CD6245">
              <w:t>2</w:t>
            </w:r>
          </w:p>
        </w:tc>
        <w:tc>
          <w:tcPr>
            <w:tcW w:w="2067" w:type="dxa"/>
          </w:tcPr>
          <w:p w14:paraId="595E4F1D" w14:textId="2BAC7936" w:rsidR="00567B7A" w:rsidRPr="00726E77" w:rsidRDefault="00567B7A" w:rsidP="00567B7A">
            <w:pPr>
              <w:pStyle w:val="TableText"/>
              <w:cnfStyle w:val="000000100000" w:firstRow="0" w:lastRow="0" w:firstColumn="0" w:lastColumn="0" w:oddVBand="0" w:evenVBand="0" w:oddHBand="1" w:evenHBand="0" w:firstRowFirstColumn="0" w:firstRowLastColumn="0" w:lastRowFirstColumn="0" w:lastRowLastColumn="0"/>
            </w:pPr>
            <w:r w:rsidRPr="00726E77">
              <w:t xml:space="preserve">Proportion of </w:t>
            </w:r>
            <w:r w:rsidR="006B0393">
              <w:br/>
            </w:r>
            <w:r w:rsidRPr="00726E77">
              <w:t xml:space="preserve">P-Card </w:t>
            </w:r>
            <w:r w:rsidR="00D11C9B">
              <w:t xml:space="preserve">(or equivalent) </w:t>
            </w:r>
            <w:r w:rsidRPr="00726E77">
              <w:t>transactions</w:t>
            </w:r>
          </w:p>
        </w:tc>
        <w:tc>
          <w:tcPr>
            <w:tcW w:w="610" w:type="dxa"/>
          </w:tcPr>
          <w:p w14:paraId="120DEB26" w14:textId="439A25B3" w:rsidR="00567B7A" w:rsidRPr="007765D3" w:rsidRDefault="001A7320" w:rsidP="006B0393">
            <w:pPr>
              <w:pStyle w:val="Tablenumbers"/>
              <w:cnfStyle w:val="000000100000" w:firstRow="0" w:lastRow="0" w:firstColumn="0" w:lastColumn="0" w:oddVBand="0" w:evenVBand="0" w:oddHBand="1" w:evenHBand="0" w:firstRowFirstColumn="0" w:firstRowLastColumn="0" w:lastRowFirstColumn="0" w:lastRowLastColumn="0"/>
            </w:pPr>
            <w:r w:rsidRPr="007765D3">
              <w:t>19.7</w:t>
            </w:r>
          </w:p>
        </w:tc>
        <w:tc>
          <w:tcPr>
            <w:tcW w:w="6194" w:type="dxa"/>
          </w:tcPr>
          <w:p w14:paraId="3B02BB97" w14:textId="5E958A83" w:rsidR="00567B7A" w:rsidRPr="007765D3" w:rsidRDefault="007765D3" w:rsidP="00284B26">
            <w:pPr>
              <w:pStyle w:val="TableText"/>
              <w:cnfStyle w:val="000000100000" w:firstRow="0" w:lastRow="0" w:firstColumn="0" w:lastColumn="0" w:oddVBand="0" w:evenVBand="0" w:oddHBand="1" w:evenHBand="0" w:firstRowFirstColumn="0" w:firstRowLastColumn="0" w:lastRowFirstColumn="0" w:lastRowLastColumn="0"/>
            </w:pPr>
            <w:r w:rsidRPr="007765D3">
              <w:t>PTV will use this baseline</w:t>
            </w:r>
            <w:r w:rsidR="00284B26">
              <w:t xml:space="preserve"> </w:t>
            </w:r>
            <w:r w:rsidRPr="007765D3">
              <w:t xml:space="preserve">result to measure its performance in 2018–19. </w:t>
            </w:r>
          </w:p>
        </w:tc>
      </w:tr>
      <w:tr w:rsidR="00567B7A" w:rsidRPr="00CD6245" w14:paraId="45DFF190" w14:textId="77777777" w:rsidTr="004B1827">
        <w:tc>
          <w:tcPr>
            <w:cnfStyle w:val="001000000000" w:firstRow="0" w:lastRow="0" w:firstColumn="1" w:lastColumn="0" w:oddVBand="0" w:evenVBand="0" w:oddHBand="0" w:evenHBand="0" w:firstRowFirstColumn="0" w:firstRowLastColumn="0" w:lastRowFirstColumn="0" w:lastRowLastColumn="0"/>
            <w:tcW w:w="343" w:type="dxa"/>
          </w:tcPr>
          <w:p w14:paraId="17B9D617" w14:textId="77777777" w:rsidR="00567B7A" w:rsidRPr="00CD6245" w:rsidRDefault="00567B7A" w:rsidP="00567B7A">
            <w:pPr>
              <w:pStyle w:val="TableText"/>
            </w:pPr>
            <w:r w:rsidRPr="00CD6245">
              <w:t>3</w:t>
            </w:r>
          </w:p>
        </w:tc>
        <w:tc>
          <w:tcPr>
            <w:tcW w:w="2067" w:type="dxa"/>
          </w:tcPr>
          <w:p w14:paraId="4F56F98F" w14:textId="77777777" w:rsidR="00567B7A" w:rsidRPr="00726E77" w:rsidRDefault="00567B7A" w:rsidP="00567B7A">
            <w:pPr>
              <w:pStyle w:val="TableText"/>
              <w:cnfStyle w:val="000000000000" w:firstRow="0" w:lastRow="0" w:firstColumn="0" w:lastColumn="0" w:oddVBand="0" w:evenVBand="0" w:oddHBand="0" w:evenHBand="0" w:firstRowFirstColumn="0" w:firstRowLastColumn="0" w:lastRowFirstColumn="0" w:lastRowLastColumn="0"/>
            </w:pPr>
            <w:r w:rsidRPr="00726E77">
              <w:t>Increase in procurement capability</w:t>
            </w:r>
          </w:p>
        </w:tc>
        <w:tc>
          <w:tcPr>
            <w:tcW w:w="610" w:type="dxa"/>
          </w:tcPr>
          <w:p w14:paraId="56B0CE8C" w14:textId="26B8ECB7" w:rsidR="00567B7A" w:rsidRPr="00CD6245" w:rsidRDefault="00E6642A" w:rsidP="006B0393">
            <w:pPr>
              <w:pStyle w:val="Tablenumbers"/>
              <w:cnfStyle w:val="000000000000" w:firstRow="0" w:lastRow="0" w:firstColumn="0" w:lastColumn="0" w:oddVBand="0" w:evenVBand="0" w:oddHBand="0" w:evenHBand="0" w:firstRowFirstColumn="0" w:firstRowLastColumn="0" w:lastRowFirstColumn="0" w:lastRowLastColumn="0"/>
            </w:pPr>
            <w:r>
              <w:t>..</w:t>
            </w:r>
          </w:p>
        </w:tc>
        <w:tc>
          <w:tcPr>
            <w:tcW w:w="6194" w:type="dxa"/>
          </w:tcPr>
          <w:p w14:paraId="37653855" w14:textId="207FC863" w:rsidR="00E6642A" w:rsidRDefault="00E6642A" w:rsidP="00567B7A">
            <w:pPr>
              <w:pStyle w:val="TableText"/>
              <w:cnfStyle w:val="000000000000" w:firstRow="0" w:lastRow="0" w:firstColumn="0" w:lastColumn="0" w:oddVBand="0" w:evenVBand="0" w:oddHBand="0" w:evenHBand="0" w:firstRowFirstColumn="0" w:firstRowLastColumn="0" w:lastRowFirstColumn="0" w:lastRowLastColumn="0"/>
            </w:pPr>
            <w:r>
              <w:t>Capability measured at 121/150 (80.7 per cent) in 2017–18.</w:t>
            </w:r>
            <w:r w:rsidR="00A77C7D">
              <w:t xml:space="preserve"> This will be used as a baseline for next year.</w:t>
            </w:r>
          </w:p>
          <w:p w14:paraId="57F0A467" w14:textId="507FED03" w:rsidR="00567B7A" w:rsidRPr="00CD6245" w:rsidRDefault="00567B7A" w:rsidP="00567B7A">
            <w:pPr>
              <w:pStyle w:val="TableText"/>
              <w:cnfStyle w:val="000000000000" w:firstRow="0" w:lastRow="0" w:firstColumn="0" w:lastColumn="0" w:oddVBand="0" w:evenVBand="0" w:oddHBand="0" w:evenHBand="0" w:firstRowFirstColumn="0" w:firstRowLastColumn="0" w:lastRowFirstColumn="0" w:lastRowLastColumn="0"/>
            </w:pPr>
            <w:r w:rsidRPr="00DC4AE7">
              <w:t xml:space="preserve">The Procurement </w:t>
            </w:r>
            <w:r>
              <w:t>B</w:t>
            </w:r>
            <w:r w:rsidRPr="00DC4AE7">
              <w:t xml:space="preserve">ranch rolled out capability training across the organisation. Staff in the procurement team attended </w:t>
            </w:r>
            <w:r w:rsidR="009556FC" w:rsidRPr="009556FC">
              <w:t>Chartered Institute of Procurement &amp; Supply</w:t>
            </w:r>
            <w:r w:rsidRPr="00DC4AE7">
              <w:t xml:space="preserve"> Category Management training</w:t>
            </w:r>
            <w:r>
              <w:t xml:space="preserve">. </w:t>
            </w:r>
            <w:r w:rsidRPr="00DC4AE7">
              <w:t xml:space="preserve">The Procurement Branch is planning on introducing more sophisticated spend analysis and </w:t>
            </w:r>
            <w:r>
              <w:t xml:space="preserve">an </w:t>
            </w:r>
            <w:r w:rsidRPr="00DC4AE7">
              <w:t>e</w:t>
            </w:r>
            <w:r w:rsidR="00B33C59">
              <w:t>-p</w:t>
            </w:r>
            <w:r w:rsidRPr="00DC4AE7">
              <w:t>rocurement system</w:t>
            </w:r>
            <w:r>
              <w:t xml:space="preserve"> in 2018–19. </w:t>
            </w:r>
          </w:p>
        </w:tc>
      </w:tr>
      <w:tr w:rsidR="00567B7A" w:rsidRPr="00CD6245" w14:paraId="3D3516C1" w14:textId="77777777" w:rsidTr="004B18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3" w:type="dxa"/>
          </w:tcPr>
          <w:p w14:paraId="3B42FB9A" w14:textId="77777777" w:rsidR="00567B7A" w:rsidRPr="00CD6245" w:rsidRDefault="00567B7A" w:rsidP="00567B7A">
            <w:pPr>
              <w:pStyle w:val="TableText"/>
            </w:pPr>
            <w:r w:rsidRPr="00CD6245">
              <w:t>4</w:t>
            </w:r>
          </w:p>
        </w:tc>
        <w:tc>
          <w:tcPr>
            <w:tcW w:w="2067" w:type="dxa"/>
          </w:tcPr>
          <w:p w14:paraId="13BB1811" w14:textId="77777777" w:rsidR="00567B7A" w:rsidRPr="00726E77" w:rsidRDefault="00567B7A" w:rsidP="00567B7A">
            <w:pPr>
              <w:pStyle w:val="TableText"/>
              <w:cnfStyle w:val="000000100000" w:firstRow="0" w:lastRow="0" w:firstColumn="0" w:lastColumn="0" w:oddVBand="0" w:evenVBand="0" w:oddHBand="1" w:evenHBand="0" w:firstRowFirstColumn="0" w:firstRowLastColumn="0" w:lastRowFirstColumn="0" w:lastRowLastColumn="0"/>
            </w:pPr>
            <w:r w:rsidRPr="00726E77">
              <w:t>Cost of procurement resources</w:t>
            </w:r>
          </w:p>
        </w:tc>
        <w:tc>
          <w:tcPr>
            <w:tcW w:w="610" w:type="dxa"/>
          </w:tcPr>
          <w:p w14:paraId="0B9704D8" w14:textId="77777777" w:rsidR="00567B7A" w:rsidRPr="00CD6245" w:rsidRDefault="00567B7A" w:rsidP="006B0393">
            <w:pPr>
              <w:pStyle w:val="Tablenumbers"/>
              <w:cnfStyle w:val="000000100000" w:firstRow="0" w:lastRow="0" w:firstColumn="0" w:lastColumn="0" w:oddVBand="0" w:evenVBand="0" w:oddHBand="1" w:evenHBand="0" w:firstRowFirstColumn="0" w:firstRowLastColumn="0" w:lastRowFirstColumn="0" w:lastRowLastColumn="0"/>
            </w:pPr>
            <w:r>
              <w:t>0.7</w:t>
            </w:r>
          </w:p>
        </w:tc>
        <w:tc>
          <w:tcPr>
            <w:tcW w:w="6194" w:type="dxa"/>
          </w:tcPr>
          <w:p w14:paraId="3BA17C94" w14:textId="4E6D8A88" w:rsidR="00567B7A" w:rsidRPr="00CD6245" w:rsidRDefault="006226A6" w:rsidP="00567B7A">
            <w:pPr>
              <w:pStyle w:val="TableText"/>
              <w:cnfStyle w:val="000000100000" w:firstRow="0" w:lastRow="0" w:firstColumn="0" w:lastColumn="0" w:oddVBand="0" w:evenVBand="0" w:oddHBand="1" w:evenHBand="0" w:firstRowFirstColumn="0" w:firstRowLastColumn="0" w:lastRowFirstColumn="0" w:lastRowLastColumn="0"/>
            </w:pPr>
            <w:r>
              <w:t>PTV</w:t>
            </w:r>
            <w:r w:rsidR="00567B7A">
              <w:t xml:space="preserve"> staffing is $880 000 with a spend of $120 million. </w:t>
            </w:r>
            <w:r w:rsidR="001949FA">
              <w:t>C</w:t>
            </w:r>
            <w:r w:rsidR="00567B7A">
              <w:t>urrent staffing levels are lower than in past years with</w:t>
            </w:r>
            <w:r w:rsidR="001949FA">
              <w:t xml:space="preserve"> more</w:t>
            </w:r>
            <w:r w:rsidR="00567B7A">
              <w:t xml:space="preserve"> innovation in the </w:t>
            </w:r>
            <w:r w:rsidR="001949FA">
              <w:t xml:space="preserve">procurement </w:t>
            </w:r>
            <w:r w:rsidR="00567B7A">
              <w:t>process to meet demand.</w:t>
            </w:r>
          </w:p>
        </w:tc>
      </w:tr>
      <w:tr w:rsidR="006B0393" w:rsidRPr="00CD6245" w14:paraId="22FDD746" w14:textId="77777777" w:rsidTr="004B1827">
        <w:tc>
          <w:tcPr>
            <w:cnfStyle w:val="001000000000" w:firstRow="0" w:lastRow="0" w:firstColumn="1" w:lastColumn="0" w:oddVBand="0" w:evenVBand="0" w:oddHBand="0" w:evenHBand="0" w:firstRowFirstColumn="0" w:firstRowLastColumn="0" w:lastRowFirstColumn="0" w:lastRowLastColumn="0"/>
            <w:tcW w:w="343" w:type="dxa"/>
            <w:vMerge w:val="restart"/>
          </w:tcPr>
          <w:p w14:paraId="4306D79E" w14:textId="4DDF778F" w:rsidR="006B0393" w:rsidRPr="00CD6245" w:rsidRDefault="006B0393" w:rsidP="006B0393">
            <w:pPr>
              <w:pStyle w:val="TableText"/>
            </w:pPr>
            <w:r w:rsidRPr="00CD6245">
              <w:t>5</w:t>
            </w:r>
          </w:p>
        </w:tc>
        <w:tc>
          <w:tcPr>
            <w:tcW w:w="2067" w:type="dxa"/>
          </w:tcPr>
          <w:p w14:paraId="788AAB4D" w14:textId="7CEAE507" w:rsidR="006B0393" w:rsidRPr="00726E77" w:rsidRDefault="006B0393" w:rsidP="006B0393">
            <w:pPr>
              <w:pStyle w:val="TableText"/>
              <w:cnfStyle w:val="000000000000" w:firstRow="0" w:lastRow="0" w:firstColumn="0" w:lastColumn="0" w:oddVBand="0" w:evenVBand="0" w:oddHBand="0" w:evenHBand="0" w:firstRowFirstColumn="0" w:firstRowLastColumn="0" w:lastRowFirstColumn="0" w:lastRowLastColumn="0"/>
            </w:pPr>
            <w:r w:rsidRPr="000451B5">
              <w:t xml:space="preserve">Successful </w:t>
            </w:r>
            <w:r>
              <w:t>s</w:t>
            </w:r>
            <w:r w:rsidRPr="008F30C8">
              <w:t>upplie</w:t>
            </w:r>
            <w:r>
              <w:t xml:space="preserve">r </w:t>
            </w:r>
            <w:r w:rsidRPr="000451B5">
              <w:t>satisfied</w:t>
            </w:r>
          </w:p>
        </w:tc>
        <w:tc>
          <w:tcPr>
            <w:tcW w:w="610" w:type="dxa"/>
          </w:tcPr>
          <w:p w14:paraId="7ADAA02E" w14:textId="20ABCED4" w:rsidR="006B0393" w:rsidRDefault="006B0393" w:rsidP="006B0393">
            <w:pPr>
              <w:pStyle w:val="Tablenumbers"/>
              <w:cnfStyle w:val="000000000000" w:firstRow="0" w:lastRow="0" w:firstColumn="0" w:lastColumn="0" w:oddVBand="0" w:evenVBand="0" w:oddHBand="0" w:evenHBand="0" w:firstRowFirstColumn="0" w:firstRowLastColumn="0" w:lastRowFirstColumn="0" w:lastRowLastColumn="0"/>
            </w:pPr>
            <w:r>
              <w:t>82</w:t>
            </w:r>
          </w:p>
        </w:tc>
        <w:tc>
          <w:tcPr>
            <w:tcW w:w="6194" w:type="dxa"/>
            <w:vMerge w:val="restart"/>
          </w:tcPr>
          <w:p w14:paraId="3040049D" w14:textId="7805B1D2" w:rsidR="006B0393" w:rsidRDefault="006B0393" w:rsidP="006B0393">
            <w:pPr>
              <w:pStyle w:val="TableText"/>
              <w:cnfStyle w:val="000000000000" w:firstRow="0" w:lastRow="0" w:firstColumn="0" w:lastColumn="0" w:oddVBand="0" w:evenVBand="0" w:oddHBand="0" w:evenHBand="0" w:firstRowFirstColumn="0" w:firstRowLastColumn="0" w:lastRowFirstColumn="0" w:lastRowLastColumn="0"/>
            </w:pPr>
            <w:r>
              <w:t>Work needs to focus on stakeholder engagement and opening a supplier communication channel.</w:t>
            </w:r>
          </w:p>
        </w:tc>
      </w:tr>
      <w:tr w:rsidR="006B0393" w:rsidRPr="00CD6245" w14:paraId="7AE5BF64" w14:textId="77777777" w:rsidTr="004B18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3" w:type="dxa"/>
            <w:vMerge/>
          </w:tcPr>
          <w:p w14:paraId="63A20F31" w14:textId="77777777" w:rsidR="006B0393" w:rsidRPr="00CD6245" w:rsidRDefault="006B0393" w:rsidP="006B0393">
            <w:pPr>
              <w:pStyle w:val="TableText"/>
            </w:pPr>
          </w:p>
        </w:tc>
        <w:tc>
          <w:tcPr>
            <w:tcW w:w="2067" w:type="dxa"/>
          </w:tcPr>
          <w:p w14:paraId="5B2DAF34" w14:textId="5A612FF5" w:rsidR="006B0393" w:rsidRPr="00726E77" w:rsidRDefault="006B0393" w:rsidP="006B0393">
            <w:pPr>
              <w:pStyle w:val="TableText"/>
              <w:cnfStyle w:val="000000100000" w:firstRow="0" w:lastRow="0" w:firstColumn="0" w:lastColumn="0" w:oddVBand="0" w:evenVBand="0" w:oddHBand="1" w:evenHBand="0" w:firstRowFirstColumn="0" w:firstRowLastColumn="0" w:lastRowFirstColumn="0" w:lastRowLastColumn="0"/>
            </w:pPr>
            <w:r w:rsidRPr="000451B5">
              <w:t xml:space="preserve">Unsuccessful </w:t>
            </w:r>
            <w:r>
              <w:t>s</w:t>
            </w:r>
            <w:r w:rsidRPr="008F30C8">
              <w:t>upplie</w:t>
            </w:r>
            <w:r>
              <w:t xml:space="preserve">r </w:t>
            </w:r>
            <w:r w:rsidRPr="000451B5">
              <w:t>satisfied</w:t>
            </w:r>
          </w:p>
        </w:tc>
        <w:tc>
          <w:tcPr>
            <w:tcW w:w="610" w:type="dxa"/>
          </w:tcPr>
          <w:p w14:paraId="02A74705" w14:textId="48A114F0" w:rsidR="006B0393" w:rsidRDefault="006B0393" w:rsidP="006B0393">
            <w:pPr>
              <w:pStyle w:val="Tablenumbers"/>
              <w:cnfStyle w:val="000000100000" w:firstRow="0" w:lastRow="0" w:firstColumn="0" w:lastColumn="0" w:oddVBand="0" w:evenVBand="0" w:oddHBand="1" w:evenHBand="0" w:firstRowFirstColumn="0" w:firstRowLastColumn="0" w:lastRowFirstColumn="0" w:lastRowLastColumn="0"/>
            </w:pPr>
            <w:r>
              <w:t>23</w:t>
            </w:r>
          </w:p>
        </w:tc>
        <w:tc>
          <w:tcPr>
            <w:tcW w:w="6194" w:type="dxa"/>
            <w:vMerge/>
          </w:tcPr>
          <w:p w14:paraId="665C3839" w14:textId="77777777" w:rsidR="006B0393" w:rsidRDefault="006B0393" w:rsidP="006B0393">
            <w:pPr>
              <w:pStyle w:val="TableText"/>
              <w:cnfStyle w:val="000000100000" w:firstRow="0" w:lastRow="0" w:firstColumn="0" w:lastColumn="0" w:oddVBand="0" w:evenVBand="0" w:oddHBand="1" w:evenHBand="0" w:firstRowFirstColumn="0" w:firstRowLastColumn="0" w:lastRowFirstColumn="0" w:lastRowLastColumn="0"/>
            </w:pPr>
          </w:p>
        </w:tc>
      </w:tr>
      <w:tr w:rsidR="00567B7A" w:rsidRPr="00CD6245" w14:paraId="00DF5394" w14:textId="77777777" w:rsidTr="004B1827">
        <w:trPr>
          <w:trHeight w:val="283"/>
        </w:trPr>
        <w:tc>
          <w:tcPr>
            <w:cnfStyle w:val="001000000000" w:firstRow="0" w:lastRow="0" w:firstColumn="1" w:lastColumn="0" w:oddVBand="0" w:evenVBand="0" w:oddHBand="0" w:evenHBand="0" w:firstRowFirstColumn="0" w:firstRowLastColumn="0" w:lastRowFirstColumn="0" w:lastRowLastColumn="0"/>
            <w:tcW w:w="343" w:type="dxa"/>
          </w:tcPr>
          <w:p w14:paraId="2AE148BE" w14:textId="77777777" w:rsidR="00567B7A" w:rsidRPr="00CD6245" w:rsidRDefault="00567B7A" w:rsidP="00567B7A">
            <w:pPr>
              <w:pStyle w:val="TableText"/>
            </w:pPr>
            <w:r w:rsidRPr="00CD6245">
              <w:t>6</w:t>
            </w:r>
          </w:p>
        </w:tc>
        <w:tc>
          <w:tcPr>
            <w:tcW w:w="2067" w:type="dxa"/>
          </w:tcPr>
          <w:p w14:paraId="1FB066C9" w14:textId="77777777" w:rsidR="00567B7A" w:rsidRPr="00726E77" w:rsidRDefault="00567B7A" w:rsidP="00567B7A">
            <w:pPr>
              <w:pStyle w:val="TableText"/>
              <w:cnfStyle w:val="000000000000" w:firstRow="0" w:lastRow="0" w:firstColumn="0" w:lastColumn="0" w:oddVBand="0" w:evenVBand="0" w:oddHBand="0" w:evenHBand="0" w:firstRowFirstColumn="0" w:firstRowLastColumn="0" w:lastRowFirstColumn="0" w:lastRowLastColumn="0"/>
            </w:pPr>
            <w:r w:rsidRPr="00726E77">
              <w:t>Planned procurement activity</w:t>
            </w:r>
          </w:p>
        </w:tc>
        <w:tc>
          <w:tcPr>
            <w:tcW w:w="610" w:type="dxa"/>
          </w:tcPr>
          <w:p w14:paraId="4D63E49E" w14:textId="729EA608" w:rsidR="00567B7A" w:rsidRPr="00433559" w:rsidRDefault="00433559" w:rsidP="006B0393">
            <w:pPr>
              <w:pStyle w:val="Tablenumbers"/>
              <w:cnfStyle w:val="000000000000" w:firstRow="0" w:lastRow="0" w:firstColumn="0" w:lastColumn="0" w:oddVBand="0" w:evenVBand="0" w:oddHBand="0" w:evenHBand="0" w:firstRowFirstColumn="0" w:firstRowLastColumn="0" w:lastRowFirstColumn="0" w:lastRowLastColumn="0"/>
            </w:pPr>
            <w:r w:rsidRPr="00433559">
              <w:t>4.5</w:t>
            </w:r>
          </w:p>
        </w:tc>
        <w:tc>
          <w:tcPr>
            <w:tcW w:w="6194" w:type="dxa"/>
          </w:tcPr>
          <w:p w14:paraId="0C4652B3" w14:textId="01219E4D" w:rsidR="00567B7A" w:rsidRPr="00433559" w:rsidRDefault="00433559" w:rsidP="00567B7A">
            <w:pPr>
              <w:pStyle w:val="TableText"/>
              <w:cnfStyle w:val="000000000000" w:firstRow="0" w:lastRow="0" w:firstColumn="0" w:lastColumn="0" w:oddVBand="0" w:evenVBand="0" w:oddHBand="0" w:evenHBand="0" w:firstRowFirstColumn="0" w:firstRowLastColumn="0" w:lastRowFirstColumn="0" w:lastRowLastColumn="0"/>
            </w:pPr>
            <w:r w:rsidRPr="00433559">
              <w:t xml:space="preserve">PTV had </w:t>
            </w:r>
            <w:r>
              <w:t>seven</w:t>
            </w:r>
            <w:r w:rsidRPr="00433559">
              <w:t xml:space="preserve"> planned procurements out of 155 procurements valued at </w:t>
            </w:r>
            <w:r w:rsidR="00672CBB">
              <w:t xml:space="preserve">more than </w:t>
            </w:r>
            <w:r w:rsidRPr="00433559">
              <w:t>$100</w:t>
            </w:r>
            <w:r w:rsidR="00CF5F3A">
              <w:t> </w:t>
            </w:r>
            <w:r w:rsidRPr="00433559">
              <w:t>000.</w:t>
            </w:r>
          </w:p>
        </w:tc>
      </w:tr>
    </w:tbl>
    <w:p w14:paraId="242F884D" w14:textId="77777777" w:rsidR="002A7E78" w:rsidRDefault="002A7E78" w:rsidP="002A7E78">
      <w:pPr>
        <w:pStyle w:val="Heading3NoNum"/>
      </w:pPr>
      <w:bookmarkStart w:id="226" w:name="_Hlk521320174"/>
      <w:bookmarkStart w:id="227" w:name="_Hlk522701524"/>
      <w:bookmarkEnd w:id="217"/>
      <w:r>
        <w:t>Activities planned for 2018–19</w:t>
      </w:r>
    </w:p>
    <w:p w14:paraId="4E8CB149" w14:textId="77777777" w:rsidR="002A7E78" w:rsidRDefault="002A7E78" w:rsidP="002A7E78">
      <w:pPr>
        <w:pStyle w:val="Normal1"/>
      </w:pPr>
      <w:r w:rsidRPr="00CD6245">
        <w:t xml:space="preserve">In </w:t>
      </w:r>
      <w:r>
        <w:t>2018–19,</w:t>
      </w:r>
      <w:r w:rsidRPr="00CD6245">
        <w:t xml:space="preserve"> </w:t>
      </w:r>
      <w:r>
        <w:t>PTV</w:t>
      </w:r>
      <w:r w:rsidRPr="00CD6245">
        <w:t xml:space="preserve"> will:</w:t>
      </w:r>
    </w:p>
    <w:p w14:paraId="067A2A05" w14:textId="77777777" w:rsidR="002A7E78" w:rsidRPr="000721DE" w:rsidRDefault="002A7E78" w:rsidP="002A7E78">
      <w:pPr>
        <w:pStyle w:val="Bullet1"/>
      </w:pPr>
      <w:r>
        <w:t xml:space="preserve">implement </w:t>
      </w:r>
      <w:r w:rsidRPr="000721DE">
        <w:t xml:space="preserve">social procurement </w:t>
      </w:r>
      <w:r>
        <w:t>and update the IPU terms of reference to support the principles of Victoria’s Social Procurement Framework and the Supplier Code of Conduct</w:t>
      </w:r>
      <w:r w:rsidRPr="000721DE">
        <w:t>;</w:t>
      </w:r>
    </w:p>
    <w:p w14:paraId="17AAB5E5" w14:textId="77777777" w:rsidR="002A7E78" w:rsidRDefault="002A7E78" w:rsidP="002A7E78">
      <w:pPr>
        <w:pStyle w:val="Bullet1"/>
      </w:pPr>
      <w:r>
        <w:t>introduce a mandatory procurement induction for all new employees;</w:t>
      </w:r>
    </w:p>
    <w:p w14:paraId="0B10CEE3" w14:textId="77777777" w:rsidR="002A7E78" w:rsidRDefault="002A7E78" w:rsidP="002A7E78">
      <w:pPr>
        <w:pStyle w:val="Bullet1"/>
      </w:pPr>
      <w:r>
        <w:t>improve the contract management system; and</w:t>
      </w:r>
    </w:p>
    <w:p w14:paraId="54D85978" w14:textId="2DEC6FC2" w:rsidR="00F954CD" w:rsidRPr="002A7E78" w:rsidRDefault="002A7E78" w:rsidP="008228CF">
      <w:pPr>
        <w:pStyle w:val="Bullet1"/>
        <w:rPr>
          <w:color w:val="4D4D4D"/>
          <w:kern w:val="28"/>
          <w:sz w:val="30"/>
          <w:lang w:eastAsia="en-US"/>
        </w:rPr>
      </w:pPr>
      <w:r w:rsidRPr="00161E2C">
        <w:t>implement a source-to-contract management module.</w:t>
      </w:r>
      <w:r w:rsidR="00F954CD">
        <w:br w:type="page"/>
      </w:r>
    </w:p>
    <w:p w14:paraId="4DC71BBB" w14:textId="79E8036D" w:rsidR="00FF2D35" w:rsidRDefault="00FF2D35" w:rsidP="00FF2D35">
      <w:pPr>
        <w:pStyle w:val="Heading2NoNum"/>
      </w:pPr>
      <w:bookmarkStart w:id="228" w:name="_Toc524354090"/>
      <w:r>
        <w:lastRenderedPageBreak/>
        <w:t>VicRoads</w:t>
      </w:r>
      <w:bookmarkEnd w:id="228"/>
    </w:p>
    <w:bookmarkEnd w:id="218"/>
    <w:p w14:paraId="78D8BB30" w14:textId="5B685FDE" w:rsidR="000C3B64" w:rsidRDefault="000C3B64" w:rsidP="000C3B64">
      <w:pPr>
        <w:pStyle w:val="Normal1"/>
        <w:rPr>
          <w:noProof/>
        </w:rPr>
      </w:pPr>
      <w:r>
        <w:t xml:space="preserve">VicRoads plans, develops and manages the arterial road network and delivers road safety initiatives and customer focused registration and licensing services. </w:t>
      </w:r>
      <w:r w:rsidR="00092526">
        <w:t xml:space="preserve">VicRoads’ </w:t>
      </w:r>
      <w:r>
        <w:t>key role is to help provide Victorians with safe and easy connections to the people and places that matter most to them.</w:t>
      </w:r>
    </w:p>
    <w:p w14:paraId="2D920824" w14:textId="190F7CED" w:rsidR="000C3B64" w:rsidRDefault="000C3B64" w:rsidP="000C3B64">
      <w:pPr>
        <w:pStyle w:val="Heading3NoNum"/>
      </w:pPr>
      <w:r>
        <w:rPr>
          <w:noProof/>
          <w:lang w:val="en-US"/>
        </w:rPr>
        <mc:AlternateContent>
          <mc:Choice Requires="wps">
            <w:drawing>
              <wp:anchor distT="0" distB="0" distL="114300" distR="114300" simplePos="0" relativeHeight="251662848" behindDoc="0" locked="0" layoutInCell="1" allowOverlap="1" wp14:anchorId="4FD31BC4" wp14:editId="041FB612">
                <wp:simplePos x="0" y="0"/>
                <wp:positionH relativeFrom="margin">
                  <wp:posOffset>4556760</wp:posOffset>
                </wp:positionH>
                <wp:positionV relativeFrom="margin">
                  <wp:posOffset>908685</wp:posOffset>
                </wp:positionV>
                <wp:extent cx="1466850" cy="1590675"/>
                <wp:effectExtent l="0" t="0" r="19050" b="28575"/>
                <wp:wrapSquare wrapText="bothSides"/>
                <wp:docPr id="91" name="Text Box 91"/>
                <wp:cNvGraphicFramePr/>
                <a:graphic xmlns:a="http://schemas.openxmlformats.org/drawingml/2006/main">
                  <a:graphicData uri="http://schemas.microsoft.com/office/word/2010/wordprocessingShape">
                    <wps:wsp>
                      <wps:cNvSpPr txBox="1"/>
                      <wps:spPr>
                        <a:xfrm>
                          <a:off x="0" y="0"/>
                          <a:ext cx="1466850" cy="1590675"/>
                        </a:xfrm>
                        <a:prstGeom prst="rect">
                          <a:avLst/>
                        </a:prstGeom>
                        <a:solidFill>
                          <a:schemeClr val="lt1"/>
                        </a:solidFill>
                        <a:ln w="6350">
                          <a:solidFill>
                            <a:prstClr val="black"/>
                          </a:solidFill>
                        </a:ln>
                      </wps:spPr>
                      <wps:txbx>
                        <w:txbxContent>
                          <w:p w14:paraId="389BBAAD" w14:textId="77777777" w:rsidR="001206E5" w:rsidRPr="000C3B64" w:rsidRDefault="001206E5" w:rsidP="000C3B64">
                            <w:pPr>
                              <w:rPr>
                                <w:rFonts w:asciiTheme="majorHAnsi" w:hAnsiTheme="majorHAnsi" w:cstheme="majorHAnsi"/>
                                <w:b/>
                                <w:sz w:val="20"/>
                                <w:szCs w:val="20"/>
                              </w:rPr>
                            </w:pPr>
                            <w:r w:rsidRPr="000C3B64">
                              <w:rPr>
                                <w:rFonts w:asciiTheme="majorHAnsi" w:hAnsiTheme="majorHAnsi" w:cstheme="majorHAnsi"/>
                                <w:b/>
                                <w:sz w:val="20"/>
                                <w:szCs w:val="20"/>
                              </w:rPr>
                              <w:t xml:space="preserve">AO: </w:t>
                            </w:r>
                            <w:r w:rsidRPr="000B5F61">
                              <w:rPr>
                                <w:rFonts w:asciiTheme="majorHAnsi" w:hAnsiTheme="majorHAnsi" w:cstheme="majorHAnsi"/>
                                <w:sz w:val="20"/>
                                <w:szCs w:val="20"/>
                              </w:rPr>
                              <w:t>Kerry Thompson,</w:t>
                            </w:r>
                            <w:r w:rsidRPr="000C3B64">
                              <w:rPr>
                                <w:rFonts w:asciiTheme="majorHAnsi" w:hAnsiTheme="majorHAnsi" w:cstheme="majorHAnsi"/>
                                <w:sz w:val="20"/>
                                <w:szCs w:val="20"/>
                              </w:rPr>
                              <w:t xml:space="preserve"> Chief Executive</w:t>
                            </w:r>
                          </w:p>
                          <w:p w14:paraId="495563B3" w14:textId="77777777" w:rsidR="001206E5" w:rsidRPr="000C3B64" w:rsidRDefault="001206E5" w:rsidP="000C3B64">
                            <w:pPr>
                              <w:rPr>
                                <w:rFonts w:asciiTheme="majorHAnsi" w:hAnsiTheme="majorHAnsi" w:cstheme="majorHAnsi"/>
                                <w:sz w:val="20"/>
                                <w:szCs w:val="20"/>
                              </w:rPr>
                            </w:pPr>
                            <w:r w:rsidRPr="000C3B64">
                              <w:rPr>
                                <w:rFonts w:asciiTheme="majorHAnsi" w:hAnsiTheme="majorHAnsi" w:cstheme="majorHAnsi"/>
                                <w:b/>
                                <w:sz w:val="20"/>
                                <w:szCs w:val="20"/>
                              </w:rPr>
                              <w:t>CPO</w:t>
                            </w:r>
                            <w:r w:rsidRPr="000C3B64">
                              <w:rPr>
                                <w:rFonts w:asciiTheme="majorHAnsi" w:hAnsiTheme="majorHAnsi" w:cstheme="majorHAnsi"/>
                                <w:sz w:val="20"/>
                                <w:szCs w:val="20"/>
                              </w:rPr>
                              <w:t>: Chris McNally, Director Procurement Services</w:t>
                            </w:r>
                          </w:p>
                          <w:p w14:paraId="6BDEB699" w14:textId="77777777" w:rsidR="001206E5" w:rsidRPr="000C3B64" w:rsidRDefault="001206E5" w:rsidP="000C3B64">
                            <w:pPr>
                              <w:rPr>
                                <w:rFonts w:asciiTheme="majorHAnsi" w:hAnsiTheme="majorHAnsi" w:cstheme="majorHAnsi"/>
                                <w:sz w:val="20"/>
                                <w:szCs w:val="20"/>
                              </w:rPr>
                            </w:pPr>
                            <w:r w:rsidRPr="000C3B64">
                              <w:rPr>
                                <w:rFonts w:asciiTheme="majorHAnsi" w:hAnsiTheme="majorHAnsi" w:cstheme="majorHAnsi"/>
                                <w:b/>
                                <w:sz w:val="20"/>
                                <w:szCs w:val="20"/>
                              </w:rPr>
                              <w:t>IPU Chair</w:t>
                            </w:r>
                            <w:r w:rsidRPr="000C3B64">
                              <w:rPr>
                                <w:rFonts w:asciiTheme="majorHAnsi" w:hAnsiTheme="majorHAnsi" w:cstheme="majorHAnsi"/>
                                <w:sz w:val="20"/>
                                <w:szCs w:val="20"/>
                              </w:rPr>
                              <w:t>: Louise Gartland, Executive Director, People, Culture and Strategy</w:t>
                            </w:r>
                          </w:p>
                          <w:p w14:paraId="5A0FECFD" w14:textId="77777777" w:rsidR="001206E5" w:rsidRPr="000C3B64" w:rsidRDefault="001206E5" w:rsidP="000C3B64">
                            <w:pPr>
                              <w:rPr>
                                <w:rFonts w:asciiTheme="majorHAnsi" w:hAnsiTheme="majorHAnsi" w:cstheme="majorHAnsi"/>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D31BC4" id="Text Box 91" o:spid="_x0000_s1085" type="#_x0000_t202" style="position:absolute;left:0;text-align:left;margin-left:358.8pt;margin-top:71.55pt;width:115.5pt;height:125.25pt;z-index:25166284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" fillcolor="white [3201]" strokeweight=".5pt">
                <v:textbox>
                  <w:txbxContent>
                    <w:p w14:paraId="389BBAAD" w14:textId="77777777" w:rsidR="001206E5" w:rsidRPr="000C3B64" w:rsidRDefault="001206E5" w:rsidP="000C3B64">
                      <w:pPr>
                        <w:rPr>
                          <w:rFonts w:asciiTheme="majorHAnsi" w:hAnsiTheme="majorHAnsi" w:cstheme="majorHAnsi"/>
                          <w:b/>
                          <w:sz w:val="20"/>
                          <w:szCs w:val="20"/>
                        </w:rPr>
                      </w:pPr>
                      <w:r w:rsidRPr="000C3B64">
                        <w:rPr>
                          <w:rFonts w:asciiTheme="majorHAnsi" w:hAnsiTheme="majorHAnsi" w:cstheme="majorHAnsi"/>
                          <w:b/>
                          <w:sz w:val="20"/>
                          <w:szCs w:val="20"/>
                        </w:rPr>
                        <w:t xml:space="preserve">AO: </w:t>
                      </w:r>
                      <w:r w:rsidRPr="000B5F61">
                        <w:rPr>
                          <w:rFonts w:asciiTheme="majorHAnsi" w:hAnsiTheme="majorHAnsi" w:cstheme="majorHAnsi"/>
                          <w:sz w:val="20"/>
                          <w:szCs w:val="20"/>
                        </w:rPr>
                        <w:t>Kerry Thompson,</w:t>
                      </w:r>
                      <w:r w:rsidRPr="000C3B64">
                        <w:rPr>
                          <w:rFonts w:asciiTheme="majorHAnsi" w:hAnsiTheme="majorHAnsi" w:cstheme="majorHAnsi"/>
                          <w:sz w:val="20"/>
                          <w:szCs w:val="20"/>
                        </w:rPr>
                        <w:t xml:space="preserve"> Chief Executive</w:t>
                      </w:r>
                    </w:p>
                    <w:p w14:paraId="495563B3" w14:textId="77777777" w:rsidR="001206E5" w:rsidRPr="000C3B64" w:rsidRDefault="001206E5" w:rsidP="000C3B64">
                      <w:pPr>
                        <w:rPr>
                          <w:rFonts w:asciiTheme="majorHAnsi" w:hAnsiTheme="majorHAnsi" w:cstheme="majorHAnsi"/>
                          <w:sz w:val="20"/>
                          <w:szCs w:val="20"/>
                        </w:rPr>
                      </w:pPr>
                      <w:r w:rsidRPr="000C3B64">
                        <w:rPr>
                          <w:rFonts w:asciiTheme="majorHAnsi" w:hAnsiTheme="majorHAnsi" w:cstheme="majorHAnsi"/>
                          <w:b/>
                          <w:sz w:val="20"/>
                          <w:szCs w:val="20"/>
                        </w:rPr>
                        <w:t>CPO</w:t>
                      </w:r>
                      <w:r w:rsidRPr="000C3B64">
                        <w:rPr>
                          <w:rFonts w:asciiTheme="majorHAnsi" w:hAnsiTheme="majorHAnsi" w:cstheme="majorHAnsi"/>
                          <w:sz w:val="20"/>
                          <w:szCs w:val="20"/>
                        </w:rPr>
                        <w:t>: Chris McNally, Director Procurement Services</w:t>
                      </w:r>
                    </w:p>
                    <w:p w14:paraId="6BDEB699" w14:textId="77777777" w:rsidR="001206E5" w:rsidRPr="000C3B64" w:rsidRDefault="001206E5" w:rsidP="000C3B64">
                      <w:pPr>
                        <w:rPr>
                          <w:rFonts w:asciiTheme="majorHAnsi" w:hAnsiTheme="majorHAnsi" w:cstheme="majorHAnsi"/>
                          <w:sz w:val="20"/>
                          <w:szCs w:val="20"/>
                        </w:rPr>
                      </w:pPr>
                      <w:r w:rsidRPr="000C3B64">
                        <w:rPr>
                          <w:rFonts w:asciiTheme="majorHAnsi" w:hAnsiTheme="majorHAnsi" w:cstheme="majorHAnsi"/>
                          <w:b/>
                          <w:sz w:val="20"/>
                          <w:szCs w:val="20"/>
                        </w:rPr>
                        <w:t>IPU Chair</w:t>
                      </w:r>
                      <w:r w:rsidRPr="000C3B64">
                        <w:rPr>
                          <w:rFonts w:asciiTheme="majorHAnsi" w:hAnsiTheme="majorHAnsi" w:cstheme="majorHAnsi"/>
                          <w:sz w:val="20"/>
                          <w:szCs w:val="20"/>
                        </w:rPr>
                        <w:t>: Louise Gartland, Executive Director, People, Culture and Strategy</w:t>
                      </w:r>
                    </w:p>
                    <w:p w14:paraId="5A0FECFD" w14:textId="77777777" w:rsidR="001206E5" w:rsidRPr="000C3B64" w:rsidRDefault="001206E5" w:rsidP="000C3B64">
                      <w:pPr>
                        <w:rPr>
                          <w:rFonts w:asciiTheme="majorHAnsi" w:hAnsiTheme="majorHAnsi" w:cstheme="majorHAnsi"/>
                          <w:sz w:val="20"/>
                          <w:szCs w:val="20"/>
                        </w:rPr>
                      </w:pPr>
                    </w:p>
                  </w:txbxContent>
                </v:textbox>
                <w10:wrap type="square" anchorx="margin" anchory="margin"/>
              </v:shape>
            </w:pict>
          </mc:Fallback>
        </mc:AlternateContent>
      </w:r>
      <w:r w:rsidRPr="00CD6245">
        <w:t>Procurement profile</w:t>
      </w:r>
    </w:p>
    <w:p w14:paraId="564F0F8A" w14:textId="6741B20D" w:rsidR="000C3B64" w:rsidRDefault="000C3B64" w:rsidP="000C3B64">
      <w:pPr>
        <w:pStyle w:val="Normal1"/>
      </w:pPr>
      <w:r w:rsidRPr="00274EB8">
        <w:t xml:space="preserve">Procurement is considered a key function of </w:t>
      </w:r>
      <w:r w:rsidR="0054602B">
        <w:t>VicRoads</w:t>
      </w:r>
      <w:r w:rsidRPr="00274EB8">
        <w:t xml:space="preserve"> and in delivering its serv</w:t>
      </w:r>
      <w:r>
        <w:t xml:space="preserve">ices. Each year, </w:t>
      </w:r>
      <w:r w:rsidR="0054602B">
        <w:t xml:space="preserve">VicRoads </w:t>
      </w:r>
      <w:r>
        <w:t>undertake</w:t>
      </w:r>
      <w:r w:rsidR="0054602B">
        <w:t>s</w:t>
      </w:r>
      <w:r>
        <w:t xml:space="preserve"> $1.9 billion</w:t>
      </w:r>
      <w:r w:rsidRPr="00274EB8">
        <w:t xml:space="preserve"> of building and construction</w:t>
      </w:r>
      <w:r>
        <w:t>-</w:t>
      </w:r>
      <w:r w:rsidRPr="00274EB8">
        <w:t>related procurement (8</w:t>
      </w:r>
      <w:r>
        <w:t>4 per cent) and $370 million (16 per cent</w:t>
      </w:r>
      <w:r w:rsidRPr="00274EB8">
        <w:t>) of goods and services</w:t>
      </w:r>
      <w:r>
        <w:t>-</w:t>
      </w:r>
      <w:r w:rsidRPr="00274EB8">
        <w:t>related procurement across a broad range of categories.</w:t>
      </w:r>
    </w:p>
    <w:p w14:paraId="3213FF65" w14:textId="07EAE8E3" w:rsidR="000C3B64" w:rsidRDefault="000C3B64" w:rsidP="000C3B64">
      <w:pPr>
        <w:pStyle w:val="Normal1"/>
      </w:pPr>
      <w:r w:rsidRPr="00D23104">
        <w:t xml:space="preserve">VicRoads has a centre-led procurement function which looks after the procurement governance arrangements, including policies, procedures and systems. This function supports </w:t>
      </w:r>
      <w:r w:rsidR="00092526">
        <w:t>each</w:t>
      </w:r>
      <w:r w:rsidR="00092526" w:rsidRPr="00D23104">
        <w:t xml:space="preserve"> </w:t>
      </w:r>
      <w:r w:rsidRPr="00D23104">
        <w:t xml:space="preserve">business area to </w:t>
      </w:r>
      <w:r>
        <w:t>c</w:t>
      </w:r>
      <w:r w:rsidRPr="00D23104">
        <w:t>arry out procurement activit</w:t>
      </w:r>
      <w:r w:rsidR="001949FA">
        <w:t>ies</w:t>
      </w:r>
      <w:r w:rsidRPr="00D23104">
        <w:t xml:space="preserve"> themselves.</w:t>
      </w:r>
    </w:p>
    <w:p w14:paraId="44398C80" w14:textId="70DED671" w:rsidR="000C3B64" w:rsidRDefault="000C3B64" w:rsidP="000C3B64">
      <w:pPr>
        <w:pStyle w:val="Normal1"/>
      </w:pPr>
      <w:r>
        <w:t xml:space="preserve">The Procurement Services unit is managed by the CPO and works with the </w:t>
      </w:r>
      <w:r w:rsidR="007B4D44">
        <w:t xml:space="preserve">IPU (the </w:t>
      </w:r>
      <w:r>
        <w:t>Procurement Governance Committee</w:t>
      </w:r>
      <w:r w:rsidR="007B4D44">
        <w:t>)</w:t>
      </w:r>
      <w:r w:rsidR="001949FA">
        <w:t xml:space="preserve"> </w:t>
      </w:r>
      <w:r>
        <w:t xml:space="preserve">to improve procurement practice capability, assurance and compliance with VGPB policies. </w:t>
      </w:r>
      <w:r w:rsidR="0054602B">
        <w:t xml:space="preserve">Its </w:t>
      </w:r>
      <w:r>
        <w:t xml:space="preserve">focus </w:t>
      </w:r>
      <w:r w:rsidR="0054602B">
        <w:t xml:space="preserve">is </w:t>
      </w:r>
      <w:r>
        <w:t xml:space="preserve">on maintaining VicRoads’ high standing as a government procurement organisation by ensuring probity, timeliness and value for money through </w:t>
      </w:r>
      <w:r w:rsidR="00092526">
        <w:t xml:space="preserve">its </w:t>
      </w:r>
      <w:r>
        <w:t>procurement activities.</w:t>
      </w:r>
    </w:p>
    <w:p w14:paraId="6ECFD6ED" w14:textId="2D6181E5" w:rsidR="000C3B64" w:rsidRDefault="000C3B64" w:rsidP="000C3B64">
      <w:pPr>
        <w:pStyle w:val="Normal1"/>
      </w:pPr>
      <w:r>
        <w:t>VicRoads has 11 categories of goods and services spend with 56 subcategories. Most procurement spend utilises SPCs. The largest areas of goods and services spend are in the categories of professional services (27 per cent), people services (25 per cent) and ICT goods and services (24 per cent).</w:t>
      </w:r>
    </w:p>
    <w:p w14:paraId="3675266D" w14:textId="77777777" w:rsidR="000C3B64" w:rsidRDefault="000C3B64" w:rsidP="000C3B64">
      <w:pPr>
        <w:pStyle w:val="Normal1"/>
      </w:pPr>
      <w:r>
        <w:t>In 2017–18, VicRoads established six new goods and services formal contracts with a whole-of-life value of $63 million and created 7 147 new purchase orders with an approximate total value of $302 million.</w:t>
      </w:r>
    </w:p>
    <w:p w14:paraId="475005D4" w14:textId="0BA52F1A" w:rsidR="000C3B64" w:rsidRDefault="0054602B" w:rsidP="000C3B64">
      <w:pPr>
        <w:pStyle w:val="Normal1"/>
      </w:pPr>
      <w:r>
        <w:t>VicRoads</w:t>
      </w:r>
      <w:r w:rsidDel="0054602B">
        <w:t xml:space="preserve"> </w:t>
      </w:r>
      <w:r w:rsidR="000C3B64">
        <w:t>ha</w:t>
      </w:r>
      <w:r>
        <w:t>s</w:t>
      </w:r>
      <w:r w:rsidR="000C3B64">
        <w:t xml:space="preserve"> procurement plans for higher complexity and risk procurements to provide assurance that appropriate strategies and the correct procurement approach </w:t>
      </w:r>
      <w:r w:rsidR="00F954CD">
        <w:t xml:space="preserve">are </w:t>
      </w:r>
      <w:r w:rsidR="000C3B64">
        <w:t xml:space="preserve">applied. These plans are approved by the category manager or CPO as per </w:t>
      </w:r>
      <w:r w:rsidR="00092526">
        <w:t xml:space="preserve">VicRoads’ </w:t>
      </w:r>
      <w:r w:rsidR="000C3B64">
        <w:t>governance arrangements.</w:t>
      </w:r>
    </w:p>
    <w:p w14:paraId="63FC74DF" w14:textId="77777777" w:rsidR="000C3B64" w:rsidRPr="007A584B" w:rsidRDefault="000C3B64" w:rsidP="000C3B64">
      <w:pPr>
        <w:pStyle w:val="Heading3NoNum"/>
      </w:pPr>
      <w:r w:rsidRPr="007A584B">
        <w:t>Compliance with VGPB policies and related activities</w:t>
      </w:r>
    </w:p>
    <w:p w14:paraId="671C8D90" w14:textId="02BAD9BD" w:rsidR="000C3B64" w:rsidRDefault="000C3B64" w:rsidP="000C3B64">
      <w:pPr>
        <w:pStyle w:val="Normal1"/>
        <w:rPr>
          <w:lang w:eastAsia="en-US"/>
        </w:rPr>
      </w:pPr>
      <w:r>
        <w:fldChar w:fldCharType="begin"/>
      </w:r>
      <w:r>
        <w:rPr>
          <w:lang w:eastAsia="en-US"/>
        </w:rPr>
        <w:instrText xml:space="preserve"> REF _Ref488698886 \h </w:instrText>
      </w:r>
      <w:r>
        <w:fldChar w:fldCharType="separate"/>
      </w:r>
      <w:r w:rsidR="00A07703" w:rsidRPr="007A584B">
        <w:t xml:space="preserve">Table </w:t>
      </w:r>
      <w:r w:rsidR="00A07703">
        <w:rPr>
          <w:noProof/>
        </w:rPr>
        <w:t>42</w:t>
      </w:r>
      <w:r>
        <w:fldChar w:fldCharType="end"/>
      </w:r>
      <w:r>
        <w:rPr>
          <w:lang w:eastAsia="en-US"/>
        </w:rPr>
        <w:t xml:space="preserve"> lists activities completed by </w:t>
      </w:r>
      <w:r>
        <w:t>VicRoads</w:t>
      </w:r>
      <w:r>
        <w:rPr>
          <w:lang w:eastAsia="en-US"/>
        </w:rPr>
        <w:t xml:space="preserve"> to ensure and improve compliance with VGPB supply policies. </w:t>
      </w:r>
      <w:r w:rsidRPr="00212617">
        <w:rPr>
          <w:lang w:eastAsia="en-US"/>
        </w:rPr>
        <w:t>Compliance activities are grouped by VGPB supply policy</w:t>
      </w:r>
      <w:r w:rsidR="00BF6445">
        <w:rPr>
          <w:lang w:eastAsia="en-US"/>
        </w:rPr>
        <w:t>,</w:t>
      </w:r>
      <w:r w:rsidRPr="00212617">
        <w:rPr>
          <w:lang w:eastAsia="en-US"/>
        </w:rPr>
        <w:t xml:space="preserve"> though activities often overlap with multiple policies.</w:t>
      </w:r>
    </w:p>
    <w:p w14:paraId="4D6FC57F" w14:textId="3E4F7933" w:rsidR="000C3B64" w:rsidRPr="007A584B" w:rsidRDefault="000C3B64" w:rsidP="000C3B64">
      <w:pPr>
        <w:pStyle w:val="Caption"/>
        <w:rPr>
          <w:lang w:eastAsia="en-US"/>
        </w:rPr>
      </w:pPr>
      <w:bookmarkStart w:id="229" w:name="_Ref488698886"/>
      <w:bookmarkStart w:id="230" w:name="_Toc524354035"/>
      <w:r w:rsidRPr="007A584B">
        <w:t xml:space="preserve">Table </w:t>
      </w:r>
      <w:r>
        <w:rPr>
          <w:noProof/>
        </w:rPr>
        <w:fldChar w:fldCharType="begin"/>
      </w:r>
      <w:r>
        <w:rPr>
          <w:noProof/>
        </w:rPr>
        <w:instrText xml:space="preserve"> SEQ Table \* ARABIC </w:instrText>
      </w:r>
      <w:r>
        <w:rPr>
          <w:noProof/>
        </w:rPr>
        <w:fldChar w:fldCharType="separate"/>
      </w:r>
      <w:r w:rsidR="00A07703">
        <w:rPr>
          <w:noProof/>
        </w:rPr>
        <w:t>42</w:t>
      </w:r>
      <w:r>
        <w:rPr>
          <w:noProof/>
        </w:rPr>
        <w:fldChar w:fldCharType="end"/>
      </w:r>
      <w:bookmarkEnd w:id="229"/>
      <w:r>
        <w:t xml:space="preserve">: VicRoads’ </w:t>
      </w:r>
      <w:r w:rsidRPr="007A584B">
        <w:t>compliance activities in 201</w:t>
      </w:r>
      <w:r>
        <w:t>7–18</w:t>
      </w:r>
      <w:bookmarkEnd w:id="230"/>
    </w:p>
    <w:tbl>
      <w:tblPr>
        <w:tblStyle w:val="ListTable31"/>
        <w:tblW w:w="9072" w:type="dxa"/>
        <w:tblInd w:w="704" w:type="dxa"/>
        <w:tblLook w:val="04A0" w:firstRow="1" w:lastRow="0" w:firstColumn="1" w:lastColumn="0" w:noHBand="0" w:noVBand="1"/>
      </w:tblPr>
      <w:tblGrid>
        <w:gridCol w:w="1701"/>
        <w:gridCol w:w="7371"/>
      </w:tblGrid>
      <w:tr w:rsidR="000C3B64" w:rsidRPr="000C3B64" w14:paraId="64D1D97B" w14:textId="77777777" w:rsidTr="00F66493">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701" w:type="dxa"/>
          </w:tcPr>
          <w:p w14:paraId="53F88076" w14:textId="77777777" w:rsidR="000C3B64" w:rsidRPr="000C3B64" w:rsidRDefault="000C3B64" w:rsidP="0020340A">
            <w:pPr>
              <w:pStyle w:val="TableText"/>
            </w:pPr>
            <w:r w:rsidRPr="000C3B64">
              <w:t>VGPB policy</w:t>
            </w:r>
          </w:p>
        </w:tc>
        <w:tc>
          <w:tcPr>
            <w:tcW w:w="7371" w:type="dxa"/>
          </w:tcPr>
          <w:p w14:paraId="7F651B36" w14:textId="77777777" w:rsidR="000C3B64" w:rsidRPr="000C3B64" w:rsidRDefault="000C3B64" w:rsidP="0020340A">
            <w:pPr>
              <w:pStyle w:val="TableText"/>
              <w:cnfStyle w:val="100000000000" w:firstRow="1" w:lastRow="0" w:firstColumn="0" w:lastColumn="0" w:oddVBand="0" w:evenVBand="0" w:oddHBand="0" w:evenHBand="0" w:firstRowFirstColumn="0" w:firstRowLastColumn="0" w:lastRowFirstColumn="0" w:lastRowLastColumn="0"/>
            </w:pPr>
            <w:r w:rsidRPr="000C3B64">
              <w:t>Activities</w:t>
            </w:r>
          </w:p>
        </w:tc>
      </w:tr>
      <w:tr w:rsidR="000C3B64" w:rsidRPr="000C3B64" w14:paraId="17B76956" w14:textId="77777777" w:rsidTr="002034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14:paraId="61912F0E" w14:textId="77777777" w:rsidR="000C3B64" w:rsidRPr="000C3B64" w:rsidRDefault="000C3B64" w:rsidP="000C3B64">
            <w:pPr>
              <w:pStyle w:val="TableText"/>
              <w:rPr>
                <w:rFonts w:asciiTheme="majorHAnsi" w:hAnsiTheme="majorHAnsi" w:cstheme="majorHAnsi"/>
              </w:rPr>
            </w:pPr>
            <w:r w:rsidRPr="000C3B64">
              <w:rPr>
                <w:rFonts w:asciiTheme="majorHAnsi" w:hAnsiTheme="majorHAnsi" w:cstheme="majorHAnsi"/>
              </w:rPr>
              <w:t xml:space="preserve">Governance </w:t>
            </w:r>
          </w:p>
        </w:tc>
        <w:tc>
          <w:tcPr>
            <w:tcW w:w="7371" w:type="dxa"/>
          </w:tcPr>
          <w:p w14:paraId="19C71118" w14:textId="0C464F93" w:rsidR="000C3B64" w:rsidRPr="001660DC" w:rsidRDefault="00A74D73" w:rsidP="00822FA3">
            <w:pPr>
              <w:pStyle w:val="TableBullet"/>
              <w:cnfStyle w:val="000000100000" w:firstRow="0" w:lastRow="0" w:firstColumn="0" w:lastColumn="0" w:oddVBand="0" w:evenVBand="0" w:oddHBand="1" w:evenHBand="0" w:firstRowFirstColumn="0" w:firstRowLastColumn="0" w:lastRowFirstColumn="0" w:lastRowLastColumn="0"/>
            </w:pPr>
            <w:r w:rsidRPr="001660DC">
              <w:rPr>
                <w:snapToGrid w:val="0"/>
              </w:rPr>
              <w:t>Developed a</w:t>
            </w:r>
            <w:r w:rsidRPr="001660DC">
              <w:t xml:space="preserve"> social procurement policy, strategy, implementation plan and internal communications plan to b</w:t>
            </w:r>
            <w:r w:rsidR="000C3B64" w:rsidRPr="001660DC">
              <w:t xml:space="preserve">roaden </w:t>
            </w:r>
            <w:r w:rsidRPr="001660DC">
              <w:t xml:space="preserve">VicRoads’ </w:t>
            </w:r>
            <w:r w:rsidR="000C3B64" w:rsidRPr="001660DC">
              <w:t>approach to social procurement</w:t>
            </w:r>
            <w:r w:rsidRPr="001660DC">
              <w:t>,</w:t>
            </w:r>
            <w:r w:rsidR="000C3B64" w:rsidRPr="001660DC">
              <w:t xml:space="preserve"> so that </w:t>
            </w:r>
            <w:r w:rsidRPr="001660DC">
              <w:t>its</w:t>
            </w:r>
            <w:r w:rsidR="000C3B64" w:rsidRPr="001660DC">
              <w:t xml:space="preserve"> buying power </w:t>
            </w:r>
            <w:r w:rsidR="000C3B64" w:rsidRPr="001660DC">
              <w:rPr>
                <w:snapToGrid w:val="0"/>
              </w:rPr>
              <w:t>generates social value above and beyond the value of the goods, services or construction being procured.</w:t>
            </w:r>
          </w:p>
          <w:p w14:paraId="4FBA1B60" w14:textId="01C25B72" w:rsidR="00A74D73" w:rsidRPr="001660DC" w:rsidRDefault="00A74D73" w:rsidP="00A74D73">
            <w:pPr>
              <w:pStyle w:val="TableBulle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1660DC">
              <w:t>R</w:t>
            </w:r>
            <w:r w:rsidR="000C3B64" w:rsidRPr="001660DC">
              <w:t xml:space="preserve">an supplier awareness and capability campaigns for industry, social enterprises, </w:t>
            </w:r>
            <w:r w:rsidR="00BF6445" w:rsidRPr="001660DC">
              <w:t>Aboriginal</w:t>
            </w:r>
            <w:r w:rsidR="000C3B64" w:rsidRPr="001660DC">
              <w:t>-owned businesses and disability enterprises through a series of briefings, presentations and early market capability assessments.</w:t>
            </w:r>
          </w:p>
          <w:p w14:paraId="04E77381" w14:textId="308E407C" w:rsidR="000C3B64" w:rsidRPr="001660DC" w:rsidRDefault="00A74D73" w:rsidP="00822FA3">
            <w:pPr>
              <w:pStyle w:val="TableBullet"/>
              <w:cnfStyle w:val="000000100000" w:firstRow="0" w:lastRow="0" w:firstColumn="0" w:lastColumn="0" w:oddVBand="0" w:evenVBand="0" w:oddHBand="1" w:evenHBand="0" w:firstRowFirstColumn="0" w:firstRowLastColumn="0" w:lastRowFirstColumn="0" w:lastRowLastColumn="0"/>
              <w:rPr>
                <w:rStyle w:val="s1"/>
                <w:rFonts w:asciiTheme="majorHAnsi" w:hAnsiTheme="majorHAnsi" w:cstheme="majorHAnsi"/>
              </w:rPr>
            </w:pPr>
            <w:r w:rsidRPr="001660DC">
              <w:rPr>
                <w:rStyle w:val="s1"/>
                <w:rFonts w:asciiTheme="majorHAnsi" w:hAnsiTheme="majorHAnsi" w:cstheme="majorHAnsi"/>
              </w:rPr>
              <w:t>C</w:t>
            </w:r>
            <w:r w:rsidR="000C3B64" w:rsidRPr="001660DC">
              <w:rPr>
                <w:rStyle w:val="s1"/>
                <w:rFonts w:asciiTheme="majorHAnsi" w:hAnsiTheme="majorHAnsi" w:cstheme="majorHAnsi"/>
              </w:rPr>
              <w:t>ontinue</w:t>
            </w:r>
            <w:r w:rsidR="00BF6445" w:rsidRPr="001660DC">
              <w:rPr>
                <w:rStyle w:val="s1"/>
                <w:rFonts w:asciiTheme="majorHAnsi" w:hAnsiTheme="majorHAnsi" w:cstheme="majorHAnsi"/>
              </w:rPr>
              <w:t>d</w:t>
            </w:r>
            <w:r w:rsidR="000C3B64" w:rsidRPr="001660DC">
              <w:rPr>
                <w:rStyle w:val="s1"/>
                <w:rFonts w:asciiTheme="majorHAnsi" w:hAnsiTheme="majorHAnsi" w:cstheme="majorHAnsi"/>
              </w:rPr>
              <w:t xml:space="preserve"> to work with industry and community networks to identify and implement opportunities, in particular in relation to Traditional Owner Land Management Agreements, engaging with Social Traders, Supply Nation, Kinaway and BuyAbility, as well as GROW </w:t>
            </w:r>
            <w:r w:rsidR="00BF6445" w:rsidRPr="001660DC">
              <w:rPr>
                <w:rStyle w:val="s1"/>
                <w:rFonts w:asciiTheme="majorHAnsi" w:hAnsiTheme="majorHAnsi" w:cstheme="majorHAnsi"/>
              </w:rPr>
              <w:t>(</w:t>
            </w:r>
            <w:r w:rsidR="00BF6445" w:rsidRPr="001660DC">
              <w:rPr>
                <w:rStyle w:val="Emphasis"/>
                <w:i w:val="0"/>
              </w:rPr>
              <w:t>Growing</w:t>
            </w:r>
            <w:r w:rsidR="00BF6445" w:rsidRPr="001660DC">
              <w:rPr>
                <w:rStyle w:val="st"/>
                <w:i/>
              </w:rPr>
              <w:t xml:space="preserve"> </w:t>
            </w:r>
            <w:r w:rsidR="00BF6445" w:rsidRPr="001660DC">
              <w:rPr>
                <w:rStyle w:val="st"/>
              </w:rPr>
              <w:t>Regional Opportunities for Work)</w:t>
            </w:r>
            <w:r w:rsidR="00BF6445" w:rsidRPr="001660DC">
              <w:rPr>
                <w:rStyle w:val="s1"/>
                <w:rFonts w:asciiTheme="majorHAnsi" w:hAnsiTheme="majorHAnsi" w:cstheme="majorHAnsi"/>
              </w:rPr>
              <w:t xml:space="preserve"> </w:t>
            </w:r>
            <w:r w:rsidR="000C3B64" w:rsidRPr="001660DC">
              <w:rPr>
                <w:rStyle w:val="s1"/>
                <w:rFonts w:asciiTheme="majorHAnsi" w:hAnsiTheme="majorHAnsi" w:cstheme="majorHAnsi"/>
              </w:rPr>
              <w:t>Geelong and Gippsland to address disadvantage in the regions.</w:t>
            </w:r>
          </w:p>
          <w:p w14:paraId="3E46CEAA" w14:textId="1D8A22D4" w:rsidR="000C3B64" w:rsidRPr="001660DC" w:rsidRDefault="007B4D44" w:rsidP="00822FA3">
            <w:pPr>
              <w:pStyle w:val="TableBullet"/>
              <w:cnfStyle w:val="000000100000" w:firstRow="0" w:lastRow="0" w:firstColumn="0" w:lastColumn="0" w:oddVBand="0" w:evenVBand="0" w:oddHBand="1" w:evenHBand="0" w:firstRowFirstColumn="0" w:firstRowLastColumn="0" w:lastRowFirstColumn="0" w:lastRowLastColumn="0"/>
            </w:pPr>
            <w:r>
              <w:lastRenderedPageBreak/>
              <w:t>In</w:t>
            </w:r>
            <w:r w:rsidRPr="001660DC">
              <w:t>corporated</w:t>
            </w:r>
            <w:r w:rsidR="000C3B64" w:rsidRPr="001660DC">
              <w:t xml:space="preserve"> minimum participation and procurement clauses </w:t>
            </w:r>
            <w:r w:rsidR="000B5F61">
              <w:t xml:space="preserve">for Aboriginal-owned businesses, social enterprises and disability enterprises </w:t>
            </w:r>
            <w:r w:rsidR="000C3B64" w:rsidRPr="001660DC">
              <w:t xml:space="preserve">in pilot formal contracts and through </w:t>
            </w:r>
            <w:r w:rsidR="00B33C59" w:rsidRPr="001660DC">
              <w:t>second</w:t>
            </w:r>
            <w:r w:rsidR="000C3B64" w:rsidRPr="001660DC">
              <w:t xml:space="preserve"> tiering with DTF SPCs.</w:t>
            </w:r>
          </w:p>
          <w:p w14:paraId="3D732F71" w14:textId="55DD5464" w:rsidR="000C3B64" w:rsidRPr="001660DC" w:rsidRDefault="000C3B64" w:rsidP="00822FA3">
            <w:pPr>
              <w:pStyle w:val="TableBullet"/>
              <w:cnfStyle w:val="000000100000" w:firstRow="0" w:lastRow="0" w:firstColumn="0" w:lastColumn="0" w:oddVBand="0" w:evenVBand="0" w:oddHBand="1" w:evenHBand="0" w:firstRowFirstColumn="0" w:firstRowLastColumn="0" w:lastRowFirstColumn="0" w:lastRowLastColumn="0"/>
            </w:pPr>
            <w:r w:rsidRPr="001660DC">
              <w:rPr>
                <w:snapToGrid w:val="0"/>
              </w:rPr>
              <w:t xml:space="preserve">The </w:t>
            </w:r>
            <w:r w:rsidR="00A74D73" w:rsidRPr="001660DC">
              <w:rPr>
                <w:snapToGrid w:val="0"/>
              </w:rPr>
              <w:t>Procurement Governance Committee</w:t>
            </w:r>
            <w:r w:rsidR="006226A6" w:rsidRPr="001660DC">
              <w:rPr>
                <w:snapToGrid w:val="0"/>
              </w:rPr>
              <w:t xml:space="preserve"> </w:t>
            </w:r>
            <w:r w:rsidRPr="001660DC">
              <w:t>continue</w:t>
            </w:r>
            <w:r w:rsidR="00BF6445" w:rsidRPr="001660DC">
              <w:t>d</w:t>
            </w:r>
            <w:r w:rsidRPr="001660DC">
              <w:t xml:space="preserve"> to give strategic oversight and endorsement to ensure procurements comply with VGPB principles and policies.</w:t>
            </w:r>
          </w:p>
          <w:p w14:paraId="3A916E7A" w14:textId="5C27373A" w:rsidR="000C3B64" w:rsidRPr="00B23FDA" w:rsidRDefault="00A74D73" w:rsidP="00B23FDA">
            <w:pPr>
              <w:pStyle w:val="TableBullet"/>
              <w:cnfStyle w:val="000000100000" w:firstRow="0" w:lastRow="0" w:firstColumn="0" w:lastColumn="0" w:oddVBand="0" w:evenVBand="0" w:oddHBand="1" w:evenHBand="0" w:firstRowFirstColumn="0" w:firstRowLastColumn="0" w:lastRowFirstColumn="0" w:lastRowLastColumn="0"/>
            </w:pPr>
            <w:r w:rsidRPr="00B23FDA">
              <w:rPr>
                <w:snapToGrid w:val="0"/>
              </w:rPr>
              <w:t>D</w:t>
            </w:r>
            <w:r w:rsidR="000C3B64" w:rsidRPr="00B23FDA">
              <w:rPr>
                <w:snapToGrid w:val="0"/>
              </w:rPr>
              <w:t>eveloped an e</w:t>
            </w:r>
            <w:r w:rsidR="00B33C59" w:rsidRPr="00B23FDA">
              <w:rPr>
                <w:snapToGrid w:val="0"/>
              </w:rPr>
              <w:t>-p</w:t>
            </w:r>
            <w:r w:rsidR="000C3B64" w:rsidRPr="00B23FDA">
              <w:rPr>
                <w:snapToGrid w:val="0"/>
              </w:rPr>
              <w:t xml:space="preserve">rocurement strategy which includes </w:t>
            </w:r>
            <w:r w:rsidR="000C3B64" w:rsidRPr="001660DC">
              <w:t xml:space="preserve">implementing source-to-contract </w:t>
            </w:r>
            <w:r w:rsidR="00BF6445" w:rsidRPr="001660DC">
              <w:t xml:space="preserve">software </w:t>
            </w:r>
            <w:r w:rsidR="000C3B64" w:rsidRPr="001660DC">
              <w:t xml:space="preserve">as soon as </w:t>
            </w:r>
            <w:r w:rsidR="00BF6445" w:rsidRPr="001660DC">
              <w:t>possible</w:t>
            </w:r>
            <w:r w:rsidR="000C3B64" w:rsidRPr="001660DC">
              <w:t xml:space="preserve">. </w:t>
            </w:r>
            <w:r w:rsidRPr="001660DC">
              <w:t xml:space="preserve">VicRoads prepared </w:t>
            </w:r>
            <w:r w:rsidR="000C3B64" w:rsidRPr="001660DC">
              <w:t xml:space="preserve">a business case </w:t>
            </w:r>
            <w:r w:rsidR="00BF6445" w:rsidRPr="001660DC">
              <w:t>on</w:t>
            </w:r>
            <w:r w:rsidR="000C3B64" w:rsidRPr="001660DC">
              <w:t xml:space="preserve"> implementing a complete </w:t>
            </w:r>
            <w:r w:rsidR="00CF5F3A" w:rsidRPr="001660DC">
              <w:t>procure-to-pay</w:t>
            </w:r>
            <w:r w:rsidR="000C3B64" w:rsidRPr="001660DC">
              <w:t xml:space="preserve"> system to replace the current pre-award system and to automate accounts payable</w:t>
            </w:r>
            <w:r w:rsidRPr="001660DC">
              <w:t xml:space="preserve"> and </w:t>
            </w:r>
            <w:r w:rsidR="000C3B64" w:rsidRPr="001660DC">
              <w:t xml:space="preserve">gave input to the </w:t>
            </w:r>
            <w:r w:rsidR="00097647" w:rsidRPr="001660DC">
              <w:t xml:space="preserve">WoVG </w:t>
            </w:r>
            <w:r w:rsidR="000C3B64" w:rsidRPr="001660DC">
              <w:t>Statement of Directions for Procurement Systems.</w:t>
            </w:r>
            <w:r w:rsidR="00B23FDA">
              <w:t xml:space="preserve"> </w:t>
            </w:r>
            <w:r w:rsidRPr="00B23FDA">
              <w:t>In the meantime, VicRoads continued to</w:t>
            </w:r>
            <w:r w:rsidR="000C3B64" w:rsidRPr="00B23FDA">
              <w:t xml:space="preserve"> improv</w:t>
            </w:r>
            <w:r w:rsidRPr="00B23FDA">
              <w:t xml:space="preserve">e its </w:t>
            </w:r>
            <w:r w:rsidR="000C3B64" w:rsidRPr="00B23FDA">
              <w:t>pre-award system</w:t>
            </w:r>
            <w:r w:rsidRPr="00B23FDA">
              <w:t xml:space="preserve">, </w:t>
            </w:r>
            <w:r w:rsidR="000C3B64" w:rsidRPr="00B23FDA">
              <w:t>mak</w:t>
            </w:r>
            <w:r w:rsidRPr="00B23FDA">
              <w:t>ing</w:t>
            </w:r>
            <w:r w:rsidR="000C3B64" w:rsidRPr="00B23FDA">
              <w:t xml:space="preserve"> it more user-friendly with better system controls</w:t>
            </w:r>
            <w:r w:rsidRPr="00B23FDA">
              <w:t xml:space="preserve">, and </w:t>
            </w:r>
            <w:r w:rsidR="006C4438" w:rsidRPr="00B23FDA">
              <w:t>the</w:t>
            </w:r>
            <w:r w:rsidRPr="00B23FDA">
              <w:t xml:space="preserve"> </w:t>
            </w:r>
            <w:r w:rsidR="000C3B64" w:rsidRPr="00B23FDA">
              <w:t>Contract Register System to capture more complete information and improve usability.</w:t>
            </w:r>
          </w:p>
          <w:p w14:paraId="78480367" w14:textId="006781D0" w:rsidR="000C3B64" w:rsidRPr="001660DC" w:rsidRDefault="00A74D73" w:rsidP="00822FA3">
            <w:pPr>
              <w:pStyle w:val="TableBullet"/>
              <w:cnfStyle w:val="000000100000" w:firstRow="0" w:lastRow="0" w:firstColumn="0" w:lastColumn="0" w:oddVBand="0" w:evenVBand="0" w:oddHBand="1" w:evenHBand="0" w:firstRowFirstColumn="0" w:firstRowLastColumn="0" w:lastRowFirstColumn="0" w:lastRowLastColumn="0"/>
            </w:pPr>
            <w:r w:rsidRPr="001660DC">
              <w:t>R</w:t>
            </w:r>
            <w:r w:rsidR="000C3B64" w:rsidRPr="001660DC">
              <w:t>an a successful pilot to introduce an electronic form with an automated workflow, prefilling and approval process. These forms reduce manual data input, which helps users follow the correct process, streamlines authorisations and gives more accurate data.</w:t>
            </w:r>
          </w:p>
          <w:p w14:paraId="7DB77263" w14:textId="6FD5677F" w:rsidR="000C3B64" w:rsidRPr="001660DC" w:rsidRDefault="00A74D73" w:rsidP="00822FA3">
            <w:pPr>
              <w:pStyle w:val="TableBullet"/>
              <w:cnfStyle w:val="000000100000" w:firstRow="0" w:lastRow="0" w:firstColumn="0" w:lastColumn="0" w:oddVBand="0" w:evenVBand="0" w:oddHBand="1" w:evenHBand="0" w:firstRowFirstColumn="0" w:firstRowLastColumn="0" w:lastRowFirstColumn="0" w:lastRowLastColumn="0"/>
            </w:pPr>
            <w:r w:rsidRPr="001660DC">
              <w:t>C</w:t>
            </w:r>
            <w:r w:rsidR="000C3B64" w:rsidRPr="001660DC">
              <w:t>ontinue</w:t>
            </w:r>
            <w:r w:rsidR="00D80697" w:rsidRPr="001660DC">
              <w:t>d</w:t>
            </w:r>
            <w:r w:rsidR="000C3B64" w:rsidRPr="001660DC">
              <w:t xml:space="preserve"> to develop, implement and review</w:t>
            </w:r>
            <w:r w:rsidRPr="001660DC">
              <w:t xml:space="preserve"> VicRoads’</w:t>
            </w:r>
            <w:r w:rsidR="000C3B64" w:rsidRPr="001660DC">
              <w:t xml:space="preserve"> Procurement Assurance Program </w:t>
            </w:r>
            <w:r w:rsidR="000C3B64" w:rsidRPr="001660DC">
              <w:rPr>
                <w:color w:val="000000"/>
                <w:szCs w:val="18"/>
              </w:rPr>
              <w:t>to identify procurement anomalies and progressively improve the integrity of procurement practices</w:t>
            </w:r>
            <w:r w:rsidR="000C3B64" w:rsidRPr="001660DC">
              <w:t xml:space="preserve">. This included activities such as using business intelligence reports and dashboards to measure progress, training staff on the purpose of the </w:t>
            </w:r>
            <w:r w:rsidR="00D80697" w:rsidRPr="001660DC">
              <w:t>p</w:t>
            </w:r>
            <w:r w:rsidR="000C3B64" w:rsidRPr="001660DC">
              <w:t xml:space="preserve">rogram, using </w:t>
            </w:r>
            <w:r w:rsidR="00D80697" w:rsidRPr="001660DC">
              <w:t>Independent Broad-based Anti-corruption Commission</w:t>
            </w:r>
            <w:r w:rsidR="00CF5F3A" w:rsidRPr="001660DC">
              <w:t xml:space="preserve"> (IBAC)</w:t>
            </w:r>
            <w:r w:rsidR="000C3B64" w:rsidRPr="001660DC">
              <w:t xml:space="preserve"> reports and internal audit results to update the </w:t>
            </w:r>
            <w:r w:rsidR="00BF6445" w:rsidRPr="001660DC">
              <w:t>program</w:t>
            </w:r>
            <w:r w:rsidR="000C3B64" w:rsidRPr="001660DC">
              <w:t>, implementing an action plan to address IBAC’s red flags of corruption, and talking to executives about the findings in their business area.</w:t>
            </w:r>
          </w:p>
          <w:p w14:paraId="01AC366E" w14:textId="6C65D843" w:rsidR="000C3B64" w:rsidRPr="001660DC" w:rsidRDefault="00A74D73" w:rsidP="00822FA3">
            <w:pPr>
              <w:pStyle w:val="TableBullet"/>
              <w:cnfStyle w:val="000000100000" w:firstRow="0" w:lastRow="0" w:firstColumn="0" w:lastColumn="0" w:oddVBand="0" w:evenVBand="0" w:oddHBand="1" w:evenHBand="0" w:firstRowFirstColumn="0" w:firstRowLastColumn="0" w:lastRowFirstColumn="0" w:lastRowLastColumn="0"/>
            </w:pPr>
            <w:r w:rsidRPr="001660DC">
              <w:t>The</w:t>
            </w:r>
            <w:r w:rsidR="00BB5183" w:rsidRPr="001660DC">
              <w:t xml:space="preserve"> Procurement Services unit</w:t>
            </w:r>
            <w:r w:rsidR="000C3B64" w:rsidRPr="001660DC">
              <w:t xml:space="preserve"> increased face-to-face engagement with business areas </w:t>
            </w:r>
            <w:r w:rsidR="00BB5183" w:rsidRPr="001660DC">
              <w:t>on</w:t>
            </w:r>
            <w:r w:rsidR="000C3B64" w:rsidRPr="001660DC">
              <w:t xml:space="preserve"> procurement processes and practices, identifying business improvement opportunities, procurement integrity issues and emerging issues. This </w:t>
            </w:r>
            <w:r w:rsidR="00BB5183" w:rsidRPr="001660DC">
              <w:rPr>
                <w:color w:val="000000"/>
                <w:szCs w:val="18"/>
              </w:rPr>
              <w:t>was done by</w:t>
            </w:r>
            <w:r w:rsidR="000C3B64" w:rsidRPr="001660DC">
              <w:t xml:space="preserve"> schedul</w:t>
            </w:r>
            <w:r w:rsidR="00BB5183" w:rsidRPr="001660DC">
              <w:t>ing</w:t>
            </w:r>
            <w:r w:rsidR="000C3B64" w:rsidRPr="001660DC">
              <w:t xml:space="preserve"> visits to major regional and metropolitan offices.</w:t>
            </w:r>
          </w:p>
          <w:p w14:paraId="46B0D42E" w14:textId="0A54810A" w:rsidR="000C3B64" w:rsidRPr="001660DC" w:rsidRDefault="000C3B64" w:rsidP="00822FA3">
            <w:pPr>
              <w:pStyle w:val="TableBullet"/>
              <w:cnfStyle w:val="000000100000" w:firstRow="0" w:lastRow="0" w:firstColumn="0" w:lastColumn="0" w:oddVBand="0" w:evenVBand="0" w:oddHBand="1" w:evenHBand="0" w:firstRowFirstColumn="0" w:firstRowLastColumn="0" w:lastRowFirstColumn="0" w:lastRowLastColumn="0"/>
            </w:pPr>
            <w:r w:rsidRPr="001660DC">
              <w:t>Th</w:t>
            </w:r>
            <w:r w:rsidR="00A74D73" w:rsidRPr="001660DC">
              <w:t>e</w:t>
            </w:r>
            <w:r w:rsidRPr="001660DC">
              <w:t xml:space="preserve"> </w:t>
            </w:r>
            <w:r w:rsidR="00A74D73" w:rsidRPr="001660DC">
              <w:t xml:space="preserve">VicRoads Community of Practice Group </w:t>
            </w:r>
            <w:r w:rsidRPr="001660DC">
              <w:t>continue</w:t>
            </w:r>
            <w:r w:rsidR="00A74D73" w:rsidRPr="001660DC">
              <w:t>d</w:t>
            </w:r>
            <w:r w:rsidRPr="001660DC">
              <w:t xml:space="preserve"> to work across</w:t>
            </w:r>
            <w:r w:rsidR="00092526" w:rsidRPr="001660DC">
              <w:t xml:space="preserve"> the organisation</w:t>
            </w:r>
            <w:r w:rsidRPr="001660DC">
              <w:t xml:space="preserve"> with the intent of refining </w:t>
            </w:r>
            <w:r w:rsidR="00092526" w:rsidRPr="001660DC">
              <w:t xml:space="preserve">the </w:t>
            </w:r>
            <w:r w:rsidRPr="001660DC">
              <w:t>category management approach, sharing information</w:t>
            </w:r>
            <w:r w:rsidR="00137613" w:rsidRPr="001660DC">
              <w:t xml:space="preserve"> and</w:t>
            </w:r>
            <w:r w:rsidRPr="001660DC">
              <w:t xml:space="preserve"> improving end-to-end procurement processes and outcomes.</w:t>
            </w:r>
          </w:p>
          <w:p w14:paraId="08C8C7BA" w14:textId="087CE2AF" w:rsidR="000C3B64" w:rsidRPr="001660DC" w:rsidRDefault="00A74D73" w:rsidP="00822FA3">
            <w:pPr>
              <w:pStyle w:val="TableBullet"/>
              <w:cnfStyle w:val="000000100000" w:firstRow="0" w:lastRow="0" w:firstColumn="0" w:lastColumn="0" w:oddVBand="0" w:evenVBand="0" w:oddHBand="1" w:evenHBand="0" w:firstRowFirstColumn="0" w:firstRowLastColumn="0" w:lastRowFirstColumn="0" w:lastRowLastColumn="0"/>
            </w:pPr>
            <w:r w:rsidRPr="001660DC">
              <w:t>C</w:t>
            </w:r>
            <w:r w:rsidR="000C3B64" w:rsidRPr="001660DC">
              <w:t>ompleted a desktop review of modern slavery to understand what other organisations are doing to address modern slavery risks in their supplier chain, best practice approaches and what need</w:t>
            </w:r>
            <w:r w:rsidR="0054602B" w:rsidRPr="001660DC">
              <w:t>s</w:t>
            </w:r>
            <w:r w:rsidR="000C3B64" w:rsidRPr="001660DC">
              <w:t xml:space="preserve"> to </w:t>
            </w:r>
            <w:r w:rsidR="0054602B" w:rsidRPr="001660DC">
              <w:t xml:space="preserve">be done </w:t>
            </w:r>
            <w:r w:rsidR="000C3B64" w:rsidRPr="001660DC">
              <w:t xml:space="preserve">to ensure </w:t>
            </w:r>
            <w:r w:rsidR="0054602B" w:rsidRPr="001660DC">
              <w:t>VicRoads</w:t>
            </w:r>
            <w:r w:rsidR="000C3B64" w:rsidRPr="001660DC">
              <w:t xml:space="preserve"> can manage these risks.</w:t>
            </w:r>
          </w:p>
          <w:p w14:paraId="19A2DAFA" w14:textId="3A111A3B" w:rsidR="000C3B64" w:rsidRPr="001660DC" w:rsidRDefault="00A74D73" w:rsidP="00822FA3">
            <w:pPr>
              <w:pStyle w:val="TableBullet"/>
              <w:cnfStyle w:val="000000100000" w:firstRow="0" w:lastRow="0" w:firstColumn="0" w:lastColumn="0" w:oddVBand="0" w:evenVBand="0" w:oddHBand="1" w:evenHBand="0" w:firstRowFirstColumn="0" w:firstRowLastColumn="0" w:lastRowFirstColumn="0" w:lastRowLastColumn="0"/>
              <w:rPr>
                <w:snapToGrid w:val="0"/>
              </w:rPr>
            </w:pPr>
            <w:r w:rsidRPr="001660DC">
              <w:t>The</w:t>
            </w:r>
            <w:r w:rsidR="000C3B64" w:rsidRPr="001660DC">
              <w:t xml:space="preserve"> </w:t>
            </w:r>
            <w:r w:rsidR="000C3B64" w:rsidRPr="001660DC">
              <w:rPr>
                <w:color w:val="000000"/>
              </w:rPr>
              <w:t>Procurement Services unit continued to work with customers and stakeholders to identify and remove inconsistencies in policy and practice and unnecessarily bureaucratic processes that add little value.</w:t>
            </w:r>
          </w:p>
        </w:tc>
      </w:tr>
      <w:tr w:rsidR="000C3B64" w:rsidRPr="000C3B64" w14:paraId="4556FBD0" w14:textId="77777777" w:rsidTr="0020340A">
        <w:tc>
          <w:tcPr>
            <w:cnfStyle w:val="001000000000" w:firstRow="0" w:lastRow="0" w:firstColumn="1" w:lastColumn="0" w:oddVBand="0" w:evenVBand="0" w:oddHBand="0" w:evenHBand="0" w:firstRowFirstColumn="0" w:firstRowLastColumn="0" w:lastRowFirstColumn="0" w:lastRowLastColumn="0"/>
            <w:tcW w:w="1701" w:type="dxa"/>
          </w:tcPr>
          <w:p w14:paraId="7250CAC7" w14:textId="77777777" w:rsidR="000C3B64" w:rsidRPr="000C3B64" w:rsidRDefault="000C3B64" w:rsidP="000C3B64">
            <w:pPr>
              <w:pStyle w:val="TableText"/>
              <w:rPr>
                <w:rFonts w:asciiTheme="majorHAnsi" w:hAnsiTheme="majorHAnsi" w:cstheme="majorHAnsi"/>
              </w:rPr>
            </w:pPr>
            <w:r w:rsidRPr="000C3B64">
              <w:rPr>
                <w:rFonts w:asciiTheme="majorHAnsi" w:hAnsiTheme="majorHAnsi" w:cstheme="majorHAnsi"/>
              </w:rPr>
              <w:lastRenderedPageBreak/>
              <w:t>Complexity and capability</w:t>
            </w:r>
          </w:p>
        </w:tc>
        <w:tc>
          <w:tcPr>
            <w:tcW w:w="7371" w:type="dxa"/>
          </w:tcPr>
          <w:p w14:paraId="20801986" w14:textId="2308A9C7" w:rsidR="000C3B64" w:rsidRPr="00822FA3" w:rsidRDefault="00A74D73" w:rsidP="00822FA3">
            <w:pPr>
              <w:pStyle w:val="TableBullet"/>
              <w:cnfStyle w:val="000000000000" w:firstRow="0" w:lastRow="0" w:firstColumn="0" w:lastColumn="0" w:oddVBand="0" w:evenVBand="0" w:oddHBand="0" w:evenHBand="0" w:firstRowFirstColumn="0" w:firstRowLastColumn="0" w:lastRowFirstColumn="0" w:lastRowLastColumn="0"/>
            </w:pPr>
            <w:r>
              <w:t>P</w:t>
            </w:r>
            <w:r w:rsidR="000C3B64" w:rsidRPr="00822FA3">
              <w:t xml:space="preserve">rogressively updated </w:t>
            </w:r>
            <w:r w:rsidR="00092526">
              <w:t>the</w:t>
            </w:r>
            <w:r w:rsidR="00092526" w:rsidRPr="00822FA3">
              <w:t xml:space="preserve"> </w:t>
            </w:r>
            <w:r w:rsidR="000C3B64" w:rsidRPr="00822FA3">
              <w:t>Procurement Capability Plan and implemented the following initiatives:</w:t>
            </w:r>
          </w:p>
          <w:p w14:paraId="6D5FEC70" w14:textId="7831F673" w:rsidR="000C3B64" w:rsidRPr="00822FA3" w:rsidRDefault="000C3B64" w:rsidP="00822FA3">
            <w:pPr>
              <w:pStyle w:val="TableBullet"/>
              <w:numPr>
                <w:ilvl w:val="1"/>
                <w:numId w:val="4"/>
              </w:numPr>
              <w:cnfStyle w:val="000000000000" w:firstRow="0" w:lastRow="0" w:firstColumn="0" w:lastColumn="0" w:oddVBand="0" w:evenVBand="0" w:oddHBand="0" w:evenHBand="0" w:firstRowFirstColumn="0" w:firstRowLastColumn="0" w:lastRowFirstColumn="0" w:lastRowLastColumn="0"/>
            </w:pPr>
            <w:r w:rsidRPr="00822FA3">
              <w:t>Staff completed individual capability self-assessments so that individuals, teams</w:t>
            </w:r>
            <w:r w:rsidR="00B23FDA">
              <w:t xml:space="preserve"> and </w:t>
            </w:r>
            <w:r w:rsidRPr="00822FA3">
              <w:t>business areas can understand their strengths, weaknesses and risks and identify opportunities to enhance procurement capability.</w:t>
            </w:r>
          </w:p>
          <w:p w14:paraId="13FE7ED3" w14:textId="77F61AAD" w:rsidR="000C3B64" w:rsidRPr="00822FA3" w:rsidRDefault="001957A9" w:rsidP="00822FA3">
            <w:pPr>
              <w:pStyle w:val="TableBullet"/>
              <w:numPr>
                <w:ilvl w:val="1"/>
                <w:numId w:val="4"/>
              </w:numPr>
              <w:cnfStyle w:val="000000000000" w:firstRow="0" w:lastRow="0" w:firstColumn="0" w:lastColumn="0" w:oddVBand="0" w:evenVBand="0" w:oddHBand="0" w:evenHBand="0" w:firstRowFirstColumn="0" w:firstRowLastColumn="0" w:lastRowFirstColumn="0" w:lastRowLastColumn="0"/>
            </w:pPr>
            <w:r>
              <w:t>D</w:t>
            </w:r>
            <w:r w:rsidR="000C3B64" w:rsidRPr="00822FA3">
              <w:t xml:space="preserve">eveloped new content and took on a new facilitator for </w:t>
            </w:r>
            <w:r w:rsidR="00092526">
              <w:t>the organisation’s</w:t>
            </w:r>
            <w:r w:rsidR="000C3B64" w:rsidRPr="00822FA3">
              <w:t xml:space="preserve"> one-day Enhanced Procurement Services training course offer</w:t>
            </w:r>
            <w:r w:rsidR="0054602B">
              <w:t>ed</w:t>
            </w:r>
            <w:r w:rsidR="000C3B64" w:rsidRPr="00822FA3">
              <w:t xml:space="preserve"> to new starters and others.</w:t>
            </w:r>
          </w:p>
          <w:p w14:paraId="25541B21" w14:textId="4DC7CAA6" w:rsidR="000C3B64" w:rsidRPr="00822FA3" w:rsidRDefault="001957A9" w:rsidP="00822FA3">
            <w:pPr>
              <w:pStyle w:val="TableBullet"/>
              <w:numPr>
                <w:ilvl w:val="1"/>
                <w:numId w:val="4"/>
              </w:numPr>
              <w:cnfStyle w:val="000000000000" w:firstRow="0" w:lastRow="0" w:firstColumn="0" w:lastColumn="0" w:oddVBand="0" w:evenVBand="0" w:oddHBand="0" w:evenHBand="0" w:firstRowFirstColumn="0" w:firstRowLastColumn="0" w:lastRowFirstColumn="0" w:lastRowLastColumn="0"/>
            </w:pPr>
            <w:r>
              <w:t>D</w:t>
            </w:r>
            <w:r w:rsidR="000C3B64" w:rsidRPr="00822FA3">
              <w:t>elivered organisation-wide procurement and purchasing training with 25</w:t>
            </w:r>
            <w:r w:rsidR="00BB5183" w:rsidRPr="00822FA3">
              <w:t> </w:t>
            </w:r>
            <w:r w:rsidR="000C3B64" w:rsidRPr="00822FA3">
              <w:t xml:space="preserve">sessions offered across 12 sites. </w:t>
            </w:r>
            <w:r>
              <w:t xml:space="preserve">VicRoads </w:t>
            </w:r>
            <w:r w:rsidR="000C3B64" w:rsidRPr="00822FA3">
              <w:t>combined procurement, finance and accounts payable components into a single training session.</w:t>
            </w:r>
          </w:p>
          <w:p w14:paraId="26A1767D" w14:textId="04B6109C" w:rsidR="000C3B64" w:rsidRPr="00822FA3" w:rsidRDefault="001957A9" w:rsidP="00822FA3">
            <w:pPr>
              <w:pStyle w:val="TableBullet"/>
              <w:numPr>
                <w:ilvl w:val="1"/>
                <w:numId w:val="4"/>
              </w:numPr>
              <w:cnfStyle w:val="000000000000" w:firstRow="0" w:lastRow="0" w:firstColumn="0" w:lastColumn="0" w:oddVBand="0" w:evenVBand="0" w:oddHBand="0" w:evenHBand="0" w:firstRowFirstColumn="0" w:firstRowLastColumn="0" w:lastRowFirstColumn="0" w:lastRowLastColumn="0"/>
              <w:rPr>
                <w:color w:val="000000"/>
                <w:szCs w:val="18"/>
              </w:rPr>
            </w:pPr>
            <w:r>
              <w:t>P</w:t>
            </w:r>
            <w:r w:rsidR="000C3B64" w:rsidRPr="00822FA3">
              <w:t>rovided procurement training for targeted procurement specialists on topics such as category management and developing category strategies, social procurement and negotiation.</w:t>
            </w:r>
          </w:p>
          <w:p w14:paraId="1B4B676A" w14:textId="183AC5D6" w:rsidR="000C3B64" w:rsidRPr="00822FA3" w:rsidRDefault="001957A9" w:rsidP="00822FA3">
            <w:pPr>
              <w:pStyle w:val="TableBullet"/>
              <w:numPr>
                <w:ilvl w:val="1"/>
                <w:numId w:val="4"/>
              </w:numPr>
              <w:cnfStyle w:val="000000000000" w:firstRow="0" w:lastRow="0" w:firstColumn="0" w:lastColumn="0" w:oddVBand="0" w:evenVBand="0" w:oddHBand="0" w:evenHBand="0" w:firstRowFirstColumn="0" w:firstRowLastColumn="0" w:lastRowFirstColumn="0" w:lastRowLastColumn="0"/>
              <w:rPr>
                <w:color w:val="000000"/>
                <w:szCs w:val="18"/>
              </w:rPr>
            </w:pPr>
            <w:r>
              <w:t>I</w:t>
            </w:r>
            <w:r w:rsidR="000C3B64" w:rsidRPr="00822FA3">
              <w:rPr>
                <w:color w:val="000000"/>
                <w:szCs w:val="18"/>
              </w:rPr>
              <w:t xml:space="preserve">ncreased face-to-face engagement with business areas </w:t>
            </w:r>
            <w:r w:rsidR="00D80697" w:rsidRPr="00822FA3">
              <w:rPr>
                <w:color w:val="000000"/>
                <w:szCs w:val="18"/>
              </w:rPr>
              <w:t>as mentioned above.</w:t>
            </w:r>
          </w:p>
          <w:p w14:paraId="36CB045B" w14:textId="264F7119" w:rsidR="000C3B64" w:rsidRPr="00822FA3" w:rsidRDefault="000C3B64" w:rsidP="00822FA3">
            <w:pPr>
              <w:pStyle w:val="TableBullet"/>
              <w:numPr>
                <w:ilvl w:val="1"/>
                <w:numId w:val="4"/>
              </w:numPr>
              <w:cnfStyle w:val="000000000000" w:firstRow="0" w:lastRow="0" w:firstColumn="0" w:lastColumn="0" w:oddVBand="0" w:evenVBand="0" w:oddHBand="0" w:evenHBand="0" w:firstRowFirstColumn="0" w:firstRowLastColumn="0" w:lastRowFirstColumn="0" w:lastRowLastColumn="0"/>
            </w:pPr>
            <w:r w:rsidRPr="00822FA3">
              <w:rPr>
                <w:color w:val="000000"/>
                <w:szCs w:val="18"/>
              </w:rPr>
              <w:t xml:space="preserve">Some </w:t>
            </w:r>
            <w:r w:rsidR="001957A9">
              <w:rPr>
                <w:color w:val="000000"/>
                <w:szCs w:val="18"/>
              </w:rPr>
              <w:t>VicRoads</w:t>
            </w:r>
            <w:r w:rsidRPr="00822FA3">
              <w:rPr>
                <w:color w:val="000000"/>
                <w:szCs w:val="18"/>
              </w:rPr>
              <w:t xml:space="preserve"> </w:t>
            </w:r>
            <w:r w:rsidRPr="00822FA3">
              <w:t>procurement specialists attained formal procurement qualifications.</w:t>
            </w:r>
          </w:p>
          <w:p w14:paraId="2572EF67" w14:textId="29374013" w:rsidR="000C3B64" w:rsidRPr="00822FA3" w:rsidRDefault="001957A9" w:rsidP="00822FA3">
            <w:pPr>
              <w:pStyle w:val="TableBullet"/>
              <w:cnfStyle w:val="000000000000" w:firstRow="0" w:lastRow="0" w:firstColumn="0" w:lastColumn="0" w:oddVBand="0" w:evenVBand="0" w:oddHBand="0" w:evenHBand="0" w:firstRowFirstColumn="0" w:firstRowLastColumn="0" w:lastRowFirstColumn="0" w:lastRowLastColumn="0"/>
            </w:pPr>
            <w:r>
              <w:lastRenderedPageBreak/>
              <w:t>R</w:t>
            </w:r>
            <w:r w:rsidR="000C3B64" w:rsidRPr="00822FA3">
              <w:t xml:space="preserve">eviewed </w:t>
            </w:r>
            <w:r w:rsidR="00092526">
              <w:t>the</w:t>
            </w:r>
            <w:r w:rsidR="000C3B64" w:rsidRPr="00822FA3">
              <w:t xml:space="preserve"> online procurement toolkit, which contains all the information needed to support decentralised procurement – procedures, practices, templates and tools. </w:t>
            </w:r>
            <w:r w:rsidR="00494F38" w:rsidRPr="00822FA3">
              <w:t>When</w:t>
            </w:r>
            <w:r w:rsidR="000C3B64" w:rsidRPr="00822FA3">
              <w:t xml:space="preserve"> implemented, </w:t>
            </w:r>
            <w:r w:rsidR="0054602B">
              <w:t>VicRoads</w:t>
            </w:r>
            <w:r w:rsidR="000C3B64" w:rsidRPr="00822FA3">
              <w:t xml:space="preserve"> will have a more user-friendly and updated system, which includes a Guided Buying Tool. </w:t>
            </w:r>
          </w:p>
        </w:tc>
      </w:tr>
      <w:tr w:rsidR="000C3B64" w:rsidRPr="000C3B64" w14:paraId="6C04A7E1" w14:textId="77777777" w:rsidTr="002034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14:paraId="350739A6" w14:textId="77777777" w:rsidR="000C3B64" w:rsidRPr="000C3B64" w:rsidRDefault="000C3B64" w:rsidP="000C3B64">
            <w:pPr>
              <w:pStyle w:val="TableText"/>
              <w:rPr>
                <w:rFonts w:asciiTheme="majorHAnsi" w:hAnsiTheme="majorHAnsi" w:cstheme="majorHAnsi"/>
              </w:rPr>
            </w:pPr>
            <w:r w:rsidRPr="000C3B64">
              <w:rPr>
                <w:rFonts w:asciiTheme="majorHAnsi" w:hAnsiTheme="majorHAnsi" w:cstheme="majorHAnsi"/>
              </w:rPr>
              <w:lastRenderedPageBreak/>
              <w:t>Market analysis and review</w:t>
            </w:r>
          </w:p>
        </w:tc>
        <w:tc>
          <w:tcPr>
            <w:tcW w:w="7371" w:type="dxa"/>
          </w:tcPr>
          <w:p w14:paraId="713B5C09" w14:textId="47A1E15C" w:rsidR="000C3B64" w:rsidRPr="00822FA3" w:rsidRDefault="001957A9" w:rsidP="00822FA3">
            <w:pPr>
              <w:pStyle w:val="TableBullet"/>
              <w:cnfStyle w:val="000000100000" w:firstRow="0" w:lastRow="0" w:firstColumn="0" w:lastColumn="0" w:oddVBand="0" w:evenVBand="0" w:oddHBand="1" w:evenHBand="0" w:firstRowFirstColumn="0" w:firstRowLastColumn="0" w:lastRowFirstColumn="0" w:lastRowLastColumn="0"/>
            </w:pPr>
            <w:r>
              <w:t>C</w:t>
            </w:r>
            <w:r w:rsidR="000C3B64" w:rsidRPr="00822FA3">
              <w:t>ontinued to work on category management to deliver a more strategic approach to procurement, including improved understanding of external spend, segmenting suppliers into market sectors, developing category group strategies, enhanced supplier selection and improved supplier performance management.</w:t>
            </w:r>
          </w:p>
          <w:p w14:paraId="0D46B118" w14:textId="4932C035" w:rsidR="000C3B64" w:rsidRPr="00822FA3" w:rsidRDefault="001957A9" w:rsidP="00822FA3">
            <w:pPr>
              <w:pStyle w:val="TableBullet"/>
              <w:cnfStyle w:val="000000100000" w:firstRow="0" w:lastRow="0" w:firstColumn="0" w:lastColumn="0" w:oddVBand="0" w:evenVBand="0" w:oddHBand="1" w:evenHBand="0" w:firstRowFirstColumn="0" w:firstRowLastColumn="0" w:lastRowFirstColumn="0" w:lastRowLastColumn="0"/>
            </w:pPr>
            <w:r>
              <w:t>I</w:t>
            </w:r>
            <w:r w:rsidR="000C3B64" w:rsidRPr="00822FA3">
              <w:t xml:space="preserve">ntroduced </w:t>
            </w:r>
            <w:r>
              <w:t>b</w:t>
            </w:r>
            <w:r w:rsidRPr="003B24F2">
              <w:t>usiness intelligence tools</w:t>
            </w:r>
            <w:r>
              <w:t>, including</w:t>
            </w:r>
            <w:r w:rsidRPr="00822FA3">
              <w:t xml:space="preserve"> </w:t>
            </w:r>
            <w:r w:rsidR="000C3B64" w:rsidRPr="00822FA3">
              <w:t xml:space="preserve">specific category management dashboards to support </w:t>
            </w:r>
            <w:r>
              <w:t>VicRoads’</w:t>
            </w:r>
            <w:r w:rsidR="000C3B64" w:rsidRPr="00822FA3">
              <w:t xml:space="preserve"> decentralised procurement approach</w:t>
            </w:r>
            <w:r w:rsidR="00BB5183" w:rsidRPr="00822FA3">
              <w:t>,</w:t>
            </w:r>
            <w:r w:rsidR="000C3B64" w:rsidRPr="00822FA3">
              <w:t xml:space="preserve"> with timely and detailed dashboards outlining procurement spend for targeted categories and business areas.</w:t>
            </w:r>
          </w:p>
        </w:tc>
      </w:tr>
      <w:tr w:rsidR="000C3B64" w:rsidRPr="000C3B64" w14:paraId="08AA36A0" w14:textId="77777777" w:rsidTr="0020340A">
        <w:tc>
          <w:tcPr>
            <w:cnfStyle w:val="001000000000" w:firstRow="0" w:lastRow="0" w:firstColumn="1" w:lastColumn="0" w:oddVBand="0" w:evenVBand="0" w:oddHBand="0" w:evenHBand="0" w:firstRowFirstColumn="0" w:firstRowLastColumn="0" w:lastRowFirstColumn="0" w:lastRowLastColumn="0"/>
            <w:tcW w:w="1701" w:type="dxa"/>
          </w:tcPr>
          <w:p w14:paraId="09A94B7E" w14:textId="77777777" w:rsidR="000C3B64" w:rsidRPr="000C3B64" w:rsidRDefault="000C3B64" w:rsidP="000C3B64">
            <w:pPr>
              <w:pStyle w:val="TableText"/>
              <w:rPr>
                <w:rFonts w:asciiTheme="majorHAnsi" w:hAnsiTheme="majorHAnsi" w:cstheme="majorHAnsi"/>
              </w:rPr>
            </w:pPr>
            <w:r w:rsidRPr="000C3B64">
              <w:rPr>
                <w:rFonts w:asciiTheme="majorHAnsi" w:hAnsiTheme="majorHAnsi" w:cstheme="majorHAnsi"/>
              </w:rPr>
              <w:t>Market approach</w:t>
            </w:r>
          </w:p>
        </w:tc>
        <w:tc>
          <w:tcPr>
            <w:tcW w:w="7371" w:type="dxa"/>
          </w:tcPr>
          <w:p w14:paraId="3EC1D1DA" w14:textId="69F4652F" w:rsidR="000C3B64" w:rsidRPr="00822FA3" w:rsidRDefault="001957A9" w:rsidP="00822FA3">
            <w:pPr>
              <w:pStyle w:val="TableBullet"/>
              <w:cnfStyle w:val="000000000000" w:firstRow="0" w:lastRow="0" w:firstColumn="0" w:lastColumn="0" w:oddVBand="0" w:evenVBand="0" w:oddHBand="0" w:evenHBand="0" w:firstRowFirstColumn="0" w:firstRowLastColumn="0" w:lastRowFirstColumn="0" w:lastRowLastColumn="0"/>
            </w:pPr>
            <w:r>
              <w:t>R</w:t>
            </w:r>
            <w:r w:rsidR="000C3B64" w:rsidRPr="00822FA3">
              <w:t xml:space="preserve">an four supplier briefings across the </w:t>
            </w:r>
            <w:r w:rsidR="0072562D">
              <w:t>s</w:t>
            </w:r>
            <w:r w:rsidR="000C3B64" w:rsidRPr="00822FA3">
              <w:t>tate</w:t>
            </w:r>
            <w:r w:rsidR="00F17B70">
              <w:t>,</w:t>
            </w:r>
            <w:r w:rsidR="000C3B64" w:rsidRPr="00822FA3">
              <w:t xml:space="preserve"> with a formal presentation followed by time for suppliers to get help from specialist areas across VicRoads</w:t>
            </w:r>
            <w:r w:rsidR="00AC6DC4">
              <w:t>,</w:t>
            </w:r>
            <w:r w:rsidR="000C3B64" w:rsidRPr="00822FA3">
              <w:t xml:space="preserve"> including procurement.</w:t>
            </w:r>
          </w:p>
          <w:p w14:paraId="2C9C7110" w14:textId="63C46B49" w:rsidR="000C3B64" w:rsidRPr="00822FA3" w:rsidRDefault="001957A9" w:rsidP="00822FA3">
            <w:pPr>
              <w:pStyle w:val="TableBullet"/>
              <w:cnfStyle w:val="000000000000" w:firstRow="0" w:lastRow="0" w:firstColumn="0" w:lastColumn="0" w:oddVBand="0" w:evenVBand="0" w:oddHBand="0" w:evenHBand="0" w:firstRowFirstColumn="0" w:firstRowLastColumn="0" w:lastRowFirstColumn="0" w:lastRowLastColumn="0"/>
            </w:pPr>
            <w:r>
              <w:t>R</w:t>
            </w:r>
            <w:r w:rsidR="000C3B64" w:rsidRPr="00822FA3">
              <w:t xml:space="preserve">eviewed the costs and benefits of moving from the current operating lease approach to the finance lease approach under VicFleet. </w:t>
            </w:r>
            <w:r>
              <w:t xml:space="preserve">The organisation has </w:t>
            </w:r>
            <w:r w:rsidR="000C3B64" w:rsidRPr="00822FA3">
              <w:t xml:space="preserve">since begun moving to VicFleet </w:t>
            </w:r>
            <w:r w:rsidR="003A18E6" w:rsidRPr="00822FA3">
              <w:t xml:space="preserve">under </w:t>
            </w:r>
            <w:r w:rsidR="000C3B64" w:rsidRPr="00822FA3">
              <w:t xml:space="preserve">the Motor Vehicle SPC. </w:t>
            </w:r>
          </w:p>
        </w:tc>
      </w:tr>
      <w:tr w:rsidR="000C3B64" w:rsidRPr="000C3B64" w14:paraId="45641740" w14:textId="77777777" w:rsidTr="002034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14:paraId="04FE5A5E" w14:textId="77777777" w:rsidR="000C3B64" w:rsidRPr="000C3B64" w:rsidRDefault="000C3B64" w:rsidP="000C3B64">
            <w:pPr>
              <w:pStyle w:val="TableText"/>
              <w:rPr>
                <w:rFonts w:asciiTheme="majorHAnsi" w:hAnsiTheme="majorHAnsi" w:cstheme="majorHAnsi"/>
              </w:rPr>
            </w:pPr>
            <w:r w:rsidRPr="000C3B64">
              <w:rPr>
                <w:rFonts w:asciiTheme="majorHAnsi" w:hAnsiTheme="majorHAnsi" w:cstheme="majorHAnsi"/>
              </w:rPr>
              <w:t>Contract management and disclosure</w:t>
            </w:r>
          </w:p>
        </w:tc>
        <w:tc>
          <w:tcPr>
            <w:tcW w:w="7371" w:type="dxa"/>
          </w:tcPr>
          <w:p w14:paraId="2CDD6B24" w14:textId="449DA66A" w:rsidR="000C3B64" w:rsidRPr="00822FA3" w:rsidRDefault="001957A9" w:rsidP="00822FA3">
            <w:pPr>
              <w:pStyle w:val="TableBullet"/>
              <w:cnfStyle w:val="000000100000" w:firstRow="0" w:lastRow="0" w:firstColumn="0" w:lastColumn="0" w:oddVBand="0" w:evenVBand="0" w:oddHBand="1" w:evenHBand="0" w:firstRowFirstColumn="0" w:firstRowLastColumn="0" w:lastRowFirstColumn="0" w:lastRowLastColumn="0"/>
            </w:pPr>
            <w:r>
              <w:t>I</w:t>
            </w:r>
            <w:r w:rsidR="000C3B64" w:rsidRPr="00822FA3">
              <w:t>mprove</w:t>
            </w:r>
            <w:r>
              <w:t>d the c</w:t>
            </w:r>
            <w:r w:rsidRPr="009E0FFA">
              <w:t>ontract management framework</w:t>
            </w:r>
            <w:r w:rsidR="000C3B64" w:rsidRPr="00822FA3">
              <w:t xml:space="preserve"> to ensure efficient and consistent contract management processes </w:t>
            </w:r>
            <w:r>
              <w:t xml:space="preserve">are applied </w:t>
            </w:r>
            <w:r w:rsidR="000C3B64" w:rsidRPr="00822FA3">
              <w:t>across</w:t>
            </w:r>
            <w:r w:rsidR="00BB5183" w:rsidRPr="00822FA3">
              <w:t xml:space="preserve"> VicRoads</w:t>
            </w:r>
            <w:r w:rsidR="000C3B64" w:rsidRPr="00822FA3">
              <w:t>.</w:t>
            </w:r>
          </w:p>
        </w:tc>
      </w:tr>
    </w:tbl>
    <w:p w14:paraId="5BF04777" w14:textId="4A8953E3" w:rsidR="009967B5" w:rsidRDefault="000C3B64" w:rsidP="009967B5">
      <w:pPr>
        <w:pStyle w:val="Heading3NoNum"/>
      </w:pPr>
      <w:r w:rsidRPr="00CD6245">
        <w:t>Performance</w:t>
      </w:r>
    </w:p>
    <w:p w14:paraId="4E60B91E" w14:textId="0185FA56" w:rsidR="000C3B64" w:rsidRPr="009573F7" w:rsidRDefault="00CA58CF" w:rsidP="000C3B64">
      <w:pPr>
        <w:pStyle w:val="Normal1"/>
      </w:pPr>
      <w:r>
        <w:rPr>
          <w:b/>
          <w:color w:val="4D4D4D"/>
          <w:kern w:val="28"/>
          <w:sz w:val="26"/>
          <w:lang w:eastAsia="en-US"/>
        </w:rPr>
        <w:fldChar w:fldCharType="begin"/>
      </w:r>
      <w:r>
        <w:instrText xml:space="preserve"> REF _Ref521603861 \h </w:instrText>
      </w:r>
      <w:r>
        <w:rPr>
          <w:b/>
          <w:color w:val="4D4D4D"/>
          <w:kern w:val="28"/>
          <w:sz w:val="26"/>
          <w:lang w:eastAsia="en-US"/>
        </w:rPr>
      </w:r>
      <w:r>
        <w:rPr>
          <w:b/>
          <w:color w:val="4D4D4D"/>
          <w:kern w:val="28"/>
          <w:sz w:val="26"/>
          <w:lang w:eastAsia="en-US"/>
        </w:rPr>
        <w:fldChar w:fldCharType="separate"/>
      </w:r>
      <w:r w:rsidR="00A07703" w:rsidRPr="0070384B">
        <w:t xml:space="preserve">Table </w:t>
      </w:r>
      <w:r w:rsidR="00A07703">
        <w:rPr>
          <w:noProof/>
        </w:rPr>
        <w:t>43</w:t>
      </w:r>
      <w:r>
        <w:rPr>
          <w:b/>
          <w:color w:val="4D4D4D"/>
          <w:kern w:val="28"/>
          <w:sz w:val="26"/>
          <w:lang w:eastAsia="en-US"/>
        </w:rPr>
        <w:fldChar w:fldCharType="end"/>
      </w:r>
      <w:r>
        <w:rPr>
          <w:b/>
          <w:color w:val="4D4D4D"/>
          <w:kern w:val="28"/>
          <w:sz w:val="26"/>
          <w:lang w:eastAsia="en-US"/>
        </w:rPr>
        <w:t xml:space="preserve"> </w:t>
      </w:r>
      <w:r w:rsidR="000C3B64" w:rsidRPr="009573F7">
        <w:t>sets out VicRoads’ performance in 2017–18.</w:t>
      </w:r>
    </w:p>
    <w:p w14:paraId="6FAA8724" w14:textId="06848914" w:rsidR="000C3B64" w:rsidRDefault="000C3B64" w:rsidP="000C3B64">
      <w:pPr>
        <w:pStyle w:val="Caption"/>
      </w:pPr>
      <w:bookmarkStart w:id="231" w:name="_Ref521603861"/>
      <w:bookmarkStart w:id="232" w:name="_Toc524354036"/>
      <w:r w:rsidRPr="0070384B">
        <w:t xml:space="preserve">Table </w:t>
      </w:r>
      <w:r>
        <w:rPr>
          <w:noProof/>
        </w:rPr>
        <w:fldChar w:fldCharType="begin"/>
      </w:r>
      <w:r>
        <w:rPr>
          <w:noProof/>
        </w:rPr>
        <w:instrText xml:space="preserve"> SEQ Table \* ARABIC </w:instrText>
      </w:r>
      <w:r>
        <w:rPr>
          <w:noProof/>
        </w:rPr>
        <w:fldChar w:fldCharType="separate"/>
      </w:r>
      <w:r w:rsidR="00A07703">
        <w:rPr>
          <w:noProof/>
        </w:rPr>
        <w:t>43</w:t>
      </w:r>
      <w:r>
        <w:rPr>
          <w:noProof/>
        </w:rPr>
        <w:fldChar w:fldCharType="end"/>
      </w:r>
      <w:bookmarkEnd w:id="231"/>
      <w:r w:rsidRPr="0070384B">
        <w:t>: VicRoads’ performance in 201</w:t>
      </w:r>
      <w:r>
        <w:t>7–18</w:t>
      </w:r>
      <w:bookmarkEnd w:id="232"/>
    </w:p>
    <w:tbl>
      <w:tblPr>
        <w:tblStyle w:val="ListTable31"/>
        <w:tblW w:w="9193" w:type="dxa"/>
        <w:tblInd w:w="704" w:type="dxa"/>
        <w:tblLayout w:type="fixed"/>
        <w:tblLook w:val="04A0" w:firstRow="1" w:lastRow="0" w:firstColumn="1" w:lastColumn="0" w:noHBand="0" w:noVBand="1"/>
      </w:tblPr>
      <w:tblGrid>
        <w:gridCol w:w="351"/>
        <w:gridCol w:w="1775"/>
        <w:gridCol w:w="587"/>
        <w:gridCol w:w="571"/>
        <w:gridCol w:w="685"/>
        <w:gridCol w:w="5224"/>
      </w:tblGrid>
      <w:tr w:rsidR="000C3B64" w14:paraId="1587CAF2" w14:textId="77777777" w:rsidTr="00115146">
        <w:trPr>
          <w:cnfStyle w:val="100000000000" w:firstRow="1" w:lastRow="0" w:firstColumn="0" w:lastColumn="0" w:oddVBand="0" w:evenVBand="0" w:oddHBand="0" w:evenHBand="0" w:firstRowFirstColumn="0" w:firstRowLastColumn="0" w:lastRowFirstColumn="0" w:lastRowLastColumn="0"/>
          <w:trHeight w:val="1661"/>
        </w:trPr>
        <w:tc>
          <w:tcPr>
            <w:cnfStyle w:val="001000000100" w:firstRow="0" w:lastRow="0" w:firstColumn="1" w:lastColumn="0" w:oddVBand="0" w:evenVBand="0" w:oddHBand="0" w:evenHBand="0" w:firstRowFirstColumn="1" w:firstRowLastColumn="0" w:lastRowFirstColumn="0" w:lastRowLastColumn="0"/>
            <w:tcW w:w="2126" w:type="dxa"/>
            <w:gridSpan w:val="2"/>
            <w:vMerge w:val="restart"/>
            <w:vAlign w:val="bottom"/>
          </w:tcPr>
          <w:p w14:paraId="7C0F68B6" w14:textId="77777777" w:rsidR="000C3B64" w:rsidRPr="00CD6245" w:rsidRDefault="000C3B64" w:rsidP="00115146">
            <w:pPr>
              <w:pStyle w:val="TableText"/>
            </w:pPr>
            <w:r w:rsidRPr="00CD6245">
              <w:t>Performance measure</w:t>
            </w:r>
          </w:p>
        </w:tc>
        <w:tc>
          <w:tcPr>
            <w:tcW w:w="587" w:type="dxa"/>
            <w:textDirection w:val="btLr"/>
            <w:vAlign w:val="bottom"/>
          </w:tcPr>
          <w:p w14:paraId="7630F909" w14:textId="5CA6C005" w:rsidR="000C3B64" w:rsidRDefault="000C3B64" w:rsidP="00115146">
            <w:pPr>
              <w:pStyle w:val="TableText"/>
              <w:jc w:val="center"/>
              <w:cnfStyle w:val="100000000000" w:firstRow="1" w:lastRow="0" w:firstColumn="0" w:lastColumn="0" w:oddVBand="0" w:evenVBand="0" w:oddHBand="0" w:evenHBand="0" w:firstRowFirstColumn="0" w:firstRowLastColumn="0" w:lastRowFirstColumn="0" w:lastRowLastColumn="0"/>
            </w:pPr>
            <w:r>
              <w:t>Year 1: 2015–16</w:t>
            </w:r>
          </w:p>
        </w:tc>
        <w:tc>
          <w:tcPr>
            <w:tcW w:w="571" w:type="dxa"/>
            <w:textDirection w:val="btLr"/>
            <w:vAlign w:val="bottom"/>
          </w:tcPr>
          <w:p w14:paraId="4FCED644" w14:textId="77777777" w:rsidR="000C3B64" w:rsidRDefault="000C3B64" w:rsidP="00115146">
            <w:pPr>
              <w:pStyle w:val="TableText"/>
              <w:jc w:val="center"/>
              <w:cnfStyle w:val="100000000000" w:firstRow="1" w:lastRow="0" w:firstColumn="0" w:lastColumn="0" w:oddVBand="0" w:evenVBand="0" w:oddHBand="0" w:evenHBand="0" w:firstRowFirstColumn="0" w:firstRowLastColumn="0" w:lastRowFirstColumn="0" w:lastRowLastColumn="0"/>
            </w:pPr>
            <w:r>
              <w:t>Year 2: 2016–17</w:t>
            </w:r>
          </w:p>
        </w:tc>
        <w:tc>
          <w:tcPr>
            <w:tcW w:w="685" w:type="dxa"/>
            <w:textDirection w:val="btLr"/>
            <w:vAlign w:val="bottom"/>
          </w:tcPr>
          <w:p w14:paraId="4CFEBC41" w14:textId="77777777" w:rsidR="000C3B64" w:rsidRDefault="000C3B64" w:rsidP="00115146">
            <w:pPr>
              <w:pStyle w:val="TableText"/>
              <w:jc w:val="center"/>
              <w:cnfStyle w:val="100000000000" w:firstRow="1" w:lastRow="0" w:firstColumn="0" w:lastColumn="0" w:oddVBand="0" w:evenVBand="0" w:oddHBand="0" w:evenHBand="0" w:firstRowFirstColumn="0" w:firstRowLastColumn="0" w:lastRowFirstColumn="0" w:lastRowLastColumn="0"/>
            </w:pPr>
            <w:r>
              <w:t>Year 3: 2017–18</w:t>
            </w:r>
          </w:p>
        </w:tc>
        <w:tc>
          <w:tcPr>
            <w:tcW w:w="5224" w:type="dxa"/>
            <w:vMerge w:val="restart"/>
            <w:vAlign w:val="bottom"/>
          </w:tcPr>
          <w:p w14:paraId="6388E360" w14:textId="77777777" w:rsidR="000C3B64" w:rsidRDefault="000C3B64" w:rsidP="00115146">
            <w:pPr>
              <w:pStyle w:val="TableText"/>
              <w:cnfStyle w:val="100000000000" w:firstRow="1" w:lastRow="0" w:firstColumn="0" w:lastColumn="0" w:oddVBand="0" w:evenVBand="0" w:oddHBand="0" w:evenHBand="0" w:firstRowFirstColumn="0" w:firstRowLastColumn="0" w:lastRowFirstColumn="0" w:lastRowLastColumn="0"/>
            </w:pPr>
            <w:r>
              <w:t>Explanation</w:t>
            </w:r>
          </w:p>
        </w:tc>
      </w:tr>
      <w:tr w:rsidR="000C3B64" w14:paraId="454ED4DE" w14:textId="77777777" w:rsidTr="00115146">
        <w:trPr>
          <w:cnfStyle w:val="000000100000" w:firstRow="0" w:lastRow="0" w:firstColumn="0" w:lastColumn="0" w:oddVBand="0" w:evenVBand="0" w:oddHBand="1" w:evenHBand="0" w:firstRowFirstColumn="0" w:firstRowLastColumn="0" w:lastRowFirstColumn="0" w:lastRowLastColumn="0"/>
          <w:trHeight w:val="281"/>
        </w:trPr>
        <w:tc>
          <w:tcPr>
            <w:cnfStyle w:val="001000000000" w:firstRow="0" w:lastRow="0" w:firstColumn="1" w:lastColumn="0" w:oddVBand="0" w:evenVBand="0" w:oddHBand="0" w:evenHBand="0" w:firstRowFirstColumn="0" w:firstRowLastColumn="0" w:lastRowFirstColumn="0" w:lastRowLastColumn="0"/>
            <w:tcW w:w="2126" w:type="dxa"/>
            <w:gridSpan w:val="2"/>
            <w:vMerge/>
          </w:tcPr>
          <w:p w14:paraId="15815D10" w14:textId="77777777" w:rsidR="000C3B64" w:rsidRPr="00CD6245" w:rsidRDefault="000C3B64" w:rsidP="00A727E3">
            <w:pPr>
              <w:pStyle w:val="TableHeader"/>
            </w:pPr>
          </w:p>
        </w:tc>
        <w:tc>
          <w:tcPr>
            <w:tcW w:w="587" w:type="dxa"/>
            <w:shd w:val="clear" w:color="auto" w:fill="000000" w:themeFill="text1"/>
            <w:vAlign w:val="center"/>
          </w:tcPr>
          <w:p w14:paraId="1EDBFCAA" w14:textId="77777777" w:rsidR="000C3B64" w:rsidRPr="00200BCC" w:rsidRDefault="000C3B64" w:rsidP="00115146">
            <w:pPr>
              <w:pStyle w:val="TableHeader"/>
              <w:jc w:val="right"/>
              <w:cnfStyle w:val="000000100000" w:firstRow="0" w:lastRow="0" w:firstColumn="0" w:lastColumn="0" w:oddVBand="0" w:evenVBand="0" w:oddHBand="1" w:evenHBand="0" w:firstRowFirstColumn="0" w:firstRowLastColumn="0" w:lastRowFirstColumn="0" w:lastRowLastColumn="0"/>
              <w:rPr>
                <w:bCs/>
                <w:color w:val="auto"/>
                <w:sz w:val="20"/>
                <w:szCs w:val="20"/>
              </w:rPr>
            </w:pPr>
            <w:r w:rsidRPr="00200BCC">
              <w:rPr>
                <w:bCs/>
                <w:color w:val="auto"/>
                <w:sz w:val="20"/>
                <w:szCs w:val="20"/>
              </w:rPr>
              <w:t>%</w:t>
            </w:r>
          </w:p>
        </w:tc>
        <w:tc>
          <w:tcPr>
            <w:tcW w:w="571" w:type="dxa"/>
            <w:shd w:val="clear" w:color="auto" w:fill="000000" w:themeFill="text1"/>
            <w:vAlign w:val="center"/>
          </w:tcPr>
          <w:p w14:paraId="7878D507" w14:textId="77777777" w:rsidR="000C3B64" w:rsidRPr="00200BCC" w:rsidRDefault="000C3B64" w:rsidP="00115146">
            <w:pPr>
              <w:pStyle w:val="TableHeader"/>
              <w:jc w:val="right"/>
              <w:cnfStyle w:val="000000100000" w:firstRow="0" w:lastRow="0" w:firstColumn="0" w:lastColumn="0" w:oddVBand="0" w:evenVBand="0" w:oddHBand="1" w:evenHBand="0" w:firstRowFirstColumn="0" w:firstRowLastColumn="0" w:lastRowFirstColumn="0" w:lastRowLastColumn="0"/>
              <w:rPr>
                <w:bCs/>
                <w:color w:val="auto"/>
                <w:sz w:val="20"/>
                <w:szCs w:val="20"/>
              </w:rPr>
            </w:pPr>
            <w:r w:rsidRPr="00200BCC">
              <w:rPr>
                <w:bCs/>
                <w:color w:val="auto"/>
                <w:sz w:val="20"/>
                <w:szCs w:val="20"/>
              </w:rPr>
              <w:t>%</w:t>
            </w:r>
          </w:p>
        </w:tc>
        <w:tc>
          <w:tcPr>
            <w:tcW w:w="685" w:type="dxa"/>
            <w:shd w:val="clear" w:color="auto" w:fill="000000" w:themeFill="text1"/>
            <w:vAlign w:val="center"/>
          </w:tcPr>
          <w:p w14:paraId="4E91747D" w14:textId="77777777" w:rsidR="000C3B64" w:rsidRPr="00200BCC" w:rsidRDefault="000C3B64" w:rsidP="00115146">
            <w:pPr>
              <w:pStyle w:val="TableHeader"/>
              <w:jc w:val="right"/>
              <w:cnfStyle w:val="000000100000" w:firstRow="0" w:lastRow="0" w:firstColumn="0" w:lastColumn="0" w:oddVBand="0" w:evenVBand="0" w:oddHBand="1" w:evenHBand="0" w:firstRowFirstColumn="0" w:firstRowLastColumn="0" w:lastRowFirstColumn="0" w:lastRowLastColumn="0"/>
              <w:rPr>
                <w:bCs/>
                <w:color w:val="auto"/>
                <w:sz w:val="20"/>
                <w:szCs w:val="20"/>
              </w:rPr>
            </w:pPr>
            <w:r w:rsidRPr="00200BCC">
              <w:rPr>
                <w:bCs/>
                <w:color w:val="auto"/>
                <w:sz w:val="20"/>
                <w:szCs w:val="20"/>
              </w:rPr>
              <w:t>%</w:t>
            </w:r>
          </w:p>
        </w:tc>
        <w:tc>
          <w:tcPr>
            <w:tcW w:w="5224" w:type="dxa"/>
            <w:vMerge/>
          </w:tcPr>
          <w:p w14:paraId="3D2EBE7F" w14:textId="77777777" w:rsidR="000C3B64" w:rsidRDefault="000C3B64" w:rsidP="00A727E3">
            <w:pPr>
              <w:pStyle w:val="TableHeader"/>
              <w:cnfStyle w:val="000000100000" w:firstRow="0" w:lastRow="0" w:firstColumn="0" w:lastColumn="0" w:oddVBand="0" w:evenVBand="0" w:oddHBand="1" w:evenHBand="0" w:firstRowFirstColumn="0" w:firstRowLastColumn="0" w:lastRowFirstColumn="0" w:lastRowLastColumn="0"/>
              <w:rPr>
                <w:sz w:val="20"/>
                <w:szCs w:val="20"/>
              </w:rPr>
            </w:pPr>
          </w:p>
        </w:tc>
      </w:tr>
      <w:tr w:rsidR="000C3B64" w:rsidRPr="00CD6245" w14:paraId="0F309E0B" w14:textId="77777777" w:rsidTr="004B1827">
        <w:tc>
          <w:tcPr>
            <w:cnfStyle w:val="001000000000" w:firstRow="0" w:lastRow="0" w:firstColumn="1" w:lastColumn="0" w:oddVBand="0" w:evenVBand="0" w:oddHBand="0" w:evenHBand="0" w:firstRowFirstColumn="0" w:firstRowLastColumn="0" w:lastRowFirstColumn="0" w:lastRowLastColumn="0"/>
            <w:tcW w:w="351" w:type="dxa"/>
          </w:tcPr>
          <w:p w14:paraId="7C493478" w14:textId="77777777" w:rsidR="000C3B64" w:rsidRPr="00CD6245" w:rsidRDefault="000C3B64" w:rsidP="00A727E3">
            <w:pPr>
              <w:pStyle w:val="TableText"/>
            </w:pPr>
            <w:r w:rsidRPr="00CD6245">
              <w:t>1</w:t>
            </w:r>
          </w:p>
        </w:tc>
        <w:tc>
          <w:tcPr>
            <w:tcW w:w="1775" w:type="dxa"/>
          </w:tcPr>
          <w:p w14:paraId="1F6EC80C" w14:textId="77777777" w:rsidR="000C3B64" w:rsidRPr="00726E77" w:rsidRDefault="000C3B64" w:rsidP="00A727E3">
            <w:pPr>
              <w:pStyle w:val="TableText"/>
              <w:cnfStyle w:val="000000000000" w:firstRow="0" w:lastRow="0" w:firstColumn="0" w:lastColumn="0" w:oddVBand="0" w:evenVBand="0" w:oddHBand="0" w:evenHBand="0" w:firstRowFirstColumn="0" w:firstRowLastColumn="0" w:lastRowFirstColumn="0" w:lastRowLastColumn="0"/>
            </w:pPr>
            <w:r w:rsidRPr="00726E77">
              <w:t xml:space="preserve">Value created </w:t>
            </w:r>
          </w:p>
        </w:tc>
        <w:tc>
          <w:tcPr>
            <w:tcW w:w="587" w:type="dxa"/>
          </w:tcPr>
          <w:p w14:paraId="77FD2FED" w14:textId="77777777" w:rsidR="000C3B64" w:rsidRDefault="000C3B64" w:rsidP="006B0393">
            <w:pPr>
              <w:pStyle w:val="Tablenumbers"/>
              <w:cnfStyle w:val="000000000000" w:firstRow="0" w:lastRow="0" w:firstColumn="0" w:lastColumn="0" w:oddVBand="0" w:evenVBand="0" w:oddHBand="0" w:evenHBand="0" w:firstRowFirstColumn="0" w:firstRowLastColumn="0" w:lastRowFirstColumn="0" w:lastRowLastColumn="0"/>
            </w:pPr>
            <w:r>
              <w:t>2.5</w:t>
            </w:r>
          </w:p>
        </w:tc>
        <w:tc>
          <w:tcPr>
            <w:tcW w:w="571" w:type="dxa"/>
          </w:tcPr>
          <w:p w14:paraId="47248072" w14:textId="77777777" w:rsidR="000C3B64" w:rsidRDefault="000C3B64" w:rsidP="006B0393">
            <w:pPr>
              <w:pStyle w:val="Tablenumbers"/>
              <w:cnfStyle w:val="000000000000" w:firstRow="0" w:lastRow="0" w:firstColumn="0" w:lastColumn="0" w:oddVBand="0" w:evenVBand="0" w:oddHBand="0" w:evenHBand="0" w:firstRowFirstColumn="0" w:firstRowLastColumn="0" w:lastRowFirstColumn="0" w:lastRowLastColumn="0"/>
            </w:pPr>
            <w:r>
              <w:t>17.0</w:t>
            </w:r>
          </w:p>
        </w:tc>
        <w:tc>
          <w:tcPr>
            <w:tcW w:w="685" w:type="dxa"/>
          </w:tcPr>
          <w:p w14:paraId="5E607E3D" w14:textId="77777777" w:rsidR="000C3B64" w:rsidRPr="00CD6245" w:rsidRDefault="000C3B64" w:rsidP="006B0393">
            <w:pPr>
              <w:pStyle w:val="Tablenumbers"/>
              <w:cnfStyle w:val="000000000000" w:firstRow="0" w:lastRow="0" w:firstColumn="0" w:lastColumn="0" w:oddVBand="0" w:evenVBand="0" w:oddHBand="0" w:evenHBand="0" w:firstRowFirstColumn="0" w:firstRowLastColumn="0" w:lastRowFirstColumn="0" w:lastRowLastColumn="0"/>
            </w:pPr>
            <w:r>
              <w:t>5.2</w:t>
            </w:r>
          </w:p>
        </w:tc>
        <w:tc>
          <w:tcPr>
            <w:tcW w:w="5224" w:type="dxa"/>
          </w:tcPr>
          <w:p w14:paraId="36D7C86C" w14:textId="577586B5" w:rsidR="000C3B64" w:rsidRPr="00CD6245" w:rsidRDefault="000C3B64" w:rsidP="00A727E3">
            <w:pPr>
              <w:pStyle w:val="TableText"/>
              <w:cnfStyle w:val="000000000000" w:firstRow="0" w:lastRow="0" w:firstColumn="0" w:lastColumn="0" w:oddVBand="0" w:evenVBand="0" w:oddHBand="0" w:evenHBand="0" w:firstRowFirstColumn="0" w:firstRowLastColumn="0" w:lastRowFirstColumn="0" w:lastRowLastColumn="0"/>
            </w:pPr>
            <w:r>
              <w:t>S</w:t>
            </w:r>
            <w:r w:rsidRPr="00BA426D">
              <w:t>avings may vary from year to year depending on the contracts established during the period.</w:t>
            </w:r>
            <w:r>
              <w:t xml:space="preserve"> </w:t>
            </w:r>
            <w:r w:rsidRPr="00BA426D">
              <w:t>Whil</w:t>
            </w:r>
            <w:r>
              <w:t>e</w:t>
            </w:r>
            <w:r w:rsidRPr="00BA426D">
              <w:t xml:space="preserve"> savings </w:t>
            </w:r>
            <w:r w:rsidR="00347222">
              <w:t xml:space="preserve">did </w:t>
            </w:r>
            <w:r w:rsidRPr="00BA426D">
              <w:t>reduce from 2016</w:t>
            </w:r>
            <w:r>
              <w:t>–</w:t>
            </w:r>
            <w:r w:rsidRPr="00BA426D">
              <w:t xml:space="preserve">17, total spend </w:t>
            </w:r>
            <w:r w:rsidR="00347222">
              <w:t xml:space="preserve">also </w:t>
            </w:r>
            <w:r w:rsidRPr="00BA426D">
              <w:t>increased</w:t>
            </w:r>
            <w:r w:rsidR="00347222">
              <w:t>, giving a lower percentage of value created</w:t>
            </w:r>
            <w:r w:rsidRPr="00BA426D">
              <w:t>.</w:t>
            </w:r>
          </w:p>
        </w:tc>
      </w:tr>
      <w:tr w:rsidR="000C3B64" w:rsidRPr="00CD6245" w14:paraId="418128BA" w14:textId="77777777" w:rsidTr="004B18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 w:type="dxa"/>
          </w:tcPr>
          <w:p w14:paraId="572BD86C" w14:textId="77777777" w:rsidR="000C3B64" w:rsidRPr="00CD6245" w:rsidRDefault="000C3B64" w:rsidP="00A727E3">
            <w:pPr>
              <w:pStyle w:val="TableText"/>
            </w:pPr>
            <w:r w:rsidRPr="00CD6245">
              <w:t>2</w:t>
            </w:r>
          </w:p>
        </w:tc>
        <w:tc>
          <w:tcPr>
            <w:tcW w:w="1775" w:type="dxa"/>
          </w:tcPr>
          <w:p w14:paraId="481A8B90" w14:textId="217260E8" w:rsidR="000C3B64" w:rsidRPr="00726E77" w:rsidRDefault="000C3B64" w:rsidP="00A727E3">
            <w:pPr>
              <w:pStyle w:val="TableText"/>
              <w:cnfStyle w:val="000000100000" w:firstRow="0" w:lastRow="0" w:firstColumn="0" w:lastColumn="0" w:oddVBand="0" w:evenVBand="0" w:oddHBand="1" w:evenHBand="0" w:firstRowFirstColumn="0" w:firstRowLastColumn="0" w:lastRowFirstColumn="0" w:lastRowLastColumn="0"/>
            </w:pPr>
            <w:r w:rsidRPr="00726E77">
              <w:t xml:space="preserve">Proportion of </w:t>
            </w:r>
            <w:r w:rsidR="006B0393">
              <w:br/>
            </w:r>
            <w:r w:rsidRPr="00726E77">
              <w:t xml:space="preserve">P-Card </w:t>
            </w:r>
            <w:r w:rsidR="00D11C9B">
              <w:t xml:space="preserve">(or equivalent) </w:t>
            </w:r>
            <w:r w:rsidRPr="00726E77">
              <w:t>transactions</w:t>
            </w:r>
          </w:p>
        </w:tc>
        <w:tc>
          <w:tcPr>
            <w:tcW w:w="587" w:type="dxa"/>
          </w:tcPr>
          <w:p w14:paraId="3D68F578" w14:textId="77777777" w:rsidR="000C3B64" w:rsidRDefault="000C3B64" w:rsidP="006B0393">
            <w:pPr>
              <w:pStyle w:val="Tablenumbers"/>
              <w:cnfStyle w:val="000000100000" w:firstRow="0" w:lastRow="0" w:firstColumn="0" w:lastColumn="0" w:oddVBand="0" w:evenVBand="0" w:oddHBand="1" w:evenHBand="0" w:firstRowFirstColumn="0" w:firstRowLastColumn="0" w:lastRowFirstColumn="0" w:lastRowLastColumn="0"/>
            </w:pPr>
            <w:r>
              <w:t>53</w:t>
            </w:r>
          </w:p>
        </w:tc>
        <w:tc>
          <w:tcPr>
            <w:tcW w:w="571" w:type="dxa"/>
          </w:tcPr>
          <w:p w14:paraId="7E9DD47B" w14:textId="77777777" w:rsidR="000C3B64" w:rsidRDefault="000C3B64" w:rsidP="006B0393">
            <w:pPr>
              <w:pStyle w:val="Tablenumbers"/>
              <w:cnfStyle w:val="000000100000" w:firstRow="0" w:lastRow="0" w:firstColumn="0" w:lastColumn="0" w:oddVBand="0" w:evenVBand="0" w:oddHBand="1" w:evenHBand="0" w:firstRowFirstColumn="0" w:firstRowLastColumn="0" w:lastRowFirstColumn="0" w:lastRowLastColumn="0"/>
            </w:pPr>
            <w:r>
              <w:t>72.9</w:t>
            </w:r>
          </w:p>
        </w:tc>
        <w:tc>
          <w:tcPr>
            <w:tcW w:w="685" w:type="dxa"/>
          </w:tcPr>
          <w:p w14:paraId="07ED755D" w14:textId="77777777" w:rsidR="000C3B64" w:rsidRPr="00CD6245" w:rsidRDefault="000C3B64" w:rsidP="006B0393">
            <w:pPr>
              <w:pStyle w:val="Tablenumbers"/>
              <w:cnfStyle w:val="000000100000" w:firstRow="0" w:lastRow="0" w:firstColumn="0" w:lastColumn="0" w:oddVBand="0" w:evenVBand="0" w:oddHBand="1" w:evenHBand="0" w:firstRowFirstColumn="0" w:firstRowLastColumn="0" w:lastRowFirstColumn="0" w:lastRowLastColumn="0"/>
            </w:pPr>
            <w:r>
              <w:t>65.7</w:t>
            </w:r>
          </w:p>
        </w:tc>
        <w:tc>
          <w:tcPr>
            <w:tcW w:w="5224" w:type="dxa"/>
          </w:tcPr>
          <w:p w14:paraId="3BBC1BDF" w14:textId="1A6825BA" w:rsidR="000C3B64" w:rsidRDefault="00347222" w:rsidP="00A727E3">
            <w:pPr>
              <w:pStyle w:val="TableText"/>
              <w:cnfStyle w:val="000000100000" w:firstRow="0" w:lastRow="0" w:firstColumn="0" w:lastColumn="0" w:oddVBand="0" w:evenVBand="0" w:oddHBand="1" w:evenHBand="0" w:firstRowFirstColumn="0" w:firstRowLastColumn="0" w:lastRowFirstColumn="0" w:lastRowLastColumn="0"/>
            </w:pPr>
            <w:r>
              <w:t xml:space="preserve">The number of P-Card transactions increased this year, but this is not reflected in the percentage of transactions due to an overall increase in </w:t>
            </w:r>
            <w:r w:rsidR="000C3B64">
              <w:t>the number of transactions under $2 000</w:t>
            </w:r>
            <w:r>
              <w:t>.</w:t>
            </w:r>
          </w:p>
          <w:p w14:paraId="3A85FE7F" w14:textId="52BDA87E" w:rsidR="000C3B64" w:rsidRPr="00CD6245" w:rsidRDefault="001957A9" w:rsidP="00A727E3">
            <w:pPr>
              <w:pStyle w:val="TableText"/>
              <w:cnfStyle w:val="000000100000" w:firstRow="0" w:lastRow="0" w:firstColumn="0" w:lastColumn="0" w:oddVBand="0" w:evenVBand="0" w:oddHBand="1" w:evenHBand="0" w:firstRowFirstColumn="0" w:firstRowLastColumn="0" w:lastRowFirstColumn="0" w:lastRowLastColumn="0"/>
            </w:pPr>
            <w:r>
              <w:t>VicRoads</w:t>
            </w:r>
            <w:r w:rsidR="000C3B64">
              <w:t xml:space="preserve"> will review P-</w:t>
            </w:r>
            <w:r w:rsidR="00137613">
              <w:t>C</w:t>
            </w:r>
            <w:r w:rsidR="000C3B64">
              <w:t>ard policies and continue to encourage appropriate use of purchasing cards in 2018–19.</w:t>
            </w:r>
          </w:p>
        </w:tc>
      </w:tr>
      <w:tr w:rsidR="000C3B64" w:rsidRPr="00CD6245" w14:paraId="0A7B5C26" w14:textId="77777777" w:rsidTr="004B1827">
        <w:tc>
          <w:tcPr>
            <w:cnfStyle w:val="001000000000" w:firstRow="0" w:lastRow="0" w:firstColumn="1" w:lastColumn="0" w:oddVBand="0" w:evenVBand="0" w:oddHBand="0" w:evenHBand="0" w:firstRowFirstColumn="0" w:firstRowLastColumn="0" w:lastRowFirstColumn="0" w:lastRowLastColumn="0"/>
            <w:tcW w:w="351" w:type="dxa"/>
          </w:tcPr>
          <w:p w14:paraId="13043234" w14:textId="77777777" w:rsidR="000C3B64" w:rsidRPr="00CD6245" w:rsidRDefault="000C3B64" w:rsidP="00A727E3">
            <w:pPr>
              <w:pStyle w:val="TableText"/>
            </w:pPr>
            <w:r w:rsidRPr="00CD6245">
              <w:t>3</w:t>
            </w:r>
          </w:p>
        </w:tc>
        <w:tc>
          <w:tcPr>
            <w:tcW w:w="1775" w:type="dxa"/>
          </w:tcPr>
          <w:p w14:paraId="2306A512" w14:textId="77777777" w:rsidR="000C3B64" w:rsidRPr="00726E77" w:rsidRDefault="000C3B64" w:rsidP="00A727E3">
            <w:pPr>
              <w:pStyle w:val="TableText"/>
              <w:cnfStyle w:val="000000000000" w:firstRow="0" w:lastRow="0" w:firstColumn="0" w:lastColumn="0" w:oddVBand="0" w:evenVBand="0" w:oddHBand="0" w:evenHBand="0" w:firstRowFirstColumn="0" w:firstRowLastColumn="0" w:lastRowFirstColumn="0" w:lastRowLastColumn="0"/>
            </w:pPr>
            <w:r w:rsidRPr="00726E77">
              <w:t>Increase in procurement capability</w:t>
            </w:r>
          </w:p>
        </w:tc>
        <w:tc>
          <w:tcPr>
            <w:tcW w:w="587" w:type="dxa"/>
          </w:tcPr>
          <w:p w14:paraId="50F77583" w14:textId="77777777" w:rsidR="000C3B64" w:rsidRDefault="000C3B64" w:rsidP="006B0393">
            <w:pPr>
              <w:pStyle w:val="Tablenumbers"/>
              <w:cnfStyle w:val="000000000000" w:firstRow="0" w:lastRow="0" w:firstColumn="0" w:lastColumn="0" w:oddVBand="0" w:evenVBand="0" w:oddHBand="0" w:evenHBand="0" w:firstRowFirstColumn="0" w:firstRowLastColumn="0" w:lastRowFirstColumn="0" w:lastRowLastColumn="0"/>
            </w:pPr>
            <w:r>
              <w:t>…</w:t>
            </w:r>
          </w:p>
        </w:tc>
        <w:tc>
          <w:tcPr>
            <w:tcW w:w="571" w:type="dxa"/>
          </w:tcPr>
          <w:p w14:paraId="4063F17D" w14:textId="77777777" w:rsidR="000C3B64" w:rsidRDefault="000C3B64" w:rsidP="006B0393">
            <w:pPr>
              <w:pStyle w:val="Tablenumbers"/>
              <w:cnfStyle w:val="000000000000" w:firstRow="0" w:lastRow="0" w:firstColumn="0" w:lastColumn="0" w:oddVBand="0" w:evenVBand="0" w:oddHBand="0" w:evenHBand="0" w:firstRowFirstColumn="0" w:firstRowLastColumn="0" w:lastRowFirstColumn="0" w:lastRowLastColumn="0"/>
            </w:pPr>
            <w:r>
              <w:t>1.0</w:t>
            </w:r>
          </w:p>
        </w:tc>
        <w:tc>
          <w:tcPr>
            <w:tcW w:w="685" w:type="dxa"/>
          </w:tcPr>
          <w:p w14:paraId="55342C83" w14:textId="77777777" w:rsidR="000C3B64" w:rsidRPr="00CD6245" w:rsidRDefault="000C3B64" w:rsidP="006B0393">
            <w:pPr>
              <w:pStyle w:val="Tablenumbers"/>
              <w:cnfStyle w:val="000000000000" w:firstRow="0" w:lastRow="0" w:firstColumn="0" w:lastColumn="0" w:oddVBand="0" w:evenVBand="0" w:oddHBand="0" w:evenHBand="0" w:firstRowFirstColumn="0" w:firstRowLastColumn="0" w:lastRowFirstColumn="0" w:lastRowLastColumn="0"/>
            </w:pPr>
            <w:r>
              <w:t>1.0</w:t>
            </w:r>
          </w:p>
        </w:tc>
        <w:tc>
          <w:tcPr>
            <w:tcW w:w="5224" w:type="dxa"/>
          </w:tcPr>
          <w:p w14:paraId="4D9C9134" w14:textId="6E7920AC" w:rsidR="000C3B64" w:rsidRPr="00CD6245" w:rsidRDefault="001957A9" w:rsidP="00A727E3">
            <w:pPr>
              <w:pStyle w:val="TableText"/>
              <w:cnfStyle w:val="000000000000" w:firstRow="0" w:lastRow="0" w:firstColumn="0" w:lastColumn="0" w:oddVBand="0" w:evenVBand="0" w:oddHBand="0" w:evenHBand="0" w:firstRowFirstColumn="0" w:firstRowLastColumn="0" w:lastRowFirstColumn="0" w:lastRowLastColumn="0"/>
            </w:pPr>
            <w:r>
              <w:t>VicRoads</w:t>
            </w:r>
            <w:r w:rsidR="000C3B64" w:rsidRPr="001905F9">
              <w:t xml:space="preserve"> </w:t>
            </w:r>
            <w:r w:rsidR="00EA441D">
              <w:t xml:space="preserve">has </w:t>
            </w:r>
            <w:r w:rsidR="000C3B64" w:rsidRPr="001905F9">
              <w:t>numerous initiatives in progress</w:t>
            </w:r>
            <w:r w:rsidR="002A1D21">
              <w:t xml:space="preserve"> to</w:t>
            </w:r>
            <w:r w:rsidR="000C3B64" w:rsidRPr="001905F9">
              <w:t xml:space="preserve"> support the ongoing development of procurement capability.</w:t>
            </w:r>
          </w:p>
        </w:tc>
      </w:tr>
      <w:tr w:rsidR="000C3B64" w:rsidRPr="00CD6245" w14:paraId="5F781118" w14:textId="77777777" w:rsidTr="004B18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 w:type="dxa"/>
          </w:tcPr>
          <w:p w14:paraId="398AD2A1" w14:textId="77777777" w:rsidR="000C3B64" w:rsidRPr="00CD6245" w:rsidRDefault="000C3B64" w:rsidP="00A727E3">
            <w:pPr>
              <w:pStyle w:val="TableText"/>
            </w:pPr>
            <w:r w:rsidRPr="00CD6245">
              <w:t>4</w:t>
            </w:r>
          </w:p>
        </w:tc>
        <w:tc>
          <w:tcPr>
            <w:tcW w:w="1775" w:type="dxa"/>
          </w:tcPr>
          <w:p w14:paraId="1DBF4681" w14:textId="77777777" w:rsidR="000C3B64" w:rsidRPr="00726E77" w:rsidRDefault="000C3B64" w:rsidP="00A727E3">
            <w:pPr>
              <w:pStyle w:val="TableText"/>
              <w:cnfStyle w:val="000000100000" w:firstRow="0" w:lastRow="0" w:firstColumn="0" w:lastColumn="0" w:oddVBand="0" w:evenVBand="0" w:oddHBand="1" w:evenHBand="0" w:firstRowFirstColumn="0" w:firstRowLastColumn="0" w:lastRowFirstColumn="0" w:lastRowLastColumn="0"/>
            </w:pPr>
            <w:r w:rsidRPr="00726E77">
              <w:t>Cost of procurement resources</w:t>
            </w:r>
          </w:p>
        </w:tc>
        <w:tc>
          <w:tcPr>
            <w:tcW w:w="587" w:type="dxa"/>
          </w:tcPr>
          <w:p w14:paraId="4E007870" w14:textId="77777777" w:rsidR="000C3B64" w:rsidRDefault="000C3B64" w:rsidP="006B0393">
            <w:pPr>
              <w:pStyle w:val="Tablenumbers"/>
              <w:cnfStyle w:val="000000100000" w:firstRow="0" w:lastRow="0" w:firstColumn="0" w:lastColumn="0" w:oddVBand="0" w:evenVBand="0" w:oddHBand="1" w:evenHBand="0" w:firstRowFirstColumn="0" w:firstRowLastColumn="0" w:lastRowFirstColumn="0" w:lastRowLastColumn="0"/>
            </w:pPr>
            <w:r>
              <w:t>1.3</w:t>
            </w:r>
          </w:p>
        </w:tc>
        <w:tc>
          <w:tcPr>
            <w:tcW w:w="571" w:type="dxa"/>
          </w:tcPr>
          <w:p w14:paraId="031935A9" w14:textId="77777777" w:rsidR="000C3B64" w:rsidRDefault="000C3B64" w:rsidP="006B0393">
            <w:pPr>
              <w:pStyle w:val="Tablenumbers"/>
              <w:cnfStyle w:val="000000100000" w:firstRow="0" w:lastRow="0" w:firstColumn="0" w:lastColumn="0" w:oddVBand="0" w:evenVBand="0" w:oddHBand="1" w:evenHBand="0" w:firstRowFirstColumn="0" w:firstRowLastColumn="0" w:lastRowFirstColumn="0" w:lastRowLastColumn="0"/>
            </w:pPr>
            <w:r>
              <w:t>1.7</w:t>
            </w:r>
          </w:p>
        </w:tc>
        <w:tc>
          <w:tcPr>
            <w:tcW w:w="685" w:type="dxa"/>
          </w:tcPr>
          <w:p w14:paraId="792C471E" w14:textId="77777777" w:rsidR="000C3B64" w:rsidRPr="00CD6245" w:rsidRDefault="000C3B64" w:rsidP="006B0393">
            <w:pPr>
              <w:pStyle w:val="Tablenumbers"/>
              <w:cnfStyle w:val="000000100000" w:firstRow="0" w:lastRow="0" w:firstColumn="0" w:lastColumn="0" w:oddVBand="0" w:evenVBand="0" w:oddHBand="1" w:evenHBand="0" w:firstRowFirstColumn="0" w:firstRowLastColumn="0" w:lastRowFirstColumn="0" w:lastRowLastColumn="0"/>
            </w:pPr>
            <w:r>
              <w:t>1.6</w:t>
            </w:r>
          </w:p>
        </w:tc>
        <w:tc>
          <w:tcPr>
            <w:tcW w:w="5224" w:type="dxa"/>
          </w:tcPr>
          <w:p w14:paraId="32B148FB" w14:textId="22A52019" w:rsidR="000C3B64" w:rsidRDefault="000C3B64" w:rsidP="00A727E3">
            <w:pPr>
              <w:pStyle w:val="TableText"/>
              <w:cnfStyle w:val="000000100000" w:firstRow="0" w:lastRow="0" w:firstColumn="0" w:lastColumn="0" w:oddVBand="0" w:evenVBand="0" w:oddHBand="1" w:evenHBand="0" w:firstRowFirstColumn="0" w:firstRowLastColumn="0" w:lastRowFirstColumn="0" w:lastRowLastColumn="0"/>
            </w:pPr>
            <w:r w:rsidRPr="001905F9">
              <w:t>Total contract spend increased from 2016</w:t>
            </w:r>
            <w:r>
              <w:t>–</w:t>
            </w:r>
            <w:r w:rsidRPr="001905F9">
              <w:t>17</w:t>
            </w:r>
            <w:r>
              <w:t xml:space="preserve">, which </w:t>
            </w:r>
            <w:r w:rsidRPr="001905F9">
              <w:t>explains the slight reduction in percentage of resource spend</w:t>
            </w:r>
            <w:r>
              <w:t>.</w:t>
            </w:r>
          </w:p>
          <w:p w14:paraId="56499222" w14:textId="08AC0401" w:rsidR="000C3B64" w:rsidRPr="00CD6245" w:rsidRDefault="001957A9" w:rsidP="00A727E3">
            <w:pPr>
              <w:pStyle w:val="TableText"/>
              <w:cnfStyle w:val="000000100000" w:firstRow="0" w:lastRow="0" w:firstColumn="0" w:lastColumn="0" w:oddVBand="0" w:evenVBand="0" w:oddHBand="1" w:evenHBand="0" w:firstRowFirstColumn="0" w:firstRowLastColumn="0" w:lastRowFirstColumn="0" w:lastRowLastColumn="0"/>
            </w:pPr>
            <w:r>
              <w:t>VicRoads</w:t>
            </w:r>
            <w:r w:rsidRPr="001905F9">
              <w:t xml:space="preserve"> </w:t>
            </w:r>
            <w:r w:rsidR="000C3B64" w:rsidRPr="001905F9">
              <w:t>operate</w:t>
            </w:r>
            <w:r>
              <w:t>s</w:t>
            </w:r>
            <w:r w:rsidR="000C3B64" w:rsidRPr="001905F9">
              <w:t xml:space="preserve"> a centre</w:t>
            </w:r>
            <w:r w:rsidR="000C3B64">
              <w:t>-</w:t>
            </w:r>
            <w:r w:rsidR="000C3B64" w:rsidRPr="001905F9">
              <w:t xml:space="preserve">led procurement function where the majority of procurement activities are </w:t>
            </w:r>
            <w:r w:rsidR="002A1D21">
              <w:t>carried out</w:t>
            </w:r>
            <w:r w:rsidR="000C3B64" w:rsidRPr="001905F9">
              <w:t xml:space="preserve"> by business areas across the organisation. In many cases these positions include procurement as only part of their role and may incorporate a broad range of other responsibilities. Therefore, </w:t>
            </w:r>
            <w:r w:rsidR="000C3B64">
              <w:t xml:space="preserve">it is challenging to </w:t>
            </w:r>
            <w:r w:rsidR="000C3B64" w:rsidRPr="001905F9">
              <w:t xml:space="preserve">identify resources that </w:t>
            </w:r>
            <w:r w:rsidR="000C3B64">
              <w:t>spend</w:t>
            </w:r>
            <w:r w:rsidR="000C3B64" w:rsidRPr="001905F9">
              <w:t xml:space="preserve"> at least 80</w:t>
            </w:r>
            <w:r w:rsidR="000C3B64">
              <w:t xml:space="preserve"> per cent</w:t>
            </w:r>
            <w:r w:rsidR="000C3B64" w:rsidRPr="001905F9">
              <w:t xml:space="preserve"> of their time on procurement</w:t>
            </w:r>
            <w:r w:rsidR="000C3B64">
              <w:t>.</w:t>
            </w:r>
          </w:p>
        </w:tc>
      </w:tr>
      <w:tr w:rsidR="006B0393" w:rsidRPr="00CD6245" w14:paraId="1297756A" w14:textId="77777777" w:rsidTr="004B1827">
        <w:tc>
          <w:tcPr>
            <w:cnfStyle w:val="001000000000" w:firstRow="0" w:lastRow="0" w:firstColumn="1" w:lastColumn="0" w:oddVBand="0" w:evenVBand="0" w:oddHBand="0" w:evenHBand="0" w:firstRowFirstColumn="0" w:firstRowLastColumn="0" w:lastRowFirstColumn="0" w:lastRowLastColumn="0"/>
            <w:tcW w:w="351" w:type="dxa"/>
            <w:vMerge w:val="restart"/>
          </w:tcPr>
          <w:p w14:paraId="7024F1B7" w14:textId="16D95C35" w:rsidR="006B0393" w:rsidRPr="00CD6245" w:rsidRDefault="006B0393" w:rsidP="006B0393">
            <w:pPr>
              <w:pStyle w:val="TableText"/>
            </w:pPr>
            <w:r>
              <w:lastRenderedPageBreak/>
              <w:t>5</w:t>
            </w:r>
          </w:p>
        </w:tc>
        <w:tc>
          <w:tcPr>
            <w:tcW w:w="1775" w:type="dxa"/>
          </w:tcPr>
          <w:p w14:paraId="5459E1EE" w14:textId="2129D2B4" w:rsidR="006B0393" w:rsidRPr="00726E77" w:rsidRDefault="006B0393" w:rsidP="006B0393">
            <w:pPr>
              <w:pStyle w:val="TableText"/>
              <w:cnfStyle w:val="000000000000" w:firstRow="0" w:lastRow="0" w:firstColumn="0" w:lastColumn="0" w:oddVBand="0" w:evenVBand="0" w:oddHBand="0" w:evenHBand="0" w:firstRowFirstColumn="0" w:firstRowLastColumn="0" w:lastRowFirstColumn="0" w:lastRowLastColumn="0"/>
            </w:pPr>
            <w:r w:rsidRPr="000451B5">
              <w:t xml:space="preserve">Successful </w:t>
            </w:r>
            <w:r>
              <w:t>s</w:t>
            </w:r>
            <w:r w:rsidRPr="008F30C8">
              <w:t>upplie</w:t>
            </w:r>
            <w:r>
              <w:t xml:space="preserve">r </w:t>
            </w:r>
            <w:r w:rsidRPr="000451B5">
              <w:t>satisfied</w:t>
            </w:r>
          </w:p>
        </w:tc>
        <w:tc>
          <w:tcPr>
            <w:tcW w:w="587" w:type="dxa"/>
          </w:tcPr>
          <w:p w14:paraId="173D4965" w14:textId="39D1DC1E" w:rsidR="006B0393" w:rsidRDefault="006B0393" w:rsidP="006B0393">
            <w:pPr>
              <w:pStyle w:val="Tablenumbers"/>
              <w:cnfStyle w:val="000000000000" w:firstRow="0" w:lastRow="0" w:firstColumn="0" w:lastColumn="0" w:oddVBand="0" w:evenVBand="0" w:oddHBand="0" w:evenHBand="0" w:firstRowFirstColumn="0" w:firstRowLastColumn="0" w:lastRowFirstColumn="0" w:lastRowLastColumn="0"/>
            </w:pPr>
            <w:r>
              <w:t>88</w:t>
            </w:r>
          </w:p>
        </w:tc>
        <w:tc>
          <w:tcPr>
            <w:tcW w:w="571" w:type="dxa"/>
          </w:tcPr>
          <w:p w14:paraId="25356AAE" w14:textId="604AD887" w:rsidR="006B0393" w:rsidRDefault="006B0393" w:rsidP="006B0393">
            <w:pPr>
              <w:pStyle w:val="Tablenumbers"/>
              <w:cnfStyle w:val="000000000000" w:firstRow="0" w:lastRow="0" w:firstColumn="0" w:lastColumn="0" w:oddVBand="0" w:evenVBand="0" w:oddHBand="0" w:evenHBand="0" w:firstRowFirstColumn="0" w:firstRowLastColumn="0" w:lastRowFirstColumn="0" w:lastRowLastColumn="0"/>
            </w:pPr>
            <w:r>
              <w:t>88</w:t>
            </w:r>
          </w:p>
        </w:tc>
        <w:tc>
          <w:tcPr>
            <w:tcW w:w="685" w:type="dxa"/>
          </w:tcPr>
          <w:p w14:paraId="0D4A5787" w14:textId="669F865A" w:rsidR="006B0393" w:rsidRDefault="006B0393" w:rsidP="006B0393">
            <w:pPr>
              <w:pStyle w:val="Tablenumbers"/>
              <w:cnfStyle w:val="000000000000" w:firstRow="0" w:lastRow="0" w:firstColumn="0" w:lastColumn="0" w:oddVBand="0" w:evenVBand="0" w:oddHBand="0" w:evenHBand="0" w:firstRowFirstColumn="0" w:firstRowLastColumn="0" w:lastRowFirstColumn="0" w:lastRowLastColumn="0"/>
            </w:pPr>
            <w:r>
              <w:t>88</w:t>
            </w:r>
          </w:p>
        </w:tc>
        <w:tc>
          <w:tcPr>
            <w:tcW w:w="5224" w:type="dxa"/>
            <w:vMerge w:val="restart"/>
          </w:tcPr>
          <w:p w14:paraId="780C8000" w14:textId="5A713704" w:rsidR="006B0393" w:rsidRDefault="006B0393" w:rsidP="006B0393">
            <w:pPr>
              <w:pStyle w:val="TableText"/>
              <w:cnfStyle w:val="000000000000" w:firstRow="0" w:lastRow="0" w:firstColumn="0" w:lastColumn="0" w:oddVBand="0" w:evenVBand="0" w:oddHBand="0" w:evenHBand="0" w:firstRowFirstColumn="0" w:firstRowLastColumn="0" w:lastRowFirstColumn="0" w:lastRowLastColumn="0"/>
            </w:pPr>
            <w:r>
              <w:t xml:space="preserve">VicRoads will review the results and develop an action plan to address concerns highlighted in the survey. </w:t>
            </w:r>
            <w:r w:rsidR="00F17B70">
              <w:t>The s</w:t>
            </w:r>
            <w:r>
              <w:t>urvey only had 12 unsuccessful suppliers’ responses – a low sample size to determine genuine supplier satisfaction given that VicRoads undertakes an extensive number of procurements each year.</w:t>
            </w:r>
          </w:p>
        </w:tc>
      </w:tr>
      <w:tr w:rsidR="006B0393" w:rsidRPr="00CD6245" w14:paraId="72746D48" w14:textId="77777777" w:rsidTr="004B18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 w:type="dxa"/>
            <w:vMerge/>
          </w:tcPr>
          <w:p w14:paraId="33D07386" w14:textId="77777777" w:rsidR="006B0393" w:rsidRPr="00CD6245" w:rsidRDefault="006B0393" w:rsidP="006B0393">
            <w:pPr>
              <w:pStyle w:val="TableText"/>
            </w:pPr>
          </w:p>
        </w:tc>
        <w:tc>
          <w:tcPr>
            <w:tcW w:w="1775" w:type="dxa"/>
          </w:tcPr>
          <w:p w14:paraId="5EECAFBF" w14:textId="5C84F8F7" w:rsidR="006B0393" w:rsidRPr="00726E77" w:rsidRDefault="006B0393" w:rsidP="006B0393">
            <w:pPr>
              <w:pStyle w:val="TableText"/>
              <w:cnfStyle w:val="000000100000" w:firstRow="0" w:lastRow="0" w:firstColumn="0" w:lastColumn="0" w:oddVBand="0" w:evenVBand="0" w:oddHBand="1" w:evenHBand="0" w:firstRowFirstColumn="0" w:firstRowLastColumn="0" w:lastRowFirstColumn="0" w:lastRowLastColumn="0"/>
            </w:pPr>
            <w:r w:rsidRPr="000451B5">
              <w:t xml:space="preserve">Unsuccessful </w:t>
            </w:r>
            <w:r>
              <w:t>s</w:t>
            </w:r>
            <w:r w:rsidRPr="008F30C8">
              <w:t>upplie</w:t>
            </w:r>
            <w:r>
              <w:t xml:space="preserve">r </w:t>
            </w:r>
            <w:r w:rsidRPr="000451B5">
              <w:t>satisfied</w:t>
            </w:r>
          </w:p>
        </w:tc>
        <w:tc>
          <w:tcPr>
            <w:tcW w:w="587" w:type="dxa"/>
          </w:tcPr>
          <w:p w14:paraId="391F2AF2" w14:textId="7C8F9A24" w:rsidR="006B0393" w:rsidRDefault="006B0393" w:rsidP="006B0393">
            <w:pPr>
              <w:pStyle w:val="Tablenumbers"/>
              <w:cnfStyle w:val="000000100000" w:firstRow="0" w:lastRow="0" w:firstColumn="0" w:lastColumn="0" w:oddVBand="0" w:evenVBand="0" w:oddHBand="1" w:evenHBand="0" w:firstRowFirstColumn="0" w:firstRowLastColumn="0" w:lastRowFirstColumn="0" w:lastRowLastColumn="0"/>
            </w:pPr>
            <w:r>
              <w:t>40</w:t>
            </w:r>
          </w:p>
        </w:tc>
        <w:tc>
          <w:tcPr>
            <w:tcW w:w="571" w:type="dxa"/>
          </w:tcPr>
          <w:p w14:paraId="7BBF69B7" w14:textId="63F9252D" w:rsidR="006B0393" w:rsidRDefault="006B0393" w:rsidP="006B0393">
            <w:pPr>
              <w:pStyle w:val="Tablenumbers"/>
              <w:cnfStyle w:val="000000100000" w:firstRow="0" w:lastRow="0" w:firstColumn="0" w:lastColumn="0" w:oddVBand="0" w:evenVBand="0" w:oddHBand="1" w:evenHBand="0" w:firstRowFirstColumn="0" w:firstRowLastColumn="0" w:lastRowFirstColumn="0" w:lastRowLastColumn="0"/>
            </w:pPr>
            <w:r>
              <w:t>25</w:t>
            </w:r>
          </w:p>
        </w:tc>
        <w:tc>
          <w:tcPr>
            <w:tcW w:w="685" w:type="dxa"/>
          </w:tcPr>
          <w:p w14:paraId="79478F95" w14:textId="351CAE76" w:rsidR="006B0393" w:rsidRDefault="006B0393" w:rsidP="006B0393">
            <w:pPr>
              <w:pStyle w:val="Tablenumbers"/>
              <w:cnfStyle w:val="000000100000" w:firstRow="0" w:lastRow="0" w:firstColumn="0" w:lastColumn="0" w:oddVBand="0" w:evenVBand="0" w:oddHBand="1" w:evenHBand="0" w:firstRowFirstColumn="0" w:firstRowLastColumn="0" w:lastRowFirstColumn="0" w:lastRowLastColumn="0"/>
            </w:pPr>
            <w:r>
              <w:t>25</w:t>
            </w:r>
          </w:p>
        </w:tc>
        <w:tc>
          <w:tcPr>
            <w:tcW w:w="5224" w:type="dxa"/>
            <w:vMerge/>
          </w:tcPr>
          <w:p w14:paraId="495C3BF1" w14:textId="77777777" w:rsidR="006B0393" w:rsidRDefault="006B0393" w:rsidP="006B0393">
            <w:pPr>
              <w:pStyle w:val="TableText"/>
              <w:cnfStyle w:val="000000100000" w:firstRow="0" w:lastRow="0" w:firstColumn="0" w:lastColumn="0" w:oddVBand="0" w:evenVBand="0" w:oddHBand="1" w:evenHBand="0" w:firstRowFirstColumn="0" w:firstRowLastColumn="0" w:lastRowFirstColumn="0" w:lastRowLastColumn="0"/>
            </w:pPr>
          </w:p>
        </w:tc>
      </w:tr>
      <w:tr w:rsidR="000C3B64" w:rsidRPr="00CD6245" w14:paraId="3403D341" w14:textId="77777777" w:rsidTr="004B1827">
        <w:trPr>
          <w:trHeight w:val="283"/>
        </w:trPr>
        <w:tc>
          <w:tcPr>
            <w:cnfStyle w:val="001000000000" w:firstRow="0" w:lastRow="0" w:firstColumn="1" w:lastColumn="0" w:oddVBand="0" w:evenVBand="0" w:oddHBand="0" w:evenHBand="0" w:firstRowFirstColumn="0" w:firstRowLastColumn="0" w:lastRowFirstColumn="0" w:lastRowLastColumn="0"/>
            <w:tcW w:w="351" w:type="dxa"/>
          </w:tcPr>
          <w:p w14:paraId="5E9128D5" w14:textId="77777777" w:rsidR="000C3B64" w:rsidRPr="0038456D" w:rsidRDefault="000C3B64" w:rsidP="00A727E3">
            <w:pPr>
              <w:pStyle w:val="TableText"/>
            </w:pPr>
            <w:r w:rsidRPr="0038456D">
              <w:t>6</w:t>
            </w:r>
          </w:p>
        </w:tc>
        <w:tc>
          <w:tcPr>
            <w:tcW w:w="1775" w:type="dxa"/>
          </w:tcPr>
          <w:p w14:paraId="01D86965" w14:textId="77777777" w:rsidR="000C3B64" w:rsidRPr="0038456D" w:rsidRDefault="000C3B64" w:rsidP="00A727E3">
            <w:pPr>
              <w:pStyle w:val="TableText"/>
              <w:cnfStyle w:val="000000000000" w:firstRow="0" w:lastRow="0" w:firstColumn="0" w:lastColumn="0" w:oddVBand="0" w:evenVBand="0" w:oddHBand="0" w:evenHBand="0" w:firstRowFirstColumn="0" w:firstRowLastColumn="0" w:lastRowFirstColumn="0" w:lastRowLastColumn="0"/>
            </w:pPr>
            <w:r w:rsidRPr="0038456D">
              <w:t>Planned procurement activity</w:t>
            </w:r>
          </w:p>
        </w:tc>
        <w:tc>
          <w:tcPr>
            <w:tcW w:w="587" w:type="dxa"/>
          </w:tcPr>
          <w:p w14:paraId="664FFE63" w14:textId="77777777" w:rsidR="000C3B64" w:rsidRPr="0038456D" w:rsidRDefault="000C3B64" w:rsidP="006B0393">
            <w:pPr>
              <w:pStyle w:val="Tablenumbers"/>
              <w:cnfStyle w:val="000000000000" w:firstRow="0" w:lastRow="0" w:firstColumn="0" w:lastColumn="0" w:oddVBand="0" w:evenVBand="0" w:oddHBand="0" w:evenHBand="0" w:firstRowFirstColumn="0" w:firstRowLastColumn="0" w:lastRowFirstColumn="0" w:lastRowLastColumn="0"/>
            </w:pPr>
            <w:r w:rsidRPr="0038456D">
              <w:t>39</w:t>
            </w:r>
          </w:p>
        </w:tc>
        <w:tc>
          <w:tcPr>
            <w:tcW w:w="571" w:type="dxa"/>
          </w:tcPr>
          <w:p w14:paraId="25DF0CBC" w14:textId="77777777" w:rsidR="000C3B64" w:rsidRPr="0038456D" w:rsidRDefault="000C3B64" w:rsidP="006B0393">
            <w:pPr>
              <w:pStyle w:val="Tablenumbers"/>
              <w:cnfStyle w:val="000000000000" w:firstRow="0" w:lastRow="0" w:firstColumn="0" w:lastColumn="0" w:oddVBand="0" w:evenVBand="0" w:oddHBand="0" w:evenHBand="0" w:firstRowFirstColumn="0" w:firstRowLastColumn="0" w:lastRowFirstColumn="0" w:lastRowLastColumn="0"/>
            </w:pPr>
            <w:r w:rsidRPr="0038456D">
              <w:t>42.5</w:t>
            </w:r>
          </w:p>
        </w:tc>
        <w:tc>
          <w:tcPr>
            <w:tcW w:w="685" w:type="dxa"/>
          </w:tcPr>
          <w:p w14:paraId="78F860EF" w14:textId="0A98A03A" w:rsidR="000C3B64" w:rsidRPr="0038456D" w:rsidRDefault="00767DAF" w:rsidP="006B0393">
            <w:pPr>
              <w:pStyle w:val="Tablenumbers"/>
              <w:cnfStyle w:val="000000000000" w:firstRow="0" w:lastRow="0" w:firstColumn="0" w:lastColumn="0" w:oddVBand="0" w:evenVBand="0" w:oddHBand="0" w:evenHBand="0" w:firstRowFirstColumn="0" w:firstRowLastColumn="0" w:lastRowFirstColumn="0" w:lastRowLastColumn="0"/>
            </w:pPr>
            <w:r w:rsidRPr="0038456D">
              <w:t>22.6</w:t>
            </w:r>
          </w:p>
        </w:tc>
        <w:tc>
          <w:tcPr>
            <w:tcW w:w="5224" w:type="dxa"/>
          </w:tcPr>
          <w:p w14:paraId="6BABAC74" w14:textId="039CCF16" w:rsidR="000C3B64" w:rsidRPr="001660DC" w:rsidRDefault="00BC4B8C" w:rsidP="00A727E3">
            <w:pPr>
              <w:pStyle w:val="TableText"/>
              <w:cnfStyle w:val="000000000000" w:firstRow="0" w:lastRow="0" w:firstColumn="0" w:lastColumn="0" w:oddVBand="0" w:evenVBand="0" w:oddHBand="0" w:evenHBand="0" w:firstRowFirstColumn="0" w:firstRowLastColumn="0" w:lastRowFirstColumn="0" w:lastRowLastColumn="0"/>
            </w:pPr>
            <w:r w:rsidRPr="0038456D">
              <w:t xml:space="preserve">Both the actual number of planned activities and overall number of transactions has increased from last year. </w:t>
            </w:r>
            <w:r w:rsidR="001957A9" w:rsidRPr="0038456D">
              <w:t xml:space="preserve">VicRoads </w:t>
            </w:r>
            <w:r w:rsidRPr="0038456D">
              <w:t xml:space="preserve">will review the activities that were not included in the </w:t>
            </w:r>
            <w:r w:rsidR="0072562D" w:rsidRPr="0038456D">
              <w:t>procurement activity plan</w:t>
            </w:r>
            <w:r w:rsidRPr="0038456D">
              <w:t xml:space="preserve"> to identify opportunities for improvement.</w:t>
            </w:r>
          </w:p>
        </w:tc>
      </w:tr>
    </w:tbl>
    <w:bookmarkEnd w:id="226"/>
    <w:p w14:paraId="7F6F08F4" w14:textId="77777777" w:rsidR="002A7E78" w:rsidRDefault="002A7E78" w:rsidP="002A7E78">
      <w:pPr>
        <w:pStyle w:val="Heading3NoNum"/>
      </w:pPr>
      <w:r>
        <w:t>Activities planned for 2018–19</w:t>
      </w:r>
    </w:p>
    <w:p w14:paraId="61B77B77" w14:textId="77777777" w:rsidR="002A7E78" w:rsidRDefault="002A7E78" w:rsidP="002A7E78">
      <w:pPr>
        <w:pStyle w:val="Normal1"/>
      </w:pPr>
      <w:r>
        <w:t>In 2018–19,</w:t>
      </w:r>
      <w:r w:rsidRPr="00CD6245">
        <w:t xml:space="preserve"> </w:t>
      </w:r>
      <w:r>
        <w:t>VicRoads</w:t>
      </w:r>
      <w:r w:rsidRPr="00CD6245">
        <w:t xml:space="preserve"> will:</w:t>
      </w:r>
    </w:p>
    <w:p w14:paraId="570863C3" w14:textId="77777777" w:rsidR="002A7E78" w:rsidRPr="000C3B64" w:rsidRDefault="002A7E78" w:rsidP="002A7E78">
      <w:pPr>
        <w:pStyle w:val="Bullet1"/>
      </w:pPr>
      <w:r w:rsidRPr="000C3B64">
        <w:t xml:space="preserve">continue to implement strategic social procurement to generate social value from </w:t>
      </w:r>
      <w:r>
        <w:t xml:space="preserve">its </w:t>
      </w:r>
      <w:r w:rsidRPr="000C3B64">
        <w:t>buying power;</w:t>
      </w:r>
    </w:p>
    <w:p w14:paraId="77E82061" w14:textId="77777777" w:rsidR="002A7E78" w:rsidRPr="000C3B64" w:rsidRDefault="002A7E78" w:rsidP="002A7E78">
      <w:pPr>
        <w:pStyle w:val="Bullet1"/>
      </w:pPr>
      <w:r w:rsidRPr="000C3B64">
        <w:t>update and implement the supplier engagement plan (deferred from 2016–17);</w:t>
      </w:r>
    </w:p>
    <w:p w14:paraId="1F2F22B3" w14:textId="77777777" w:rsidR="002A7E78" w:rsidRPr="000C3B64" w:rsidRDefault="002A7E78" w:rsidP="002A7E78">
      <w:pPr>
        <w:pStyle w:val="Bullet1"/>
      </w:pPr>
      <w:r w:rsidRPr="000C3B64">
        <w:t>update and keep implementing the Capability Development Plan;</w:t>
      </w:r>
    </w:p>
    <w:p w14:paraId="6E52F16F" w14:textId="77777777" w:rsidR="002A7E78" w:rsidRPr="000C3B64" w:rsidRDefault="002A7E78" w:rsidP="002A7E78">
      <w:pPr>
        <w:pStyle w:val="Bullet1"/>
      </w:pPr>
      <w:r w:rsidRPr="000C3B64">
        <w:t>implement an e-tendering system;</w:t>
      </w:r>
    </w:p>
    <w:p w14:paraId="7F05294E" w14:textId="77777777" w:rsidR="002A7E78" w:rsidRPr="000C3B64" w:rsidRDefault="002A7E78" w:rsidP="002A7E78">
      <w:pPr>
        <w:pStyle w:val="Bullet1"/>
      </w:pPr>
      <w:r w:rsidRPr="000C3B64">
        <w:t xml:space="preserve">continue working towards introducing a </w:t>
      </w:r>
      <w:r>
        <w:t>procure-to-pay</w:t>
      </w:r>
      <w:r w:rsidRPr="000C3B64">
        <w:t xml:space="preserve"> system to replace the existing pre-award system;</w:t>
      </w:r>
    </w:p>
    <w:p w14:paraId="040E8A74" w14:textId="77777777" w:rsidR="002A7E78" w:rsidRPr="000C3B64" w:rsidRDefault="002A7E78" w:rsidP="002A7E78">
      <w:pPr>
        <w:pStyle w:val="Bullet1"/>
      </w:pPr>
      <w:r w:rsidRPr="000C3B64">
        <w:t>move the Guided Buying Tool to a better platform to make the most of the benefits identified in the toolkit review in 2017–18;</w:t>
      </w:r>
    </w:p>
    <w:p w14:paraId="3CE23405" w14:textId="77777777" w:rsidR="002A7E78" w:rsidRPr="000C3B64" w:rsidRDefault="002A7E78" w:rsidP="002A7E78">
      <w:pPr>
        <w:pStyle w:val="Bullet1"/>
      </w:pPr>
      <w:r w:rsidRPr="000C3B64">
        <w:t>continue to develop, implement and review the VicRoads Procurement Assurance Program to identify procurement anomalies and progressively improve the integrity of procurement practices;</w:t>
      </w:r>
    </w:p>
    <w:p w14:paraId="4CF28047" w14:textId="77777777" w:rsidR="002A7E78" w:rsidRPr="000C3B64" w:rsidRDefault="002A7E78" w:rsidP="002A7E78">
      <w:pPr>
        <w:pStyle w:val="Bullet1"/>
      </w:pPr>
      <w:r w:rsidRPr="000C3B64">
        <w:t>continue to use business intelligence tools to create comprehensive reports and dashboards for both procurement assurance and category management;</w:t>
      </w:r>
    </w:p>
    <w:p w14:paraId="0E30032E" w14:textId="77777777" w:rsidR="002A7E78" w:rsidRPr="000C3B64" w:rsidRDefault="002A7E78" w:rsidP="002A7E78">
      <w:pPr>
        <w:pStyle w:val="Bullet1"/>
      </w:pPr>
      <w:r w:rsidRPr="000C3B64">
        <w:t xml:space="preserve">improve the </w:t>
      </w:r>
      <w:r>
        <w:t>c</w:t>
      </w:r>
      <w:r w:rsidRPr="000C3B64">
        <w:t xml:space="preserve">ontract </w:t>
      </w:r>
      <w:r>
        <w:t>m</w:t>
      </w:r>
      <w:r w:rsidRPr="000C3B64">
        <w:t xml:space="preserve">anagement </w:t>
      </w:r>
      <w:r>
        <w:t>f</w:t>
      </w:r>
      <w:r w:rsidRPr="000C3B64">
        <w:t>ramework to ensure consistent processes are applied across the organisation;</w:t>
      </w:r>
    </w:p>
    <w:p w14:paraId="62F6B7F4" w14:textId="77777777" w:rsidR="002A7E78" w:rsidRPr="000C3B64" w:rsidRDefault="002A7E78" w:rsidP="002A7E78">
      <w:pPr>
        <w:pStyle w:val="Bullet1"/>
      </w:pPr>
      <w:r w:rsidRPr="000C3B64">
        <w:t>continue to engage with business areas to increase the profile of procurement among other benefits;</w:t>
      </w:r>
    </w:p>
    <w:p w14:paraId="2DFBE6FB" w14:textId="77777777" w:rsidR="002A7E78" w:rsidRPr="000C3B64" w:rsidRDefault="002A7E78" w:rsidP="002A7E78">
      <w:pPr>
        <w:pStyle w:val="Bullet1"/>
      </w:pPr>
      <w:r w:rsidRPr="000C3B64">
        <w:t>work with VicFleet to transition all vehicles to the Motor Vehicle SPC; and</w:t>
      </w:r>
    </w:p>
    <w:p w14:paraId="33D8EEC5" w14:textId="77777777" w:rsidR="002A7E78" w:rsidRPr="000C3B64" w:rsidRDefault="002A7E78" w:rsidP="002A7E78">
      <w:pPr>
        <w:pStyle w:val="Bullet1"/>
      </w:pPr>
      <w:r w:rsidRPr="000C3B64">
        <w:t>implement more electronic forms.</w:t>
      </w:r>
    </w:p>
    <w:p w14:paraId="49DCD9C8" w14:textId="77777777" w:rsidR="000C3B64" w:rsidRPr="000C3B64" w:rsidRDefault="000C3B64" w:rsidP="000C3B64">
      <w:pPr>
        <w:rPr>
          <w:lang w:eastAsia="en-US"/>
        </w:rPr>
      </w:pPr>
    </w:p>
    <w:p w14:paraId="6C467731" w14:textId="77777777" w:rsidR="00FC13EE" w:rsidRDefault="00FC13EE">
      <w:pPr>
        <w:rPr>
          <w:rFonts w:ascii="Calibri" w:hAnsi="Calibri" w:cs="Calibri"/>
          <w:color w:val="4D4D4D"/>
          <w:kern w:val="28"/>
          <w:sz w:val="30"/>
          <w:szCs w:val="22"/>
          <w:lang w:eastAsia="en-US"/>
        </w:rPr>
      </w:pPr>
      <w:bookmarkStart w:id="233" w:name="_Hlk488219202"/>
      <w:r>
        <w:br w:type="page"/>
      </w:r>
    </w:p>
    <w:p w14:paraId="01A4B37C" w14:textId="77777777" w:rsidR="00FC13EE" w:rsidRDefault="00FC13EE" w:rsidP="00FC13EE">
      <w:pPr>
        <w:pStyle w:val="Heading2NoNum"/>
      </w:pPr>
      <w:bookmarkStart w:id="234" w:name="_Toc515391653"/>
      <w:bookmarkStart w:id="235" w:name="_Toc524354091"/>
      <w:bookmarkEnd w:id="227"/>
      <w:r w:rsidRPr="00CD6245">
        <w:lastRenderedPageBreak/>
        <w:t>Victoria Police</w:t>
      </w:r>
      <w:bookmarkEnd w:id="234"/>
      <w:bookmarkEnd w:id="235"/>
    </w:p>
    <w:p w14:paraId="26865A64" w14:textId="77777777" w:rsidR="00FC13EE" w:rsidRPr="00405ED6" w:rsidRDefault="00FC13EE" w:rsidP="006A5451">
      <w:pPr>
        <w:pStyle w:val="Normal1"/>
      </w:pPr>
      <w:r w:rsidRPr="00405ED6">
        <w:t xml:space="preserve">Victoria Police is the primary law enforcement agency of Victoria. It was formed in 1853 and operates under the </w:t>
      </w:r>
      <w:r w:rsidRPr="00425AF2">
        <w:rPr>
          <w:i/>
        </w:rPr>
        <w:t>Victoria Police Act 2013</w:t>
      </w:r>
      <w:r w:rsidRPr="00405ED6">
        <w:t>. It provides policing services to the Victorian community 24 hours a day, seven days a week, working to keep over 5.9 million Victorians safe.</w:t>
      </w:r>
    </w:p>
    <w:p w14:paraId="0B46669B" w14:textId="77777777" w:rsidR="00FC13EE" w:rsidRDefault="00FC13EE" w:rsidP="00FC13EE">
      <w:pPr>
        <w:pStyle w:val="Normal1"/>
      </w:pPr>
      <w:r>
        <w:rPr>
          <w:noProof/>
          <w:lang w:val="en-US" w:eastAsia="en-US"/>
        </w:rPr>
        <mc:AlternateContent>
          <mc:Choice Requires="wps">
            <w:drawing>
              <wp:anchor distT="0" distB="0" distL="114300" distR="114300" simplePos="0" relativeHeight="251648512" behindDoc="0" locked="0" layoutInCell="1" allowOverlap="1" wp14:anchorId="1989DA58" wp14:editId="588A2840">
                <wp:simplePos x="0" y="0"/>
                <wp:positionH relativeFrom="margin">
                  <wp:posOffset>3867150</wp:posOffset>
                </wp:positionH>
                <wp:positionV relativeFrom="margin">
                  <wp:posOffset>1228090</wp:posOffset>
                </wp:positionV>
                <wp:extent cx="2181225" cy="1781175"/>
                <wp:effectExtent l="0" t="0" r="28575" b="28575"/>
                <wp:wrapSquare wrapText="bothSides"/>
                <wp:docPr id="38" name="Text Box 38"/>
                <wp:cNvGraphicFramePr/>
                <a:graphic xmlns:a="http://schemas.openxmlformats.org/drawingml/2006/main">
                  <a:graphicData uri="http://schemas.microsoft.com/office/word/2010/wordprocessingShape">
                    <wps:wsp>
                      <wps:cNvSpPr txBox="1"/>
                      <wps:spPr>
                        <a:xfrm>
                          <a:off x="0" y="0"/>
                          <a:ext cx="2181225" cy="1781175"/>
                        </a:xfrm>
                        <a:prstGeom prst="rect">
                          <a:avLst/>
                        </a:prstGeom>
                        <a:solidFill>
                          <a:schemeClr val="lt1"/>
                        </a:solidFill>
                        <a:ln w="6350">
                          <a:solidFill>
                            <a:prstClr val="black"/>
                          </a:solidFill>
                        </a:ln>
                      </wps:spPr>
                      <wps:txbx>
                        <w:txbxContent>
                          <w:p w14:paraId="665794B9" w14:textId="77777777" w:rsidR="001206E5" w:rsidRPr="00FF56DD" w:rsidRDefault="001206E5" w:rsidP="00FC13EE">
                            <w:pPr>
                              <w:pStyle w:val="Normal1"/>
                              <w:ind w:left="0"/>
                              <w:rPr>
                                <w:b/>
                                <w:sz w:val="20"/>
                                <w:szCs w:val="20"/>
                              </w:rPr>
                            </w:pPr>
                            <w:r w:rsidRPr="00FF56DD">
                              <w:rPr>
                                <w:b/>
                                <w:sz w:val="20"/>
                                <w:szCs w:val="20"/>
                              </w:rPr>
                              <w:t xml:space="preserve">AO: </w:t>
                            </w:r>
                            <w:r w:rsidRPr="00FF56DD">
                              <w:rPr>
                                <w:sz w:val="20"/>
                                <w:szCs w:val="20"/>
                              </w:rPr>
                              <w:t>Graham Ashton</w:t>
                            </w:r>
                            <w:r>
                              <w:rPr>
                                <w:sz w:val="20"/>
                                <w:szCs w:val="20"/>
                              </w:rPr>
                              <w:t xml:space="preserve"> AM</w:t>
                            </w:r>
                            <w:r w:rsidRPr="00FF56DD">
                              <w:rPr>
                                <w:sz w:val="20"/>
                                <w:szCs w:val="20"/>
                              </w:rPr>
                              <w:t>, Chief Commissioner of Police</w:t>
                            </w:r>
                          </w:p>
                          <w:p w14:paraId="48F17C36" w14:textId="77777777" w:rsidR="001206E5" w:rsidRPr="00FF56DD" w:rsidRDefault="001206E5" w:rsidP="00FC13EE">
                            <w:pPr>
                              <w:pStyle w:val="Normal1"/>
                              <w:ind w:left="0"/>
                              <w:rPr>
                                <w:sz w:val="20"/>
                                <w:szCs w:val="20"/>
                              </w:rPr>
                            </w:pPr>
                            <w:r w:rsidRPr="00FF56DD">
                              <w:rPr>
                                <w:b/>
                                <w:sz w:val="20"/>
                                <w:szCs w:val="20"/>
                              </w:rPr>
                              <w:t>CPO</w:t>
                            </w:r>
                            <w:r w:rsidRPr="00FF56DD">
                              <w:rPr>
                                <w:sz w:val="20"/>
                                <w:szCs w:val="20"/>
                              </w:rPr>
                              <w:t xml:space="preserve">: </w:t>
                            </w:r>
                            <w:r w:rsidRPr="009F0832">
                              <w:rPr>
                                <w:sz w:val="20"/>
                                <w:szCs w:val="20"/>
                              </w:rPr>
                              <w:t>Byron Crawford</w:t>
                            </w:r>
                            <w:r w:rsidRPr="00FF56DD">
                              <w:rPr>
                                <w:sz w:val="20"/>
                                <w:szCs w:val="20"/>
                              </w:rPr>
                              <w:t xml:space="preserve">, </w:t>
                            </w:r>
                            <w:r w:rsidRPr="009F0832">
                              <w:rPr>
                                <w:sz w:val="20"/>
                                <w:szCs w:val="20"/>
                              </w:rPr>
                              <w:t xml:space="preserve">Director Procurement </w:t>
                            </w:r>
                            <w:r>
                              <w:rPr>
                                <w:sz w:val="20"/>
                                <w:szCs w:val="20"/>
                              </w:rPr>
                              <w:t>and CPO</w:t>
                            </w:r>
                            <w:r w:rsidRPr="00FF56DD">
                              <w:rPr>
                                <w:sz w:val="20"/>
                                <w:szCs w:val="20"/>
                              </w:rPr>
                              <w:t>, Procurement Department</w:t>
                            </w:r>
                          </w:p>
                          <w:p w14:paraId="7336F8E2" w14:textId="05724232" w:rsidR="001206E5" w:rsidRPr="00FF56DD" w:rsidRDefault="001206E5" w:rsidP="00FC13EE">
                            <w:pPr>
                              <w:pStyle w:val="Normal1"/>
                              <w:ind w:left="0"/>
                              <w:rPr>
                                <w:sz w:val="20"/>
                                <w:szCs w:val="20"/>
                              </w:rPr>
                            </w:pPr>
                            <w:r w:rsidRPr="00FF56DD">
                              <w:rPr>
                                <w:b/>
                                <w:sz w:val="20"/>
                                <w:szCs w:val="20"/>
                              </w:rPr>
                              <w:t>IPU Chair</w:t>
                            </w:r>
                            <w:r w:rsidRPr="00FF56DD">
                              <w:rPr>
                                <w:sz w:val="20"/>
                                <w:szCs w:val="20"/>
                              </w:rPr>
                              <w:t xml:space="preserve">: </w:t>
                            </w:r>
                            <w:r w:rsidRPr="009F0832">
                              <w:rPr>
                                <w:sz w:val="20"/>
                                <w:szCs w:val="20"/>
                              </w:rPr>
                              <w:t>Chris O’Farrell</w:t>
                            </w:r>
                            <w:r w:rsidRPr="00FF56DD">
                              <w:rPr>
                                <w:sz w:val="20"/>
                                <w:szCs w:val="20"/>
                              </w:rPr>
                              <w:t xml:space="preserve">, </w:t>
                            </w:r>
                            <w:r w:rsidRPr="009F0832">
                              <w:rPr>
                                <w:sz w:val="20"/>
                                <w:szCs w:val="20"/>
                              </w:rPr>
                              <w:t>Chair of the Police Procurement Board</w:t>
                            </w:r>
                            <w:r w:rsidRPr="00FF56DD">
                              <w:rPr>
                                <w:sz w:val="20"/>
                                <w:szCs w:val="20"/>
                              </w:rPr>
                              <w:t xml:space="preserve">, </w:t>
                            </w:r>
                            <w:r w:rsidRPr="009F0832">
                              <w:rPr>
                                <w:sz w:val="20"/>
                                <w:szCs w:val="20"/>
                              </w:rPr>
                              <w:t>Executive Services and Governance Department</w:t>
                            </w:r>
                          </w:p>
                          <w:p w14:paraId="1EF6EB11" w14:textId="77777777" w:rsidR="001206E5" w:rsidRPr="00FF56DD" w:rsidRDefault="001206E5" w:rsidP="00FC13EE">
                            <w:pP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89DA58" id="Text Box 38" o:spid="_x0000_s1086" type="#_x0000_t202" style="position:absolute;left:0;text-align:left;margin-left:304.5pt;margin-top:96.7pt;width:171.75pt;height:140.25pt;z-index:2516485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" fillcolor="white [3201]" strokeweight=".5pt">
                <v:textbox>
                  <w:txbxContent>
                    <w:p w14:paraId="665794B9" w14:textId="77777777" w:rsidR="001206E5" w:rsidRPr="00FF56DD" w:rsidRDefault="001206E5" w:rsidP="00FC13EE">
                      <w:pPr>
                        <w:pStyle w:val="Normal1"/>
                        <w:ind w:left="0"/>
                        <w:rPr>
                          <w:b/>
                          <w:sz w:val="20"/>
                          <w:szCs w:val="20"/>
                        </w:rPr>
                      </w:pPr>
                      <w:r w:rsidRPr="00FF56DD">
                        <w:rPr>
                          <w:b/>
                          <w:sz w:val="20"/>
                          <w:szCs w:val="20"/>
                        </w:rPr>
                        <w:t xml:space="preserve">AO: </w:t>
                      </w:r>
                      <w:r w:rsidRPr="00FF56DD">
                        <w:rPr>
                          <w:sz w:val="20"/>
                          <w:szCs w:val="20"/>
                        </w:rPr>
                        <w:t>Graham Ashton</w:t>
                      </w:r>
                      <w:r>
                        <w:rPr>
                          <w:sz w:val="20"/>
                          <w:szCs w:val="20"/>
                        </w:rPr>
                        <w:t xml:space="preserve"> AM</w:t>
                      </w:r>
                      <w:r w:rsidRPr="00FF56DD">
                        <w:rPr>
                          <w:sz w:val="20"/>
                          <w:szCs w:val="20"/>
                        </w:rPr>
                        <w:t>, Chief Commissioner of Police</w:t>
                      </w:r>
                    </w:p>
                    <w:p w14:paraId="48F17C36" w14:textId="77777777" w:rsidR="001206E5" w:rsidRPr="00FF56DD" w:rsidRDefault="001206E5" w:rsidP="00FC13EE">
                      <w:pPr>
                        <w:pStyle w:val="Normal1"/>
                        <w:ind w:left="0"/>
                        <w:rPr>
                          <w:sz w:val="20"/>
                          <w:szCs w:val="20"/>
                        </w:rPr>
                      </w:pPr>
                      <w:r w:rsidRPr="00FF56DD">
                        <w:rPr>
                          <w:b/>
                          <w:sz w:val="20"/>
                          <w:szCs w:val="20"/>
                        </w:rPr>
                        <w:t>CPO</w:t>
                      </w:r>
                      <w:r w:rsidRPr="00FF56DD">
                        <w:rPr>
                          <w:sz w:val="20"/>
                          <w:szCs w:val="20"/>
                        </w:rPr>
                        <w:t xml:space="preserve">: </w:t>
                      </w:r>
                      <w:r w:rsidRPr="009F0832">
                        <w:rPr>
                          <w:sz w:val="20"/>
                          <w:szCs w:val="20"/>
                        </w:rPr>
                        <w:t>Byron Crawford</w:t>
                      </w:r>
                      <w:r w:rsidRPr="00FF56DD">
                        <w:rPr>
                          <w:sz w:val="20"/>
                          <w:szCs w:val="20"/>
                        </w:rPr>
                        <w:t xml:space="preserve">, </w:t>
                      </w:r>
                      <w:r w:rsidRPr="009F0832">
                        <w:rPr>
                          <w:sz w:val="20"/>
                          <w:szCs w:val="20"/>
                        </w:rPr>
                        <w:t xml:space="preserve">Director Procurement </w:t>
                      </w:r>
                      <w:r>
                        <w:rPr>
                          <w:sz w:val="20"/>
                          <w:szCs w:val="20"/>
                        </w:rPr>
                        <w:t>and CPO</w:t>
                      </w:r>
                      <w:r w:rsidRPr="00FF56DD">
                        <w:rPr>
                          <w:sz w:val="20"/>
                          <w:szCs w:val="20"/>
                        </w:rPr>
                        <w:t>, Procurement Department</w:t>
                      </w:r>
                    </w:p>
                    <w:p w14:paraId="7336F8E2" w14:textId="05724232" w:rsidR="001206E5" w:rsidRPr="00FF56DD" w:rsidRDefault="001206E5" w:rsidP="00FC13EE">
                      <w:pPr>
                        <w:pStyle w:val="Normal1"/>
                        <w:ind w:left="0"/>
                        <w:rPr>
                          <w:sz w:val="20"/>
                          <w:szCs w:val="20"/>
                        </w:rPr>
                      </w:pPr>
                      <w:r w:rsidRPr="00FF56DD">
                        <w:rPr>
                          <w:b/>
                          <w:sz w:val="20"/>
                          <w:szCs w:val="20"/>
                        </w:rPr>
                        <w:t>IPU Chair</w:t>
                      </w:r>
                      <w:r w:rsidRPr="00FF56DD">
                        <w:rPr>
                          <w:sz w:val="20"/>
                          <w:szCs w:val="20"/>
                        </w:rPr>
                        <w:t xml:space="preserve">: </w:t>
                      </w:r>
                      <w:r w:rsidRPr="009F0832">
                        <w:rPr>
                          <w:sz w:val="20"/>
                          <w:szCs w:val="20"/>
                        </w:rPr>
                        <w:t>Chris O’Farrell</w:t>
                      </w:r>
                      <w:r w:rsidRPr="00FF56DD">
                        <w:rPr>
                          <w:sz w:val="20"/>
                          <w:szCs w:val="20"/>
                        </w:rPr>
                        <w:t xml:space="preserve">, </w:t>
                      </w:r>
                      <w:r w:rsidRPr="009F0832">
                        <w:rPr>
                          <w:sz w:val="20"/>
                          <w:szCs w:val="20"/>
                        </w:rPr>
                        <w:t>Chair of the Police Procurement Board</w:t>
                      </w:r>
                      <w:r w:rsidRPr="00FF56DD">
                        <w:rPr>
                          <w:sz w:val="20"/>
                          <w:szCs w:val="20"/>
                        </w:rPr>
                        <w:t xml:space="preserve">, </w:t>
                      </w:r>
                      <w:r w:rsidRPr="009F0832">
                        <w:rPr>
                          <w:sz w:val="20"/>
                          <w:szCs w:val="20"/>
                        </w:rPr>
                        <w:t>Executive Services and Governance Department</w:t>
                      </w:r>
                    </w:p>
                    <w:p w14:paraId="1EF6EB11" w14:textId="77777777" w:rsidR="001206E5" w:rsidRPr="00FF56DD" w:rsidRDefault="001206E5" w:rsidP="00FC13EE">
                      <w:pPr>
                        <w:rPr>
                          <w:sz w:val="20"/>
                          <w:szCs w:val="20"/>
                        </w:rPr>
                      </w:pPr>
                    </w:p>
                  </w:txbxContent>
                </v:textbox>
                <w10:wrap type="square" anchorx="margin" anchory="margin"/>
              </v:shape>
            </w:pict>
          </mc:Fallback>
        </mc:AlternateContent>
      </w:r>
      <w:r>
        <w:t>Victoria Police provides policing services to the Victorian community across 54 Police Service Areas, within 21 divisions and four regions – North West Metro, Southern Metro, Eastern and Western. These regional boundaries correspond with those of other Victorian Government departments, enhancing cross-department service delivery, particularly in the area of emergency management.</w:t>
      </w:r>
    </w:p>
    <w:p w14:paraId="26DAF0BC" w14:textId="77777777" w:rsidR="00FC13EE" w:rsidRDefault="00FC13EE" w:rsidP="00FC13EE">
      <w:pPr>
        <w:pStyle w:val="Heading3NoNum"/>
      </w:pPr>
      <w:r w:rsidRPr="00CD6245">
        <w:t>Procurement profile</w:t>
      </w:r>
    </w:p>
    <w:p w14:paraId="385222C5" w14:textId="77777777" w:rsidR="00FC13EE" w:rsidRDefault="00FC13EE" w:rsidP="00FC13EE">
      <w:pPr>
        <w:pStyle w:val="Normal1"/>
      </w:pPr>
      <w:r>
        <w:t>To deliver policing services, Victoria Police procures an extensive range of goods and services. Its Procurement Department operates under a category management framework.</w:t>
      </w:r>
    </w:p>
    <w:p w14:paraId="420C9FD1" w14:textId="466C2335" w:rsidR="00FC13EE" w:rsidRDefault="00FC13EE" w:rsidP="00FC13EE">
      <w:pPr>
        <w:pStyle w:val="Normal1"/>
      </w:pPr>
      <w:r>
        <w:t>In 2017–18, Victoria Police was managing in excess of 105 procurement</w:t>
      </w:r>
      <w:r w:rsidRPr="0038456D">
        <w:t>s</w:t>
      </w:r>
      <w:r w:rsidR="003A3EB2" w:rsidRPr="0038456D">
        <w:t xml:space="preserve"> (valued at $100 000 or greater)</w:t>
      </w:r>
      <w:r w:rsidRPr="0038456D">
        <w:t>,</w:t>
      </w:r>
      <w:r>
        <w:t xml:space="preserve"> including purchases from SPCs, for goods and services with a combined estimated contract value of </w:t>
      </w:r>
      <w:r w:rsidRPr="00493585">
        <w:t>$</w:t>
      </w:r>
      <w:r>
        <w:t>364 million.</w:t>
      </w:r>
    </w:p>
    <w:p w14:paraId="795BF894" w14:textId="49A17ED4" w:rsidR="00FC13EE" w:rsidRDefault="00FC13EE" w:rsidP="00FC13EE">
      <w:pPr>
        <w:pStyle w:val="Normal1"/>
        <w:rPr>
          <w:color w:val="808080" w:themeColor="background1" w:themeShade="80"/>
        </w:rPr>
      </w:pPr>
      <w:r>
        <w:t>Significant sourcing activities in 2017–18 included transcription services</w:t>
      </w:r>
      <w:r w:rsidRPr="0041013F">
        <w:t xml:space="preserve">, security services, </w:t>
      </w:r>
      <w:r>
        <w:t>police assistance line/online reporting and body worn camera</w:t>
      </w:r>
      <w:r w:rsidR="00EA441D">
        <w:t>s</w:t>
      </w:r>
      <w:r>
        <w:t>.</w:t>
      </w:r>
    </w:p>
    <w:p w14:paraId="585C35EF" w14:textId="12E7D61D" w:rsidR="00FC13EE" w:rsidRPr="007A584B" w:rsidRDefault="00FC13EE" w:rsidP="00FC13EE">
      <w:pPr>
        <w:pStyle w:val="Heading3NoNum"/>
      </w:pPr>
      <w:r w:rsidRPr="007A584B">
        <w:t>Compliance with VGPB policies</w:t>
      </w:r>
      <w:r w:rsidR="006A5451">
        <w:t xml:space="preserve"> </w:t>
      </w:r>
      <w:r w:rsidR="006A5451" w:rsidRPr="007A584B">
        <w:t>and related activities</w:t>
      </w:r>
    </w:p>
    <w:p w14:paraId="648DE884" w14:textId="45FCBAF4" w:rsidR="00FC13EE" w:rsidRDefault="00FC13EE" w:rsidP="00FC13EE">
      <w:pPr>
        <w:pStyle w:val="Normal1"/>
        <w:rPr>
          <w:lang w:eastAsia="en-US"/>
        </w:rPr>
      </w:pPr>
      <w:r>
        <w:rPr>
          <w:lang w:eastAsia="en-US"/>
        </w:rPr>
        <w:fldChar w:fldCharType="begin"/>
      </w:r>
      <w:r>
        <w:rPr>
          <w:lang w:eastAsia="en-US"/>
        </w:rPr>
        <w:instrText xml:space="preserve"> REF _Ref488836758 \h </w:instrText>
      </w:r>
      <w:r>
        <w:rPr>
          <w:lang w:eastAsia="en-US"/>
        </w:rPr>
      </w:r>
      <w:r>
        <w:rPr>
          <w:lang w:eastAsia="en-US"/>
        </w:rPr>
        <w:fldChar w:fldCharType="separate"/>
      </w:r>
      <w:r w:rsidR="00A07703" w:rsidRPr="007A584B">
        <w:t xml:space="preserve">Table </w:t>
      </w:r>
      <w:r w:rsidR="00A07703">
        <w:rPr>
          <w:noProof/>
        </w:rPr>
        <w:t>44</w:t>
      </w:r>
      <w:r>
        <w:rPr>
          <w:lang w:eastAsia="en-US"/>
        </w:rPr>
        <w:fldChar w:fldCharType="end"/>
      </w:r>
      <w:r>
        <w:rPr>
          <w:lang w:eastAsia="en-US"/>
        </w:rPr>
        <w:t xml:space="preserve"> lists </w:t>
      </w:r>
      <w:r>
        <w:t xml:space="preserve">Victoria Police’s </w:t>
      </w:r>
      <w:r>
        <w:rPr>
          <w:lang w:eastAsia="en-US"/>
        </w:rPr>
        <w:t xml:space="preserve">activities to ensure and improve compliance with VGPB supply policies. </w:t>
      </w:r>
      <w:r w:rsidRPr="00212617">
        <w:rPr>
          <w:lang w:eastAsia="en-US"/>
        </w:rPr>
        <w:t xml:space="preserve">Compliance activities are </w:t>
      </w:r>
      <w:r>
        <w:rPr>
          <w:lang w:eastAsia="en-US"/>
        </w:rPr>
        <w:t xml:space="preserve">grouped against VGPB supply policies, </w:t>
      </w:r>
      <w:r w:rsidRPr="00212617">
        <w:rPr>
          <w:lang w:eastAsia="en-US"/>
        </w:rPr>
        <w:t>though activities often overlap with multiple policies.</w:t>
      </w:r>
    </w:p>
    <w:p w14:paraId="331DEFDD" w14:textId="15613255" w:rsidR="00FC13EE" w:rsidRPr="007A584B" w:rsidRDefault="00FC13EE" w:rsidP="00FC13EE">
      <w:pPr>
        <w:pStyle w:val="Caption"/>
        <w:rPr>
          <w:lang w:eastAsia="en-US"/>
        </w:rPr>
      </w:pPr>
      <w:bookmarkStart w:id="236" w:name="_Ref488836758"/>
      <w:bookmarkStart w:id="237" w:name="_Toc503949276"/>
      <w:bookmarkStart w:id="238" w:name="_Toc524354037"/>
      <w:r w:rsidRPr="007A584B">
        <w:t xml:space="preserve">Table </w:t>
      </w:r>
      <w:r>
        <w:rPr>
          <w:noProof/>
        </w:rPr>
        <w:fldChar w:fldCharType="begin"/>
      </w:r>
      <w:r>
        <w:rPr>
          <w:noProof/>
        </w:rPr>
        <w:instrText xml:space="preserve"> SEQ Table \* ARABIC </w:instrText>
      </w:r>
      <w:r>
        <w:rPr>
          <w:noProof/>
        </w:rPr>
        <w:fldChar w:fldCharType="separate"/>
      </w:r>
      <w:r w:rsidR="00A07703">
        <w:rPr>
          <w:noProof/>
        </w:rPr>
        <w:t>44</w:t>
      </w:r>
      <w:r>
        <w:rPr>
          <w:noProof/>
        </w:rPr>
        <w:fldChar w:fldCharType="end"/>
      </w:r>
      <w:bookmarkEnd w:id="236"/>
      <w:r>
        <w:t xml:space="preserve">: Victoria Police’s </w:t>
      </w:r>
      <w:r w:rsidRPr="007A584B">
        <w:t>compliance activities in 201</w:t>
      </w:r>
      <w:r>
        <w:t>7–18</w:t>
      </w:r>
      <w:bookmarkEnd w:id="237"/>
      <w:bookmarkEnd w:id="238"/>
    </w:p>
    <w:tbl>
      <w:tblPr>
        <w:tblStyle w:val="ListTable31"/>
        <w:tblW w:w="8647" w:type="dxa"/>
        <w:tblInd w:w="846" w:type="dxa"/>
        <w:tblLook w:val="04A0" w:firstRow="1" w:lastRow="0" w:firstColumn="1" w:lastColumn="0" w:noHBand="0" w:noVBand="1"/>
      </w:tblPr>
      <w:tblGrid>
        <w:gridCol w:w="2126"/>
        <w:gridCol w:w="6521"/>
      </w:tblGrid>
      <w:tr w:rsidR="00FC13EE" w14:paraId="75DFC4FC" w14:textId="77777777" w:rsidTr="00F66493">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2126" w:type="dxa"/>
          </w:tcPr>
          <w:p w14:paraId="1E87B7F2" w14:textId="77777777" w:rsidR="00FC13EE" w:rsidRDefault="00FC13EE" w:rsidP="00CF5F3A">
            <w:pPr>
              <w:pStyle w:val="TableText"/>
            </w:pPr>
            <w:r>
              <w:t>VGPB policy</w:t>
            </w:r>
          </w:p>
        </w:tc>
        <w:tc>
          <w:tcPr>
            <w:tcW w:w="6521" w:type="dxa"/>
          </w:tcPr>
          <w:p w14:paraId="57A87D67" w14:textId="77777777" w:rsidR="00FC13EE" w:rsidRDefault="00FC13EE" w:rsidP="00CF5F3A">
            <w:pPr>
              <w:pStyle w:val="TableText"/>
              <w:cnfStyle w:val="100000000000" w:firstRow="1" w:lastRow="0" w:firstColumn="0" w:lastColumn="0" w:oddVBand="0" w:evenVBand="0" w:oddHBand="0" w:evenHBand="0" w:firstRowFirstColumn="0" w:firstRowLastColumn="0" w:lastRowFirstColumn="0" w:lastRowLastColumn="0"/>
            </w:pPr>
            <w:r>
              <w:t>Activities</w:t>
            </w:r>
          </w:p>
        </w:tc>
      </w:tr>
      <w:tr w:rsidR="00FC13EE" w14:paraId="59812FAD" w14:textId="77777777" w:rsidTr="00CF5F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6" w:type="dxa"/>
          </w:tcPr>
          <w:p w14:paraId="2494FF52" w14:textId="77777777" w:rsidR="00FC13EE" w:rsidRPr="003058E0" w:rsidRDefault="00FC13EE" w:rsidP="00C8604F">
            <w:pPr>
              <w:pStyle w:val="TableText"/>
            </w:pPr>
            <w:r w:rsidRPr="003058E0">
              <w:t>Governance</w:t>
            </w:r>
          </w:p>
        </w:tc>
        <w:tc>
          <w:tcPr>
            <w:tcW w:w="6521" w:type="dxa"/>
          </w:tcPr>
          <w:p w14:paraId="0313A55D" w14:textId="3C7A6F57" w:rsidR="00FC13EE" w:rsidRPr="00822FA3" w:rsidRDefault="001957A9" w:rsidP="00822FA3">
            <w:pPr>
              <w:pStyle w:val="TableBullet"/>
              <w:cnfStyle w:val="000000100000" w:firstRow="0" w:lastRow="0" w:firstColumn="0" w:lastColumn="0" w:oddVBand="0" w:evenVBand="0" w:oddHBand="1" w:evenHBand="0" w:firstRowFirstColumn="0" w:firstRowLastColumn="0" w:lastRowFirstColumn="0" w:lastRowLastColumn="0"/>
            </w:pPr>
            <w:r>
              <w:t>A</w:t>
            </w:r>
            <w:r w:rsidR="00FC13EE" w:rsidRPr="00822FA3">
              <w:t>ppointed a new CPO and confirmed the role under appropriate delegation.</w:t>
            </w:r>
          </w:p>
          <w:p w14:paraId="4DC1F9C6" w14:textId="557BA6B5" w:rsidR="003A3EB2" w:rsidRPr="00822FA3" w:rsidRDefault="00FC13EE" w:rsidP="003A3EB2">
            <w:pPr>
              <w:pStyle w:val="TableBullet"/>
              <w:cnfStyle w:val="000000100000" w:firstRow="0" w:lastRow="0" w:firstColumn="0" w:lastColumn="0" w:oddVBand="0" w:evenVBand="0" w:oddHBand="1" w:evenHBand="0" w:firstRowFirstColumn="0" w:firstRowLastColumn="0" w:lastRowFirstColumn="0" w:lastRowLastColumn="0"/>
            </w:pPr>
            <w:r w:rsidRPr="00822FA3">
              <w:t>The IPU (Police Procurement Board) met every month to oversee strategic procurements, manage procurement and contract risks and to ensure compliance with policy and process</w:t>
            </w:r>
            <w:r w:rsidRPr="0038456D">
              <w:t xml:space="preserve">. </w:t>
            </w:r>
            <w:r w:rsidR="003A3EB2" w:rsidRPr="0038456D">
              <w:t>Victoria Police changed the IPU membership and appointed a new IPU Chair.</w:t>
            </w:r>
          </w:p>
          <w:p w14:paraId="6EFFB6D4" w14:textId="4396B298" w:rsidR="00FC13EE" w:rsidRPr="00822FA3" w:rsidRDefault="001957A9" w:rsidP="00822FA3">
            <w:pPr>
              <w:pStyle w:val="TableBullet"/>
              <w:cnfStyle w:val="000000100000" w:firstRow="0" w:lastRow="0" w:firstColumn="0" w:lastColumn="0" w:oddVBand="0" w:evenVBand="0" w:oddHBand="1" w:evenHBand="0" w:firstRowFirstColumn="0" w:firstRowLastColumn="0" w:lastRowFirstColumn="0" w:lastRowLastColumn="0"/>
            </w:pPr>
            <w:r>
              <w:t>R</w:t>
            </w:r>
            <w:r w:rsidR="00FC13EE" w:rsidRPr="00822FA3">
              <w:t>evised the process for tracking procurement and contract compliance to ensure expenditures are linked to the right contracts.</w:t>
            </w:r>
          </w:p>
          <w:p w14:paraId="6315E1B8" w14:textId="617CF1CD" w:rsidR="00FC13EE" w:rsidRPr="00822FA3" w:rsidRDefault="001957A9" w:rsidP="00822FA3">
            <w:pPr>
              <w:pStyle w:val="TableBullet"/>
              <w:cnfStyle w:val="000000100000" w:firstRow="0" w:lastRow="0" w:firstColumn="0" w:lastColumn="0" w:oddVBand="0" w:evenVBand="0" w:oddHBand="1" w:evenHBand="0" w:firstRowFirstColumn="0" w:firstRowLastColumn="0" w:lastRowFirstColumn="0" w:lastRowLastColumn="0"/>
            </w:pPr>
            <w:r>
              <w:t>C</w:t>
            </w:r>
            <w:r w:rsidR="00FC13EE" w:rsidRPr="00822FA3">
              <w:t xml:space="preserve">ontinued with </w:t>
            </w:r>
            <w:r w:rsidR="00092526">
              <w:t>a</w:t>
            </w:r>
            <w:r w:rsidR="00FC13EE" w:rsidRPr="00822FA3">
              <w:t xml:space="preserve"> staged review of procurement systems, tools, processes, policies and procedures, making improvements as required. </w:t>
            </w:r>
            <w:r w:rsidR="002A1D21" w:rsidRPr="00822FA3">
              <w:t>This will be l</w:t>
            </w:r>
            <w:r w:rsidR="00FC13EE" w:rsidRPr="00822FA3">
              <w:t>aunch</w:t>
            </w:r>
            <w:r w:rsidR="002A1D21" w:rsidRPr="00822FA3">
              <w:t>ed</w:t>
            </w:r>
            <w:r w:rsidR="00FC13EE" w:rsidRPr="00822FA3">
              <w:t xml:space="preserve"> in 2018–19.</w:t>
            </w:r>
          </w:p>
        </w:tc>
      </w:tr>
      <w:tr w:rsidR="00FC13EE" w14:paraId="32300D17" w14:textId="77777777" w:rsidTr="00CF5F3A">
        <w:tc>
          <w:tcPr>
            <w:cnfStyle w:val="001000000000" w:firstRow="0" w:lastRow="0" w:firstColumn="1" w:lastColumn="0" w:oddVBand="0" w:evenVBand="0" w:oddHBand="0" w:evenHBand="0" w:firstRowFirstColumn="0" w:firstRowLastColumn="0" w:lastRowFirstColumn="0" w:lastRowLastColumn="0"/>
            <w:tcW w:w="2126" w:type="dxa"/>
          </w:tcPr>
          <w:p w14:paraId="4C0EE5E6" w14:textId="77777777" w:rsidR="00FC13EE" w:rsidRPr="003058E0" w:rsidRDefault="00FC13EE" w:rsidP="00C8604F">
            <w:pPr>
              <w:pStyle w:val="TableText"/>
            </w:pPr>
            <w:r w:rsidRPr="003058E0">
              <w:t>Complexity and capability</w:t>
            </w:r>
          </w:p>
        </w:tc>
        <w:tc>
          <w:tcPr>
            <w:tcW w:w="6521" w:type="dxa"/>
          </w:tcPr>
          <w:p w14:paraId="72969187" w14:textId="4CEC3097" w:rsidR="00FC13EE" w:rsidRPr="00822FA3" w:rsidRDefault="001957A9" w:rsidP="00822FA3">
            <w:pPr>
              <w:pStyle w:val="TableBullet"/>
              <w:cnfStyle w:val="000000000000" w:firstRow="0" w:lastRow="0" w:firstColumn="0" w:lastColumn="0" w:oddVBand="0" w:evenVBand="0" w:oddHBand="0" w:evenHBand="0" w:firstRowFirstColumn="0" w:firstRowLastColumn="0" w:lastRowFirstColumn="0" w:lastRowLastColumn="0"/>
            </w:pPr>
            <w:r>
              <w:t>E</w:t>
            </w:r>
            <w:r w:rsidR="00FC13EE" w:rsidRPr="00822FA3">
              <w:t>xplor</w:t>
            </w:r>
            <w:r>
              <w:t>ed</w:t>
            </w:r>
            <w:r w:rsidR="00FC13EE" w:rsidRPr="00822FA3">
              <w:t xml:space="preserve"> undertaking the </w:t>
            </w:r>
            <w:r w:rsidR="00FC13EE" w:rsidRPr="00822FA3">
              <w:rPr>
                <w:rStyle w:val="st"/>
              </w:rPr>
              <w:t>Chartered Institute of Procurement &amp; Supply</w:t>
            </w:r>
            <w:r w:rsidR="00794FDD" w:rsidRPr="00822FA3">
              <w:rPr>
                <w:rStyle w:val="st"/>
              </w:rPr>
              <w:t xml:space="preserve"> Australia</w:t>
            </w:r>
            <w:r w:rsidR="00FC13EE" w:rsidRPr="00822FA3">
              <w:rPr>
                <w:rStyle w:val="st"/>
              </w:rPr>
              <w:t xml:space="preserve"> </w:t>
            </w:r>
            <w:r w:rsidR="00FC13EE" w:rsidRPr="00822FA3">
              <w:t>Advanced Certification Program to support implementing a suite of process improvement activities.</w:t>
            </w:r>
          </w:p>
          <w:p w14:paraId="2667D876" w14:textId="1C10FF9A" w:rsidR="001957A9" w:rsidRDefault="001957A9" w:rsidP="001957A9">
            <w:pPr>
              <w:pStyle w:val="TableBullet"/>
              <w:cnfStyle w:val="000000000000" w:firstRow="0" w:lastRow="0" w:firstColumn="0" w:lastColumn="0" w:oddVBand="0" w:evenVBand="0" w:oddHBand="0" w:evenHBand="0" w:firstRowFirstColumn="0" w:firstRowLastColumn="0" w:lastRowFirstColumn="0" w:lastRowLastColumn="0"/>
            </w:pPr>
            <w:r>
              <w:t>E</w:t>
            </w:r>
            <w:r w:rsidR="00FC13EE" w:rsidRPr="00822FA3">
              <w:t>ngaged a provider to develop a due diligence tool that consists of risk environment assessment, supplier due diligence assessment, and mitigations and actions across the four key domains of financial viability, insurance, probity and commercial.</w:t>
            </w:r>
          </w:p>
          <w:p w14:paraId="1559D43E" w14:textId="532A7C41" w:rsidR="00FC13EE" w:rsidRPr="00822FA3" w:rsidRDefault="001957A9" w:rsidP="00822FA3">
            <w:pPr>
              <w:pStyle w:val="TableBullet"/>
              <w:cnfStyle w:val="000000000000" w:firstRow="0" w:lastRow="0" w:firstColumn="0" w:lastColumn="0" w:oddVBand="0" w:evenVBand="0" w:oddHBand="0" w:evenHBand="0" w:firstRowFirstColumn="0" w:firstRowLastColumn="0" w:lastRowFirstColumn="0" w:lastRowLastColumn="0"/>
            </w:pPr>
            <w:r>
              <w:t>C</w:t>
            </w:r>
            <w:r w:rsidR="00FC13EE" w:rsidRPr="00822FA3">
              <w:t>onducted extensive communication with stakeholders and continued delivering procurement presentations across the organisation to support compliance with VGPB supply policies.</w:t>
            </w:r>
          </w:p>
        </w:tc>
      </w:tr>
      <w:tr w:rsidR="00FC13EE" w14:paraId="60CBA3AF" w14:textId="77777777" w:rsidTr="00CF5F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6" w:type="dxa"/>
          </w:tcPr>
          <w:p w14:paraId="7872F887" w14:textId="77777777" w:rsidR="00FC13EE" w:rsidRPr="003058E0" w:rsidRDefault="00FC13EE" w:rsidP="00C8604F">
            <w:pPr>
              <w:pStyle w:val="TableText"/>
            </w:pPr>
            <w:r w:rsidRPr="003058E0">
              <w:t>Market analysis and review</w:t>
            </w:r>
          </w:p>
        </w:tc>
        <w:tc>
          <w:tcPr>
            <w:tcW w:w="6521" w:type="dxa"/>
          </w:tcPr>
          <w:p w14:paraId="6DB556B1" w14:textId="1FEDA421" w:rsidR="00FC13EE" w:rsidRPr="00822FA3" w:rsidRDefault="001957A9" w:rsidP="00822FA3">
            <w:pPr>
              <w:pStyle w:val="TableBullet"/>
              <w:cnfStyle w:val="000000100000" w:firstRow="0" w:lastRow="0" w:firstColumn="0" w:lastColumn="0" w:oddVBand="0" w:evenVBand="0" w:oddHBand="1" w:evenHBand="0" w:firstRowFirstColumn="0" w:firstRowLastColumn="0" w:lastRowFirstColumn="0" w:lastRowLastColumn="0"/>
            </w:pPr>
            <w:r>
              <w:t>C</w:t>
            </w:r>
            <w:r w:rsidR="00FC13EE" w:rsidRPr="00822FA3">
              <w:t xml:space="preserve">losely examined the suggested market approaches in submissions to ensure that, where a competitive market existed, Victoria Police would leverage the competition to ensure value for money. Where sole supplier </w:t>
            </w:r>
            <w:r w:rsidR="00FC13EE" w:rsidRPr="00822FA3">
              <w:lastRenderedPageBreak/>
              <w:t>approaches were the only valid approach, appropriate benchmarking was undertaken to ensure value for money.</w:t>
            </w:r>
          </w:p>
        </w:tc>
      </w:tr>
      <w:tr w:rsidR="00FC13EE" w14:paraId="37B50B33" w14:textId="77777777" w:rsidTr="00CF5F3A">
        <w:tc>
          <w:tcPr>
            <w:cnfStyle w:val="001000000000" w:firstRow="0" w:lastRow="0" w:firstColumn="1" w:lastColumn="0" w:oddVBand="0" w:evenVBand="0" w:oddHBand="0" w:evenHBand="0" w:firstRowFirstColumn="0" w:firstRowLastColumn="0" w:lastRowFirstColumn="0" w:lastRowLastColumn="0"/>
            <w:tcW w:w="2126" w:type="dxa"/>
          </w:tcPr>
          <w:p w14:paraId="7F535340" w14:textId="77777777" w:rsidR="00FC13EE" w:rsidRPr="003058E0" w:rsidRDefault="00FC13EE" w:rsidP="00C8604F">
            <w:pPr>
              <w:pStyle w:val="TableText"/>
            </w:pPr>
            <w:r w:rsidRPr="003058E0">
              <w:lastRenderedPageBreak/>
              <w:t>Market approach</w:t>
            </w:r>
          </w:p>
        </w:tc>
        <w:tc>
          <w:tcPr>
            <w:tcW w:w="6521" w:type="dxa"/>
          </w:tcPr>
          <w:p w14:paraId="3AADC6EB" w14:textId="711C3FF7" w:rsidR="00FC13EE" w:rsidRPr="00822FA3" w:rsidRDefault="001957A9" w:rsidP="00822FA3">
            <w:pPr>
              <w:pStyle w:val="TableBullet"/>
              <w:cnfStyle w:val="000000000000" w:firstRow="0" w:lastRow="0" w:firstColumn="0" w:lastColumn="0" w:oddVBand="0" w:evenVBand="0" w:oddHBand="0" w:evenHBand="0" w:firstRowFirstColumn="0" w:firstRowLastColumn="0" w:lastRowFirstColumn="0" w:lastRowLastColumn="0"/>
            </w:pPr>
            <w:r>
              <w:t>I</w:t>
            </w:r>
            <w:r w:rsidR="00FC13EE" w:rsidRPr="00822FA3">
              <w:t xml:space="preserve">ncluded the Supplier Code of Conduct </w:t>
            </w:r>
            <w:r w:rsidR="00794FDD" w:rsidRPr="00822FA3">
              <w:t>c</w:t>
            </w:r>
            <w:r w:rsidR="00FC13EE" w:rsidRPr="00822FA3">
              <w:t xml:space="preserve">ommitment letter in all market approaches over $100 000 (incl. GST) and embedded the Code in </w:t>
            </w:r>
            <w:r w:rsidR="00092526">
              <w:t xml:space="preserve">the </w:t>
            </w:r>
            <w:r w:rsidR="00FC13EE" w:rsidRPr="00822FA3">
              <w:t>organisation’s procurement policy.</w:t>
            </w:r>
          </w:p>
        </w:tc>
      </w:tr>
      <w:tr w:rsidR="00FC13EE" w14:paraId="454C8819" w14:textId="77777777" w:rsidTr="00CF5F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6" w:type="dxa"/>
          </w:tcPr>
          <w:p w14:paraId="377B7799" w14:textId="77777777" w:rsidR="00FC13EE" w:rsidRPr="003058E0" w:rsidRDefault="00FC13EE" w:rsidP="00C8604F">
            <w:pPr>
              <w:pStyle w:val="TableText"/>
            </w:pPr>
            <w:r w:rsidRPr="003058E0">
              <w:t>Contract management and disclosure</w:t>
            </w:r>
          </w:p>
        </w:tc>
        <w:tc>
          <w:tcPr>
            <w:tcW w:w="6521" w:type="dxa"/>
          </w:tcPr>
          <w:p w14:paraId="16A7FAC8" w14:textId="4FFA752B" w:rsidR="00FC13EE" w:rsidRPr="00822FA3" w:rsidRDefault="001957A9" w:rsidP="00822FA3">
            <w:pPr>
              <w:pStyle w:val="TableBullet"/>
              <w:cnfStyle w:val="000000100000" w:firstRow="0" w:lastRow="0" w:firstColumn="0" w:lastColumn="0" w:oddVBand="0" w:evenVBand="0" w:oddHBand="1" w:evenHBand="0" w:firstRowFirstColumn="0" w:firstRowLastColumn="0" w:lastRowFirstColumn="0" w:lastRowLastColumn="0"/>
            </w:pPr>
            <w:r>
              <w:t>Victoria Police has</w:t>
            </w:r>
            <w:r w:rsidR="00FC13EE" w:rsidRPr="00822FA3">
              <w:t xml:space="preserve"> 310 active contracts, managed by 120 contract managers. The combined value of these contracts is about $2 billion. </w:t>
            </w:r>
            <w:r>
              <w:t>The organisation</w:t>
            </w:r>
            <w:r w:rsidRPr="00822FA3">
              <w:t xml:space="preserve"> </w:t>
            </w:r>
            <w:r w:rsidR="00FC13EE" w:rsidRPr="00822FA3">
              <w:t xml:space="preserve">continued to conduct contract management training for contract managers throughout the year. </w:t>
            </w:r>
            <w:r>
              <w:t>The</w:t>
            </w:r>
            <w:r w:rsidR="00FC13EE" w:rsidRPr="00822FA3">
              <w:t xml:space="preserve"> training program </w:t>
            </w:r>
            <w:r>
              <w:t xml:space="preserve">was revised </w:t>
            </w:r>
            <w:r w:rsidR="00FC13EE" w:rsidRPr="00822FA3">
              <w:t>in April 2018 and 60 contract managers have since been trained under the new program.</w:t>
            </w:r>
          </w:p>
        </w:tc>
      </w:tr>
    </w:tbl>
    <w:p w14:paraId="240DFED3" w14:textId="732C755D" w:rsidR="00FC13EE" w:rsidRPr="00CD6245" w:rsidRDefault="00FC13EE" w:rsidP="00FC13EE">
      <w:pPr>
        <w:pStyle w:val="Heading3NoNum"/>
      </w:pPr>
      <w:r w:rsidRPr="00CD6245">
        <w:t>Performance</w:t>
      </w:r>
    </w:p>
    <w:p w14:paraId="47F5B307" w14:textId="47E4BA3F" w:rsidR="00FC13EE" w:rsidRDefault="00FC13EE" w:rsidP="00FC13EE">
      <w:pPr>
        <w:pStyle w:val="Normal1"/>
      </w:pPr>
      <w:r>
        <w:fldChar w:fldCharType="begin"/>
      </w:r>
      <w:r>
        <w:instrText xml:space="preserve"> REF _Ref489367054 \h </w:instrText>
      </w:r>
      <w:r>
        <w:fldChar w:fldCharType="separate"/>
      </w:r>
      <w:r w:rsidR="00A07703" w:rsidRPr="00CD6245">
        <w:t xml:space="preserve">Table </w:t>
      </w:r>
      <w:r w:rsidR="00A07703">
        <w:rPr>
          <w:noProof/>
        </w:rPr>
        <w:t>45</w:t>
      </w:r>
      <w:r>
        <w:fldChar w:fldCharType="end"/>
      </w:r>
      <w:r w:rsidRPr="00CD6245">
        <w:t xml:space="preserve"> </w:t>
      </w:r>
      <w:r>
        <w:t>sets out Victoria Police’s performance in 2017–18 compared with the two previous years.</w:t>
      </w:r>
    </w:p>
    <w:p w14:paraId="37E1ED3C" w14:textId="30191496" w:rsidR="00FC13EE" w:rsidRDefault="00FC13EE" w:rsidP="00FC13EE">
      <w:pPr>
        <w:pStyle w:val="Caption"/>
      </w:pPr>
      <w:bookmarkStart w:id="239" w:name="_Ref489367054"/>
      <w:bookmarkStart w:id="240" w:name="_Toc503949277"/>
      <w:bookmarkStart w:id="241" w:name="_Toc524354038"/>
      <w:r w:rsidRPr="00CD6245">
        <w:t xml:space="preserve">Table </w:t>
      </w:r>
      <w:r>
        <w:rPr>
          <w:noProof/>
        </w:rPr>
        <w:fldChar w:fldCharType="begin"/>
      </w:r>
      <w:r>
        <w:rPr>
          <w:noProof/>
        </w:rPr>
        <w:instrText xml:space="preserve"> SEQ Table \* ARABIC </w:instrText>
      </w:r>
      <w:r>
        <w:rPr>
          <w:noProof/>
        </w:rPr>
        <w:fldChar w:fldCharType="separate"/>
      </w:r>
      <w:r w:rsidR="00A07703">
        <w:rPr>
          <w:noProof/>
        </w:rPr>
        <w:t>45</w:t>
      </w:r>
      <w:r>
        <w:rPr>
          <w:noProof/>
        </w:rPr>
        <w:fldChar w:fldCharType="end"/>
      </w:r>
      <w:bookmarkEnd w:id="239"/>
      <w:r w:rsidRPr="00CD6245">
        <w:t xml:space="preserve">: </w:t>
      </w:r>
      <w:r>
        <w:t>Victoria Police</w:t>
      </w:r>
      <w:r w:rsidRPr="00CD6245">
        <w:t xml:space="preserve"> performance in </w:t>
      </w:r>
      <w:r>
        <w:t>2017–18</w:t>
      </w:r>
      <w:bookmarkEnd w:id="240"/>
      <w:bookmarkEnd w:id="241"/>
    </w:p>
    <w:tbl>
      <w:tblPr>
        <w:tblStyle w:val="ListTable31"/>
        <w:tblW w:w="8647" w:type="dxa"/>
        <w:tblInd w:w="846" w:type="dxa"/>
        <w:tblLayout w:type="fixed"/>
        <w:tblLook w:val="04A0" w:firstRow="1" w:lastRow="0" w:firstColumn="1" w:lastColumn="0" w:noHBand="0" w:noVBand="1"/>
      </w:tblPr>
      <w:tblGrid>
        <w:gridCol w:w="352"/>
        <w:gridCol w:w="1774"/>
        <w:gridCol w:w="624"/>
        <w:gridCol w:w="709"/>
        <w:gridCol w:w="708"/>
        <w:gridCol w:w="4480"/>
      </w:tblGrid>
      <w:tr w:rsidR="00FC13EE" w14:paraId="2ACFA6B6" w14:textId="77777777" w:rsidTr="00115146">
        <w:trPr>
          <w:cnfStyle w:val="100000000000" w:firstRow="1" w:lastRow="0" w:firstColumn="0" w:lastColumn="0" w:oddVBand="0" w:evenVBand="0" w:oddHBand="0" w:evenHBand="0" w:firstRowFirstColumn="0" w:firstRowLastColumn="0" w:lastRowFirstColumn="0" w:lastRowLastColumn="0"/>
          <w:trHeight w:val="1661"/>
        </w:trPr>
        <w:tc>
          <w:tcPr>
            <w:cnfStyle w:val="001000000100" w:firstRow="0" w:lastRow="0" w:firstColumn="1" w:lastColumn="0" w:oddVBand="0" w:evenVBand="0" w:oddHBand="0" w:evenHBand="0" w:firstRowFirstColumn="1" w:firstRowLastColumn="0" w:lastRowFirstColumn="0" w:lastRowLastColumn="0"/>
            <w:tcW w:w="2126" w:type="dxa"/>
            <w:gridSpan w:val="2"/>
            <w:vMerge w:val="restart"/>
            <w:vAlign w:val="bottom"/>
          </w:tcPr>
          <w:p w14:paraId="7156DA88" w14:textId="77777777" w:rsidR="00FC13EE" w:rsidRPr="00CD6245" w:rsidRDefault="00FC13EE" w:rsidP="00115146">
            <w:pPr>
              <w:pStyle w:val="TableText"/>
            </w:pPr>
            <w:r w:rsidRPr="00CD6245">
              <w:t>Performance measure</w:t>
            </w:r>
          </w:p>
        </w:tc>
        <w:tc>
          <w:tcPr>
            <w:tcW w:w="624" w:type="dxa"/>
            <w:textDirection w:val="btLr"/>
            <w:vAlign w:val="bottom"/>
          </w:tcPr>
          <w:p w14:paraId="2C0A750A" w14:textId="1AF8BF32" w:rsidR="00FC13EE" w:rsidRPr="00115146" w:rsidRDefault="00FC13EE" w:rsidP="00115146">
            <w:pPr>
              <w:pStyle w:val="TableText"/>
              <w:jc w:val="center"/>
              <w:cnfStyle w:val="100000000000" w:firstRow="1" w:lastRow="0" w:firstColumn="0" w:lastColumn="0" w:oddVBand="0" w:evenVBand="0" w:oddHBand="0" w:evenHBand="0" w:firstRowFirstColumn="0" w:firstRowLastColumn="0" w:lastRowFirstColumn="0" w:lastRowLastColumn="0"/>
            </w:pPr>
            <w:r w:rsidRPr="00115146">
              <w:t>Year 1: 2015–16</w:t>
            </w:r>
          </w:p>
        </w:tc>
        <w:tc>
          <w:tcPr>
            <w:tcW w:w="709" w:type="dxa"/>
            <w:textDirection w:val="btLr"/>
            <w:vAlign w:val="bottom"/>
          </w:tcPr>
          <w:p w14:paraId="2838CE2F" w14:textId="77777777" w:rsidR="00FC13EE" w:rsidRPr="00115146" w:rsidRDefault="00FC13EE" w:rsidP="00115146">
            <w:pPr>
              <w:pStyle w:val="TableText"/>
              <w:jc w:val="center"/>
              <w:cnfStyle w:val="100000000000" w:firstRow="1" w:lastRow="0" w:firstColumn="0" w:lastColumn="0" w:oddVBand="0" w:evenVBand="0" w:oddHBand="0" w:evenHBand="0" w:firstRowFirstColumn="0" w:firstRowLastColumn="0" w:lastRowFirstColumn="0" w:lastRowLastColumn="0"/>
            </w:pPr>
            <w:r w:rsidRPr="00115146">
              <w:t>Year 2: 2016–17</w:t>
            </w:r>
          </w:p>
        </w:tc>
        <w:tc>
          <w:tcPr>
            <w:tcW w:w="708" w:type="dxa"/>
            <w:textDirection w:val="btLr"/>
            <w:vAlign w:val="bottom"/>
          </w:tcPr>
          <w:p w14:paraId="264ABAD7" w14:textId="77777777" w:rsidR="00FC13EE" w:rsidRPr="00115146" w:rsidRDefault="00FC13EE" w:rsidP="00115146">
            <w:pPr>
              <w:pStyle w:val="TableText"/>
              <w:jc w:val="center"/>
              <w:cnfStyle w:val="100000000000" w:firstRow="1" w:lastRow="0" w:firstColumn="0" w:lastColumn="0" w:oddVBand="0" w:evenVBand="0" w:oddHBand="0" w:evenHBand="0" w:firstRowFirstColumn="0" w:firstRowLastColumn="0" w:lastRowFirstColumn="0" w:lastRowLastColumn="0"/>
            </w:pPr>
            <w:r w:rsidRPr="00115146">
              <w:t>Year 3: 2017–18</w:t>
            </w:r>
          </w:p>
        </w:tc>
        <w:tc>
          <w:tcPr>
            <w:tcW w:w="4480" w:type="dxa"/>
            <w:vMerge w:val="restart"/>
            <w:vAlign w:val="bottom"/>
          </w:tcPr>
          <w:p w14:paraId="1BEE94D0" w14:textId="77777777" w:rsidR="00FC13EE" w:rsidRDefault="00FC13EE" w:rsidP="00115146">
            <w:pPr>
              <w:pStyle w:val="TableText"/>
              <w:cnfStyle w:val="100000000000" w:firstRow="1" w:lastRow="0" w:firstColumn="0" w:lastColumn="0" w:oddVBand="0" w:evenVBand="0" w:oddHBand="0" w:evenHBand="0" w:firstRowFirstColumn="0" w:firstRowLastColumn="0" w:lastRowFirstColumn="0" w:lastRowLastColumn="0"/>
            </w:pPr>
            <w:r>
              <w:t>Explanation</w:t>
            </w:r>
          </w:p>
        </w:tc>
      </w:tr>
      <w:tr w:rsidR="00FC13EE" w14:paraId="50557C32" w14:textId="77777777" w:rsidTr="00115146">
        <w:trPr>
          <w:cnfStyle w:val="000000100000" w:firstRow="0" w:lastRow="0" w:firstColumn="0" w:lastColumn="0" w:oddVBand="0" w:evenVBand="0" w:oddHBand="1" w:evenHBand="0" w:firstRowFirstColumn="0" w:firstRowLastColumn="0" w:lastRowFirstColumn="0" w:lastRowLastColumn="0"/>
          <w:trHeight w:val="281"/>
        </w:trPr>
        <w:tc>
          <w:tcPr>
            <w:cnfStyle w:val="001000000000" w:firstRow="0" w:lastRow="0" w:firstColumn="1" w:lastColumn="0" w:oddVBand="0" w:evenVBand="0" w:oddHBand="0" w:evenHBand="0" w:firstRowFirstColumn="0" w:firstRowLastColumn="0" w:lastRowFirstColumn="0" w:lastRowLastColumn="0"/>
            <w:tcW w:w="2126" w:type="dxa"/>
            <w:gridSpan w:val="2"/>
            <w:vMerge/>
          </w:tcPr>
          <w:p w14:paraId="7B3B61F7" w14:textId="77777777" w:rsidR="00FC13EE" w:rsidRPr="00CD6245" w:rsidRDefault="00FC13EE" w:rsidP="00C8604F">
            <w:pPr>
              <w:pStyle w:val="TableHeader"/>
            </w:pPr>
          </w:p>
        </w:tc>
        <w:tc>
          <w:tcPr>
            <w:tcW w:w="624" w:type="dxa"/>
            <w:shd w:val="clear" w:color="auto" w:fill="000000" w:themeFill="text1"/>
            <w:vAlign w:val="center"/>
          </w:tcPr>
          <w:p w14:paraId="302A365F" w14:textId="77777777" w:rsidR="00FC13EE" w:rsidRPr="00200BCC" w:rsidRDefault="00FC13EE" w:rsidP="00115146">
            <w:pPr>
              <w:pStyle w:val="TableHeader"/>
              <w:jc w:val="right"/>
              <w:cnfStyle w:val="000000100000" w:firstRow="0" w:lastRow="0" w:firstColumn="0" w:lastColumn="0" w:oddVBand="0" w:evenVBand="0" w:oddHBand="1" w:evenHBand="0" w:firstRowFirstColumn="0" w:firstRowLastColumn="0" w:lastRowFirstColumn="0" w:lastRowLastColumn="0"/>
              <w:rPr>
                <w:bCs/>
                <w:color w:val="auto"/>
                <w:sz w:val="20"/>
                <w:szCs w:val="20"/>
              </w:rPr>
            </w:pPr>
            <w:r w:rsidRPr="00200BCC">
              <w:rPr>
                <w:bCs/>
                <w:color w:val="auto"/>
                <w:sz w:val="20"/>
                <w:szCs w:val="20"/>
              </w:rPr>
              <w:t>%</w:t>
            </w:r>
          </w:p>
        </w:tc>
        <w:tc>
          <w:tcPr>
            <w:tcW w:w="709" w:type="dxa"/>
            <w:shd w:val="clear" w:color="auto" w:fill="000000" w:themeFill="text1"/>
            <w:vAlign w:val="center"/>
          </w:tcPr>
          <w:p w14:paraId="5E7494E1" w14:textId="77777777" w:rsidR="00FC13EE" w:rsidRPr="00200BCC" w:rsidRDefault="00FC13EE" w:rsidP="00115146">
            <w:pPr>
              <w:pStyle w:val="TableHeader"/>
              <w:jc w:val="right"/>
              <w:cnfStyle w:val="000000100000" w:firstRow="0" w:lastRow="0" w:firstColumn="0" w:lastColumn="0" w:oddVBand="0" w:evenVBand="0" w:oddHBand="1" w:evenHBand="0" w:firstRowFirstColumn="0" w:firstRowLastColumn="0" w:lastRowFirstColumn="0" w:lastRowLastColumn="0"/>
              <w:rPr>
                <w:bCs/>
                <w:color w:val="auto"/>
                <w:sz w:val="20"/>
                <w:szCs w:val="20"/>
              </w:rPr>
            </w:pPr>
            <w:r w:rsidRPr="00200BCC">
              <w:rPr>
                <w:bCs/>
                <w:color w:val="auto"/>
                <w:sz w:val="20"/>
                <w:szCs w:val="20"/>
              </w:rPr>
              <w:t>%</w:t>
            </w:r>
          </w:p>
        </w:tc>
        <w:tc>
          <w:tcPr>
            <w:tcW w:w="708" w:type="dxa"/>
            <w:shd w:val="clear" w:color="auto" w:fill="000000" w:themeFill="text1"/>
            <w:vAlign w:val="center"/>
          </w:tcPr>
          <w:p w14:paraId="398068AF" w14:textId="77777777" w:rsidR="00FC13EE" w:rsidRPr="00200BCC" w:rsidRDefault="00FC13EE" w:rsidP="00115146">
            <w:pPr>
              <w:pStyle w:val="TableHeader"/>
              <w:jc w:val="right"/>
              <w:cnfStyle w:val="000000100000" w:firstRow="0" w:lastRow="0" w:firstColumn="0" w:lastColumn="0" w:oddVBand="0" w:evenVBand="0" w:oddHBand="1" w:evenHBand="0" w:firstRowFirstColumn="0" w:firstRowLastColumn="0" w:lastRowFirstColumn="0" w:lastRowLastColumn="0"/>
              <w:rPr>
                <w:bCs/>
                <w:color w:val="auto"/>
                <w:sz w:val="20"/>
                <w:szCs w:val="20"/>
              </w:rPr>
            </w:pPr>
            <w:r w:rsidRPr="00200BCC">
              <w:rPr>
                <w:bCs/>
                <w:color w:val="auto"/>
                <w:sz w:val="20"/>
                <w:szCs w:val="20"/>
              </w:rPr>
              <w:t>%</w:t>
            </w:r>
          </w:p>
        </w:tc>
        <w:tc>
          <w:tcPr>
            <w:tcW w:w="4480" w:type="dxa"/>
            <w:vMerge/>
          </w:tcPr>
          <w:p w14:paraId="0E3CDF76" w14:textId="77777777" w:rsidR="00FC13EE" w:rsidRDefault="00FC13EE" w:rsidP="00C8604F">
            <w:pPr>
              <w:pStyle w:val="TableHeader"/>
              <w:cnfStyle w:val="000000100000" w:firstRow="0" w:lastRow="0" w:firstColumn="0" w:lastColumn="0" w:oddVBand="0" w:evenVBand="0" w:oddHBand="1" w:evenHBand="0" w:firstRowFirstColumn="0" w:firstRowLastColumn="0" w:lastRowFirstColumn="0" w:lastRowLastColumn="0"/>
              <w:rPr>
                <w:sz w:val="20"/>
                <w:szCs w:val="20"/>
              </w:rPr>
            </w:pPr>
          </w:p>
        </w:tc>
      </w:tr>
      <w:tr w:rsidR="00FC13EE" w:rsidRPr="00CD6245" w14:paraId="0A2659EA" w14:textId="77777777" w:rsidTr="004B1827">
        <w:tc>
          <w:tcPr>
            <w:cnfStyle w:val="001000000000" w:firstRow="0" w:lastRow="0" w:firstColumn="1" w:lastColumn="0" w:oddVBand="0" w:evenVBand="0" w:oddHBand="0" w:evenHBand="0" w:firstRowFirstColumn="0" w:firstRowLastColumn="0" w:lastRowFirstColumn="0" w:lastRowLastColumn="0"/>
            <w:tcW w:w="352" w:type="dxa"/>
          </w:tcPr>
          <w:p w14:paraId="7A8A6B31" w14:textId="77777777" w:rsidR="00FC13EE" w:rsidRPr="00CD6245" w:rsidRDefault="00FC13EE" w:rsidP="00C8604F">
            <w:pPr>
              <w:pStyle w:val="TableText"/>
            </w:pPr>
            <w:r w:rsidRPr="00CD6245">
              <w:t>1</w:t>
            </w:r>
          </w:p>
        </w:tc>
        <w:tc>
          <w:tcPr>
            <w:tcW w:w="1774" w:type="dxa"/>
          </w:tcPr>
          <w:p w14:paraId="2B3F3F9F" w14:textId="77777777" w:rsidR="00FC13EE" w:rsidRPr="00726E77" w:rsidRDefault="00FC13EE" w:rsidP="00C8604F">
            <w:pPr>
              <w:pStyle w:val="TableText"/>
              <w:cnfStyle w:val="000000000000" w:firstRow="0" w:lastRow="0" w:firstColumn="0" w:lastColumn="0" w:oddVBand="0" w:evenVBand="0" w:oddHBand="0" w:evenHBand="0" w:firstRowFirstColumn="0" w:firstRowLastColumn="0" w:lastRowFirstColumn="0" w:lastRowLastColumn="0"/>
            </w:pPr>
            <w:r w:rsidRPr="00726E77">
              <w:t xml:space="preserve">Value created </w:t>
            </w:r>
          </w:p>
        </w:tc>
        <w:tc>
          <w:tcPr>
            <w:tcW w:w="624" w:type="dxa"/>
          </w:tcPr>
          <w:p w14:paraId="34788450" w14:textId="77777777" w:rsidR="00FC13EE" w:rsidRPr="00794FDD" w:rsidRDefault="00FC13EE" w:rsidP="006B0393">
            <w:pPr>
              <w:pStyle w:val="Tablenumbers"/>
              <w:cnfStyle w:val="000000000000" w:firstRow="0" w:lastRow="0" w:firstColumn="0" w:lastColumn="0" w:oddVBand="0" w:evenVBand="0" w:oddHBand="0" w:evenHBand="0" w:firstRowFirstColumn="0" w:firstRowLastColumn="0" w:lastRowFirstColumn="0" w:lastRowLastColumn="0"/>
            </w:pPr>
            <w:r w:rsidRPr="00794FDD">
              <w:t>3.4</w:t>
            </w:r>
          </w:p>
        </w:tc>
        <w:tc>
          <w:tcPr>
            <w:tcW w:w="709" w:type="dxa"/>
          </w:tcPr>
          <w:p w14:paraId="0E78CAD4" w14:textId="77777777" w:rsidR="00FC13EE" w:rsidRPr="00794FDD" w:rsidRDefault="00FC13EE" w:rsidP="006B0393">
            <w:pPr>
              <w:pStyle w:val="Tablenumbers"/>
              <w:cnfStyle w:val="000000000000" w:firstRow="0" w:lastRow="0" w:firstColumn="0" w:lastColumn="0" w:oddVBand="0" w:evenVBand="0" w:oddHBand="0" w:evenHBand="0" w:firstRowFirstColumn="0" w:firstRowLastColumn="0" w:lastRowFirstColumn="0" w:lastRowLastColumn="0"/>
            </w:pPr>
            <w:r w:rsidRPr="00794FDD">
              <w:t>15.4</w:t>
            </w:r>
          </w:p>
        </w:tc>
        <w:tc>
          <w:tcPr>
            <w:tcW w:w="708" w:type="dxa"/>
          </w:tcPr>
          <w:p w14:paraId="4B09F1B8" w14:textId="77777777" w:rsidR="00FC13EE" w:rsidRPr="00CD6245" w:rsidRDefault="00FC13EE" w:rsidP="006B0393">
            <w:pPr>
              <w:pStyle w:val="Tablenumbers"/>
              <w:cnfStyle w:val="000000000000" w:firstRow="0" w:lastRow="0" w:firstColumn="0" w:lastColumn="0" w:oddVBand="0" w:evenVBand="0" w:oddHBand="0" w:evenHBand="0" w:firstRowFirstColumn="0" w:firstRowLastColumn="0" w:lastRowFirstColumn="0" w:lastRowLastColumn="0"/>
            </w:pPr>
            <w:r>
              <w:t>5.4</w:t>
            </w:r>
          </w:p>
        </w:tc>
        <w:tc>
          <w:tcPr>
            <w:tcW w:w="4480" w:type="dxa"/>
          </w:tcPr>
          <w:p w14:paraId="578AFD5A" w14:textId="019E4F24" w:rsidR="00FC13EE" w:rsidRPr="00CD6245" w:rsidRDefault="001957A9" w:rsidP="00C8604F">
            <w:pPr>
              <w:pStyle w:val="TableText"/>
              <w:cnfStyle w:val="000000000000" w:firstRow="0" w:lastRow="0" w:firstColumn="0" w:lastColumn="0" w:oddVBand="0" w:evenVBand="0" w:oddHBand="0" w:evenHBand="0" w:firstRowFirstColumn="0" w:firstRowLastColumn="0" w:lastRowFirstColumn="0" w:lastRowLastColumn="0"/>
            </w:pPr>
            <w:r>
              <w:t xml:space="preserve">Victoria Police </w:t>
            </w:r>
            <w:r w:rsidR="00FC13EE">
              <w:t>reviewed d</w:t>
            </w:r>
            <w:r w:rsidR="00FC13EE" w:rsidRPr="008C6EFB">
              <w:t xml:space="preserve">ata from previous years </w:t>
            </w:r>
            <w:r w:rsidR="00FC13EE">
              <w:t xml:space="preserve">and discovered </w:t>
            </w:r>
            <w:r w:rsidR="00FC13EE" w:rsidRPr="008C6EFB">
              <w:t xml:space="preserve">that purchases </w:t>
            </w:r>
            <w:r w:rsidR="00FC13EE">
              <w:t xml:space="preserve">from </w:t>
            </w:r>
            <w:r w:rsidR="00FC13EE" w:rsidRPr="008C6EFB">
              <w:t xml:space="preserve">SPCs and variations to those purchases had been included in the total value created figure (cost savings and avoidance). The total contract spend was confirmed to be </w:t>
            </w:r>
            <w:r w:rsidR="0070033A">
              <w:t xml:space="preserve">non-construction goods and services </w:t>
            </w:r>
            <w:r w:rsidR="00FC13EE">
              <w:t>spend only.</w:t>
            </w:r>
            <w:r w:rsidR="00FC13EE" w:rsidRPr="008C6EFB">
              <w:t xml:space="preserve"> Processes have been amended to ensure </w:t>
            </w:r>
            <w:r w:rsidR="0070033A">
              <w:t>the right</w:t>
            </w:r>
            <w:r w:rsidR="00A10F29" w:rsidRPr="008C6EFB">
              <w:t xml:space="preserve"> </w:t>
            </w:r>
            <w:r w:rsidR="00FC13EE" w:rsidRPr="008C6EFB">
              <w:t>spend is captured.</w:t>
            </w:r>
            <w:r w:rsidR="00FC13EE">
              <w:t xml:space="preserve"> Figures for 2015–16 and 2016–17 have also been updated to reflect the correct</w:t>
            </w:r>
            <w:r w:rsidR="0070033A">
              <w:t>ed</w:t>
            </w:r>
            <w:r w:rsidR="00FC13EE">
              <w:t xml:space="preserve"> data. </w:t>
            </w:r>
          </w:p>
        </w:tc>
      </w:tr>
      <w:tr w:rsidR="00FC13EE" w:rsidRPr="00CD6245" w14:paraId="6E6026D0" w14:textId="77777777" w:rsidTr="004B18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2" w:type="dxa"/>
          </w:tcPr>
          <w:p w14:paraId="7C540EEA" w14:textId="77777777" w:rsidR="00FC13EE" w:rsidRPr="00CD6245" w:rsidRDefault="00FC13EE" w:rsidP="00C8604F">
            <w:pPr>
              <w:pStyle w:val="TableText"/>
            </w:pPr>
            <w:r w:rsidRPr="00CD6245">
              <w:t>2</w:t>
            </w:r>
          </w:p>
        </w:tc>
        <w:tc>
          <w:tcPr>
            <w:tcW w:w="1774" w:type="dxa"/>
          </w:tcPr>
          <w:p w14:paraId="3FCD2DF4" w14:textId="3BFC6372" w:rsidR="00FC13EE" w:rsidRPr="00726E77" w:rsidRDefault="00FC13EE" w:rsidP="00C8604F">
            <w:pPr>
              <w:pStyle w:val="TableText"/>
              <w:cnfStyle w:val="000000100000" w:firstRow="0" w:lastRow="0" w:firstColumn="0" w:lastColumn="0" w:oddVBand="0" w:evenVBand="0" w:oddHBand="1" w:evenHBand="0" w:firstRowFirstColumn="0" w:firstRowLastColumn="0" w:lastRowFirstColumn="0" w:lastRowLastColumn="0"/>
            </w:pPr>
            <w:r w:rsidRPr="00726E77">
              <w:t xml:space="preserve">Proportion of </w:t>
            </w:r>
            <w:r w:rsidR="006B0393">
              <w:br/>
            </w:r>
            <w:r w:rsidRPr="00726E77">
              <w:t xml:space="preserve">P-Card </w:t>
            </w:r>
            <w:r w:rsidR="00D11C9B">
              <w:t xml:space="preserve">(or equivalent) </w:t>
            </w:r>
            <w:r w:rsidRPr="00726E77">
              <w:t>transactions</w:t>
            </w:r>
          </w:p>
        </w:tc>
        <w:tc>
          <w:tcPr>
            <w:tcW w:w="624" w:type="dxa"/>
          </w:tcPr>
          <w:p w14:paraId="3D68C8BA" w14:textId="77777777" w:rsidR="00FC13EE" w:rsidRDefault="00FC13EE" w:rsidP="006B0393">
            <w:pPr>
              <w:pStyle w:val="Tablenumbers"/>
              <w:cnfStyle w:val="000000100000" w:firstRow="0" w:lastRow="0" w:firstColumn="0" w:lastColumn="0" w:oddVBand="0" w:evenVBand="0" w:oddHBand="1" w:evenHBand="0" w:firstRowFirstColumn="0" w:firstRowLastColumn="0" w:lastRowFirstColumn="0" w:lastRowLastColumn="0"/>
            </w:pPr>
            <w:r>
              <w:t>2.4</w:t>
            </w:r>
          </w:p>
        </w:tc>
        <w:tc>
          <w:tcPr>
            <w:tcW w:w="709" w:type="dxa"/>
          </w:tcPr>
          <w:p w14:paraId="77E94E4D" w14:textId="77777777" w:rsidR="00FC13EE" w:rsidRPr="00CD6245" w:rsidRDefault="00FC13EE" w:rsidP="006B0393">
            <w:pPr>
              <w:pStyle w:val="Tablenumbers"/>
              <w:cnfStyle w:val="000000100000" w:firstRow="0" w:lastRow="0" w:firstColumn="0" w:lastColumn="0" w:oddVBand="0" w:evenVBand="0" w:oddHBand="1" w:evenHBand="0" w:firstRowFirstColumn="0" w:firstRowLastColumn="0" w:lastRowFirstColumn="0" w:lastRowLastColumn="0"/>
            </w:pPr>
            <w:r>
              <w:t>3.0</w:t>
            </w:r>
          </w:p>
        </w:tc>
        <w:tc>
          <w:tcPr>
            <w:tcW w:w="708" w:type="dxa"/>
          </w:tcPr>
          <w:p w14:paraId="4C6DCBCB" w14:textId="77777777" w:rsidR="00FC13EE" w:rsidRPr="00CD6245" w:rsidRDefault="00FC13EE" w:rsidP="006B0393">
            <w:pPr>
              <w:pStyle w:val="Tablenumbers"/>
              <w:cnfStyle w:val="000000100000" w:firstRow="0" w:lastRow="0" w:firstColumn="0" w:lastColumn="0" w:oddVBand="0" w:evenVBand="0" w:oddHBand="1" w:evenHBand="0" w:firstRowFirstColumn="0" w:firstRowLastColumn="0" w:lastRowFirstColumn="0" w:lastRowLastColumn="0"/>
            </w:pPr>
            <w:r>
              <w:t>2.9</w:t>
            </w:r>
          </w:p>
        </w:tc>
        <w:tc>
          <w:tcPr>
            <w:tcW w:w="4480" w:type="dxa"/>
          </w:tcPr>
          <w:p w14:paraId="2B301346" w14:textId="77777777" w:rsidR="00FC13EE" w:rsidRPr="00CD6245" w:rsidRDefault="00FC13EE" w:rsidP="00C8604F">
            <w:pPr>
              <w:pStyle w:val="TableText"/>
              <w:cnfStyle w:val="000000100000" w:firstRow="0" w:lastRow="0" w:firstColumn="0" w:lastColumn="0" w:oddVBand="0" w:evenVBand="0" w:oddHBand="1" w:evenHBand="0" w:firstRowFirstColumn="0" w:firstRowLastColumn="0" w:lastRowFirstColumn="0" w:lastRowLastColumn="0"/>
            </w:pPr>
            <w:r w:rsidRPr="0053547B">
              <w:t>P-Card usage has stayed the same, allowing for continued efficiencies and a reduced administrative burden for purchased items valued $2</w:t>
            </w:r>
            <w:r>
              <w:t> 000</w:t>
            </w:r>
            <w:r w:rsidRPr="0053547B">
              <w:t xml:space="preserve"> or less.</w:t>
            </w:r>
          </w:p>
        </w:tc>
      </w:tr>
      <w:tr w:rsidR="00FC13EE" w:rsidRPr="00CD6245" w14:paraId="5369418F" w14:textId="77777777" w:rsidTr="004B1827">
        <w:tc>
          <w:tcPr>
            <w:cnfStyle w:val="001000000000" w:firstRow="0" w:lastRow="0" w:firstColumn="1" w:lastColumn="0" w:oddVBand="0" w:evenVBand="0" w:oddHBand="0" w:evenHBand="0" w:firstRowFirstColumn="0" w:firstRowLastColumn="0" w:lastRowFirstColumn="0" w:lastRowLastColumn="0"/>
            <w:tcW w:w="352" w:type="dxa"/>
          </w:tcPr>
          <w:p w14:paraId="79BDF737" w14:textId="77777777" w:rsidR="00FC13EE" w:rsidRPr="00CD6245" w:rsidRDefault="00FC13EE" w:rsidP="00C8604F">
            <w:pPr>
              <w:pStyle w:val="TableText"/>
            </w:pPr>
            <w:r w:rsidRPr="00CD6245">
              <w:t>3</w:t>
            </w:r>
          </w:p>
        </w:tc>
        <w:tc>
          <w:tcPr>
            <w:tcW w:w="1774" w:type="dxa"/>
          </w:tcPr>
          <w:p w14:paraId="07C1EA5A" w14:textId="77777777" w:rsidR="00FC13EE" w:rsidRPr="00726E77" w:rsidRDefault="00FC13EE" w:rsidP="00C8604F">
            <w:pPr>
              <w:pStyle w:val="TableText"/>
              <w:cnfStyle w:val="000000000000" w:firstRow="0" w:lastRow="0" w:firstColumn="0" w:lastColumn="0" w:oddVBand="0" w:evenVBand="0" w:oddHBand="0" w:evenHBand="0" w:firstRowFirstColumn="0" w:firstRowLastColumn="0" w:lastRowFirstColumn="0" w:lastRowLastColumn="0"/>
            </w:pPr>
            <w:r w:rsidRPr="00726E77">
              <w:t>Increase in procurement capability</w:t>
            </w:r>
          </w:p>
        </w:tc>
        <w:tc>
          <w:tcPr>
            <w:tcW w:w="624" w:type="dxa"/>
          </w:tcPr>
          <w:p w14:paraId="35482B6E" w14:textId="77777777" w:rsidR="00FC13EE" w:rsidRDefault="00FC13EE" w:rsidP="006B0393">
            <w:pPr>
              <w:pStyle w:val="Tablenumbers"/>
              <w:cnfStyle w:val="000000000000" w:firstRow="0" w:lastRow="0" w:firstColumn="0" w:lastColumn="0" w:oddVBand="0" w:evenVBand="0" w:oddHBand="0" w:evenHBand="0" w:firstRowFirstColumn="0" w:firstRowLastColumn="0" w:lastRowFirstColumn="0" w:lastRowLastColumn="0"/>
            </w:pPr>
            <w:r>
              <w:t>2</w:t>
            </w:r>
          </w:p>
        </w:tc>
        <w:tc>
          <w:tcPr>
            <w:tcW w:w="709" w:type="dxa"/>
          </w:tcPr>
          <w:p w14:paraId="2CB6DF4C" w14:textId="4876C9BA" w:rsidR="00FC13EE" w:rsidRPr="00CD6245" w:rsidRDefault="001C3A21" w:rsidP="006B0393">
            <w:pPr>
              <w:pStyle w:val="Tablenumbers"/>
              <w:cnfStyle w:val="000000000000" w:firstRow="0" w:lastRow="0" w:firstColumn="0" w:lastColumn="0" w:oddVBand="0" w:evenVBand="0" w:oddHBand="0" w:evenHBand="0" w:firstRowFirstColumn="0" w:firstRowLastColumn="0" w:lastRowFirstColumn="0" w:lastRowLastColumn="0"/>
            </w:pPr>
            <w:r>
              <w:t>−</w:t>
            </w:r>
            <w:r w:rsidR="00FC13EE">
              <w:t>11.4</w:t>
            </w:r>
          </w:p>
        </w:tc>
        <w:tc>
          <w:tcPr>
            <w:tcW w:w="708" w:type="dxa"/>
          </w:tcPr>
          <w:p w14:paraId="7EA13342" w14:textId="68694119" w:rsidR="00FC13EE" w:rsidRPr="00CD6245" w:rsidRDefault="001C3A21" w:rsidP="006B0393">
            <w:pPr>
              <w:pStyle w:val="Tablenumbers"/>
              <w:cnfStyle w:val="000000000000" w:firstRow="0" w:lastRow="0" w:firstColumn="0" w:lastColumn="0" w:oddVBand="0" w:evenVBand="0" w:oddHBand="0" w:evenHBand="0" w:firstRowFirstColumn="0" w:firstRowLastColumn="0" w:lastRowFirstColumn="0" w:lastRowLastColumn="0"/>
            </w:pPr>
            <w:r>
              <w:t>−</w:t>
            </w:r>
            <w:r w:rsidR="00FC13EE">
              <w:t>5.1</w:t>
            </w:r>
          </w:p>
        </w:tc>
        <w:tc>
          <w:tcPr>
            <w:tcW w:w="4480" w:type="dxa"/>
          </w:tcPr>
          <w:p w14:paraId="09386437" w14:textId="759724C4" w:rsidR="00FC13EE" w:rsidRPr="00CD6245" w:rsidRDefault="00FC13EE" w:rsidP="00C8604F">
            <w:pPr>
              <w:pStyle w:val="TableText"/>
              <w:cnfStyle w:val="000000000000" w:firstRow="0" w:lastRow="0" w:firstColumn="0" w:lastColumn="0" w:oddVBand="0" w:evenVBand="0" w:oddHBand="0" w:evenHBand="0" w:firstRowFirstColumn="0" w:firstRowLastColumn="0" w:lastRowFirstColumn="0" w:lastRowLastColumn="0"/>
            </w:pPr>
            <w:r w:rsidRPr="0053547B">
              <w:t xml:space="preserve">During this time of reform and with the development of new processes and tools, </w:t>
            </w:r>
            <w:r w:rsidR="0054602B">
              <w:t>Victoria Police</w:t>
            </w:r>
            <w:r w:rsidR="0054602B" w:rsidRPr="0053547B">
              <w:t xml:space="preserve"> </w:t>
            </w:r>
            <w:r w:rsidRPr="0053547B">
              <w:t>anticipated that capability assessments might decrease from the previous year as the capability uplift is being finalised for implementation in 2018</w:t>
            </w:r>
            <w:r>
              <w:t>–</w:t>
            </w:r>
            <w:r w:rsidRPr="0053547B">
              <w:t>19.</w:t>
            </w:r>
          </w:p>
        </w:tc>
      </w:tr>
      <w:tr w:rsidR="00FC13EE" w:rsidRPr="00CD6245" w14:paraId="6652DB00" w14:textId="77777777" w:rsidTr="004B18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2" w:type="dxa"/>
          </w:tcPr>
          <w:p w14:paraId="0804F1E8" w14:textId="77777777" w:rsidR="00FC13EE" w:rsidRPr="00CD6245" w:rsidRDefault="00FC13EE" w:rsidP="00C8604F">
            <w:pPr>
              <w:pStyle w:val="TableText"/>
            </w:pPr>
            <w:r w:rsidRPr="00CD6245">
              <w:t>4</w:t>
            </w:r>
          </w:p>
        </w:tc>
        <w:tc>
          <w:tcPr>
            <w:tcW w:w="1774" w:type="dxa"/>
          </w:tcPr>
          <w:p w14:paraId="40C0F46C" w14:textId="77777777" w:rsidR="00FC13EE" w:rsidRPr="00726E77" w:rsidRDefault="00FC13EE" w:rsidP="00C8604F">
            <w:pPr>
              <w:pStyle w:val="TableText"/>
              <w:cnfStyle w:val="000000100000" w:firstRow="0" w:lastRow="0" w:firstColumn="0" w:lastColumn="0" w:oddVBand="0" w:evenVBand="0" w:oddHBand="1" w:evenHBand="0" w:firstRowFirstColumn="0" w:firstRowLastColumn="0" w:lastRowFirstColumn="0" w:lastRowLastColumn="0"/>
            </w:pPr>
            <w:r w:rsidRPr="00726E77">
              <w:t>Cost of procurement resources</w:t>
            </w:r>
          </w:p>
        </w:tc>
        <w:tc>
          <w:tcPr>
            <w:tcW w:w="624" w:type="dxa"/>
          </w:tcPr>
          <w:p w14:paraId="456DB457" w14:textId="77777777" w:rsidR="00FC13EE" w:rsidRDefault="00FC13EE" w:rsidP="006B0393">
            <w:pPr>
              <w:pStyle w:val="Tablenumbers"/>
              <w:cnfStyle w:val="000000100000" w:firstRow="0" w:lastRow="0" w:firstColumn="0" w:lastColumn="0" w:oddVBand="0" w:evenVBand="0" w:oddHBand="1" w:evenHBand="0" w:firstRowFirstColumn="0" w:firstRowLastColumn="0" w:lastRowFirstColumn="0" w:lastRowLastColumn="0"/>
            </w:pPr>
            <w:r>
              <w:t>0.9</w:t>
            </w:r>
          </w:p>
        </w:tc>
        <w:tc>
          <w:tcPr>
            <w:tcW w:w="709" w:type="dxa"/>
          </w:tcPr>
          <w:p w14:paraId="1CAC5708" w14:textId="77777777" w:rsidR="00FC13EE" w:rsidRPr="00CD6245" w:rsidRDefault="00FC13EE" w:rsidP="006B0393">
            <w:pPr>
              <w:pStyle w:val="Tablenumbers"/>
              <w:cnfStyle w:val="000000100000" w:firstRow="0" w:lastRow="0" w:firstColumn="0" w:lastColumn="0" w:oddVBand="0" w:evenVBand="0" w:oddHBand="1" w:evenHBand="0" w:firstRowFirstColumn="0" w:firstRowLastColumn="0" w:lastRowFirstColumn="0" w:lastRowLastColumn="0"/>
            </w:pPr>
            <w:r>
              <w:t>2.4</w:t>
            </w:r>
          </w:p>
        </w:tc>
        <w:tc>
          <w:tcPr>
            <w:tcW w:w="708" w:type="dxa"/>
          </w:tcPr>
          <w:p w14:paraId="1A939730" w14:textId="3394108E" w:rsidR="00FC13EE" w:rsidRPr="00CD6245" w:rsidRDefault="00FC13EE" w:rsidP="006B0393">
            <w:pPr>
              <w:pStyle w:val="Tablenumbers"/>
              <w:cnfStyle w:val="000000100000" w:firstRow="0" w:lastRow="0" w:firstColumn="0" w:lastColumn="0" w:oddVBand="0" w:evenVBand="0" w:oddHBand="1" w:evenHBand="0" w:firstRowFirstColumn="0" w:firstRowLastColumn="0" w:lastRowFirstColumn="0" w:lastRowLastColumn="0"/>
            </w:pPr>
            <w:r>
              <w:t>0.</w:t>
            </w:r>
            <w:r w:rsidR="00105FDC">
              <w:t>7</w:t>
            </w:r>
          </w:p>
        </w:tc>
        <w:tc>
          <w:tcPr>
            <w:tcW w:w="4480" w:type="dxa"/>
          </w:tcPr>
          <w:p w14:paraId="2B1BD8A4" w14:textId="426A5FED" w:rsidR="00FC13EE" w:rsidRPr="00CD6245" w:rsidRDefault="00FC13EE" w:rsidP="00C8604F">
            <w:pPr>
              <w:pStyle w:val="TableText"/>
              <w:cnfStyle w:val="000000100000" w:firstRow="0" w:lastRow="0" w:firstColumn="0" w:lastColumn="0" w:oddVBand="0" w:evenVBand="0" w:oddHBand="1" w:evenHBand="0" w:firstRowFirstColumn="0" w:firstRowLastColumn="0" w:lastRowFirstColumn="0" w:lastRowLastColumn="0"/>
            </w:pPr>
            <w:r>
              <w:t xml:space="preserve">Spend on procurement staff has decreased since </w:t>
            </w:r>
            <w:r w:rsidR="00794FDD">
              <w:t>2016–17</w:t>
            </w:r>
            <w:r>
              <w:t xml:space="preserve">. </w:t>
            </w:r>
            <w:r w:rsidR="0054602B">
              <w:t>Victoria Police is</w:t>
            </w:r>
            <w:r>
              <w:t xml:space="preserve"> recruiting</w:t>
            </w:r>
            <w:r w:rsidRPr="0053547B">
              <w:t xml:space="preserve"> </w:t>
            </w:r>
            <w:r w:rsidR="0054602B">
              <w:br/>
            </w:r>
            <w:r w:rsidRPr="0053547B">
              <w:t xml:space="preserve">full-time procurement resources </w:t>
            </w:r>
            <w:r>
              <w:t xml:space="preserve">and </w:t>
            </w:r>
            <w:r w:rsidRPr="0053547B">
              <w:t>investing in capability uplift and process re-engineering to improve efficiency.</w:t>
            </w:r>
          </w:p>
        </w:tc>
      </w:tr>
      <w:tr w:rsidR="006B0393" w:rsidRPr="00CD6245" w14:paraId="36BD3982" w14:textId="77777777" w:rsidTr="004B1827">
        <w:tc>
          <w:tcPr>
            <w:cnfStyle w:val="001000000000" w:firstRow="0" w:lastRow="0" w:firstColumn="1" w:lastColumn="0" w:oddVBand="0" w:evenVBand="0" w:oddHBand="0" w:evenHBand="0" w:firstRowFirstColumn="0" w:firstRowLastColumn="0" w:lastRowFirstColumn="0" w:lastRowLastColumn="0"/>
            <w:tcW w:w="352" w:type="dxa"/>
            <w:vMerge w:val="restart"/>
          </w:tcPr>
          <w:p w14:paraId="7352EFA0" w14:textId="09FB1EE3" w:rsidR="006B0393" w:rsidRPr="00CD6245" w:rsidRDefault="006B0393" w:rsidP="006B0393">
            <w:pPr>
              <w:pStyle w:val="TableText"/>
            </w:pPr>
            <w:r>
              <w:t>5</w:t>
            </w:r>
          </w:p>
        </w:tc>
        <w:tc>
          <w:tcPr>
            <w:tcW w:w="1774" w:type="dxa"/>
          </w:tcPr>
          <w:p w14:paraId="4FBFBB1E" w14:textId="1F6B8D6D" w:rsidR="006B0393" w:rsidRPr="00726E77" w:rsidRDefault="006B0393" w:rsidP="006B0393">
            <w:pPr>
              <w:pStyle w:val="TableText"/>
              <w:cnfStyle w:val="000000000000" w:firstRow="0" w:lastRow="0" w:firstColumn="0" w:lastColumn="0" w:oddVBand="0" w:evenVBand="0" w:oddHBand="0" w:evenHBand="0" w:firstRowFirstColumn="0" w:firstRowLastColumn="0" w:lastRowFirstColumn="0" w:lastRowLastColumn="0"/>
            </w:pPr>
            <w:r w:rsidRPr="000451B5">
              <w:t xml:space="preserve">Successful </w:t>
            </w:r>
            <w:r>
              <w:t>s</w:t>
            </w:r>
            <w:r w:rsidRPr="008F30C8">
              <w:t>upplie</w:t>
            </w:r>
            <w:r>
              <w:t xml:space="preserve">r </w:t>
            </w:r>
            <w:r w:rsidRPr="000451B5">
              <w:t>satisfied</w:t>
            </w:r>
          </w:p>
        </w:tc>
        <w:tc>
          <w:tcPr>
            <w:tcW w:w="624" w:type="dxa"/>
          </w:tcPr>
          <w:p w14:paraId="097A609E" w14:textId="092AE6A3" w:rsidR="006B0393" w:rsidRDefault="006B0393" w:rsidP="006B0393">
            <w:pPr>
              <w:pStyle w:val="Tablenumbers"/>
              <w:cnfStyle w:val="000000000000" w:firstRow="0" w:lastRow="0" w:firstColumn="0" w:lastColumn="0" w:oddVBand="0" w:evenVBand="0" w:oddHBand="0" w:evenHBand="0" w:firstRowFirstColumn="0" w:firstRowLastColumn="0" w:lastRowFirstColumn="0" w:lastRowLastColumn="0"/>
            </w:pPr>
            <w:r>
              <w:t>79</w:t>
            </w:r>
          </w:p>
        </w:tc>
        <w:tc>
          <w:tcPr>
            <w:tcW w:w="709" w:type="dxa"/>
          </w:tcPr>
          <w:p w14:paraId="36D94466" w14:textId="750E4BE0" w:rsidR="006B0393" w:rsidRDefault="006B0393" w:rsidP="006B0393">
            <w:pPr>
              <w:pStyle w:val="Tablenumbers"/>
              <w:cnfStyle w:val="000000000000" w:firstRow="0" w:lastRow="0" w:firstColumn="0" w:lastColumn="0" w:oddVBand="0" w:evenVBand="0" w:oddHBand="0" w:evenHBand="0" w:firstRowFirstColumn="0" w:firstRowLastColumn="0" w:lastRowFirstColumn="0" w:lastRowLastColumn="0"/>
            </w:pPr>
            <w:r>
              <w:t>86</w:t>
            </w:r>
          </w:p>
        </w:tc>
        <w:tc>
          <w:tcPr>
            <w:tcW w:w="708" w:type="dxa"/>
          </w:tcPr>
          <w:p w14:paraId="4821BCF8" w14:textId="4C5FCFCA" w:rsidR="006B0393" w:rsidRDefault="006B0393" w:rsidP="006B0393">
            <w:pPr>
              <w:pStyle w:val="Tablenumbers"/>
              <w:cnfStyle w:val="000000000000" w:firstRow="0" w:lastRow="0" w:firstColumn="0" w:lastColumn="0" w:oddVBand="0" w:evenVBand="0" w:oddHBand="0" w:evenHBand="0" w:firstRowFirstColumn="0" w:firstRowLastColumn="0" w:lastRowFirstColumn="0" w:lastRowLastColumn="0"/>
            </w:pPr>
            <w:r>
              <w:t>82</w:t>
            </w:r>
          </w:p>
        </w:tc>
        <w:tc>
          <w:tcPr>
            <w:tcW w:w="4480" w:type="dxa"/>
            <w:vMerge w:val="restart"/>
          </w:tcPr>
          <w:p w14:paraId="3E886FFC" w14:textId="77777777" w:rsidR="006B0393" w:rsidRDefault="006B0393" w:rsidP="006B0393">
            <w:pPr>
              <w:pStyle w:val="TableText"/>
              <w:cnfStyle w:val="000000000000" w:firstRow="0" w:lastRow="0" w:firstColumn="0" w:lastColumn="0" w:oddVBand="0" w:evenVBand="0" w:oddHBand="0" w:evenHBand="0" w:firstRowFirstColumn="0" w:firstRowLastColumn="0" w:lastRowFirstColumn="0" w:lastRowLastColumn="0"/>
            </w:pPr>
            <w:r w:rsidRPr="0053547B">
              <w:t>Supplier satisfaction decreased from the previous year</w:t>
            </w:r>
            <w:r>
              <w:t>,</w:t>
            </w:r>
            <w:r w:rsidRPr="0053547B">
              <w:t xml:space="preserve"> </w:t>
            </w:r>
            <w:r>
              <w:t>but</w:t>
            </w:r>
            <w:r w:rsidRPr="0053547B">
              <w:t xml:space="preserve"> </w:t>
            </w:r>
            <w:r>
              <w:t xml:space="preserve">there was a larger sample size and double the number of responses in </w:t>
            </w:r>
            <w:r w:rsidRPr="0053547B">
              <w:t>2017</w:t>
            </w:r>
            <w:r>
              <w:t>–</w:t>
            </w:r>
            <w:r w:rsidRPr="0053547B">
              <w:t>18</w:t>
            </w:r>
            <w:r>
              <w:t>.</w:t>
            </w:r>
          </w:p>
          <w:p w14:paraId="515B4D9C" w14:textId="133CFC61" w:rsidR="006B0393" w:rsidRPr="0053547B" w:rsidRDefault="006B0393" w:rsidP="006B0393">
            <w:pPr>
              <w:pStyle w:val="TableText"/>
              <w:cnfStyle w:val="000000000000" w:firstRow="0" w:lastRow="0" w:firstColumn="0" w:lastColumn="0" w:oddVBand="0" w:evenVBand="0" w:oddHBand="0" w:evenHBand="0" w:firstRowFirstColumn="0" w:firstRowLastColumn="0" w:lastRowFirstColumn="0" w:lastRowLastColumn="0"/>
            </w:pPr>
            <w:r>
              <w:t>No result for unsuccessful suppliers due to an insufficient sample size (only four respondents).</w:t>
            </w:r>
          </w:p>
        </w:tc>
      </w:tr>
      <w:tr w:rsidR="006B0393" w:rsidRPr="00CD6245" w14:paraId="5F01EFAA" w14:textId="77777777" w:rsidTr="004B18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2" w:type="dxa"/>
            <w:vMerge/>
          </w:tcPr>
          <w:p w14:paraId="56841321" w14:textId="77777777" w:rsidR="006B0393" w:rsidRPr="00CD6245" w:rsidRDefault="006B0393" w:rsidP="006B0393">
            <w:pPr>
              <w:pStyle w:val="TableText"/>
            </w:pPr>
          </w:p>
        </w:tc>
        <w:tc>
          <w:tcPr>
            <w:tcW w:w="1774" w:type="dxa"/>
          </w:tcPr>
          <w:p w14:paraId="23DEC689" w14:textId="7C1D455E" w:rsidR="006B0393" w:rsidRPr="00726E77" w:rsidRDefault="006B0393" w:rsidP="006B0393">
            <w:pPr>
              <w:pStyle w:val="TableText"/>
              <w:cnfStyle w:val="000000100000" w:firstRow="0" w:lastRow="0" w:firstColumn="0" w:lastColumn="0" w:oddVBand="0" w:evenVBand="0" w:oddHBand="1" w:evenHBand="0" w:firstRowFirstColumn="0" w:firstRowLastColumn="0" w:lastRowFirstColumn="0" w:lastRowLastColumn="0"/>
            </w:pPr>
            <w:r w:rsidRPr="000451B5">
              <w:t xml:space="preserve">Unsuccessful </w:t>
            </w:r>
            <w:r>
              <w:t>s</w:t>
            </w:r>
            <w:r w:rsidRPr="008F30C8">
              <w:t>upplie</w:t>
            </w:r>
            <w:r>
              <w:t xml:space="preserve">r </w:t>
            </w:r>
            <w:r w:rsidRPr="000451B5">
              <w:t>satisfied</w:t>
            </w:r>
          </w:p>
        </w:tc>
        <w:tc>
          <w:tcPr>
            <w:tcW w:w="624" w:type="dxa"/>
          </w:tcPr>
          <w:p w14:paraId="34733EAD" w14:textId="04F8BFCA" w:rsidR="006B0393" w:rsidRDefault="006B0393" w:rsidP="006B0393">
            <w:pPr>
              <w:pStyle w:val="Tablenumbers"/>
              <w:cnfStyle w:val="000000100000" w:firstRow="0" w:lastRow="0" w:firstColumn="0" w:lastColumn="0" w:oddVBand="0" w:evenVBand="0" w:oddHBand="1" w:evenHBand="0" w:firstRowFirstColumn="0" w:firstRowLastColumn="0" w:lastRowFirstColumn="0" w:lastRowLastColumn="0"/>
            </w:pPr>
            <w:r>
              <w:t>57</w:t>
            </w:r>
          </w:p>
        </w:tc>
        <w:tc>
          <w:tcPr>
            <w:tcW w:w="709" w:type="dxa"/>
          </w:tcPr>
          <w:p w14:paraId="44384292" w14:textId="55E2490D" w:rsidR="006B0393" w:rsidRDefault="006B0393" w:rsidP="006B0393">
            <w:pPr>
              <w:pStyle w:val="Tablenumbers"/>
              <w:cnfStyle w:val="000000100000" w:firstRow="0" w:lastRow="0" w:firstColumn="0" w:lastColumn="0" w:oddVBand="0" w:evenVBand="0" w:oddHBand="1" w:evenHBand="0" w:firstRowFirstColumn="0" w:firstRowLastColumn="0" w:lastRowFirstColumn="0" w:lastRowLastColumn="0"/>
            </w:pPr>
            <w:r>
              <w:t>0</w:t>
            </w:r>
          </w:p>
        </w:tc>
        <w:tc>
          <w:tcPr>
            <w:tcW w:w="708" w:type="dxa"/>
          </w:tcPr>
          <w:p w14:paraId="3D5EBF12" w14:textId="6519590D" w:rsidR="006B0393" w:rsidRDefault="006B0393" w:rsidP="006B0393">
            <w:pPr>
              <w:pStyle w:val="Tablenumbers"/>
              <w:cnfStyle w:val="000000100000" w:firstRow="0" w:lastRow="0" w:firstColumn="0" w:lastColumn="0" w:oddVBand="0" w:evenVBand="0" w:oddHBand="1" w:evenHBand="0" w:firstRowFirstColumn="0" w:firstRowLastColumn="0" w:lastRowFirstColumn="0" w:lastRowLastColumn="0"/>
            </w:pPr>
            <w:r>
              <w:t>0</w:t>
            </w:r>
          </w:p>
        </w:tc>
        <w:tc>
          <w:tcPr>
            <w:tcW w:w="4480" w:type="dxa"/>
            <w:vMerge/>
          </w:tcPr>
          <w:p w14:paraId="76D4DBD2" w14:textId="77777777" w:rsidR="006B0393" w:rsidRPr="0053547B" w:rsidRDefault="006B0393" w:rsidP="006B0393">
            <w:pPr>
              <w:pStyle w:val="TableText"/>
              <w:cnfStyle w:val="000000100000" w:firstRow="0" w:lastRow="0" w:firstColumn="0" w:lastColumn="0" w:oddVBand="0" w:evenVBand="0" w:oddHBand="1" w:evenHBand="0" w:firstRowFirstColumn="0" w:firstRowLastColumn="0" w:lastRowFirstColumn="0" w:lastRowLastColumn="0"/>
            </w:pPr>
          </w:p>
        </w:tc>
      </w:tr>
      <w:tr w:rsidR="00FC13EE" w:rsidRPr="00CD6245" w14:paraId="58C4042D" w14:textId="77777777" w:rsidTr="004B1827">
        <w:trPr>
          <w:trHeight w:val="283"/>
        </w:trPr>
        <w:tc>
          <w:tcPr>
            <w:cnfStyle w:val="001000000000" w:firstRow="0" w:lastRow="0" w:firstColumn="1" w:lastColumn="0" w:oddVBand="0" w:evenVBand="0" w:oddHBand="0" w:evenHBand="0" w:firstRowFirstColumn="0" w:firstRowLastColumn="0" w:lastRowFirstColumn="0" w:lastRowLastColumn="0"/>
            <w:tcW w:w="352" w:type="dxa"/>
          </w:tcPr>
          <w:p w14:paraId="2350DBD8" w14:textId="77777777" w:rsidR="00FC13EE" w:rsidRPr="00CD6245" w:rsidRDefault="00FC13EE" w:rsidP="00C8604F">
            <w:pPr>
              <w:pStyle w:val="TableText"/>
            </w:pPr>
            <w:r w:rsidRPr="00CD6245">
              <w:lastRenderedPageBreak/>
              <w:t>6</w:t>
            </w:r>
          </w:p>
        </w:tc>
        <w:tc>
          <w:tcPr>
            <w:tcW w:w="1774" w:type="dxa"/>
          </w:tcPr>
          <w:p w14:paraId="700EA0DE" w14:textId="77777777" w:rsidR="00FC13EE" w:rsidRPr="00726E77" w:rsidRDefault="00FC13EE" w:rsidP="00C8604F">
            <w:pPr>
              <w:pStyle w:val="TableText"/>
              <w:cnfStyle w:val="000000000000" w:firstRow="0" w:lastRow="0" w:firstColumn="0" w:lastColumn="0" w:oddVBand="0" w:evenVBand="0" w:oddHBand="0" w:evenHBand="0" w:firstRowFirstColumn="0" w:firstRowLastColumn="0" w:lastRowFirstColumn="0" w:lastRowLastColumn="0"/>
            </w:pPr>
            <w:r w:rsidRPr="00726E77">
              <w:t>Planned procurement activity</w:t>
            </w:r>
          </w:p>
        </w:tc>
        <w:tc>
          <w:tcPr>
            <w:tcW w:w="624" w:type="dxa"/>
          </w:tcPr>
          <w:p w14:paraId="7C3E55B6" w14:textId="77777777" w:rsidR="00FC13EE" w:rsidRDefault="00FC13EE" w:rsidP="006B0393">
            <w:pPr>
              <w:pStyle w:val="Tablenumbers"/>
              <w:cnfStyle w:val="000000000000" w:firstRow="0" w:lastRow="0" w:firstColumn="0" w:lastColumn="0" w:oddVBand="0" w:evenVBand="0" w:oddHBand="0" w:evenHBand="0" w:firstRowFirstColumn="0" w:firstRowLastColumn="0" w:lastRowFirstColumn="0" w:lastRowLastColumn="0"/>
            </w:pPr>
            <w:r>
              <w:t>74.0</w:t>
            </w:r>
          </w:p>
        </w:tc>
        <w:tc>
          <w:tcPr>
            <w:tcW w:w="709" w:type="dxa"/>
          </w:tcPr>
          <w:p w14:paraId="7E6B2B10" w14:textId="77777777" w:rsidR="00FC13EE" w:rsidRPr="00CD6245" w:rsidRDefault="00FC13EE" w:rsidP="006B0393">
            <w:pPr>
              <w:pStyle w:val="Tablenumbers"/>
              <w:cnfStyle w:val="000000000000" w:firstRow="0" w:lastRow="0" w:firstColumn="0" w:lastColumn="0" w:oddVBand="0" w:evenVBand="0" w:oddHBand="0" w:evenHBand="0" w:firstRowFirstColumn="0" w:firstRowLastColumn="0" w:lastRowFirstColumn="0" w:lastRowLastColumn="0"/>
            </w:pPr>
            <w:r>
              <w:t>85.2</w:t>
            </w:r>
          </w:p>
        </w:tc>
        <w:tc>
          <w:tcPr>
            <w:tcW w:w="708" w:type="dxa"/>
          </w:tcPr>
          <w:p w14:paraId="70600011" w14:textId="77777777" w:rsidR="00FC13EE" w:rsidRPr="00CD6245" w:rsidRDefault="00FC13EE" w:rsidP="006B0393">
            <w:pPr>
              <w:pStyle w:val="Tablenumbers"/>
              <w:cnfStyle w:val="000000000000" w:firstRow="0" w:lastRow="0" w:firstColumn="0" w:lastColumn="0" w:oddVBand="0" w:evenVBand="0" w:oddHBand="0" w:evenHBand="0" w:firstRowFirstColumn="0" w:firstRowLastColumn="0" w:lastRowFirstColumn="0" w:lastRowLastColumn="0"/>
            </w:pPr>
            <w:r>
              <w:t>74.2</w:t>
            </w:r>
          </w:p>
        </w:tc>
        <w:tc>
          <w:tcPr>
            <w:tcW w:w="4480" w:type="dxa"/>
          </w:tcPr>
          <w:p w14:paraId="2DEF84BD" w14:textId="569CF2DE" w:rsidR="00FC13EE" w:rsidRPr="00CD6245" w:rsidRDefault="00FC13EE" w:rsidP="00C8604F">
            <w:pPr>
              <w:pStyle w:val="TableText"/>
              <w:cnfStyle w:val="000000000000" w:firstRow="0" w:lastRow="0" w:firstColumn="0" w:lastColumn="0" w:oddVBand="0" w:evenVBand="0" w:oddHBand="0" w:evenHBand="0" w:firstRowFirstColumn="0" w:firstRowLastColumn="0" w:lastRowFirstColumn="0" w:lastRowLastColumn="0"/>
            </w:pPr>
            <w:r>
              <w:t xml:space="preserve">At the </w:t>
            </w:r>
            <w:r w:rsidR="00794FDD">
              <w:t>start</w:t>
            </w:r>
            <w:r>
              <w:t xml:space="preserve"> of 2017–18, </w:t>
            </w:r>
            <w:r w:rsidR="001957A9">
              <w:t>Victoria Police</w:t>
            </w:r>
            <w:r>
              <w:t xml:space="preserve"> planned to conduct 49 procurements. By the end of 2017–18, 66 procurements were actually conducted</w:t>
            </w:r>
            <w:r w:rsidR="00794FDD">
              <w:t>. O</w:t>
            </w:r>
            <w:r>
              <w:t>f the 49 that were planned</w:t>
            </w:r>
            <w:r w:rsidRPr="008A639C">
              <w:t>, 28</w:t>
            </w:r>
            <w:r>
              <w:t xml:space="preserve"> were</w:t>
            </w:r>
            <w:r w:rsidRPr="008A639C">
              <w:t xml:space="preserve"> issued</w:t>
            </w:r>
            <w:r>
              <w:t>.</w:t>
            </w:r>
          </w:p>
        </w:tc>
      </w:tr>
    </w:tbl>
    <w:p w14:paraId="6940D093" w14:textId="77777777" w:rsidR="002A7E78" w:rsidRDefault="002A7E78" w:rsidP="002A7E78">
      <w:pPr>
        <w:pStyle w:val="Heading3NoNum"/>
      </w:pPr>
      <w:r>
        <w:t>Activities planned for 2018–19</w:t>
      </w:r>
    </w:p>
    <w:p w14:paraId="768E82FF" w14:textId="77777777" w:rsidR="002A7E78" w:rsidRDefault="002A7E78" w:rsidP="002A7E78">
      <w:pPr>
        <w:pStyle w:val="Normal1"/>
      </w:pPr>
      <w:r>
        <w:t>In 2018–19,</w:t>
      </w:r>
      <w:r w:rsidRPr="00CD6245">
        <w:t xml:space="preserve"> Victoria Police will:</w:t>
      </w:r>
    </w:p>
    <w:p w14:paraId="54446A8B" w14:textId="77777777" w:rsidR="002A7E78" w:rsidRDefault="002A7E78" w:rsidP="002A7E78">
      <w:pPr>
        <w:pStyle w:val="Bullet1"/>
      </w:pPr>
      <w:r>
        <w:t>implement a due diligence tool;</w:t>
      </w:r>
    </w:p>
    <w:p w14:paraId="5FB844B7" w14:textId="77777777" w:rsidR="002A7E78" w:rsidRDefault="002A7E78" w:rsidP="002A7E78">
      <w:pPr>
        <w:pStyle w:val="Bullet1"/>
      </w:pPr>
      <w:r>
        <w:t>roll out its capability-focused procurement process improvement report;</w:t>
      </w:r>
    </w:p>
    <w:p w14:paraId="3B3101BD" w14:textId="77777777" w:rsidR="002A7E78" w:rsidRDefault="002A7E78" w:rsidP="002A7E78">
      <w:pPr>
        <w:pStyle w:val="Bullet1"/>
      </w:pPr>
      <w:r>
        <w:t xml:space="preserve">enhance its social procurement policy by implementing Victoria Police’s social </w:t>
      </w:r>
      <w:r w:rsidRPr="00760700">
        <w:t>procurement framework</w:t>
      </w:r>
      <w:r>
        <w:t>/strategy;</w:t>
      </w:r>
      <w:r w:rsidRPr="00B72FCE">
        <w:t xml:space="preserve"> </w:t>
      </w:r>
      <w:r>
        <w:t>and</w:t>
      </w:r>
    </w:p>
    <w:p w14:paraId="621C80A8" w14:textId="77777777" w:rsidR="002A7E78" w:rsidRPr="00B72FCE" w:rsidRDefault="002A7E78" w:rsidP="002A7E78">
      <w:pPr>
        <w:pStyle w:val="Bullet1"/>
      </w:pPr>
      <w:r w:rsidRPr="00B72FCE">
        <w:t xml:space="preserve">include social procurement priority areas in annual procurement plans and </w:t>
      </w:r>
      <w:r>
        <w:t xml:space="preserve">add </w:t>
      </w:r>
      <w:r w:rsidRPr="00B72FCE">
        <w:t xml:space="preserve">links and guidance on social procurement </w:t>
      </w:r>
      <w:r>
        <w:t>to</w:t>
      </w:r>
      <w:r w:rsidRPr="00B72FCE">
        <w:t xml:space="preserve"> </w:t>
      </w:r>
      <w:r>
        <w:t>invitation to supply</w:t>
      </w:r>
      <w:r w:rsidRPr="00B72FCE">
        <w:t xml:space="preserve"> documents. Depending on the scale</w:t>
      </w:r>
      <w:r>
        <w:t xml:space="preserve"> and </w:t>
      </w:r>
      <w:r w:rsidRPr="00B72FCE">
        <w:t>type of procurement, social procurement will also be incorporated into evaluation processes.</w:t>
      </w:r>
    </w:p>
    <w:p w14:paraId="53DFEADB" w14:textId="77777777" w:rsidR="00053802" w:rsidRPr="00053802" w:rsidRDefault="00053802" w:rsidP="00053802"/>
    <w:p w14:paraId="6BFC20EF" w14:textId="575DF8CC" w:rsidR="002A7E78" w:rsidRDefault="004A75CF" w:rsidP="002C5E39">
      <w:pPr>
        <w:pStyle w:val="Heading1NoNum"/>
      </w:pPr>
      <w:bookmarkStart w:id="242" w:name="_Toc524354092"/>
      <w:bookmarkEnd w:id="233"/>
      <w:r>
        <w:lastRenderedPageBreak/>
        <w:t>Appendix</w:t>
      </w:r>
      <w:bookmarkEnd w:id="242"/>
    </w:p>
    <w:p w14:paraId="447BAB6E" w14:textId="39BB92D1" w:rsidR="003F1D5C" w:rsidRDefault="00FA717B" w:rsidP="002A7E78">
      <w:pPr>
        <w:pStyle w:val="Heading2NoNum"/>
      </w:pPr>
      <w:bookmarkStart w:id="243" w:name="_Toc524354093"/>
      <w:r>
        <w:t>SEPC data breakdown</w:t>
      </w:r>
      <w:bookmarkEnd w:id="243"/>
      <w:r>
        <w:tab/>
      </w:r>
    </w:p>
    <w:p w14:paraId="56B5294B" w14:textId="2AEA1B13" w:rsidR="00CA76D2" w:rsidRPr="00CA76D2" w:rsidRDefault="005C4600" w:rsidP="00E41631">
      <w:pPr>
        <w:pStyle w:val="Normal1"/>
        <w:rPr>
          <w:lang w:eastAsia="en-US"/>
        </w:rPr>
      </w:pPr>
      <w:r>
        <w:rPr>
          <w:lang w:eastAsia="en-US"/>
        </w:rPr>
        <w:fldChar w:fldCharType="begin"/>
      </w:r>
      <w:r>
        <w:rPr>
          <w:lang w:eastAsia="en-US"/>
        </w:rPr>
        <w:instrText xml:space="preserve"> REF _Ref489277378 \h </w:instrText>
      </w:r>
      <w:r>
        <w:rPr>
          <w:lang w:eastAsia="en-US"/>
        </w:rPr>
      </w:r>
      <w:r>
        <w:rPr>
          <w:lang w:eastAsia="en-US"/>
        </w:rPr>
        <w:fldChar w:fldCharType="separate"/>
      </w:r>
      <w:r w:rsidR="00A07703" w:rsidRPr="00CD6245">
        <w:t xml:space="preserve">Table </w:t>
      </w:r>
      <w:r w:rsidR="00A07703">
        <w:rPr>
          <w:noProof/>
        </w:rPr>
        <w:t>46</w:t>
      </w:r>
      <w:r>
        <w:rPr>
          <w:lang w:eastAsia="en-US"/>
        </w:rPr>
        <w:fldChar w:fldCharType="end"/>
      </w:r>
      <w:r w:rsidR="00D250C9">
        <w:rPr>
          <w:lang w:eastAsia="en-US"/>
        </w:rPr>
        <w:t xml:space="preserve"> details the </w:t>
      </w:r>
      <w:r w:rsidR="00FE720E">
        <w:rPr>
          <w:lang w:eastAsia="en-US"/>
        </w:rPr>
        <w:t>36</w:t>
      </w:r>
      <w:r w:rsidR="00D250C9">
        <w:rPr>
          <w:lang w:eastAsia="en-US"/>
        </w:rPr>
        <w:t xml:space="preserve"> SEPC contracts approved in 2</w:t>
      </w:r>
      <w:r w:rsidR="008607AA">
        <w:rPr>
          <w:lang w:eastAsia="en-US"/>
        </w:rPr>
        <w:t>017–18</w:t>
      </w:r>
      <w:r w:rsidR="00D250C9">
        <w:rPr>
          <w:lang w:eastAsia="en-US"/>
        </w:rPr>
        <w:t>.</w:t>
      </w:r>
    </w:p>
    <w:p w14:paraId="6D05807B" w14:textId="5007C1C6" w:rsidR="00CA76D2" w:rsidRDefault="00CA76D2" w:rsidP="00CA76D2">
      <w:pPr>
        <w:pStyle w:val="Caption"/>
      </w:pPr>
      <w:bookmarkStart w:id="244" w:name="_Ref489277378"/>
      <w:bookmarkStart w:id="245" w:name="_Toc524354039"/>
      <w:r w:rsidRPr="00CD6245">
        <w:t xml:space="preserve">Table </w:t>
      </w:r>
      <w:r w:rsidR="002407F7">
        <w:rPr>
          <w:noProof/>
        </w:rPr>
        <w:fldChar w:fldCharType="begin"/>
      </w:r>
      <w:r w:rsidR="002407F7">
        <w:rPr>
          <w:noProof/>
        </w:rPr>
        <w:instrText xml:space="preserve"> SEQ Table \* ARABIC </w:instrText>
      </w:r>
      <w:r w:rsidR="002407F7">
        <w:rPr>
          <w:noProof/>
        </w:rPr>
        <w:fldChar w:fldCharType="separate"/>
      </w:r>
      <w:r w:rsidR="00A07703">
        <w:rPr>
          <w:noProof/>
        </w:rPr>
        <w:t>46</w:t>
      </w:r>
      <w:r w:rsidR="002407F7">
        <w:rPr>
          <w:noProof/>
        </w:rPr>
        <w:fldChar w:fldCharType="end"/>
      </w:r>
      <w:bookmarkEnd w:id="244"/>
      <w:r w:rsidRPr="00CD6245">
        <w:t xml:space="preserve">: Breakdown of SEPCs approved in </w:t>
      </w:r>
      <w:r>
        <w:t>201</w:t>
      </w:r>
      <w:r w:rsidR="008607AA">
        <w:t>7–18</w:t>
      </w:r>
      <w:bookmarkEnd w:id="245"/>
    </w:p>
    <w:tbl>
      <w:tblPr>
        <w:tblStyle w:val="PlainTable21"/>
        <w:tblW w:w="8982" w:type="dxa"/>
        <w:tblInd w:w="709" w:type="dxa"/>
        <w:tblLook w:val="04A0" w:firstRow="1" w:lastRow="0" w:firstColumn="1" w:lastColumn="0" w:noHBand="0" w:noVBand="1"/>
      </w:tblPr>
      <w:tblGrid>
        <w:gridCol w:w="1394"/>
        <w:gridCol w:w="513"/>
        <w:gridCol w:w="1671"/>
        <w:gridCol w:w="784"/>
        <w:gridCol w:w="675"/>
        <w:gridCol w:w="546"/>
        <w:gridCol w:w="1308"/>
        <w:gridCol w:w="725"/>
        <w:gridCol w:w="786"/>
        <w:gridCol w:w="580"/>
      </w:tblGrid>
      <w:tr w:rsidR="00200BCC" w:rsidRPr="005A30DA" w14:paraId="7153B95A" w14:textId="77777777" w:rsidTr="000B12BA">
        <w:trPr>
          <w:cnfStyle w:val="100000000000" w:firstRow="1" w:lastRow="0" w:firstColumn="0" w:lastColumn="0" w:oddVBand="0" w:evenVBand="0" w:oddHBand="0" w:evenHBand="0" w:firstRowFirstColumn="0" w:firstRowLastColumn="0" w:lastRowFirstColumn="0" w:lastRowLastColumn="0"/>
          <w:trHeight w:val="1483"/>
          <w:tblHeader/>
        </w:trPr>
        <w:tc>
          <w:tcPr>
            <w:cnfStyle w:val="001000000000" w:firstRow="0" w:lastRow="0" w:firstColumn="1" w:lastColumn="0" w:oddVBand="0" w:evenVBand="0" w:oddHBand="0" w:evenHBand="0" w:firstRowFirstColumn="0" w:firstRowLastColumn="0" w:lastRowFirstColumn="0" w:lastRowLastColumn="0"/>
            <w:tcW w:w="1394" w:type="dxa"/>
            <w:textDirection w:val="btLr"/>
          </w:tcPr>
          <w:p w14:paraId="071ED5B7" w14:textId="77777777" w:rsidR="00CA76D2" w:rsidRPr="005A30DA" w:rsidRDefault="00CA76D2" w:rsidP="00DD1BB1">
            <w:pPr>
              <w:pStyle w:val="TableText"/>
            </w:pPr>
            <w:r w:rsidRPr="005A30DA">
              <w:t>Organisation</w:t>
            </w:r>
          </w:p>
        </w:tc>
        <w:tc>
          <w:tcPr>
            <w:tcW w:w="513" w:type="dxa"/>
            <w:textDirection w:val="btLr"/>
          </w:tcPr>
          <w:p w14:paraId="44F977AA" w14:textId="77777777" w:rsidR="00CA76D2" w:rsidRPr="005A30DA" w:rsidRDefault="00CA76D2" w:rsidP="00DD1BB1">
            <w:pPr>
              <w:pStyle w:val="TableText"/>
              <w:cnfStyle w:val="100000000000" w:firstRow="1" w:lastRow="0" w:firstColumn="0" w:lastColumn="0" w:oddVBand="0" w:evenVBand="0" w:oddHBand="0" w:evenHBand="0" w:firstRowFirstColumn="0" w:firstRowLastColumn="0" w:lastRowFirstColumn="0" w:lastRowLastColumn="0"/>
            </w:pPr>
            <w:r>
              <w:t>Total number</w:t>
            </w:r>
          </w:p>
        </w:tc>
        <w:tc>
          <w:tcPr>
            <w:tcW w:w="1671" w:type="dxa"/>
            <w:textDirection w:val="btLr"/>
          </w:tcPr>
          <w:p w14:paraId="317098B7" w14:textId="77777777" w:rsidR="00CA76D2" w:rsidRPr="005A30DA" w:rsidRDefault="00CA76D2" w:rsidP="00DD1BB1">
            <w:pPr>
              <w:pStyle w:val="TableText"/>
              <w:cnfStyle w:val="100000000000" w:firstRow="1" w:lastRow="0" w:firstColumn="0" w:lastColumn="0" w:oddVBand="0" w:evenVBand="0" w:oddHBand="0" w:evenHBand="0" w:firstRowFirstColumn="0" w:firstRowLastColumn="0" w:lastRowFirstColumn="0" w:lastRowLastColumn="0"/>
            </w:pPr>
            <w:r>
              <w:t>Title/description</w:t>
            </w:r>
          </w:p>
        </w:tc>
        <w:tc>
          <w:tcPr>
            <w:tcW w:w="784" w:type="dxa"/>
            <w:textDirection w:val="btLr"/>
            <w:vAlign w:val="bottom"/>
          </w:tcPr>
          <w:p w14:paraId="479F63CB" w14:textId="106259AE" w:rsidR="00CA76D2" w:rsidRPr="005A30DA" w:rsidRDefault="00CA76D2" w:rsidP="000B12BA">
            <w:pPr>
              <w:pStyle w:val="TableText"/>
              <w:jc w:val="center"/>
              <w:cnfStyle w:val="100000000000" w:firstRow="1" w:lastRow="0" w:firstColumn="0" w:lastColumn="0" w:oddVBand="0" w:evenVBand="0" w:oddHBand="0" w:evenHBand="0" w:firstRowFirstColumn="0" w:firstRowLastColumn="0" w:lastRowFirstColumn="0" w:lastRowLastColumn="0"/>
            </w:pPr>
            <w:r>
              <w:t>Total estimated value</w:t>
            </w:r>
            <w:r w:rsidR="00547D3A">
              <w:t xml:space="preserve"> ($ million)</w:t>
            </w:r>
          </w:p>
        </w:tc>
        <w:tc>
          <w:tcPr>
            <w:tcW w:w="675" w:type="dxa"/>
            <w:textDirection w:val="btLr"/>
            <w:vAlign w:val="bottom"/>
          </w:tcPr>
          <w:p w14:paraId="48C44F3E" w14:textId="07E677ED" w:rsidR="00CA76D2" w:rsidRPr="005A30DA" w:rsidRDefault="00CA76D2" w:rsidP="000B12BA">
            <w:pPr>
              <w:pStyle w:val="TableText"/>
              <w:jc w:val="center"/>
              <w:cnfStyle w:val="100000000000" w:firstRow="1" w:lastRow="0" w:firstColumn="0" w:lastColumn="0" w:oddVBand="0" w:evenVBand="0" w:oddHBand="0" w:evenHBand="0" w:firstRowFirstColumn="0" w:firstRowLastColumn="0" w:lastRowFirstColumn="0" w:lastRowLastColumn="0"/>
            </w:pPr>
            <w:r>
              <w:t>Contract term (</w:t>
            </w:r>
            <w:r w:rsidR="005C1D18">
              <w:t>yrs</w:t>
            </w:r>
            <w:r>
              <w:t>)</w:t>
            </w:r>
          </w:p>
        </w:tc>
        <w:tc>
          <w:tcPr>
            <w:tcW w:w="546" w:type="dxa"/>
            <w:textDirection w:val="btLr"/>
            <w:vAlign w:val="bottom"/>
          </w:tcPr>
          <w:p w14:paraId="2E20D7F7" w14:textId="7A8CD579" w:rsidR="00CA76D2" w:rsidRPr="005A30DA" w:rsidRDefault="00CA76D2" w:rsidP="000B12BA">
            <w:pPr>
              <w:pStyle w:val="TableText"/>
              <w:jc w:val="center"/>
              <w:cnfStyle w:val="100000000000" w:firstRow="1" w:lastRow="0" w:firstColumn="0" w:lastColumn="0" w:oddVBand="0" w:evenVBand="0" w:oddHBand="0" w:evenHBand="0" w:firstRowFirstColumn="0" w:firstRowLastColumn="0" w:lastRowFirstColumn="0" w:lastRowLastColumn="0"/>
            </w:pPr>
            <w:r>
              <w:t>Options (</w:t>
            </w:r>
            <w:r w:rsidR="005C1D18">
              <w:t>yrs</w:t>
            </w:r>
            <w:r>
              <w:t>)</w:t>
            </w:r>
          </w:p>
        </w:tc>
        <w:tc>
          <w:tcPr>
            <w:tcW w:w="1308" w:type="dxa"/>
            <w:textDirection w:val="btLr"/>
          </w:tcPr>
          <w:p w14:paraId="3D09DB6C" w14:textId="77777777" w:rsidR="00CA76D2" w:rsidRPr="005A30DA" w:rsidRDefault="00CA76D2" w:rsidP="00DD1BB1">
            <w:pPr>
              <w:pStyle w:val="TableText"/>
              <w:cnfStyle w:val="100000000000" w:firstRow="1" w:lastRow="0" w:firstColumn="0" w:lastColumn="0" w:oddVBand="0" w:evenVBand="0" w:oddHBand="0" w:evenHBand="0" w:firstRowFirstColumn="0" w:firstRowLastColumn="0" w:lastRowFirstColumn="0" w:lastRowLastColumn="0"/>
            </w:pPr>
            <w:r>
              <w:t>Complexity assessment outcome</w:t>
            </w:r>
          </w:p>
        </w:tc>
        <w:tc>
          <w:tcPr>
            <w:tcW w:w="725" w:type="dxa"/>
            <w:textDirection w:val="btLr"/>
          </w:tcPr>
          <w:p w14:paraId="3E339D05" w14:textId="77777777" w:rsidR="00CA76D2" w:rsidRPr="005A30DA" w:rsidRDefault="00CA76D2" w:rsidP="00DD1BB1">
            <w:pPr>
              <w:pStyle w:val="TableText"/>
              <w:cnfStyle w:val="100000000000" w:firstRow="1" w:lastRow="0" w:firstColumn="0" w:lastColumn="0" w:oddVBand="0" w:evenVBand="0" w:oddHBand="0" w:evenHBand="0" w:firstRowFirstColumn="0" w:firstRowLastColumn="0" w:lastRowFirstColumn="0" w:lastRowLastColumn="0"/>
            </w:pPr>
            <w:r>
              <w:t>Market approach method</w:t>
            </w:r>
          </w:p>
        </w:tc>
        <w:tc>
          <w:tcPr>
            <w:tcW w:w="786" w:type="dxa"/>
            <w:textDirection w:val="btLr"/>
          </w:tcPr>
          <w:p w14:paraId="5D1B9A0A" w14:textId="77777777" w:rsidR="00CA76D2" w:rsidRPr="005A30DA" w:rsidRDefault="00CA76D2" w:rsidP="00DD1BB1">
            <w:pPr>
              <w:pStyle w:val="TableText"/>
              <w:cnfStyle w:val="100000000000" w:firstRow="1" w:lastRow="0" w:firstColumn="0" w:lastColumn="0" w:oddVBand="0" w:evenVBand="0" w:oddHBand="0" w:evenHBand="0" w:firstRowFirstColumn="0" w:firstRowLastColumn="0" w:lastRowFirstColumn="0" w:lastRowLastColumn="0"/>
            </w:pPr>
            <w:r>
              <w:t>Type of arrangement</w:t>
            </w:r>
          </w:p>
        </w:tc>
        <w:tc>
          <w:tcPr>
            <w:tcW w:w="580" w:type="dxa"/>
            <w:textDirection w:val="btLr"/>
            <w:vAlign w:val="bottom"/>
          </w:tcPr>
          <w:p w14:paraId="06F14794" w14:textId="77777777" w:rsidR="00CA76D2" w:rsidRPr="005A30DA" w:rsidRDefault="00CA76D2" w:rsidP="000B12BA">
            <w:pPr>
              <w:pStyle w:val="TableText"/>
              <w:jc w:val="center"/>
              <w:cnfStyle w:val="100000000000" w:firstRow="1" w:lastRow="0" w:firstColumn="0" w:lastColumn="0" w:oddVBand="0" w:evenVBand="0" w:oddHBand="0" w:evenHBand="0" w:firstRowFirstColumn="0" w:firstRowLastColumn="0" w:lastRowFirstColumn="0" w:lastRowLastColumn="0"/>
            </w:pPr>
            <w:r>
              <w:t>No. of suppliers</w:t>
            </w:r>
          </w:p>
        </w:tc>
      </w:tr>
      <w:tr w:rsidR="00200BCC" w14:paraId="7205954E" w14:textId="77777777" w:rsidTr="00200B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4" w:type="dxa"/>
            <w:vMerge w:val="restart"/>
          </w:tcPr>
          <w:p w14:paraId="33FAA190" w14:textId="78F74CD3" w:rsidR="00DD1BB1" w:rsidRPr="00200BCC" w:rsidRDefault="00200BCC" w:rsidP="00DD1BB1">
            <w:pPr>
              <w:pStyle w:val="TableText"/>
              <w:rPr>
                <w:b w:val="0"/>
              </w:rPr>
            </w:pPr>
            <w:r w:rsidRPr="00200BCC">
              <w:rPr>
                <w:b w:val="0"/>
              </w:rPr>
              <w:t xml:space="preserve">Department of </w:t>
            </w:r>
            <w:r w:rsidR="00DD1BB1" w:rsidRPr="00200BCC">
              <w:rPr>
                <w:b w:val="0"/>
              </w:rPr>
              <w:t xml:space="preserve">Environment, </w:t>
            </w:r>
            <w:r w:rsidR="00934CD4" w:rsidRPr="00200BCC">
              <w:rPr>
                <w:b w:val="0"/>
              </w:rPr>
              <w:t>L</w:t>
            </w:r>
            <w:r w:rsidR="00DD1BB1" w:rsidRPr="00200BCC">
              <w:rPr>
                <w:b w:val="0"/>
              </w:rPr>
              <w:t>and, Water and Planning</w:t>
            </w:r>
          </w:p>
        </w:tc>
        <w:tc>
          <w:tcPr>
            <w:tcW w:w="513" w:type="dxa"/>
            <w:vMerge w:val="restart"/>
          </w:tcPr>
          <w:p w14:paraId="3114F27F" w14:textId="0C2CB5BC" w:rsidR="00DD1BB1" w:rsidRDefault="00DD1BB1" w:rsidP="00934CD4">
            <w:pPr>
              <w:pStyle w:val="Tablenumbers"/>
              <w:cnfStyle w:val="000000100000" w:firstRow="0" w:lastRow="0" w:firstColumn="0" w:lastColumn="0" w:oddVBand="0" w:evenVBand="0" w:oddHBand="1" w:evenHBand="0" w:firstRowFirstColumn="0" w:firstRowLastColumn="0" w:lastRowFirstColumn="0" w:lastRowLastColumn="0"/>
            </w:pPr>
            <w:r>
              <w:t>14</w:t>
            </w:r>
          </w:p>
        </w:tc>
        <w:tc>
          <w:tcPr>
            <w:tcW w:w="1671" w:type="dxa"/>
          </w:tcPr>
          <w:p w14:paraId="0BA7BC2B" w14:textId="35793216" w:rsidR="00DD1BB1" w:rsidRDefault="00DD1BB1" w:rsidP="00DD1BB1">
            <w:pPr>
              <w:pStyle w:val="TableText"/>
              <w:cnfStyle w:val="000000100000" w:firstRow="0" w:lastRow="0" w:firstColumn="0" w:lastColumn="0" w:oddVBand="0" w:evenVBand="0" w:oddHBand="1" w:evenHBand="0" w:firstRowFirstColumn="0" w:firstRowLastColumn="0" w:lastRowFirstColumn="0" w:lastRowLastColumn="0"/>
            </w:pPr>
            <w:r>
              <w:t>Drip torches for firefighting activities</w:t>
            </w:r>
          </w:p>
        </w:tc>
        <w:tc>
          <w:tcPr>
            <w:tcW w:w="784" w:type="dxa"/>
          </w:tcPr>
          <w:p w14:paraId="3CEA82C8" w14:textId="7C13D241" w:rsidR="00DD1BB1" w:rsidRDefault="00DD1BB1" w:rsidP="00934CD4">
            <w:pPr>
              <w:pStyle w:val="Tablenumbers"/>
              <w:cnfStyle w:val="000000100000" w:firstRow="0" w:lastRow="0" w:firstColumn="0" w:lastColumn="0" w:oddVBand="0" w:evenVBand="0" w:oddHBand="1" w:evenHBand="0" w:firstRowFirstColumn="0" w:firstRowLastColumn="0" w:lastRowFirstColumn="0" w:lastRowLastColumn="0"/>
            </w:pPr>
            <w:r>
              <w:t>$0.1</w:t>
            </w:r>
          </w:p>
        </w:tc>
        <w:tc>
          <w:tcPr>
            <w:tcW w:w="675" w:type="dxa"/>
          </w:tcPr>
          <w:p w14:paraId="0BA7FF3D" w14:textId="1F760306" w:rsidR="00DD1BB1" w:rsidRDefault="00DD1BB1" w:rsidP="00934CD4">
            <w:pPr>
              <w:pStyle w:val="Tablenumbers"/>
              <w:cnfStyle w:val="000000100000" w:firstRow="0" w:lastRow="0" w:firstColumn="0" w:lastColumn="0" w:oddVBand="0" w:evenVBand="0" w:oddHBand="1" w:evenHBand="0" w:firstRowFirstColumn="0" w:firstRowLastColumn="0" w:lastRowFirstColumn="0" w:lastRowLastColumn="0"/>
            </w:pPr>
            <w:r>
              <w:t>1</w:t>
            </w:r>
          </w:p>
        </w:tc>
        <w:tc>
          <w:tcPr>
            <w:tcW w:w="546" w:type="dxa"/>
          </w:tcPr>
          <w:p w14:paraId="46F76CB3" w14:textId="10F78515" w:rsidR="00DD1BB1" w:rsidRDefault="00DD1BB1" w:rsidP="00934CD4">
            <w:pPr>
              <w:pStyle w:val="Tablenumbers"/>
              <w:cnfStyle w:val="000000100000" w:firstRow="0" w:lastRow="0" w:firstColumn="0" w:lastColumn="0" w:oddVBand="0" w:evenVBand="0" w:oddHBand="1" w:evenHBand="0" w:firstRowFirstColumn="0" w:firstRowLastColumn="0" w:lastRowFirstColumn="0" w:lastRowLastColumn="0"/>
            </w:pPr>
            <w:r>
              <w:t>.. </w:t>
            </w:r>
          </w:p>
        </w:tc>
        <w:tc>
          <w:tcPr>
            <w:tcW w:w="1308" w:type="dxa"/>
          </w:tcPr>
          <w:p w14:paraId="1D11E8F2" w14:textId="2673D69F" w:rsidR="00DD1BB1" w:rsidRDefault="00DD1BB1" w:rsidP="00DD1BB1">
            <w:pPr>
              <w:pStyle w:val="TableText"/>
              <w:cnfStyle w:val="000000100000" w:firstRow="0" w:lastRow="0" w:firstColumn="0" w:lastColumn="0" w:oddVBand="0" w:evenVBand="0" w:oddHBand="1" w:evenHBand="0" w:firstRowFirstColumn="0" w:firstRowLastColumn="0" w:lastRowFirstColumn="0" w:lastRowLastColumn="0"/>
            </w:pPr>
            <w:r>
              <w:t>Leveraged</w:t>
            </w:r>
          </w:p>
        </w:tc>
        <w:tc>
          <w:tcPr>
            <w:tcW w:w="725" w:type="dxa"/>
          </w:tcPr>
          <w:p w14:paraId="53223E31" w14:textId="53C34368" w:rsidR="00DD1BB1" w:rsidRDefault="00DD1BB1" w:rsidP="00DD1BB1">
            <w:pPr>
              <w:pStyle w:val="TableText"/>
              <w:cnfStyle w:val="000000100000" w:firstRow="0" w:lastRow="0" w:firstColumn="0" w:lastColumn="0" w:oddVBand="0" w:evenVBand="0" w:oddHBand="1" w:evenHBand="0" w:firstRowFirstColumn="0" w:firstRowLastColumn="0" w:lastRowFirstColumn="0" w:lastRowLastColumn="0"/>
            </w:pPr>
            <w:r>
              <w:t xml:space="preserve">RFQ </w:t>
            </w:r>
          </w:p>
        </w:tc>
        <w:tc>
          <w:tcPr>
            <w:tcW w:w="786" w:type="dxa"/>
          </w:tcPr>
          <w:p w14:paraId="63B8B311" w14:textId="54A4E4FF" w:rsidR="00DD1BB1" w:rsidRDefault="00DD1BB1" w:rsidP="00DD1BB1">
            <w:pPr>
              <w:pStyle w:val="TableText"/>
              <w:cnfStyle w:val="000000100000" w:firstRow="0" w:lastRow="0" w:firstColumn="0" w:lastColumn="0" w:oddVBand="0" w:evenVBand="0" w:oddHBand="1" w:evenHBand="0" w:firstRowFirstColumn="0" w:firstRowLastColumn="0" w:lastRowFirstColumn="0" w:lastRowLastColumn="0"/>
            </w:pPr>
            <w:r>
              <w:t>Closed</w:t>
            </w:r>
          </w:p>
        </w:tc>
        <w:tc>
          <w:tcPr>
            <w:tcW w:w="580" w:type="dxa"/>
          </w:tcPr>
          <w:p w14:paraId="3FBA8824" w14:textId="797CCAD9" w:rsidR="00DD1BB1" w:rsidRDefault="00DD1BB1" w:rsidP="00934CD4">
            <w:pPr>
              <w:pStyle w:val="Tablenumbers"/>
              <w:cnfStyle w:val="000000100000" w:firstRow="0" w:lastRow="0" w:firstColumn="0" w:lastColumn="0" w:oddVBand="0" w:evenVBand="0" w:oddHBand="1" w:evenHBand="0" w:firstRowFirstColumn="0" w:firstRowLastColumn="0" w:lastRowFirstColumn="0" w:lastRowLastColumn="0"/>
            </w:pPr>
            <w:r>
              <w:t>2</w:t>
            </w:r>
          </w:p>
        </w:tc>
      </w:tr>
      <w:tr w:rsidR="00200BCC" w14:paraId="36CCAA67" w14:textId="77777777" w:rsidTr="00200BCC">
        <w:tc>
          <w:tcPr>
            <w:cnfStyle w:val="001000000000" w:firstRow="0" w:lastRow="0" w:firstColumn="1" w:lastColumn="0" w:oddVBand="0" w:evenVBand="0" w:oddHBand="0" w:evenHBand="0" w:firstRowFirstColumn="0" w:firstRowLastColumn="0" w:lastRowFirstColumn="0" w:lastRowLastColumn="0"/>
            <w:tcW w:w="1394" w:type="dxa"/>
            <w:vMerge/>
          </w:tcPr>
          <w:p w14:paraId="2D5720B1" w14:textId="77777777" w:rsidR="00DD1BB1" w:rsidRPr="00E3492C" w:rsidRDefault="00DD1BB1" w:rsidP="00DD1BB1">
            <w:pPr>
              <w:pStyle w:val="TableText"/>
            </w:pPr>
          </w:p>
        </w:tc>
        <w:tc>
          <w:tcPr>
            <w:tcW w:w="513" w:type="dxa"/>
            <w:vMerge/>
          </w:tcPr>
          <w:p w14:paraId="028DF6ED" w14:textId="77777777" w:rsidR="00DD1BB1" w:rsidRDefault="00DD1BB1" w:rsidP="00934CD4">
            <w:pPr>
              <w:pStyle w:val="Tablenumbers"/>
              <w:cnfStyle w:val="000000000000" w:firstRow="0" w:lastRow="0" w:firstColumn="0" w:lastColumn="0" w:oddVBand="0" w:evenVBand="0" w:oddHBand="0" w:evenHBand="0" w:firstRowFirstColumn="0" w:firstRowLastColumn="0" w:lastRowFirstColumn="0" w:lastRowLastColumn="0"/>
            </w:pPr>
          </w:p>
        </w:tc>
        <w:tc>
          <w:tcPr>
            <w:tcW w:w="1671" w:type="dxa"/>
          </w:tcPr>
          <w:p w14:paraId="1B46A6A9" w14:textId="437EEBAE" w:rsidR="00DD1BB1" w:rsidRDefault="00DD1BB1" w:rsidP="00DD1BB1">
            <w:pPr>
              <w:pStyle w:val="TableText"/>
              <w:cnfStyle w:val="000000000000" w:firstRow="0" w:lastRow="0" w:firstColumn="0" w:lastColumn="0" w:oddVBand="0" w:evenVBand="0" w:oddHBand="0" w:evenHBand="0" w:firstRowFirstColumn="0" w:firstRowLastColumn="0" w:lastRowFirstColumn="0" w:lastRowLastColumn="0"/>
            </w:pPr>
            <w:r>
              <w:t>Headlamps for DELWP firefighters and ground support crews</w:t>
            </w:r>
          </w:p>
        </w:tc>
        <w:tc>
          <w:tcPr>
            <w:tcW w:w="784" w:type="dxa"/>
          </w:tcPr>
          <w:p w14:paraId="00745C98" w14:textId="77244DFF" w:rsidR="00DD1BB1" w:rsidRDefault="00DD1BB1" w:rsidP="00934CD4">
            <w:pPr>
              <w:pStyle w:val="Tablenumbers"/>
              <w:cnfStyle w:val="000000000000" w:firstRow="0" w:lastRow="0" w:firstColumn="0" w:lastColumn="0" w:oddVBand="0" w:evenVBand="0" w:oddHBand="0" w:evenHBand="0" w:firstRowFirstColumn="0" w:firstRowLastColumn="0" w:lastRowFirstColumn="0" w:lastRowLastColumn="0"/>
            </w:pPr>
            <w:r>
              <w:t>$0.1</w:t>
            </w:r>
          </w:p>
        </w:tc>
        <w:tc>
          <w:tcPr>
            <w:tcW w:w="675" w:type="dxa"/>
          </w:tcPr>
          <w:p w14:paraId="0B10EA5F" w14:textId="46D11D08" w:rsidR="00DD1BB1" w:rsidRDefault="00DD1BB1" w:rsidP="00934CD4">
            <w:pPr>
              <w:pStyle w:val="Tablenumbers"/>
              <w:cnfStyle w:val="000000000000" w:firstRow="0" w:lastRow="0" w:firstColumn="0" w:lastColumn="0" w:oddVBand="0" w:evenVBand="0" w:oddHBand="0" w:evenHBand="0" w:firstRowFirstColumn="0" w:firstRowLastColumn="0" w:lastRowFirstColumn="0" w:lastRowLastColumn="0"/>
            </w:pPr>
            <w:r>
              <w:t>1</w:t>
            </w:r>
          </w:p>
        </w:tc>
        <w:tc>
          <w:tcPr>
            <w:tcW w:w="546" w:type="dxa"/>
          </w:tcPr>
          <w:p w14:paraId="22FBE601" w14:textId="14CD7CC4" w:rsidR="00DD1BB1" w:rsidRDefault="00DD1BB1" w:rsidP="00934CD4">
            <w:pPr>
              <w:pStyle w:val="Tablenumbers"/>
              <w:cnfStyle w:val="000000000000" w:firstRow="0" w:lastRow="0" w:firstColumn="0" w:lastColumn="0" w:oddVBand="0" w:evenVBand="0" w:oddHBand="0" w:evenHBand="0" w:firstRowFirstColumn="0" w:firstRowLastColumn="0" w:lastRowFirstColumn="0" w:lastRowLastColumn="0"/>
            </w:pPr>
            <w:r>
              <w:t>.. </w:t>
            </w:r>
          </w:p>
        </w:tc>
        <w:tc>
          <w:tcPr>
            <w:tcW w:w="1308" w:type="dxa"/>
          </w:tcPr>
          <w:p w14:paraId="34B368C7" w14:textId="4469FA6B" w:rsidR="00DD1BB1" w:rsidRDefault="00DD1BB1" w:rsidP="00DD1BB1">
            <w:pPr>
              <w:pStyle w:val="TableText"/>
              <w:cnfStyle w:val="000000000000" w:firstRow="0" w:lastRow="0" w:firstColumn="0" w:lastColumn="0" w:oddVBand="0" w:evenVBand="0" w:oddHBand="0" w:evenHBand="0" w:firstRowFirstColumn="0" w:firstRowLastColumn="0" w:lastRowFirstColumn="0" w:lastRowLastColumn="0"/>
            </w:pPr>
            <w:r>
              <w:t>Transactional</w:t>
            </w:r>
          </w:p>
        </w:tc>
        <w:tc>
          <w:tcPr>
            <w:tcW w:w="725" w:type="dxa"/>
          </w:tcPr>
          <w:p w14:paraId="61C76329" w14:textId="6C057FE7" w:rsidR="00DD1BB1" w:rsidRDefault="00DD1BB1" w:rsidP="00DD1BB1">
            <w:pPr>
              <w:pStyle w:val="TableText"/>
              <w:cnfStyle w:val="000000000000" w:firstRow="0" w:lastRow="0" w:firstColumn="0" w:lastColumn="0" w:oddVBand="0" w:evenVBand="0" w:oddHBand="0" w:evenHBand="0" w:firstRowFirstColumn="0" w:firstRowLastColumn="0" w:lastRowFirstColumn="0" w:lastRowLastColumn="0"/>
            </w:pPr>
            <w:r>
              <w:t>RFQ</w:t>
            </w:r>
          </w:p>
        </w:tc>
        <w:tc>
          <w:tcPr>
            <w:tcW w:w="786" w:type="dxa"/>
          </w:tcPr>
          <w:p w14:paraId="3933FB51" w14:textId="63043DE2" w:rsidR="00DD1BB1" w:rsidRDefault="00DD1BB1" w:rsidP="00DD1BB1">
            <w:pPr>
              <w:pStyle w:val="TableText"/>
              <w:cnfStyle w:val="000000000000" w:firstRow="0" w:lastRow="0" w:firstColumn="0" w:lastColumn="0" w:oddVBand="0" w:evenVBand="0" w:oddHBand="0" w:evenHBand="0" w:firstRowFirstColumn="0" w:firstRowLastColumn="0" w:lastRowFirstColumn="0" w:lastRowLastColumn="0"/>
            </w:pPr>
            <w:r>
              <w:t>Closed</w:t>
            </w:r>
          </w:p>
        </w:tc>
        <w:tc>
          <w:tcPr>
            <w:tcW w:w="580" w:type="dxa"/>
          </w:tcPr>
          <w:p w14:paraId="1A3D254D" w14:textId="2B058988" w:rsidR="00DD1BB1" w:rsidRDefault="00DD1BB1" w:rsidP="00934CD4">
            <w:pPr>
              <w:pStyle w:val="Tablenumbers"/>
              <w:cnfStyle w:val="000000000000" w:firstRow="0" w:lastRow="0" w:firstColumn="0" w:lastColumn="0" w:oddVBand="0" w:evenVBand="0" w:oddHBand="0" w:evenHBand="0" w:firstRowFirstColumn="0" w:firstRowLastColumn="0" w:lastRowFirstColumn="0" w:lastRowLastColumn="0"/>
            </w:pPr>
            <w:r>
              <w:t>1</w:t>
            </w:r>
          </w:p>
        </w:tc>
      </w:tr>
      <w:tr w:rsidR="00200BCC" w14:paraId="5E3F8669" w14:textId="77777777" w:rsidTr="00200B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4" w:type="dxa"/>
            <w:vMerge/>
          </w:tcPr>
          <w:p w14:paraId="0E0F1DF5" w14:textId="77777777" w:rsidR="00DD1BB1" w:rsidRPr="00E3492C" w:rsidRDefault="00DD1BB1" w:rsidP="00DD1BB1">
            <w:pPr>
              <w:pStyle w:val="TableText"/>
            </w:pPr>
          </w:p>
        </w:tc>
        <w:tc>
          <w:tcPr>
            <w:tcW w:w="513" w:type="dxa"/>
            <w:vMerge/>
          </w:tcPr>
          <w:p w14:paraId="74FD0B14" w14:textId="77777777" w:rsidR="00DD1BB1" w:rsidRDefault="00DD1BB1" w:rsidP="00934CD4">
            <w:pPr>
              <w:pStyle w:val="Tablenumbers"/>
              <w:cnfStyle w:val="000000100000" w:firstRow="0" w:lastRow="0" w:firstColumn="0" w:lastColumn="0" w:oddVBand="0" w:evenVBand="0" w:oddHBand="1" w:evenHBand="0" w:firstRowFirstColumn="0" w:firstRowLastColumn="0" w:lastRowFirstColumn="0" w:lastRowLastColumn="0"/>
            </w:pPr>
          </w:p>
        </w:tc>
        <w:tc>
          <w:tcPr>
            <w:tcW w:w="1671" w:type="dxa"/>
          </w:tcPr>
          <w:p w14:paraId="2A9EFE9F" w14:textId="0E79FD7A" w:rsidR="00DD1BB1" w:rsidRDefault="00DD1BB1" w:rsidP="00DD1BB1">
            <w:pPr>
              <w:pStyle w:val="TableText"/>
              <w:cnfStyle w:val="000000100000" w:firstRow="0" w:lastRow="0" w:firstColumn="0" w:lastColumn="0" w:oddVBand="0" w:evenVBand="0" w:oddHBand="1" w:evenHBand="0" w:firstRowFirstColumn="0" w:firstRowLastColumn="0" w:lastRowFirstColumn="0" w:lastRowLastColumn="0"/>
            </w:pPr>
            <w:r>
              <w:t>Vehicle recovery kits and equipment</w:t>
            </w:r>
          </w:p>
        </w:tc>
        <w:tc>
          <w:tcPr>
            <w:tcW w:w="784" w:type="dxa"/>
          </w:tcPr>
          <w:p w14:paraId="309AD315" w14:textId="78FDE757" w:rsidR="00DD1BB1" w:rsidRDefault="00DD1BB1" w:rsidP="00934CD4">
            <w:pPr>
              <w:pStyle w:val="Tablenumbers"/>
              <w:cnfStyle w:val="000000100000" w:firstRow="0" w:lastRow="0" w:firstColumn="0" w:lastColumn="0" w:oddVBand="0" w:evenVBand="0" w:oddHBand="1" w:evenHBand="0" w:firstRowFirstColumn="0" w:firstRowLastColumn="0" w:lastRowFirstColumn="0" w:lastRowLastColumn="0"/>
            </w:pPr>
            <w:r>
              <w:t>$0.1</w:t>
            </w:r>
          </w:p>
        </w:tc>
        <w:tc>
          <w:tcPr>
            <w:tcW w:w="675" w:type="dxa"/>
          </w:tcPr>
          <w:p w14:paraId="3EA0A4BF" w14:textId="3FA0F362" w:rsidR="00DD1BB1" w:rsidRDefault="00DD1BB1" w:rsidP="00934CD4">
            <w:pPr>
              <w:pStyle w:val="Tablenumbers"/>
              <w:cnfStyle w:val="000000100000" w:firstRow="0" w:lastRow="0" w:firstColumn="0" w:lastColumn="0" w:oddVBand="0" w:evenVBand="0" w:oddHBand="1" w:evenHBand="0" w:firstRowFirstColumn="0" w:firstRowLastColumn="0" w:lastRowFirstColumn="0" w:lastRowLastColumn="0"/>
            </w:pPr>
            <w:r>
              <w:t>3</w:t>
            </w:r>
          </w:p>
        </w:tc>
        <w:tc>
          <w:tcPr>
            <w:tcW w:w="546" w:type="dxa"/>
          </w:tcPr>
          <w:p w14:paraId="33DCFE3E" w14:textId="3591AD2A" w:rsidR="00DD1BB1" w:rsidRDefault="00DD1BB1" w:rsidP="00934CD4">
            <w:pPr>
              <w:pStyle w:val="Tablenumbers"/>
              <w:cnfStyle w:val="000000100000" w:firstRow="0" w:lastRow="0" w:firstColumn="0" w:lastColumn="0" w:oddVBand="0" w:evenVBand="0" w:oddHBand="1" w:evenHBand="0" w:firstRowFirstColumn="0" w:firstRowLastColumn="0" w:lastRowFirstColumn="0" w:lastRowLastColumn="0"/>
            </w:pPr>
            <w:r>
              <w:t>..</w:t>
            </w:r>
          </w:p>
        </w:tc>
        <w:tc>
          <w:tcPr>
            <w:tcW w:w="1308" w:type="dxa"/>
          </w:tcPr>
          <w:p w14:paraId="4012559C" w14:textId="371C5142" w:rsidR="00DD1BB1" w:rsidRDefault="00DD1BB1" w:rsidP="00DD1BB1">
            <w:pPr>
              <w:pStyle w:val="TableText"/>
              <w:cnfStyle w:val="000000100000" w:firstRow="0" w:lastRow="0" w:firstColumn="0" w:lastColumn="0" w:oddVBand="0" w:evenVBand="0" w:oddHBand="1" w:evenHBand="0" w:firstRowFirstColumn="0" w:firstRowLastColumn="0" w:lastRowFirstColumn="0" w:lastRowLastColumn="0"/>
            </w:pPr>
            <w:r>
              <w:t>Leveraged</w:t>
            </w:r>
          </w:p>
        </w:tc>
        <w:tc>
          <w:tcPr>
            <w:tcW w:w="725" w:type="dxa"/>
          </w:tcPr>
          <w:p w14:paraId="1A6B0748" w14:textId="3C2432F2" w:rsidR="00DD1BB1" w:rsidRDefault="00DD1BB1" w:rsidP="00DD1BB1">
            <w:pPr>
              <w:pStyle w:val="TableText"/>
              <w:cnfStyle w:val="000000100000" w:firstRow="0" w:lastRow="0" w:firstColumn="0" w:lastColumn="0" w:oddVBand="0" w:evenVBand="0" w:oddHBand="1" w:evenHBand="0" w:firstRowFirstColumn="0" w:firstRowLastColumn="0" w:lastRowFirstColumn="0" w:lastRowLastColumn="0"/>
            </w:pPr>
            <w:r>
              <w:t xml:space="preserve">RFQ </w:t>
            </w:r>
          </w:p>
        </w:tc>
        <w:tc>
          <w:tcPr>
            <w:tcW w:w="786" w:type="dxa"/>
          </w:tcPr>
          <w:p w14:paraId="1703252F" w14:textId="4CD88D69" w:rsidR="00DD1BB1" w:rsidRDefault="00DD1BB1" w:rsidP="00DD1BB1">
            <w:pPr>
              <w:pStyle w:val="TableText"/>
              <w:cnfStyle w:val="000000100000" w:firstRow="0" w:lastRow="0" w:firstColumn="0" w:lastColumn="0" w:oddVBand="0" w:evenVBand="0" w:oddHBand="1" w:evenHBand="0" w:firstRowFirstColumn="0" w:firstRowLastColumn="0" w:lastRowFirstColumn="0" w:lastRowLastColumn="0"/>
            </w:pPr>
            <w:r>
              <w:t>Closed</w:t>
            </w:r>
          </w:p>
        </w:tc>
        <w:tc>
          <w:tcPr>
            <w:tcW w:w="580" w:type="dxa"/>
          </w:tcPr>
          <w:p w14:paraId="6EB62F3F" w14:textId="0D41A56C" w:rsidR="00DD1BB1" w:rsidRDefault="00DD1BB1" w:rsidP="00934CD4">
            <w:pPr>
              <w:pStyle w:val="Tablenumbers"/>
              <w:cnfStyle w:val="000000100000" w:firstRow="0" w:lastRow="0" w:firstColumn="0" w:lastColumn="0" w:oddVBand="0" w:evenVBand="0" w:oddHBand="1" w:evenHBand="0" w:firstRowFirstColumn="0" w:firstRowLastColumn="0" w:lastRowFirstColumn="0" w:lastRowLastColumn="0"/>
            </w:pPr>
            <w:r>
              <w:t>2</w:t>
            </w:r>
          </w:p>
        </w:tc>
      </w:tr>
      <w:tr w:rsidR="00200BCC" w14:paraId="7277192E" w14:textId="77777777" w:rsidTr="00200BCC">
        <w:tc>
          <w:tcPr>
            <w:cnfStyle w:val="001000000000" w:firstRow="0" w:lastRow="0" w:firstColumn="1" w:lastColumn="0" w:oddVBand="0" w:evenVBand="0" w:oddHBand="0" w:evenHBand="0" w:firstRowFirstColumn="0" w:firstRowLastColumn="0" w:lastRowFirstColumn="0" w:lastRowLastColumn="0"/>
            <w:tcW w:w="1394" w:type="dxa"/>
            <w:vMerge/>
          </w:tcPr>
          <w:p w14:paraId="1D9D2FE1" w14:textId="77777777" w:rsidR="00DD1BB1" w:rsidRPr="00E3492C" w:rsidRDefault="00DD1BB1" w:rsidP="00DD1BB1">
            <w:pPr>
              <w:pStyle w:val="TableText"/>
            </w:pPr>
          </w:p>
        </w:tc>
        <w:tc>
          <w:tcPr>
            <w:tcW w:w="513" w:type="dxa"/>
            <w:vMerge/>
          </w:tcPr>
          <w:p w14:paraId="32428DF3" w14:textId="77777777" w:rsidR="00DD1BB1" w:rsidRDefault="00DD1BB1" w:rsidP="00934CD4">
            <w:pPr>
              <w:pStyle w:val="Tablenumbers"/>
              <w:cnfStyle w:val="000000000000" w:firstRow="0" w:lastRow="0" w:firstColumn="0" w:lastColumn="0" w:oddVBand="0" w:evenVBand="0" w:oddHBand="0" w:evenHBand="0" w:firstRowFirstColumn="0" w:firstRowLastColumn="0" w:lastRowFirstColumn="0" w:lastRowLastColumn="0"/>
            </w:pPr>
          </w:p>
        </w:tc>
        <w:tc>
          <w:tcPr>
            <w:tcW w:w="1671" w:type="dxa"/>
          </w:tcPr>
          <w:p w14:paraId="3E4C7A7F" w14:textId="2A73DD87" w:rsidR="00DD1BB1" w:rsidRDefault="00DD1BB1" w:rsidP="00DD1BB1">
            <w:pPr>
              <w:pStyle w:val="TableText"/>
              <w:cnfStyle w:val="000000000000" w:firstRow="0" w:lastRow="0" w:firstColumn="0" w:lastColumn="0" w:oddVBand="0" w:evenVBand="0" w:oddHBand="0" w:evenHBand="0" w:firstRowFirstColumn="0" w:firstRowLastColumn="0" w:lastRowFirstColumn="0" w:lastRowLastColumn="0"/>
            </w:pPr>
            <w:r>
              <w:t>Tents</w:t>
            </w:r>
          </w:p>
        </w:tc>
        <w:tc>
          <w:tcPr>
            <w:tcW w:w="784" w:type="dxa"/>
          </w:tcPr>
          <w:p w14:paraId="17041E19" w14:textId="3A064DD9" w:rsidR="00DD1BB1" w:rsidRDefault="00DD1BB1" w:rsidP="00934CD4">
            <w:pPr>
              <w:pStyle w:val="Tablenumbers"/>
              <w:cnfStyle w:val="000000000000" w:firstRow="0" w:lastRow="0" w:firstColumn="0" w:lastColumn="0" w:oddVBand="0" w:evenVBand="0" w:oddHBand="0" w:evenHBand="0" w:firstRowFirstColumn="0" w:firstRowLastColumn="0" w:lastRowFirstColumn="0" w:lastRowLastColumn="0"/>
            </w:pPr>
            <w:r>
              <w:t>$0.1</w:t>
            </w:r>
          </w:p>
        </w:tc>
        <w:tc>
          <w:tcPr>
            <w:tcW w:w="675" w:type="dxa"/>
          </w:tcPr>
          <w:p w14:paraId="14037542" w14:textId="1EE55474" w:rsidR="00DD1BB1" w:rsidRDefault="00DD1BB1" w:rsidP="00934CD4">
            <w:pPr>
              <w:pStyle w:val="Tablenumbers"/>
              <w:cnfStyle w:val="000000000000" w:firstRow="0" w:lastRow="0" w:firstColumn="0" w:lastColumn="0" w:oddVBand="0" w:evenVBand="0" w:oddHBand="0" w:evenHBand="0" w:firstRowFirstColumn="0" w:firstRowLastColumn="0" w:lastRowFirstColumn="0" w:lastRowLastColumn="0"/>
            </w:pPr>
            <w:r>
              <w:t>1</w:t>
            </w:r>
          </w:p>
        </w:tc>
        <w:tc>
          <w:tcPr>
            <w:tcW w:w="546" w:type="dxa"/>
          </w:tcPr>
          <w:p w14:paraId="63B62616" w14:textId="30AD00CC" w:rsidR="00DD1BB1" w:rsidRDefault="00DD1BB1" w:rsidP="00934CD4">
            <w:pPr>
              <w:pStyle w:val="Tablenumbers"/>
              <w:cnfStyle w:val="000000000000" w:firstRow="0" w:lastRow="0" w:firstColumn="0" w:lastColumn="0" w:oddVBand="0" w:evenVBand="0" w:oddHBand="0" w:evenHBand="0" w:firstRowFirstColumn="0" w:firstRowLastColumn="0" w:lastRowFirstColumn="0" w:lastRowLastColumn="0"/>
            </w:pPr>
            <w:r>
              <w:t>..</w:t>
            </w:r>
          </w:p>
        </w:tc>
        <w:tc>
          <w:tcPr>
            <w:tcW w:w="1308" w:type="dxa"/>
          </w:tcPr>
          <w:p w14:paraId="5DE01446" w14:textId="6D7CF17E" w:rsidR="00DD1BB1" w:rsidRDefault="00DD1BB1" w:rsidP="00DD1BB1">
            <w:pPr>
              <w:pStyle w:val="TableText"/>
              <w:cnfStyle w:val="000000000000" w:firstRow="0" w:lastRow="0" w:firstColumn="0" w:lastColumn="0" w:oddVBand="0" w:evenVBand="0" w:oddHBand="0" w:evenHBand="0" w:firstRowFirstColumn="0" w:firstRowLastColumn="0" w:lastRowFirstColumn="0" w:lastRowLastColumn="0"/>
            </w:pPr>
            <w:r>
              <w:t>Transactional</w:t>
            </w:r>
          </w:p>
        </w:tc>
        <w:tc>
          <w:tcPr>
            <w:tcW w:w="725" w:type="dxa"/>
          </w:tcPr>
          <w:p w14:paraId="7876AC0D" w14:textId="665A9572" w:rsidR="00DD1BB1" w:rsidRDefault="00DD1BB1" w:rsidP="00DD1BB1">
            <w:pPr>
              <w:pStyle w:val="TableText"/>
              <w:cnfStyle w:val="000000000000" w:firstRow="0" w:lastRow="0" w:firstColumn="0" w:lastColumn="0" w:oddVBand="0" w:evenVBand="0" w:oddHBand="0" w:evenHBand="0" w:firstRowFirstColumn="0" w:firstRowLastColumn="0" w:lastRowFirstColumn="0" w:lastRowLastColumn="0"/>
            </w:pPr>
            <w:r>
              <w:t xml:space="preserve">RFQ </w:t>
            </w:r>
          </w:p>
        </w:tc>
        <w:tc>
          <w:tcPr>
            <w:tcW w:w="786" w:type="dxa"/>
          </w:tcPr>
          <w:p w14:paraId="7BB35AC4" w14:textId="1E9B4B26" w:rsidR="00DD1BB1" w:rsidRDefault="00DD1BB1" w:rsidP="00DD1BB1">
            <w:pPr>
              <w:pStyle w:val="TableText"/>
              <w:cnfStyle w:val="000000000000" w:firstRow="0" w:lastRow="0" w:firstColumn="0" w:lastColumn="0" w:oddVBand="0" w:evenVBand="0" w:oddHBand="0" w:evenHBand="0" w:firstRowFirstColumn="0" w:firstRowLastColumn="0" w:lastRowFirstColumn="0" w:lastRowLastColumn="0"/>
            </w:pPr>
            <w:r>
              <w:t>Closed</w:t>
            </w:r>
          </w:p>
        </w:tc>
        <w:tc>
          <w:tcPr>
            <w:tcW w:w="580" w:type="dxa"/>
          </w:tcPr>
          <w:p w14:paraId="2AAE0EB6" w14:textId="7DCB3242" w:rsidR="00DD1BB1" w:rsidRDefault="00DD1BB1" w:rsidP="00934CD4">
            <w:pPr>
              <w:pStyle w:val="Tablenumbers"/>
              <w:cnfStyle w:val="000000000000" w:firstRow="0" w:lastRow="0" w:firstColumn="0" w:lastColumn="0" w:oddVBand="0" w:evenVBand="0" w:oddHBand="0" w:evenHBand="0" w:firstRowFirstColumn="0" w:firstRowLastColumn="0" w:lastRowFirstColumn="0" w:lastRowLastColumn="0"/>
            </w:pPr>
            <w:r>
              <w:t>1</w:t>
            </w:r>
          </w:p>
        </w:tc>
      </w:tr>
      <w:tr w:rsidR="00200BCC" w14:paraId="3005CCD8" w14:textId="77777777" w:rsidTr="00200B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4" w:type="dxa"/>
            <w:vMerge/>
          </w:tcPr>
          <w:p w14:paraId="6DEDF3DE" w14:textId="77777777" w:rsidR="00DD1BB1" w:rsidRPr="00E3492C" w:rsidRDefault="00DD1BB1" w:rsidP="00DD1BB1">
            <w:pPr>
              <w:pStyle w:val="TableText"/>
            </w:pPr>
          </w:p>
        </w:tc>
        <w:tc>
          <w:tcPr>
            <w:tcW w:w="513" w:type="dxa"/>
            <w:vMerge/>
          </w:tcPr>
          <w:p w14:paraId="5CB18FBF" w14:textId="77777777" w:rsidR="00DD1BB1" w:rsidRDefault="00DD1BB1" w:rsidP="00934CD4">
            <w:pPr>
              <w:pStyle w:val="Tablenumbers"/>
              <w:cnfStyle w:val="000000100000" w:firstRow="0" w:lastRow="0" w:firstColumn="0" w:lastColumn="0" w:oddVBand="0" w:evenVBand="0" w:oddHBand="1" w:evenHBand="0" w:firstRowFirstColumn="0" w:firstRowLastColumn="0" w:lastRowFirstColumn="0" w:lastRowLastColumn="0"/>
            </w:pPr>
          </w:p>
        </w:tc>
        <w:tc>
          <w:tcPr>
            <w:tcW w:w="1671" w:type="dxa"/>
          </w:tcPr>
          <w:p w14:paraId="22E47538" w14:textId="2B70C0C5" w:rsidR="00DD1BB1" w:rsidRDefault="00DD1BB1" w:rsidP="00DD1BB1">
            <w:pPr>
              <w:pStyle w:val="TableText"/>
              <w:cnfStyle w:val="000000100000" w:firstRow="0" w:lastRow="0" w:firstColumn="0" w:lastColumn="0" w:oddVBand="0" w:evenVBand="0" w:oddHBand="1" w:evenHBand="0" w:firstRowFirstColumn="0" w:firstRowLastColumn="0" w:lastRowFirstColumn="0" w:lastRowLastColumn="0"/>
            </w:pPr>
            <w:r>
              <w:t>Medical subject matter expertise for updating DELWP's medical framework</w:t>
            </w:r>
          </w:p>
        </w:tc>
        <w:tc>
          <w:tcPr>
            <w:tcW w:w="784" w:type="dxa"/>
          </w:tcPr>
          <w:p w14:paraId="3171AF39" w14:textId="6F2F46C4" w:rsidR="00DD1BB1" w:rsidRDefault="00DD1BB1" w:rsidP="00934CD4">
            <w:pPr>
              <w:pStyle w:val="Tablenumbers"/>
              <w:cnfStyle w:val="000000100000" w:firstRow="0" w:lastRow="0" w:firstColumn="0" w:lastColumn="0" w:oddVBand="0" w:evenVBand="0" w:oddHBand="1" w:evenHBand="0" w:firstRowFirstColumn="0" w:firstRowLastColumn="0" w:lastRowFirstColumn="0" w:lastRowLastColumn="0"/>
            </w:pPr>
            <w:r>
              <w:t>$0.1</w:t>
            </w:r>
          </w:p>
        </w:tc>
        <w:tc>
          <w:tcPr>
            <w:tcW w:w="675" w:type="dxa"/>
          </w:tcPr>
          <w:p w14:paraId="715BFB4A" w14:textId="03BAB821" w:rsidR="00DD1BB1" w:rsidRDefault="00DD1BB1" w:rsidP="00934CD4">
            <w:pPr>
              <w:pStyle w:val="Tablenumbers"/>
              <w:cnfStyle w:val="000000100000" w:firstRow="0" w:lastRow="0" w:firstColumn="0" w:lastColumn="0" w:oddVBand="0" w:evenVBand="0" w:oddHBand="1" w:evenHBand="0" w:firstRowFirstColumn="0" w:firstRowLastColumn="0" w:lastRowFirstColumn="0" w:lastRowLastColumn="0"/>
            </w:pPr>
            <w:r>
              <w:t>3</w:t>
            </w:r>
          </w:p>
        </w:tc>
        <w:tc>
          <w:tcPr>
            <w:tcW w:w="546" w:type="dxa"/>
          </w:tcPr>
          <w:p w14:paraId="70C44110" w14:textId="72E690EE" w:rsidR="00DD1BB1" w:rsidRDefault="00DD1BB1" w:rsidP="00934CD4">
            <w:pPr>
              <w:pStyle w:val="Tablenumbers"/>
              <w:cnfStyle w:val="000000100000" w:firstRow="0" w:lastRow="0" w:firstColumn="0" w:lastColumn="0" w:oddVBand="0" w:evenVBand="0" w:oddHBand="1" w:evenHBand="0" w:firstRowFirstColumn="0" w:firstRowLastColumn="0" w:lastRowFirstColumn="0" w:lastRowLastColumn="0"/>
            </w:pPr>
            <w:r>
              <w:t>2×1</w:t>
            </w:r>
          </w:p>
        </w:tc>
        <w:tc>
          <w:tcPr>
            <w:tcW w:w="1308" w:type="dxa"/>
          </w:tcPr>
          <w:p w14:paraId="3400F454" w14:textId="3475871B" w:rsidR="00DD1BB1" w:rsidRDefault="00DD1BB1" w:rsidP="00DD1BB1">
            <w:pPr>
              <w:pStyle w:val="TableText"/>
              <w:cnfStyle w:val="000000100000" w:firstRow="0" w:lastRow="0" w:firstColumn="0" w:lastColumn="0" w:oddVBand="0" w:evenVBand="0" w:oddHBand="1" w:evenHBand="0" w:firstRowFirstColumn="0" w:firstRowLastColumn="0" w:lastRowFirstColumn="0" w:lastRowLastColumn="0"/>
            </w:pPr>
            <w:r>
              <w:t>Transactional</w:t>
            </w:r>
          </w:p>
        </w:tc>
        <w:tc>
          <w:tcPr>
            <w:tcW w:w="725" w:type="dxa"/>
          </w:tcPr>
          <w:p w14:paraId="23AA1B8D" w14:textId="4BA1EEF0" w:rsidR="00DD1BB1" w:rsidRDefault="00DD1BB1" w:rsidP="00DD1BB1">
            <w:pPr>
              <w:pStyle w:val="TableText"/>
              <w:cnfStyle w:val="000000100000" w:firstRow="0" w:lastRow="0" w:firstColumn="0" w:lastColumn="0" w:oddVBand="0" w:evenVBand="0" w:oddHBand="1" w:evenHBand="0" w:firstRowFirstColumn="0" w:firstRowLastColumn="0" w:lastRowFirstColumn="0" w:lastRowLastColumn="0"/>
            </w:pPr>
            <w:r>
              <w:t>RFQ</w:t>
            </w:r>
          </w:p>
        </w:tc>
        <w:tc>
          <w:tcPr>
            <w:tcW w:w="786" w:type="dxa"/>
          </w:tcPr>
          <w:p w14:paraId="4FEFAC51" w14:textId="5110D8CF" w:rsidR="00DD1BB1" w:rsidRDefault="00DD1BB1" w:rsidP="00DD1BB1">
            <w:pPr>
              <w:pStyle w:val="TableText"/>
              <w:cnfStyle w:val="000000100000" w:firstRow="0" w:lastRow="0" w:firstColumn="0" w:lastColumn="0" w:oddVBand="0" w:evenVBand="0" w:oddHBand="1" w:evenHBand="0" w:firstRowFirstColumn="0" w:firstRowLastColumn="0" w:lastRowFirstColumn="0" w:lastRowLastColumn="0"/>
            </w:pPr>
            <w:r>
              <w:t>Closed</w:t>
            </w:r>
          </w:p>
        </w:tc>
        <w:tc>
          <w:tcPr>
            <w:tcW w:w="580" w:type="dxa"/>
          </w:tcPr>
          <w:p w14:paraId="38B26CD4" w14:textId="3A031C3A" w:rsidR="00DD1BB1" w:rsidRDefault="00DD1BB1" w:rsidP="00934CD4">
            <w:pPr>
              <w:pStyle w:val="Tablenumbers"/>
              <w:cnfStyle w:val="000000100000" w:firstRow="0" w:lastRow="0" w:firstColumn="0" w:lastColumn="0" w:oddVBand="0" w:evenVBand="0" w:oddHBand="1" w:evenHBand="0" w:firstRowFirstColumn="0" w:firstRowLastColumn="0" w:lastRowFirstColumn="0" w:lastRowLastColumn="0"/>
            </w:pPr>
            <w:r>
              <w:t>1</w:t>
            </w:r>
          </w:p>
        </w:tc>
      </w:tr>
      <w:tr w:rsidR="00200BCC" w14:paraId="13AFA96D" w14:textId="77777777" w:rsidTr="00200BCC">
        <w:tc>
          <w:tcPr>
            <w:cnfStyle w:val="001000000000" w:firstRow="0" w:lastRow="0" w:firstColumn="1" w:lastColumn="0" w:oddVBand="0" w:evenVBand="0" w:oddHBand="0" w:evenHBand="0" w:firstRowFirstColumn="0" w:firstRowLastColumn="0" w:lastRowFirstColumn="0" w:lastRowLastColumn="0"/>
            <w:tcW w:w="1394" w:type="dxa"/>
            <w:vMerge/>
          </w:tcPr>
          <w:p w14:paraId="5854BBD7" w14:textId="77777777" w:rsidR="00DD1BB1" w:rsidRPr="00E3492C" w:rsidRDefault="00DD1BB1" w:rsidP="00DD1BB1">
            <w:pPr>
              <w:pStyle w:val="TableText"/>
            </w:pPr>
          </w:p>
        </w:tc>
        <w:tc>
          <w:tcPr>
            <w:tcW w:w="513" w:type="dxa"/>
            <w:vMerge/>
          </w:tcPr>
          <w:p w14:paraId="45B6FB66" w14:textId="77777777" w:rsidR="00DD1BB1" w:rsidRDefault="00DD1BB1" w:rsidP="00934CD4">
            <w:pPr>
              <w:pStyle w:val="Tablenumbers"/>
              <w:cnfStyle w:val="000000000000" w:firstRow="0" w:lastRow="0" w:firstColumn="0" w:lastColumn="0" w:oddVBand="0" w:evenVBand="0" w:oddHBand="0" w:evenHBand="0" w:firstRowFirstColumn="0" w:firstRowLastColumn="0" w:lastRowFirstColumn="0" w:lastRowLastColumn="0"/>
            </w:pPr>
          </w:p>
        </w:tc>
        <w:tc>
          <w:tcPr>
            <w:tcW w:w="1671" w:type="dxa"/>
          </w:tcPr>
          <w:p w14:paraId="17D75F29" w14:textId="245EAE72" w:rsidR="00DD1BB1" w:rsidRDefault="00DD1BB1" w:rsidP="00DD1BB1">
            <w:pPr>
              <w:pStyle w:val="TableText"/>
              <w:cnfStyle w:val="000000000000" w:firstRow="0" w:lastRow="0" w:firstColumn="0" w:lastColumn="0" w:oddVBand="0" w:evenVBand="0" w:oddHBand="0" w:evenHBand="0" w:firstRowFirstColumn="0" w:firstRowLastColumn="0" w:lastRowFirstColumn="0" w:lastRowLastColumn="0"/>
            </w:pPr>
            <w:r>
              <w:t>Remotely piloted aircraft systems endurance panel</w:t>
            </w:r>
          </w:p>
        </w:tc>
        <w:tc>
          <w:tcPr>
            <w:tcW w:w="784" w:type="dxa"/>
          </w:tcPr>
          <w:p w14:paraId="3C6A58F9" w14:textId="5F5708EE" w:rsidR="00DD1BB1" w:rsidRDefault="00DD1BB1" w:rsidP="00934CD4">
            <w:pPr>
              <w:pStyle w:val="Tablenumbers"/>
              <w:cnfStyle w:val="000000000000" w:firstRow="0" w:lastRow="0" w:firstColumn="0" w:lastColumn="0" w:oddVBand="0" w:evenVBand="0" w:oddHBand="0" w:evenHBand="0" w:firstRowFirstColumn="0" w:firstRowLastColumn="0" w:lastRowFirstColumn="0" w:lastRowLastColumn="0"/>
            </w:pPr>
            <w:r>
              <w:t>$0.3</w:t>
            </w:r>
          </w:p>
        </w:tc>
        <w:tc>
          <w:tcPr>
            <w:tcW w:w="675" w:type="dxa"/>
          </w:tcPr>
          <w:p w14:paraId="56E42152" w14:textId="28FE712C" w:rsidR="00DD1BB1" w:rsidRDefault="00DD1BB1" w:rsidP="00934CD4">
            <w:pPr>
              <w:pStyle w:val="Tablenumbers"/>
              <w:cnfStyle w:val="000000000000" w:firstRow="0" w:lastRow="0" w:firstColumn="0" w:lastColumn="0" w:oddVBand="0" w:evenVBand="0" w:oddHBand="0" w:evenHBand="0" w:firstRowFirstColumn="0" w:firstRowLastColumn="0" w:lastRowFirstColumn="0" w:lastRowLastColumn="0"/>
            </w:pPr>
            <w:r>
              <w:t>2</w:t>
            </w:r>
          </w:p>
        </w:tc>
        <w:tc>
          <w:tcPr>
            <w:tcW w:w="546" w:type="dxa"/>
          </w:tcPr>
          <w:p w14:paraId="08DF30F7" w14:textId="32CA6C4A" w:rsidR="00DD1BB1" w:rsidRDefault="00DD1BB1" w:rsidP="00934CD4">
            <w:pPr>
              <w:pStyle w:val="Tablenumbers"/>
              <w:cnfStyle w:val="000000000000" w:firstRow="0" w:lastRow="0" w:firstColumn="0" w:lastColumn="0" w:oddVBand="0" w:evenVBand="0" w:oddHBand="0" w:evenHBand="0" w:firstRowFirstColumn="0" w:firstRowLastColumn="0" w:lastRowFirstColumn="0" w:lastRowLastColumn="0"/>
            </w:pPr>
            <w:r>
              <w:t>.. </w:t>
            </w:r>
          </w:p>
        </w:tc>
        <w:tc>
          <w:tcPr>
            <w:tcW w:w="1308" w:type="dxa"/>
          </w:tcPr>
          <w:p w14:paraId="756635F7" w14:textId="1BFA52DD" w:rsidR="00DD1BB1" w:rsidRDefault="00DD1BB1" w:rsidP="00DD1BB1">
            <w:pPr>
              <w:pStyle w:val="TableText"/>
              <w:cnfStyle w:val="000000000000" w:firstRow="0" w:lastRow="0" w:firstColumn="0" w:lastColumn="0" w:oddVBand="0" w:evenVBand="0" w:oddHBand="0" w:evenHBand="0" w:firstRowFirstColumn="0" w:firstRowLastColumn="0" w:lastRowFirstColumn="0" w:lastRowLastColumn="0"/>
            </w:pPr>
            <w:r>
              <w:t>Focused</w:t>
            </w:r>
          </w:p>
        </w:tc>
        <w:tc>
          <w:tcPr>
            <w:tcW w:w="725" w:type="dxa"/>
          </w:tcPr>
          <w:p w14:paraId="6D313472" w14:textId="1D98DE49" w:rsidR="00DD1BB1" w:rsidRDefault="00DD1BB1" w:rsidP="00DD1BB1">
            <w:pPr>
              <w:pStyle w:val="TableText"/>
              <w:cnfStyle w:val="000000000000" w:firstRow="0" w:lastRow="0" w:firstColumn="0" w:lastColumn="0" w:oddVBand="0" w:evenVBand="0" w:oddHBand="0" w:evenHBand="0" w:firstRowFirstColumn="0" w:firstRowLastColumn="0" w:lastRowFirstColumn="0" w:lastRowLastColumn="0"/>
            </w:pPr>
            <w:r>
              <w:t>RFQ</w:t>
            </w:r>
          </w:p>
        </w:tc>
        <w:tc>
          <w:tcPr>
            <w:tcW w:w="786" w:type="dxa"/>
          </w:tcPr>
          <w:p w14:paraId="13B5F307" w14:textId="3A067519" w:rsidR="00DD1BB1" w:rsidRDefault="00DD1BB1" w:rsidP="00DD1BB1">
            <w:pPr>
              <w:pStyle w:val="TableText"/>
              <w:cnfStyle w:val="000000000000" w:firstRow="0" w:lastRow="0" w:firstColumn="0" w:lastColumn="0" w:oddVBand="0" w:evenVBand="0" w:oddHBand="0" w:evenHBand="0" w:firstRowFirstColumn="0" w:firstRowLastColumn="0" w:lastRowFirstColumn="0" w:lastRowLastColumn="0"/>
            </w:pPr>
            <w:r>
              <w:t>Open</w:t>
            </w:r>
          </w:p>
        </w:tc>
        <w:tc>
          <w:tcPr>
            <w:tcW w:w="580" w:type="dxa"/>
          </w:tcPr>
          <w:p w14:paraId="4638FF87" w14:textId="33BBC136" w:rsidR="00DD1BB1" w:rsidRDefault="00DD1BB1" w:rsidP="00934CD4">
            <w:pPr>
              <w:pStyle w:val="Tablenumbers"/>
              <w:cnfStyle w:val="000000000000" w:firstRow="0" w:lastRow="0" w:firstColumn="0" w:lastColumn="0" w:oddVBand="0" w:evenVBand="0" w:oddHBand="0" w:evenHBand="0" w:firstRowFirstColumn="0" w:firstRowLastColumn="0" w:lastRowFirstColumn="0" w:lastRowLastColumn="0"/>
            </w:pPr>
            <w:r>
              <w:t>2</w:t>
            </w:r>
          </w:p>
        </w:tc>
      </w:tr>
      <w:tr w:rsidR="00200BCC" w14:paraId="16312BB6" w14:textId="77777777" w:rsidTr="00200B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4" w:type="dxa"/>
            <w:vMerge/>
          </w:tcPr>
          <w:p w14:paraId="550363BB" w14:textId="77777777" w:rsidR="00DD1BB1" w:rsidRPr="00E3492C" w:rsidRDefault="00DD1BB1" w:rsidP="00DD1BB1">
            <w:pPr>
              <w:pStyle w:val="TableText"/>
            </w:pPr>
          </w:p>
        </w:tc>
        <w:tc>
          <w:tcPr>
            <w:tcW w:w="513" w:type="dxa"/>
            <w:vMerge/>
          </w:tcPr>
          <w:p w14:paraId="7E15F26B" w14:textId="77777777" w:rsidR="00DD1BB1" w:rsidRDefault="00DD1BB1" w:rsidP="00934CD4">
            <w:pPr>
              <w:pStyle w:val="Tablenumbers"/>
              <w:cnfStyle w:val="000000100000" w:firstRow="0" w:lastRow="0" w:firstColumn="0" w:lastColumn="0" w:oddVBand="0" w:evenVBand="0" w:oddHBand="1" w:evenHBand="0" w:firstRowFirstColumn="0" w:firstRowLastColumn="0" w:lastRowFirstColumn="0" w:lastRowLastColumn="0"/>
            </w:pPr>
          </w:p>
        </w:tc>
        <w:tc>
          <w:tcPr>
            <w:tcW w:w="1671" w:type="dxa"/>
          </w:tcPr>
          <w:p w14:paraId="2B01EBE2" w14:textId="44EFF5CE" w:rsidR="00DD1BB1" w:rsidRDefault="00DD1BB1" w:rsidP="00DD1BB1">
            <w:pPr>
              <w:pStyle w:val="TableText"/>
              <w:cnfStyle w:val="000000100000" w:firstRow="0" w:lastRow="0" w:firstColumn="0" w:lastColumn="0" w:oddVBand="0" w:evenVBand="0" w:oddHBand="1" w:evenHBand="0" w:firstRowFirstColumn="0" w:firstRowLastColumn="0" w:lastRowFirstColumn="0" w:lastRowLastColumn="0"/>
            </w:pPr>
            <w:r>
              <w:t>Automatic fuel moisture monitoring network</w:t>
            </w:r>
          </w:p>
        </w:tc>
        <w:tc>
          <w:tcPr>
            <w:tcW w:w="784" w:type="dxa"/>
          </w:tcPr>
          <w:p w14:paraId="03C2FE12" w14:textId="44B5BAB9" w:rsidR="00DD1BB1" w:rsidRDefault="00DD1BB1" w:rsidP="00934CD4">
            <w:pPr>
              <w:pStyle w:val="Tablenumbers"/>
              <w:cnfStyle w:val="000000100000" w:firstRow="0" w:lastRow="0" w:firstColumn="0" w:lastColumn="0" w:oddVBand="0" w:evenVBand="0" w:oddHBand="1" w:evenHBand="0" w:firstRowFirstColumn="0" w:firstRowLastColumn="0" w:lastRowFirstColumn="0" w:lastRowLastColumn="0"/>
            </w:pPr>
            <w:r>
              <w:t>$0.5</w:t>
            </w:r>
          </w:p>
        </w:tc>
        <w:tc>
          <w:tcPr>
            <w:tcW w:w="675" w:type="dxa"/>
          </w:tcPr>
          <w:p w14:paraId="6A999828" w14:textId="0AC931B6" w:rsidR="00DD1BB1" w:rsidRDefault="00DD1BB1" w:rsidP="00934CD4">
            <w:pPr>
              <w:pStyle w:val="Tablenumbers"/>
              <w:cnfStyle w:val="000000100000" w:firstRow="0" w:lastRow="0" w:firstColumn="0" w:lastColumn="0" w:oddVBand="0" w:evenVBand="0" w:oddHBand="1" w:evenHBand="0" w:firstRowFirstColumn="0" w:firstRowLastColumn="0" w:lastRowFirstColumn="0" w:lastRowLastColumn="0"/>
            </w:pPr>
            <w:r>
              <w:t>5</w:t>
            </w:r>
          </w:p>
        </w:tc>
        <w:tc>
          <w:tcPr>
            <w:tcW w:w="546" w:type="dxa"/>
          </w:tcPr>
          <w:p w14:paraId="216F2966" w14:textId="64DB2142" w:rsidR="00DD1BB1" w:rsidRDefault="00DD1BB1" w:rsidP="00934CD4">
            <w:pPr>
              <w:pStyle w:val="Tablenumbers"/>
              <w:cnfStyle w:val="000000100000" w:firstRow="0" w:lastRow="0" w:firstColumn="0" w:lastColumn="0" w:oddVBand="0" w:evenVBand="0" w:oddHBand="1" w:evenHBand="0" w:firstRowFirstColumn="0" w:firstRowLastColumn="0" w:lastRowFirstColumn="0" w:lastRowLastColumn="0"/>
            </w:pPr>
            <w:r>
              <w:t>.. </w:t>
            </w:r>
          </w:p>
        </w:tc>
        <w:tc>
          <w:tcPr>
            <w:tcW w:w="1308" w:type="dxa"/>
          </w:tcPr>
          <w:p w14:paraId="4093F2FD" w14:textId="3F533232" w:rsidR="00DD1BB1" w:rsidRDefault="00DD1BB1" w:rsidP="00DD1BB1">
            <w:pPr>
              <w:pStyle w:val="TableText"/>
              <w:cnfStyle w:val="000000100000" w:firstRow="0" w:lastRow="0" w:firstColumn="0" w:lastColumn="0" w:oddVBand="0" w:evenVBand="0" w:oddHBand="1" w:evenHBand="0" w:firstRowFirstColumn="0" w:firstRowLastColumn="0" w:lastRowFirstColumn="0" w:lastRowLastColumn="0"/>
            </w:pPr>
            <w:r>
              <w:t>Focused</w:t>
            </w:r>
          </w:p>
        </w:tc>
        <w:tc>
          <w:tcPr>
            <w:tcW w:w="725" w:type="dxa"/>
          </w:tcPr>
          <w:p w14:paraId="06DDB1F3" w14:textId="77514719" w:rsidR="00DD1BB1" w:rsidRDefault="00DD1BB1" w:rsidP="00DD1BB1">
            <w:pPr>
              <w:pStyle w:val="TableText"/>
              <w:cnfStyle w:val="000000100000" w:firstRow="0" w:lastRow="0" w:firstColumn="0" w:lastColumn="0" w:oddVBand="0" w:evenVBand="0" w:oddHBand="1" w:evenHBand="0" w:firstRowFirstColumn="0" w:firstRowLastColumn="0" w:lastRowFirstColumn="0" w:lastRowLastColumn="0"/>
            </w:pPr>
            <w:r>
              <w:t>RFT</w:t>
            </w:r>
          </w:p>
        </w:tc>
        <w:tc>
          <w:tcPr>
            <w:tcW w:w="786" w:type="dxa"/>
          </w:tcPr>
          <w:p w14:paraId="0200692F" w14:textId="06E97103" w:rsidR="00DD1BB1" w:rsidRDefault="00DD1BB1" w:rsidP="00DD1BB1">
            <w:pPr>
              <w:pStyle w:val="TableText"/>
              <w:cnfStyle w:val="000000100000" w:firstRow="0" w:lastRow="0" w:firstColumn="0" w:lastColumn="0" w:oddVBand="0" w:evenVBand="0" w:oddHBand="1" w:evenHBand="0" w:firstRowFirstColumn="0" w:firstRowLastColumn="0" w:lastRowFirstColumn="0" w:lastRowLastColumn="0"/>
            </w:pPr>
            <w:r>
              <w:t>Closed</w:t>
            </w:r>
          </w:p>
        </w:tc>
        <w:tc>
          <w:tcPr>
            <w:tcW w:w="580" w:type="dxa"/>
          </w:tcPr>
          <w:p w14:paraId="64CFE280" w14:textId="16751C40" w:rsidR="00DD1BB1" w:rsidRDefault="00DD1BB1" w:rsidP="00934CD4">
            <w:pPr>
              <w:pStyle w:val="Tablenumbers"/>
              <w:cnfStyle w:val="000000100000" w:firstRow="0" w:lastRow="0" w:firstColumn="0" w:lastColumn="0" w:oddVBand="0" w:evenVBand="0" w:oddHBand="1" w:evenHBand="0" w:firstRowFirstColumn="0" w:firstRowLastColumn="0" w:lastRowFirstColumn="0" w:lastRowLastColumn="0"/>
            </w:pPr>
            <w:r>
              <w:t>1</w:t>
            </w:r>
          </w:p>
        </w:tc>
      </w:tr>
      <w:tr w:rsidR="00200BCC" w14:paraId="459A7D58" w14:textId="77777777" w:rsidTr="00200BCC">
        <w:tc>
          <w:tcPr>
            <w:cnfStyle w:val="001000000000" w:firstRow="0" w:lastRow="0" w:firstColumn="1" w:lastColumn="0" w:oddVBand="0" w:evenVBand="0" w:oddHBand="0" w:evenHBand="0" w:firstRowFirstColumn="0" w:firstRowLastColumn="0" w:lastRowFirstColumn="0" w:lastRowLastColumn="0"/>
            <w:tcW w:w="1394" w:type="dxa"/>
            <w:vMerge/>
          </w:tcPr>
          <w:p w14:paraId="77669C1D" w14:textId="77777777" w:rsidR="00DD1BB1" w:rsidRPr="00E3492C" w:rsidRDefault="00DD1BB1" w:rsidP="00DD1BB1">
            <w:pPr>
              <w:pStyle w:val="TableText"/>
            </w:pPr>
          </w:p>
        </w:tc>
        <w:tc>
          <w:tcPr>
            <w:tcW w:w="513" w:type="dxa"/>
            <w:vMerge/>
          </w:tcPr>
          <w:p w14:paraId="367FEAD0" w14:textId="77777777" w:rsidR="00DD1BB1" w:rsidRDefault="00DD1BB1" w:rsidP="00934CD4">
            <w:pPr>
              <w:pStyle w:val="Tablenumbers"/>
              <w:cnfStyle w:val="000000000000" w:firstRow="0" w:lastRow="0" w:firstColumn="0" w:lastColumn="0" w:oddVBand="0" w:evenVBand="0" w:oddHBand="0" w:evenHBand="0" w:firstRowFirstColumn="0" w:firstRowLastColumn="0" w:lastRowFirstColumn="0" w:lastRowLastColumn="0"/>
            </w:pPr>
          </w:p>
        </w:tc>
        <w:tc>
          <w:tcPr>
            <w:tcW w:w="1671" w:type="dxa"/>
          </w:tcPr>
          <w:p w14:paraId="64600527" w14:textId="25C98A49" w:rsidR="00DD1BB1" w:rsidRDefault="00DD1BB1" w:rsidP="00DD1BB1">
            <w:pPr>
              <w:pStyle w:val="TableText"/>
              <w:cnfStyle w:val="000000000000" w:firstRow="0" w:lastRow="0" w:firstColumn="0" w:lastColumn="0" w:oddVBand="0" w:evenVBand="0" w:oddHBand="0" w:evenHBand="0" w:firstRowFirstColumn="0" w:firstRowLastColumn="0" w:lastRowFirstColumn="0" w:lastRowLastColumn="0"/>
            </w:pPr>
            <w:r>
              <w:t>Electrolyte replacement fluid</w:t>
            </w:r>
          </w:p>
        </w:tc>
        <w:tc>
          <w:tcPr>
            <w:tcW w:w="784" w:type="dxa"/>
          </w:tcPr>
          <w:p w14:paraId="52B28FF8" w14:textId="3FCACD7D" w:rsidR="00DD1BB1" w:rsidRDefault="00DD1BB1" w:rsidP="00934CD4">
            <w:pPr>
              <w:pStyle w:val="Tablenumbers"/>
              <w:cnfStyle w:val="000000000000" w:firstRow="0" w:lastRow="0" w:firstColumn="0" w:lastColumn="0" w:oddVBand="0" w:evenVBand="0" w:oddHBand="0" w:evenHBand="0" w:firstRowFirstColumn="0" w:firstRowLastColumn="0" w:lastRowFirstColumn="0" w:lastRowLastColumn="0"/>
            </w:pPr>
            <w:r>
              <w:t>$0.5</w:t>
            </w:r>
          </w:p>
        </w:tc>
        <w:tc>
          <w:tcPr>
            <w:tcW w:w="675" w:type="dxa"/>
          </w:tcPr>
          <w:p w14:paraId="2749FF07" w14:textId="623A0C60" w:rsidR="00DD1BB1" w:rsidRDefault="00DD1BB1" w:rsidP="00934CD4">
            <w:pPr>
              <w:pStyle w:val="Tablenumbers"/>
              <w:cnfStyle w:val="000000000000" w:firstRow="0" w:lastRow="0" w:firstColumn="0" w:lastColumn="0" w:oddVBand="0" w:evenVBand="0" w:oddHBand="0" w:evenHBand="0" w:firstRowFirstColumn="0" w:firstRowLastColumn="0" w:lastRowFirstColumn="0" w:lastRowLastColumn="0"/>
            </w:pPr>
            <w:r>
              <w:t>2.5</w:t>
            </w:r>
          </w:p>
        </w:tc>
        <w:tc>
          <w:tcPr>
            <w:tcW w:w="546" w:type="dxa"/>
          </w:tcPr>
          <w:p w14:paraId="5CC97287" w14:textId="6E16B9D9" w:rsidR="00DD1BB1" w:rsidRDefault="00DD1BB1" w:rsidP="00934CD4">
            <w:pPr>
              <w:pStyle w:val="Tablenumbers"/>
              <w:cnfStyle w:val="000000000000" w:firstRow="0" w:lastRow="0" w:firstColumn="0" w:lastColumn="0" w:oddVBand="0" w:evenVBand="0" w:oddHBand="0" w:evenHBand="0" w:firstRowFirstColumn="0" w:firstRowLastColumn="0" w:lastRowFirstColumn="0" w:lastRowLastColumn="0"/>
            </w:pPr>
            <w:r>
              <w:t>.. </w:t>
            </w:r>
          </w:p>
        </w:tc>
        <w:tc>
          <w:tcPr>
            <w:tcW w:w="1308" w:type="dxa"/>
          </w:tcPr>
          <w:p w14:paraId="373B8DB8" w14:textId="6AAB9BCA" w:rsidR="00DD1BB1" w:rsidRDefault="00DD1BB1" w:rsidP="00DD1BB1">
            <w:pPr>
              <w:pStyle w:val="TableText"/>
              <w:cnfStyle w:val="000000000000" w:firstRow="0" w:lastRow="0" w:firstColumn="0" w:lastColumn="0" w:oddVBand="0" w:evenVBand="0" w:oddHBand="0" w:evenHBand="0" w:firstRowFirstColumn="0" w:firstRowLastColumn="0" w:lastRowFirstColumn="0" w:lastRowLastColumn="0"/>
            </w:pPr>
            <w:r>
              <w:t>Transactional</w:t>
            </w:r>
          </w:p>
        </w:tc>
        <w:tc>
          <w:tcPr>
            <w:tcW w:w="725" w:type="dxa"/>
          </w:tcPr>
          <w:p w14:paraId="02B89C2C" w14:textId="08BDADC9" w:rsidR="00DD1BB1" w:rsidRDefault="00DD1BB1" w:rsidP="00DD1BB1">
            <w:pPr>
              <w:pStyle w:val="TableText"/>
              <w:cnfStyle w:val="000000000000" w:firstRow="0" w:lastRow="0" w:firstColumn="0" w:lastColumn="0" w:oddVBand="0" w:evenVBand="0" w:oddHBand="0" w:evenHBand="0" w:firstRowFirstColumn="0" w:firstRowLastColumn="0" w:lastRowFirstColumn="0" w:lastRowLastColumn="0"/>
            </w:pPr>
            <w:r>
              <w:t>RFQ</w:t>
            </w:r>
          </w:p>
        </w:tc>
        <w:tc>
          <w:tcPr>
            <w:tcW w:w="786" w:type="dxa"/>
          </w:tcPr>
          <w:p w14:paraId="7F4BECAB" w14:textId="768C1B9F" w:rsidR="00DD1BB1" w:rsidRDefault="00DD1BB1" w:rsidP="00DD1BB1">
            <w:pPr>
              <w:pStyle w:val="TableText"/>
              <w:cnfStyle w:val="000000000000" w:firstRow="0" w:lastRow="0" w:firstColumn="0" w:lastColumn="0" w:oddVBand="0" w:evenVBand="0" w:oddHBand="0" w:evenHBand="0" w:firstRowFirstColumn="0" w:firstRowLastColumn="0" w:lastRowFirstColumn="0" w:lastRowLastColumn="0"/>
            </w:pPr>
            <w:r>
              <w:t>Closed</w:t>
            </w:r>
          </w:p>
        </w:tc>
        <w:tc>
          <w:tcPr>
            <w:tcW w:w="580" w:type="dxa"/>
          </w:tcPr>
          <w:p w14:paraId="1EC34E2B" w14:textId="4D187D77" w:rsidR="00DD1BB1" w:rsidRDefault="00DD1BB1" w:rsidP="00934CD4">
            <w:pPr>
              <w:pStyle w:val="Tablenumbers"/>
              <w:cnfStyle w:val="000000000000" w:firstRow="0" w:lastRow="0" w:firstColumn="0" w:lastColumn="0" w:oddVBand="0" w:evenVBand="0" w:oddHBand="0" w:evenHBand="0" w:firstRowFirstColumn="0" w:firstRowLastColumn="0" w:lastRowFirstColumn="0" w:lastRowLastColumn="0"/>
            </w:pPr>
            <w:r>
              <w:t>1</w:t>
            </w:r>
          </w:p>
        </w:tc>
      </w:tr>
      <w:tr w:rsidR="00200BCC" w14:paraId="4D98F07B" w14:textId="77777777" w:rsidTr="00200B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4" w:type="dxa"/>
            <w:vMerge/>
          </w:tcPr>
          <w:p w14:paraId="52C77BE0" w14:textId="77777777" w:rsidR="00DD1BB1" w:rsidRPr="00E3492C" w:rsidRDefault="00DD1BB1" w:rsidP="00DD1BB1">
            <w:pPr>
              <w:pStyle w:val="TableText"/>
            </w:pPr>
          </w:p>
        </w:tc>
        <w:tc>
          <w:tcPr>
            <w:tcW w:w="513" w:type="dxa"/>
            <w:vMerge/>
          </w:tcPr>
          <w:p w14:paraId="49E81139" w14:textId="77777777" w:rsidR="00DD1BB1" w:rsidRDefault="00DD1BB1" w:rsidP="00934CD4">
            <w:pPr>
              <w:pStyle w:val="Tablenumbers"/>
              <w:cnfStyle w:val="000000100000" w:firstRow="0" w:lastRow="0" w:firstColumn="0" w:lastColumn="0" w:oddVBand="0" w:evenVBand="0" w:oddHBand="1" w:evenHBand="0" w:firstRowFirstColumn="0" w:firstRowLastColumn="0" w:lastRowFirstColumn="0" w:lastRowLastColumn="0"/>
            </w:pPr>
          </w:p>
        </w:tc>
        <w:tc>
          <w:tcPr>
            <w:tcW w:w="1671" w:type="dxa"/>
          </w:tcPr>
          <w:p w14:paraId="66E9912B" w14:textId="6DCDB2CA" w:rsidR="00DD1BB1" w:rsidRDefault="00DD1BB1" w:rsidP="00DD1BB1">
            <w:pPr>
              <w:pStyle w:val="TableText"/>
              <w:cnfStyle w:val="000000100000" w:firstRow="0" w:lastRow="0" w:firstColumn="0" w:lastColumn="0" w:oddVBand="0" w:evenVBand="0" w:oddHBand="1" w:evenHBand="0" w:firstRowFirstColumn="0" w:firstRowLastColumn="0" w:lastRowFirstColumn="0" w:lastRowLastColumn="0"/>
            </w:pPr>
            <w:r>
              <w:t xml:space="preserve">Transport hire </w:t>
            </w:r>
            <w:r w:rsidR="00934CD4">
              <w:t>–</w:t>
            </w:r>
            <w:r>
              <w:t xml:space="preserve"> buses to transport personnel for fire suppression purposes</w:t>
            </w:r>
          </w:p>
        </w:tc>
        <w:tc>
          <w:tcPr>
            <w:tcW w:w="784" w:type="dxa"/>
          </w:tcPr>
          <w:p w14:paraId="29731A2E" w14:textId="61E34585" w:rsidR="00DD1BB1" w:rsidRDefault="00DD1BB1" w:rsidP="00934CD4">
            <w:pPr>
              <w:pStyle w:val="Tablenumbers"/>
              <w:cnfStyle w:val="000000100000" w:firstRow="0" w:lastRow="0" w:firstColumn="0" w:lastColumn="0" w:oddVBand="0" w:evenVBand="0" w:oddHBand="1" w:evenHBand="0" w:firstRowFirstColumn="0" w:firstRowLastColumn="0" w:lastRowFirstColumn="0" w:lastRowLastColumn="0"/>
            </w:pPr>
            <w:r>
              <w:t>$0.5</w:t>
            </w:r>
          </w:p>
        </w:tc>
        <w:tc>
          <w:tcPr>
            <w:tcW w:w="675" w:type="dxa"/>
          </w:tcPr>
          <w:p w14:paraId="3FC01E58" w14:textId="66EEF4E0" w:rsidR="00DD1BB1" w:rsidRDefault="00DD1BB1" w:rsidP="00934CD4">
            <w:pPr>
              <w:pStyle w:val="Tablenumbers"/>
              <w:cnfStyle w:val="000000100000" w:firstRow="0" w:lastRow="0" w:firstColumn="0" w:lastColumn="0" w:oddVBand="0" w:evenVBand="0" w:oddHBand="1" w:evenHBand="0" w:firstRowFirstColumn="0" w:firstRowLastColumn="0" w:lastRowFirstColumn="0" w:lastRowLastColumn="0"/>
            </w:pPr>
            <w:r>
              <w:t>3</w:t>
            </w:r>
          </w:p>
        </w:tc>
        <w:tc>
          <w:tcPr>
            <w:tcW w:w="546" w:type="dxa"/>
          </w:tcPr>
          <w:p w14:paraId="4858E252" w14:textId="090F4E5A" w:rsidR="00DD1BB1" w:rsidRDefault="00DD1BB1" w:rsidP="00934CD4">
            <w:pPr>
              <w:pStyle w:val="Tablenumbers"/>
              <w:cnfStyle w:val="000000100000" w:firstRow="0" w:lastRow="0" w:firstColumn="0" w:lastColumn="0" w:oddVBand="0" w:evenVBand="0" w:oddHBand="1" w:evenHBand="0" w:firstRowFirstColumn="0" w:firstRowLastColumn="0" w:lastRowFirstColumn="0" w:lastRowLastColumn="0"/>
            </w:pPr>
            <w:r>
              <w:t>2×1</w:t>
            </w:r>
          </w:p>
        </w:tc>
        <w:tc>
          <w:tcPr>
            <w:tcW w:w="1308" w:type="dxa"/>
          </w:tcPr>
          <w:p w14:paraId="14EF4127" w14:textId="7A7C303C" w:rsidR="00DD1BB1" w:rsidRDefault="00DD1BB1" w:rsidP="00DD1BB1">
            <w:pPr>
              <w:pStyle w:val="TableText"/>
              <w:cnfStyle w:val="000000100000" w:firstRow="0" w:lastRow="0" w:firstColumn="0" w:lastColumn="0" w:oddVBand="0" w:evenVBand="0" w:oddHBand="1" w:evenHBand="0" w:firstRowFirstColumn="0" w:firstRowLastColumn="0" w:lastRowFirstColumn="0" w:lastRowLastColumn="0"/>
            </w:pPr>
            <w:r>
              <w:t>Transactional</w:t>
            </w:r>
          </w:p>
        </w:tc>
        <w:tc>
          <w:tcPr>
            <w:tcW w:w="725" w:type="dxa"/>
          </w:tcPr>
          <w:p w14:paraId="39A33515" w14:textId="12C2A47C" w:rsidR="00DD1BB1" w:rsidRDefault="00DD1BB1" w:rsidP="00DD1BB1">
            <w:pPr>
              <w:pStyle w:val="TableText"/>
              <w:cnfStyle w:val="000000100000" w:firstRow="0" w:lastRow="0" w:firstColumn="0" w:lastColumn="0" w:oddVBand="0" w:evenVBand="0" w:oddHBand="1" w:evenHBand="0" w:firstRowFirstColumn="0" w:firstRowLastColumn="0" w:lastRowFirstColumn="0" w:lastRowLastColumn="0"/>
            </w:pPr>
            <w:r>
              <w:t>RFT</w:t>
            </w:r>
          </w:p>
        </w:tc>
        <w:tc>
          <w:tcPr>
            <w:tcW w:w="786" w:type="dxa"/>
          </w:tcPr>
          <w:p w14:paraId="45383E25" w14:textId="170B7888" w:rsidR="00DD1BB1" w:rsidRDefault="00DD1BB1" w:rsidP="00DD1BB1">
            <w:pPr>
              <w:pStyle w:val="TableText"/>
              <w:cnfStyle w:val="000000100000" w:firstRow="0" w:lastRow="0" w:firstColumn="0" w:lastColumn="0" w:oddVBand="0" w:evenVBand="0" w:oddHBand="1" w:evenHBand="0" w:firstRowFirstColumn="0" w:firstRowLastColumn="0" w:lastRowFirstColumn="0" w:lastRowLastColumn="0"/>
            </w:pPr>
            <w:r>
              <w:t>Closed</w:t>
            </w:r>
          </w:p>
        </w:tc>
        <w:tc>
          <w:tcPr>
            <w:tcW w:w="580" w:type="dxa"/>
          </w:tcPr>
          <w:p w14:paraId="19B4F147" w14:textId="63377C4F" w:rsidR="00DD1BB1" w:rsidRDefault="00DD1BB1" w:rsidP="00934CD4">
            <w:pPr>
              <w:pStyle w:val="Tablenumbers"/>
              <w:cnfStyle w:val="000000100000" w:firstRow="0" w:lastRow="0" w:firstColumn="0" w:lastColumn="0" w:oddVBand="0" w:evenVBand="0" w:oddHBand="1" w:evenHBand="0" w:firstRowFirstColumn="0" w:firstRowLastColumn="0" w:lastRowFirstColumn="0" w:lastRowLastColumn="0"/>
            </w:pPr>
            <w:r>
              <w:t>11</w:t>
            </w:r>
          </w:p>
        </w:tc>
      </w:tr>
      <w:tr w:rsidR="00200BCC" w14:paraId="78C936DC" w14:textId="77777777" w:rsidTr="00200BCC">
        <w:tc>
          <w:tcPr>
            <w:cnfStyle w:val="001000000000" w:firstRow="0" w:lastRow="0" w:firstColumn="1" w:lastColumn="0" w:oddVBand="0" w:evenVBand="0" w:oddHBand="0" w:evenHBand="0" w:firstRowFirstColumn="0" w:firstRowLastColumn="0" w:lastRowFirstColumn="0" w:lastRowLastColumn="0"/>
            <w:tcW w:w="1394" w:type="dxa"/>
            <w:vMerge/>
          </w:tcPr>
          <w:p w14:paraId="7F4E87A8" w14:textId="77777777" w:rsidR="00DD1BB1" w:rsidRPr="00E3492C" w:rsidRDefault="00DD1BB1" w:rsidP="00DD1BB1">
            <w:pPr>
              <w:pStyle w:val="TableText"/>
            </w:pPr>
          </w:p>
        </w:tc>
        <w:tc>
          <w:tcPr>
            <w:tcW w:w="513" w:type="dxa"/>
            <w:vMerge/>
          </w:tcPr>
          <w:p w14:paraId="02B7243B" w14:textId="77777777" w:rsidR="00DD1BB1" w:rsidRDefault="00DD1BB1" w:rsidP="00934CD4">
            <w:pPr>
              <w:pStyle w:val="Tablenumbers"/>
              <w:cnfStyle w:val="000000000000" w:firstRow="0" w:lastRow="0" w:firstColumn="0" w:lastColumn="0" w:oddVBand="0" w:evenVBand="0" w:oddHBand="0" w:evenHBand="0" w:firstRowFirstColumn="0" w:firstRowLastColumn="0" w:lastRowFirstColumn="0" w:lastRowLastColumn="0"/>
            </w:pPr>
          </w:p>
        </w:tc>
        <w:tc>
          <w:tcPr>
            <w:tcW w:w="1671" w:type="dxa"/>
          </w:tcPr>
          <w:p w14:paraId="46F5AA00" w14:textId="6C50CADA" w:rsidR="00DD1BB1" w:rsidRDefault="00DD1BB1" w:rsidP="00DD1BB1">
            <w:pPr>
              <w:pStyle w:val="TableText"/>
              <w:cnfStyle w:val="000000000000" w:firstRow="0" w:lastRow="0" w:firstColumn="0" w:lastColumn="0" w:oddVBand="0" w:evenVBand="0" w:oddHBand="0" w:evenHBand="0" w:firstRowFirstColumn="0" w:firstRowLastColumn="0" w:lastRowFirstColumn="0" w:lastRowLastColumn="0"/>
            </w:pPr>
            <w:r>
              <w:t xml:space="preserve">Environmental </w:t>
            </w:r>
            <w:r w:rsidR="00B576A3">
              <w:t>auditors</w:t>
            </w:r>
            <w:r>
              <w:t xml:space="preserve"> panel</w:t>
            </w:r>
          </w:p>
        </w:tc>
        <w:tc>
          <w:tcPr>
            <w:tcW w:w="784" w:type="dxa"/>
          </w:tcPr>
          <w:p w14:paraId="59878F2D" w14:textId="7FD41A9A" w:rsidR="00DD1BB1" w:rsidRDefault="00DD1BB1" w:rsidP="00934CD4">
            <w:pPr>
              <w:pStyle w:val="Tablenumbers"/>
              <w:cnfStyle w:val="000000000000" w:firstRow="0" w:lastRow="0" w:firstColumn="0" w:lastColumn="0" w:oddVBand="0" w:evenVBand="0" w:oddHBand="0" w:evenHBand="0" w:firstRowFirstColumn="0" w:firstRowLastColumn="0" w:lastRowFirstColumn="0" w:lastRowLastColumn="0"/>
            </w:pPr>
            <w:r>
              <w:t>$1.0</w:t>
            </w:r>
          </w:p>
        </w:tc>
        <w:tc>
          <w:tcPr>
            <w:tcW w:w="675" w:type="dxa"/>
          </w:tcPr>
          <w:p w14:paraId="408CA5A3" w14:textId="070D7AB0" w:rsidR="00DD1BB1" w:rsidRDefault="00DD1BB1" w:rsidP="00934CD4">
            <w:pPr>
              <w:pStyle w:val="Tablenumbers"/>
              <w:cnfStyle w:val="000000000000" w:firstRow="0" w:lastRow="0" w:firstColumn="0" w:lastColumn="0" w:oddVBand="0" w:evenVBand="0" w:oddHBand="0" w:evenHBand="0" w:firstRowFirstColumn="0" w:firstRowLastColumn="0" w:lastRowFirstColumn="0" w:lastRowLastColumn="0"/>
            </w:pPr>
            <w:r>
              <w:t>1.5</w:t>
            </w:r>
          </w:p>
        </w:tc>
        <w:tc>
          <w:tcPr>
            <w:tcW w:w="546" w:type="dxa"/>
          </w:tcPr>
          <w:p w14:paraId="6EBB3474" w14:textId="7612E76F" w:rsidR="00DD1BB1" w:rsidRDefault="00DD1BB1" w:rsidP="00934CD4">
            <w:pPr>
              <w:pStyle w:val="Tablenumbers"/>
              <w:cnfStyle w:val="000000000000" w:firstRow="0" w:lastRow="0" w:firstColumn="0" w:lastColumn="0" w:oddVBand="0" w:evenVBand="0" w:oddHBand="0" w:evenHBand="0" w:firstRowFirstColumn="0" w:firstRowLastColumn="0" w:lastRowFirstColumn="0" w:lastRowLastColumn="0"/>
            </w:pPr>
            <w:r>
              <w:t>.. </w:t>
            </w:r>
          </w:p>
        </w:tc>
        <w:tc>
          <w:tcPr>
            <w:tcW w:w="1308" w:type="dxa"/>
          </w:tcPr>
          <w:p w14:paraId="1ED848F8" w14:textId="5E8DA051" w:rsidR="00DD1BB1" w:rsidRDefault="00DD1BB1" w:rsidP="00DD1BB1">
            <w:pPr>
              <w:pStyle w:val="TableText"/>
              <w:cnfStyle w:val="000000000000" w:firstRow="0" w:lastRow="0" w:firstColumn="0" w:lastColumn="0" w:oddVBand="0" w:evenVBand="0" w:oddHBand="0" w:evenHBand="0" w:firstRowFirstColumn="0" w:firstRowLastColumn="0" w:lastRowFirstColumn="0" w:lastRowLastColumn="0"/>
            </w:pPr>
            <w:r>
              <w:t>Transactional</w:t>
            </w:r>
          </w:p>
        </w:tc>
        <w:tc>
          <w:tcPr>
            <w:tcW w:w="725" w:type="dxa"/>
          </w:tcPr>
          <w:p w14:paraId="6A740B43" w14:textId="47816F1A" w:rsidR="00DD1BB1" w:rsidRDefault="00DD1BB1" w:rsidP="00DD1BB1">
            <w:pPr>
              <w:pStyle w:val="TableText"/>
              <w:cnfStyle w:val="000000000000" w:firstRow="0" w:lastRow="0" w:firstColumn="0" w:lastColumn="0" w:oddVBand="0" w:evenVBand="0" w:oddHBand="0" w:evenHBand="0" w:firstRowFirstColumn="0" w:firstRowLastColumn="0" w:lastRowFirstColumn="0" w:lastRowLastColumn="0"/>
            </w:pPr>
            <w:r>
              <w:t>RFT</w:t>
            </w:r>
          </w:p>
        </w:tc>
        <w:tc>
          <w:tcPr>
            <w:tcW w:w="786" w:type="dxa"/>
          </w:tcPr>
          <w:p w14:paraId="00E0F9E3" w14:textId="7ABDBDFD" w:rsidR="00DD1BB1" w:rsidRDefault="00DD1BB1" w:rsidP="00DD1BB1">
            <w:pPr>
              <w:pStyle w:val="TableText"/>
              <w:cnfStyle w:val="000000000000" w:firstRow="0" w:lastRow="0" w:firstColumn="0" w:lastColumn="0" w:oddVBand="0" w:evenVBand="0" w:oddHBand="0" w:evenHBand="0" w:firstRowFirstColumn="0" w:firstRowLastColumn="0" w:lastRowFirstColumn="0" w:lastRowLastColumn="0"/>
            </w:pPr>
            <w:r>
              <w:t>Closed</w:t>
            </w:r>
          </w:p>
        </w:tc>
        <w:tc>
          <w:tcPr>
            <w:tcW w:w="580" w:type="dxa"/>
          </w:tcPr>
          <w:p w14:paraId="51DF2632" w14:textId="6F5CC03C" w:rsidR="00DD1BB1" w:rsidRDefault="00DD1BB1" w:rsidP="00934CD4">
            <w:pPr>
              <w:pStyle w:val="Tablenumbers"/>
              <w:cnfStyle w:val="000000000000" w:firstRow="0" w:lastRow="0" w:firstColumn="0" w:lastColumn="0" w:oddVBand="0" w:evenVBand="0" w:oddHBand="0" w:evenHBand="0" w:firstRowFirstColumn="0" w:firstRowLastColumn="0" w:lastRowFirstColumn="0" w:lastRowLastColumn="0"/>
            </w:pPr>
            <w:r>
              <w:t>7</w:t>
            </w:r>
          </w:p>
        </w:tc>
      </w:tr>
      <w:tr w:rsidR="00200BCC" w14:paraId="5BF0065F" w14:textId="77777777" w:rsidTr="00200B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4" w:type="dxa"/>
            <w:vMerge/>
          </w:tcPr>
          <w:p w14:paraId="453D98AB" w14:textId="77777777" w:rsidR="00DD1BB1" w:rsidRPr="00E3492C" w:rsidRDefault="00DD1BB1" w:rsidP="00DD1BB1">
            <w:pPr>
              <w:pStyle w:val="TableText"/>
            </w:pPr>
          </w:p>
        </w:tc>
        <w:tc>
          <w:tcPr>
            <w:tcW w:w="513" w:type="dxa"/>
            <w:vMerge/>
          </w:tcPr>
          <w:p w14:paraId="6716A346" w14:textId="77777777" w:rsidR="00DD1BB1" w:rsidRDefault="00DD1BB1" w:rsidP="00934CD4">
            <w:pPr>
              <w:pStyle w:val="Tablenumbers"/>
              <w:cnfStyle w:val="000000100000" w:firstRow="0" w:lastRow="0" w:firstColumn="0" w:lastColumn="0" w:oddVBand="0" w:evenVBand="0" w:oddHBand="1" w:evenHBand="0" w:firstRowFirstColumn="0" w:firstRowLastColumn="0" w:lastRowFirstColumn="0" w:lastRowLastColumn="0"/>
            </w:pPr>
          </w:p>
        </w:tc>
        <w:tc>
          <w:tcPr>
            <w:tcW w:w="1671" w:type="dxa"/>
          </w:tcPr>
          <w:p w14:paraId="6A829562" w14:textId="5447B023" w:rsidR="00DD1BB1" w:rsidRDefault="00DD1BB1" w:rsidP="00DD1BB1">
            <w:pPr>
              <w:pStyle w:val="TableText"/>
              <w:cnfStyle w:val="000000100000" w:firstRow="0" w:lastRow="0" w:firstColumn="0" w:lastColumn="0" w:oddVBand="0" w:evenVBand="0" w:oddHBand="1" w:evenHBand="0" w:firstRowFirstColumn="0" w:firstRowLastColumn="0" w:lastRowFirstColumn="0" w:lastRowLastColumn="0"/>
            </w:pPr>
            <w:r>
              <w:t>Assurance services panel</w:t>
            </w:r>
          </w:p>
        </w:tc>
        <w:tc>
          <w:tcPr>
            <w:tcW w:w="784" w:type="dxa"/>
          </w:tcPr>
          <w:p w14:paraId="2EA9D274" w14:textId="5D3D0FBF" w:rsidR="00DD1BB1" w:rsidRDefault="00DD1BB1" w:rsidP="00934CD4">
            <w:pPr>
              <w:pStyle w:val="Tablenumbers"/>
              <w:cnfStyle w:val="000000100000" w:firstRow="0" w:lastRow="0" w:firstColumn="0" w:lastColumn="0" w:oddVBand="0" w:evenVBand="0" w:oddHBand="1" w:evenHBand="0" w:firstRowFirstColumn="0" w:firstRowLastColumn="0" w:lastRowFirstColumn="0" w:lastRowLastColumn="0"/>
            </w:pPr>
            <w:r>
              <w:t>$2.9</w:t>
            </w:r>
          </w:p>
        </w:tc>
        <w:tc>
          <w:tcPr>
            <w:tcW w:w="675" w:type="dxa"/>
          </w:tcPr>
          <w:p w14:paraId="43FB7DAA" w14:textId="0A91F4D9" w:rsidR="00DD1BB1" w:rsidRDefault="00DD1BB1" w:rsidP="00934CD4">
            <w:pPr>
              <w:pStyle w:val="Tablenumbers"/>
              <w:cnfStyle w:val="000000100000" w:firstRow="0" w:lastRow="0" w:firstColumn="0" w:lastColumn="0" w:oddVBand="0" w:evenVBand="0" w:oddHBand="1" w:evenHBand="0" w:firstRowFirstColumn="0" w:firstRowLastColumn="0" w:lastRowFirstColumn="0" w:lastRowLastColumn="0"/>
            </w:pPr>
            <w:r>
              <w:t>3</w:t>
            </w:r>
          </w:p>
        </w:tc>
        <w:tc>
          <w:tcPr>
            <w:tcW w:w="546" w:type="dxa"/>
          </w:tcPr>
          <w:p w14:paraId="2210AE36" w14:textId="508A89A8" w:rsidR="00DD1BB1" w:rsidRDefault="00DD1BB1" w:rsidP="00934CD4">
            <w:pPr>
              <w:pStyle w:val="Tablenumbers"/>
              <w:cnfStyle w:val="000000100000" w:firstRow="0" w:lastRow="0" w:firstColumn="0" w:lastColumn="0" w:oddVBand="0" w:evenVBand="0" w:oddHBand="1" w:evenHBand="0" w:firstRowFirstColumn="0" w:firstRowLastColumn="0" w:lastRowFirstColumn="0" w:lastRowLastColumn="0"/>
            </w:pPr>
            <w:r>
              <w:t>.. </w:t>
            </w:r>
          </w:p>
        </w:tc>
        <w:tc>
          <w:tcPr>
            <w:tcW w:w="1308" w:type="dxa"/>
          </w:tcPr>
          <w:p w14:paraId="74F82415" w14:textId="586144F7" w:rsidR="00DD1BB1" w:rsidRDefault="00DD1BB1" w:rsidP="00DD1BB1">
            <w:pPr>
              <w:pStyle w:val="TableText"/>
              <w:cnfStyle w:val="000000100000" w:firstRow="0" w:lastRow="0" w:firstColumn="0" w:lastColumn="0" w:oddVBand="0" w:evenVBand="0" w:oddHBand="1" w:evenHBand="0" w:firstRowFirstColumn="0" w:firstRowLastColumn="0" w:lastRowFirstColumn="0" w:lastRowLastColumn="0"/>
            </w:pPr>
            <w:r>
              <w:t>Transactional</w:t>
            </w:r>
          </w:p>
        </w:tc>
        <w:tc>
          <w:tcPr>
            <w:tcW w:w="725" w:type="dxa"/>
          </w:tcPr>
          <w:p w14:paraId="6E8D2AFE" w14:textId="72AA300C" w:rsidR="00DD1BB1" w:rsidRDefault="00DD1BB1" w:rsidP="00DD1BB1">
            <w:pPr>
              <w:pStyle w:val="TableText"/>
              <w:cnfStyle w:val="000000100000" w:firstRow="0" w:lastRow="0" w:firstColumn="0" w:lastColumn="0" w:oddVBand="0" w:evenVBand="0" w:oddHBand="1" w:evenHBand="0" w:firstRowFirstColumn="0" w:firstRowLastColumn="0" w:lastRowFirstColumn="0" w:lastRowLastColumn="0"/>
            </w:pPr>
            <w:r>
              <w:t>RFT</w:t>
            </w:r>
          </w:p>
        </w:tc>
        <w:tc>
          <w:tcPr>
            <w:tcW w:w="786" w:type="dxa"/>
          </w:tcPr>
          <w:p w14:paraId="38B74BBC" w14:textId="019513DF" w:rsidR="00DD1BB1" w:rsidRDefault="00DD1BB1" w:rsidP="00DD1BB1">
            <w:pPr>
              <w:pStyle w:val="TableText"/>
              <w:cnfStyle w:val="000000100000" w:firstRow="0" w:lastRow="0" w:firstColumn="0" w:lastColumn="0" w:oddVBand="0" w:evenVBand="0" w:oddHBand="1" w:evenHBand="0" w:firstRowFirstColumn="0" w:firstRowLastColumn="0" w:lastRowFirstColumn="0" w:lastRowLastColumn="0"/>
            </w:pPr>
            <w:r>
              <w:t>Closed</w:t>
            </w:r>
          </w:p>
        </w:tc>
        <w:tc>
          <w:tcPr>
            <w:tcW w:w="580" w:type="dxa"/>
          </w:tcPr>
          <w:p w14:paraId="6AE12FB4" w14:textId="1F4A4D18" w:rsidR="00DD1BB1" w:rsidRDefault="00DD1BB1" w:rsidP="00934CD4">
            <w:pPr>
              <w:pStyle w:val="Tablenumbers"/>
              <w:cnfStyle w:val="000000100000" w:firstRow="0" w:lastRow="0" w:firstColumn="0" w:lastColumn="0" w:oddVBand="0" w:evenVBand="0" w:oddHBand="1" w:evenHBand="0" w:firstRowFirstColumn="0" w:firstRowLastColumn="0" w:lastRowFirstColumn="0" w:lastRowLastColumn="0"/>
            </w:pPr>
            <w:r>
              <w:t>8</w:t>
            </w:r>
          </w:p>
        </w:tc>
      </w:tr>
      <w:tr w:rsidR="00200BCC" w14:paraId="5FBA4EED" w14:textId="77777777" w:rsidTr="00200BCC">
        <w:tc>
          <w:tcPr>
            <w:cnfStyle w:val="001000000000" w:firstRow="0" w:lastRow="0" w:firstColumn="1" w:lastColumn="0" w:oddVBand="0" w:evenVBand="0" w:oddHBand="0" w:evenHBand="0" w:firstRowFirstColumn="0" w:firstRowLastColumn="0" w:lastRowFirstColumn="0" w:lastRowLastColumn="0"/>
            <w:tcW w:w="1394" w:type="dxa"/>
            <w:vMerge/>
          </w:tcPr>
          <w:p w14:paraId="22315FA0" w14:textId="77777777" w:rsidR="00DD1BB1" w:rsidRPr="00E3492C" w:rsidRDefault="00DD1BB1" w:rsidP="00DD1BB1">
            <w:pPr>
              <w:pStyle w:val="TableText"/>
            </w:pPr>
          </w:p>
        </w:tc>
        <w:tc>
          <w:tcPr>
            <w:tcW w:w="513" w:type="dxa"/>
            <w:vMerge/>
          </w:tcPr>
          <w:p w14:paraId="5B2E534B" w14:textId="77777777" w:rsidR="00DD1BB1" w:rsidRDefault="00DD1BB1" w:rsidP="00934CD4">
            <w:pPr>
              <w:pStyle w:val="Tablenumbers"/>
              <w:cnfStyle w:val="000000000000" w:firstRow="0" w:lastRow="0" w:firstColumn="0" w:lastColumn="0" w:oddVBand="0" w:evenVBand="0" w:oddHBand="0" w:evenHBand="0" w:firstRowFirstColumn="0" w:firstRowLastColumn="0" w:lastRowFirstColumn="0" w:lastRowLastColumn="0"/>
            </w:pPr>
          </w:p>
        </w:tc>
        <w:tc>
          <w:tcPr>
            <w:tcW w:w="1671" w:type="dxa"/>
          </w:tcPr>
          <w:p w14:paraId="1B3E39BE" w14:textId="007C4B6B" w:rsidR="00DD1BB1" w:rsidRDefault="00DD1BB1" w:rsidP="00DD1BB1">
            <w:pPr>
              <w:pStyle w:val="TableText"/>
              <w:cnfStyle w:val="000000000000" w:firstRow="0" w:lastRow="0" w:firstColumn="0" w:lastColumn="0" w:oddVBand="0" w:evenVBand="0" w:oddHBand="0" w:evenHBand="0" w:firstRowFirstColumn="0" w:firstRowLastColumn="0" w:lastRowFirstColumn="0" w:lastRowLastColumn="0"/>
            </w:pPr>
            <w:r>
              <w:t xml:space="preserve">Personal protective </w:t>
            </w:r>
            <w:r>
              <w:lastRenderedPageBreak/>
              <w:t>clothing for firefighters</w:t>
            </w:r>
          </w:p>
        </w:tc>
        <w:tc>
          <w:tcPr>
            <w:tcW w:w="784" w:type="dxa"/>
          </w:tcPr>
          <w:p w14:paraId="3D39EB2A" w14:textId="3B65F61A" w:rsidR="00DD1BB1" w:rsidRDefault="00DD1BB1" w:rsidP="00934CD4">
            <w:pPr>
              <w:pStyle w:val="Tablenumbers"/>
              <w:cnfStyle w:val="000000000000" w:firstRow="0" w:lastRow="0" w:firstColumn="0" w:lastColumn="0" w:oddVBand="0" w:evenVBand="0" w:oddHBand="0" w:evenHBand="0" w:firstRowFirstColumn="0" w:firstRowLastColumn="0" w:lastRowFirstColumn="0" w:lastRowLastColumn="0"/>
            </w:pPr>
            <w:r>
              <w:lastRenderedPageBreak/>
              <w:t>$4.0</w:t>
            </w:r>
          </w:p>
        </w:tc>
        <w:tc>
          <w:tcPr>
            <w:tcW w:w="675" w:type="dxa"/>
          </w:tcPr>
          <w:p w14:paraId="71FF8C7C" w14:textId="519F200F" w:rsidR="00DD1BB1" w:rsidRDefault="00DD1BB1" w:rsidP="00934CD4">
            <w:pPr>
              <w:pStyle w:val="Tablenumbers"/>
              <w:cnfStyle w:val="000000000000" w:firstRow="0" w:lastRow="0" w:firstColumn="0" w:lastColumn="0" w:oddVBand="0" w:evenVBand="0" w:oddHBand="0" w:evenHBand="0" w:firstRowFirstColumn="0" w:firstRowLastColumn="0" w:lastRowFirstColumn="0" w:lastRowLastColumn="0"/>
            </w:pPr>
            <w:r>
              <w:t>3</w:t>
            </w:r>
          </w:p>
        </w:tc>
        <w:tc>
          <w:tcPr>
            <w:tcW w:w="546" w:type="dxa"/>
          </w:tcPr>
          <w:p w14:paraId="73BD7644" w14:textId="5A50DEB7" w:rsidR="00DD1BB1" w:rsidRDefault="00DD1BB1" w:rsidP="00934CD4">
            <w:pPr>
              <w:pStyle w:val="Tablenumbers"/>
              <w:cnfStyle w:val="000000000000" w:firstRow="0" w:lastRow="0" w:firstColumn="0" w:lastColumn="0" w:oddVBand="0" w:evenVBand="0" w:oddHBand="0" w:evenHBand="0" w:firstRowFirstColumn="0" w:firstRowLastColumn="0" w:lastRowFirstColumn="0" w:lastRowLastColumn="0"/>
            </w:pPr>
            <w:r>
              <w:t>.. </w:t>
            </w:r>
          </w:p>
        </w:tc>
        <w:tc>
          <w:tcPr>
            <w:tcW w:w="1308" w:type="dxa"/>
          </w:tcPr>
          <w:p w14:paraId="466F0D68" w14:textId="531EDA05" w:rsidR="00DD1BB1" w:rsidRDefault="00DD1BB1" w:rsidP="00DD1BB1">
            <w:pPr>
              <w:pStyle w:val="TableText"/>
              <w:cnfStyle w:val="000000000000" w:firstRow="0" w:lastRow="0" w:firstColumn="0" w:lastColumn="0" w:oddVBand="0" w:evenVBand="0" w:oddHBand="0" w:evenHBand="0" w:firstRowFirstColumn="0" w:firstRowLastColumn="0" w:lastRowFirstColumn="0" w:lastRowLastColumn="0"/>
            </w:pPr>
            <w:r>
              <w:t>Strategic</w:t>
            </w:r>
          </w:p>
        </w:tc>
        <w:tc>
          <w:tcPr>
            <w:tcW w:w="725" w:type="dxa"/>
          </w:tcPr>
          <w:p w14:paraId="2D622E9E" w14:textId="2E71B6CD" w:rsidR="00DD1BB1" w:rsidRDefault="00DD1BB1" w:rsidP="00DD1BB1">
            <w:pPr>
              <w:pStyle w:val="TableText"/>
              <w:cnfStyle w:val="000000000000" w:firstRow="0" w:lastRow="0" w:firstColumn="0" w:lastColumn="0" w:oddVBand="0" w:evenVBand="0" w:oddHBand="0" w:evenHBand="0" w:firstRowFirstColumn="0" w:firstRowLastColumn="0" w:lastRowFirstColumn="0" w:lastRowLastColumn="0"/>
            </w:pPr>
            <w:r>
              <w:t>RFT</w:t>
            </w:r>
          </w:p>
        </w:tc>
        <w:tc>
          <w:tcPr>
            <w:tcW w:w="786" w:type="dxa"/>
          </w:tcPr>
          <w:p w14:paraId="2AA32317" w14:textId="4F3BE901" w:rsidR="00DD1BB1" w:rsidRDefault="00DD1BB1" w:rsidP="00DD1BB1">
            <w:pPr>
              <w:pStyle w:val="TableText"/>
              <w:cnfStyle w:val="000000000000" w:firstRow="0" w:lastRow="0" w:firstColumn="0" w:lastColumn="0" w:oddVBand="0" w:evenVBand="0" w:oddHBand="0" w:evenHBand="0" w:firstRowFirstColumn="0" w:firstRowLastColumn="0" w:lastRowFirstColumn="0" w:lastRowLastColumn="0"/>
            </w:pPr>
            <w:r>
              <w:t>Closed</w:t>
            </w:r>
          </w:p>
        </w:tc>
        <w:tc>
          <w:tcPr>
            <w:tcW w:w="580" w:type="dxa"/>
          </w:tcPr>
          <w:p w14:paraId="4F85EBF7" w14:textId="24B21095" w:rsidR="00DD1BB1" w:rsidRDefault="00DD1BB1" w:rsidP="00934CD4">
            <w:pPr>
              <w:pStyle w:val="Tablenumbers"/>
              <w:cnfStyle w:val="000000000000" w:firstRow="0" w:lastRow="0" w:firstColumn="0" w:lastColumn="0" w:oddVBand="0" w:evenVBand="0" w:oddHBand="0" w:evenHBand="0" w:firstRowFirstColumn="0" w:firstRowLastColumn="0" w:lastRowFirstColumn="0" w:lastRowLastColumn="0"/>
            </w:pPr>
            <w:r>
              <w:t>1</w:t>
            </w:r>
          </w:p>
        </w:tc>
      </w:tr>
      <w:tr w:rsidR="00200BCC" w14:paraId="30F7AD63" w14:textId="77777777" w:rsidTr="00200B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4" w:type="dxa"/>
            <w:vMerge/>
          </w:tcPr>
          <w:p w14:paraId="0972BF08" w14:textId="77777777" w:rsidR="00DD1BB1" w:rsidRPr="00E3492C" w:rsidRDefault="00DD1BB1" w:rsidP="00DD1BB1">
            <w:pPr>
              <w:pStyle w:val="TableText"/>
            </w:pPr>
          </w:p>
        </w:tc>
        <w:tc>
          <w:tcPr>
            <w:tcW w:w="513" w:type="dxa"/>
            <w:vMerge/>
          </w:tcPr>
          <w:p w14:paraId="12173CB9" w14:textId="77777777" w:rsidR="00DD1BB1" w:rsidRDefault="00DD1BB1" w:rsidP="00934CD4">
            <w:pPr>
              <w:pStyle w:val="Tablenumbers"/>
              <w:cnfStyle w:val="000000100000" w:firstRow="0" w:lastRow="0" w:firstColumn="0" w:lastColumn="0" w:oddVBand="0" w:evenVBand="0" w:oddHBand="1" w:evenHBand="0" w:firstRowFirstColumn="0" w:firstRowLastColumn="0" w:lastRowFirstColumn="0" w:lastRowLastColumn="0"/>
            </w:pPr>
          </w:p>
        </w:tc>
        <w:tc>
          <w:tcPr>
            <w:tcW w:w="1671" w:type="dxa"/>
          </w:tcPr>
          <w:p w14:paraId="20813C22" w14:textId="5E32F6C6" w:rsidR="00DD1BB1" w:rsidRDefault="00DD1BB1" w:rsidP="00DD1BB1">
            <w:pPr>
              <w:pStyle w:val="TableText"/>
              <w:cnfStyle w:val="000000100000" w:firstRow="0" w:lastRow="0" w:firstColumn="0" w:lastColumn="0" w:oddVBand="0" w:evenVBand="0" w:oddHBand="1" w:evenHBand="0" w:firstRowFirstColumn="0" w:firstRowLastColumn="0" w:lastRowFirstColumn="0" w:lastRowLastColumn="0"/>
            </w:pPr>
            <w:r>
              <w:t>Statewide labour hire panel</w:t>
            </w:r>
          </w:p>
        </w:tc>
        <w:tc>
          <w:tcPr>
            <w:tcW w:w="784" w:type="dxa"/>
          </w:tcPr>
          <w:p w14:paraId="18EC9D4D" w14:textId="6431F12E" w:rsidR="00DD1BB1" w:rsidRDefault="00DD1BB1" w:rsidP="00934CD4">
            <w:pPr>
              <w:pStyle w:val="Tablenumbers"/>
              <w:cnfStyle w:val="000000100000" w:firstRow="0" w:lastRow="0" w:firstColumn="0" w:lastColumn="0" w:oddVBand="0" w:evenVBand="0" w:oddHBand="1" w:evenHBand="0" w:firstRowFirstColumn="0" w:firstRowLastColumn="0" w:lastRowFirstColumn="0" w:lastRowLastColumn="0"/>
            </w:pPr>
            <w:r>
              <w:t>$5.0</w:t>
            </w:r>
          </w:p>
        </w:tc>
        <w:tc>
          <w:tcPr>
            <w:tcW w:w="675" w:type="dxa"/>
          </w:tcPr>
          <w:p w14:paraId="485B483F" w14:textId="6AFE5716" w:rsidR="00DD1BB1" w:rsidRDefault="00DD1BB1" w:rsidP="00934CD4">
            <w:pPr>
              <w:pStyle w:val="Tablenumbers"/>
              <w:cnfStyle w:val="000000100000" w:firstRow="0" w:lastRow="0" w:firstColumn="0" w:lastColumn="0" w:oddVBand="0" w:evenVBand="0" w:oddHBand="1" w:evenHBand="0" w:firstRowFirstColumn="0" w:firstRowLastColumn="0" w:lastRowFirstColumn="0" w:lastRowLastColumn="0"/>
            </w:pPr>
            <w:r>
              <w:t>3</w:t>
            </w:r>
          </w:p>
        </w:tc>
        <w:tc>
          <w:tcPr>
            <w:tcW w:w="546" w:type="dxa"/>
          </w:tcPr>
          <w:p w14:paraId="70EF7858" w14:textId="321B5C1E" w:rsidR="00DD1BB1" w:rsidRDefault="00DD1BB1" w:rsidP="00934CD4">
            <w:pPr>
              <w:pStyle w:val="Tablenumbers"/>
              <w:cnfStyle w:val="000000100000" w:firstRow="0" w:lastRow="0" w:firstColumn="0" w:lastColumn="0" w:oddVBand="0" w:evenVBand="0" w:oddHBand="1" w:evenHBand="0" w:firstRowFirstColumn="0" w:firstRowLastColumn="0" w:lastRowFirstColumn="0" w:lastRowLastColumn="0"/>
            </w:pPr>
            <w:r>
              <w:t>.. </w:t>
            </w:r>
          </w:p>
        </w:tc>
        <w:tc>
          <w:tcPr>
            <w:tcW w:w="1308" w:type="dxa"/>
          </w:tcPr>
          <w:p w14:paraId="2DE8B18B" w14:textId="2578EC60" w:rsidR="00DD1BB1" w:rsidRDefault="00DD1BB1" w:rsidP="00DD1BB1">
            <w:pPr>
              <w:pStyle w:val="TableText"/>
              <w:cnfStyle w:val="000000100000" w:firstRow="0" w:lastRow="0" w:firstColumn="0" w:lastColumn="0" w:oddVBand="0" w:evenVBand="0" w:oddHBand="1" w:evenHBand="0" w:firstRowFirstColumn="0" w:firstRowLastColumn="0" w:lastRowFirstColumn="0" w:lastRowLastColumn="0"/>
            </w:pPr>
            <w:r>
              <w:t>Leveraged</w:t>
            </w:r>
          </w:p>
        </w:tc>
        <w:tc>
          <w:tcPr>
            <w:tcW w:w="725" w:type="dxa"/>
          </w:tcPr>
          <w:p w14:paraId="52EFF8C9" w14:textId="754A1C94" w:rsidR="00DD1BB1" w:rsidRDefault="00DD1BB1" w:rsidP="00DD1BB1">
            <w:pPr>
              <w:pStyle w:val="TableText"/>
              <w:cnfStyle w:val="000000100000" w:firstRow="0" w:lastRow="0" w:firstColumn="0" w:lastColumn="0" w:oddVBand="0" w:evenVBand="0" w:oddHBand="1" w:evenHBand="0" w:firstRowFirstColumn="0" w:firstRowLastColumn="0" w:lastRowFirstColumn="0" w:lastRowLastColumn="0"/>
            </w:pPr>
            <w:r>
              <w:t>RFT</w:t>
            </w:r>
          </w:p>
        </w:tc>
        <w:tc>
          <w:tcPr>
            <w:tcW w:w="786" w:type="dxa"/>
          </w:tcPr>
          <w:p w14:paraId="5B28284F" w14:textId="2394DC4F" w:rsidR="00DD1BB1" w:rsidRDefault="00DD1BB1" w:rsidP="00DD1BB1">
            <w:pPr>
              <w:pStyle w:val="TableText"/>
              <w:cnfStyle w:val="000000100000" w:firstRow="0" w:lastRow="0" w:firstColumn="0" w:lastColumn="0" w:oddVBand="0" w:evenVBand="0" w:oddHBand="1" w:evenHBand="0" w:firstRowFirstColumn="0" w:firstRowLastColumn="0" w:lastRowFirstColumn="0" w:lastRowLastColumn="0"/>
            </w:pPr>
            <w:r>
              <w:t>Closed</w:t>
            </w:r>
          </w:p>
        </w:tc>
        <w:tc>
          <w:tcPr>
            <w:tcW w:w="580" w:type="dxa"/>
          </w:tcPr>
          <w:p w14:paraId="2E9F511E" w14:textId="5E9DB234" w:rsidR="00DD1BB1" w:rsidRDefault="00DD1BB1" w:rsidP="00934CD4">
            <w:pPr>
              <w:pStyle w:val="Tablenumbers"/>
              <w:cnfStyle w:val="000000100000" w:firstRow="0" w:lastRow="0" w:firstColumn="0" w:lastColumn="0" w:oddVBand="0" w:evenVBand="0" w:oddHBand="1" w:evenHBand="0" w:firstRowFirstColumn="0" w:firstRowLastColumn="0" w:lastRowFirstColumn="0" w:lastRowLastColumn="0"/>
            </w:pPr>
            <w:r>
              <w:t>3</w:t>
            </w:r>
          </w:p>
        </w:tc>
      </w:tr>
      <w:tr w:rsidR="00200BCC" w14:paraId="2BCBE67C" w14:textId="77777777" w:rsidTr="00200BCC">
        <w:tc>
          <w:tcPr>
            <w:cnfStyle w:val="001000000000" w:firstRow="0" w:lastRow="0" w:firstColumn="1" w:lastColumn="0" w:oddVBand="0" w:evenVBand="0" w:oddHBand="0" w:evenHBand="0" w:firstRowFirstColumn="0" w:firstRowLastColumn="0" w:lastRowFirstColumn="0" w:lastRowLastColumn="0"/>
            <w:tcW w:w="1394" w:type="dxa"/>
            <w:vMerge/>
          </w:tcPr>
          <w:p w14:paraId="28C37F5D" w14:textId="77777777" w:rsidR="00DD1BB1" w:rsidRPr="00E3492C" w:rsidRDefault="00DD1BB1" w:rsidP="00DD1BB1">
            <w:pPr>
              <w:pStyle w:val="TableText"/>
            </w:pPr>
          </w:p>
        </w:tc>
        <w:tc>
          <w:tcPr>
            <w:tcW w:w="513" w:type="dxa"/>
            <w:vMerge/>
          </w:tcPr>
          <w:p w14:paraId="6EF9E8CD" w14:textId="77777777" w:rsidR="00DD1BB1" w:rsidRDefault="00DD1BB1" w:rsidP="00934CD4">
            <w:pPr>
              <w:pStyle w:val="Tablenumbers"/>
              <w:cnfStyle w:val="000000000000" w:firstRow="0" w:lastRow="0" w:firstColumn="0" w:lastColumn="0" w:oddVBand="0" w:evenVBand="0" w:oddHBand="0" w:evenHBand="0" w:firstRowFirstColumn="0" w:firstRowLastColumn="0" w:lastRowFirstColumn="0" w:lastRowLastColumn="0"/>
            </w:pPr>
          </w:p>
        </w:tc>
        <w:tc>
          <w:tcPr>
            <w:tcW w:w="1671" w:type="dxa"/>
          </w:tcPr>
          <w:p w14:paraId="0464EE65" w14:textId="62CA70AC" w:rsidR="00DD1BB1" w:rsidRDefault="00DD1BB1" w:rsidP="00DD1BB1">
            <w:pPr>
              <w:pStyle w:val="TableText"/>
              <w:cnfStyle w:val="000000000000" w:firstRow="0" w:lastRow="0" w:firstColumn="0" w:lastColumn="0" w:oddVBand="0" w:evenVBand="0" w:oddHBand="0" w:evenHBand="0" w:firstRowFirstColumn="0" w:firstRowLastColumn="0" w:lastRowFirstColumn="0" w:lastRowLastColumn="0"/>
            </w:pPr>
            <w:r>
              <w:t>Statewide emergency event catering panel</w:t>
            </w:r>
          </w:p>
        </w:tc>
        <w:tc>
          <w:tcPr>
            <w:tcW w:w="784" w:type="dxa"/>
          </w:tcPr>
          <w:p w14:paraId="2F1A5E27" w14:textId="0B515306" w:rsidR="00DD1BB1" w:rsidRDefault="00DD1BB1" w:rsidP="00934CD4">
            <w:pPr>
              <w:pStyle w:val="Tablenumbers"/>
              <w:cnfStyle w:val="000000000000" w:firstRow="0" w:lastRow="0" w:firstColumn="0" w:lastColumn="0" w:oddVBand="0" w:evenVBand="0" w:oddHBand="0" w:evenHBand="0" w:firstRowFirstColumn="0" w:firstRowLastColumn="0" w:lastRowFirstColumn="0" w:lastRowLastColumn="0"/>
            </w:pPr>
            <w:r>
              <w:t>$9.0</w:t>
            </w:r>
          </w:p>
        </w:tc>
        <w:tc>
          <w:tcPr>
            <w:tcW w:w="675" w:type="dxa"/>
          </w:tcPr>
          <w:p w14:paraId="219AC042" w14:textId="49EACD2B" w:rsidR="00DD1BB1" w:rsidRDefault="00DD1BB1" w:rsidP="00934CD4">
            <w:pPr>
              <w:pStyle w:val="Tablenumbers"/>
              <w:cnfStyle w:val="000000000000" w:firstRow="0" w:lastRow="0" w:firstColumn="0" w:lastColumn="0" w:oddVBand="0" w:evenVBand="0" w:oddHBand="0" w:evenHBand="0" w:firstRowFirstColumn="0" w:firstRowLastColumn="0" w:lastRowFirstColumn="0" w:lastRowLastColumn="0"/>
            </w:pPr>
            <w:r>
              <w:t>5</w:t>
            </w:r>
          </w:p>
        </w:tc>
        <w:tc>
          <w:tcPr>
            <w:tcW w:w="546" w:type="dxa"/>
          </w:tcPr>
          <w:p w14:paraId="48CE5F65" w14:textId="311E61A5" w:rsidR="00DD1BB1" w:rsidRDefault="00DD1BB1" w:rsidP="00934CD4">
            <w:pPr>
              <w:pStyle w:val="Tablenumbers"/>
              <w:cnfStyle w:val="000000000000" w:firstRow="0" w:lastRow="0" w:firstColumn="0" w:lastColumn="0" w:oddVBand="0" w:evenVBand="0" w:oddHBand="0" w:evenHBand="0" w:firstRowFirstColumn="0" w:firstRowLastColumn="0" w:lastRowFirstColumn="0" w:lastRowLastColumn="0"/>
            </w:pPr>
            <w:r>
              <w:t>.. </w:t>
            </w:r>
          </w:p>
        </w:tc>
        <w:tc>
          <w:tcPr>
            <w:tcW w:w="1308" w:type="dxa"/>
          </w:tcPr>
          <w:p w14:paraId="302E811B" w14:textId="42CC710D" w:rsidR="00DD1BB1" w:rsidRDefault="00DD1BB1" w:rsidP="00DD1BB1">
            <w:pPr>
              <w:pStyle w:val="TableText"/>
              <w:cnfStyle w:val="000000000000" w:firstRow="0" w:lastRow="0" w:firstColumn="0" w:lastColumn="0" w:oddVBand="0" w:evenVBand="0" w:oddHBand="0" w:evenHBand="0" w:firstRowFirstColumn="0" w:firstRowLastColumn="0" w:lastRowFirstColumn="0" w:lastRowLastColumn="0"/>
            </w:pPr>
            <w:r>
              <w:t>Transactional</w:t>
            </w:r>
          </w:p>
        </w:tc>
        <w:tc>
          <w:tcPr>
            <w:tcW w:w="725" w:type="dxa"/>
          </w:tcPr>
          <w:p w14:paraId="031BB35E" w14:textId="7F8690BD" w:rsidR="00DD1BB1" w:rsidRDefault="00DD1BB1" w:rsidP="00DD1BB1">
            <w:pPr>
              <w:pStyle w:val="TableText"/>
              <w:cnfStyle w:val="000000000000" w:firstRow="0" w:lastRow="0" w:firstColumn="0" w:lastColumn="0" w:oddVBand="0" w:evenVBand="0" w:oddHBand="0" w:evenHBand="0" w:firstRowFirstColumn="0" w:firstRowLastColumn="0" w:lastRowFirstColumn="0" w:lastRowLastColumn="0"/>
            </w:pPr>
            <w:r>
              <w:t>RFT</w:t>
            </w:r>
          </w:p>
        </w:tc>
        <w:tc>
          <w:tcPr>
            <w:tcW w:w="786" w:type="dxa"/>
          </w:tcPr>
          <w:p w14:paraId="58BCC65C" w14:textId="131F5E81" w:rsidR="00DD1BB1" w:rsidRDefault="00DD1BB1" w:rsidP="00DD1BB1">
            <w:pPr>
              <w:pStyle w:val="TableText"/>
              <w:cnfStyle w:val="000000000000" w:firstRow="0" w:lastRow="0" w:firstColumn="0" w:lastColumn="0" w:oddVBand="0" w:evenVBand="0" w:oddHBand="0" w:evenHBand="0" w:firstRowFirstColumn="0" w:firstRowLastColumn="0" w:lastRowFirstColumn="0" w:lastRowLastColumn="0"/>
            </w:pPr>
            <w:r>
              <w:t>Closed</w:t>
            </w:r>
          </w:p>
        </w:tc>
        <w:tc>
          <w:tcPr>
            <w:tcW w:w="580" w:type="dxa"/>
          </w:tcPr>
          <w:p w14:paraId="5D128D84" w14:textId="06115611" w:rsidR="00DD1BB1" w:rsidRDefault="00DD1BB1" w:rsidP="00934CD4">
            <w:pPr>
              <w:pStyle w:val="Tablenumbers"/>
              <w:cnfStyle w:val="000000000000" w:firstRow="0" w:lastRow="0" w:firstColumn="0" w:lastColumn="0" w:oddVBand="0" w:evenVBand="0" w:oddHBand="0" w:evenHBand="0" w:firstRowFirstColumn="0" w:firstRowLastColumn="0" w:lastRowFirstColumn="0" w:lastRowLastColumn="0"/>
            </w:pPr>
            <w:r>
              <w:t>3</w:t>
            </w:r>
          </w:p>
        </w:tc>
      </w:tr>
      <w:tr w:rsidR="00200BCC" w14:paraId="5A77FF98" w14:textId="77777777" w:rsidTr="00200B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4" w:type="dxa"/>
            <w:vMerge w:val="restart"/>
          </w:tcPr>
          <w:p w14:paraId="4855DB3E" w14:textId="2068D616" w:rsidR="00DD1BB1" w:rsidRPr="00200BCC" w:rsidRDefault="00200BCC" w:rsidP="00DD1BB1">
            <w:pPr>
              <w:pStyle w:val="TableText"/>
              <w:rPr>
                <w:b w:val="0"/>
              </w:rPr>
            </w:pPr>
            <w:r w:rsidRPr="00200BCC">
              <w:rPr>
                <w:b w:val="0"/>
              </w:rPr>
              <w:t xml:space="preserve">Department of </w:t>
            </w:r>
            <w:r w:rsidR="00DD1BB1" w:rsidRPr="00200BCC">
              <w:rPr>
                <w:b w:val="0"/>
              </w:rPr>
              <w:t>Health and Human Services</w:t>
            </w:r>
          </w:p>
        </w:tc>
        <w:tc>
          <w:tcPr>
            <w:tcW w:w="513" w:type="dxa"/>
            <w:vMerge w:val="restart"/>
          </w:tcPr>
          <w:p w14:paraId="20C8BC35" w14:textId="62DD970D" w:rsidR="00DD1BB1" w:rsidRDefault="00DD1BB1" w:rsidP="00934CD4">
            <w:pPr>
              <w:pStyle w:val="Tablenumbers"/>
              <w:cnfStyle w:val="000000100000" w:firstRow="0" w:lastRow="0" w:firstColumn="0" w:lastColumn="0" w:oddVBand="0" w:evenVBand="0" w:oddHBand="1" w:evenHBand="0" w:firstRowFirstColumn="0" w:firstRowLastColumn="0" w:lastRowFirstColumn="0" w:lastRowLastColumn="0"/>
            </w:pPr>
            <w:r>
              <w:t>4</w:t>
            </w:r>
          </w:p>
        </w:tc>
        <w:tc>
          <w:tcPr>
            <w:tcW w:w="1671" w:type="dxa"/>
          </w:tcPr>
          <w:p w14:paraId="4FE8F932" w14:textId="7B1D84F1" w:rsidR="00DD1BB1" w:rsidRDefault="00DD1BB1" w:rsidP="00DD1BB1">
            <w:pPr>
              <w:pStyle w:val="TableText"/>
              <w:cnfStyle w:val="000000100000" w:firstRow="0" w:lastRow="0" w:firstColumn="0" w:lastColumn="0" w:oddVBand="0" w:evenVBand="0" w:oddHBand="1" w:evenHBand="0" w:firstRowFirstColumn="0" w:firstRowLastColumn="0" w:lastRowFirstColumn="0" w:lastRowLastColumn="0"/>
            </w:pPr>
            <w:r>
              <w:t>Meningococcal W vaccine</w:t>
            </w:r>
          </w:p>
        </w:tc>
        <w:tc>
          <w:tcPr>
            <w:tcW w:w="784" w:type="dxa"/>
          </w:tcPr>
          <w:p w14:paraId="37ACD8FE" w14:textId="36821CD8" w:rsidR="00DD1BB1" w:rsidRDefault="00DD1BB1" w:rsidP="00934CD4">
            <w:pPr>
              <w:pStyle w:val="Tablenumbers"/>
              <w:cnfStyle w:val="000000100000" w:firstRow="0" w:lastRow="0" w:firstColumn="0" w:lastColumn="0" w:oddVBand="0" w:evenVBand="0" w:oddHBand="1" w:evenHBand="0" w:firstRowFirstColumn="0" w:firstRowLastColumn="0" w:lastRowFirstColumn="0" w:lastRowLastColumn="0"/>
            </w:pPr>
            <w:r>
              <w:t>$5.6</w:t>
            </w:r>
          </w:p>
        </w:tc>
        <w:tc>
          <w:tcPr>
            <w:tcW w:w="675" w:type="dxa"/>
          </w:tcPr>
          <w:p w14:paraId="7D0D5C57" w14:textId="389957B8" w:rsidR="00DD1BB1" w:rsidRDefault="00DD1BB1" w:rsidP="00934CD4">
            <w:pPr>
              <w:pStyle w:val="Tablenumbers"/>
              <w:cnfStyle w:val="000000100000" w:firstRow="0" w:lastRow="0" w:firstColumn="0" w:lastColumn="0" w:oddVBand="0" w:evenVBand="0" w:oddHBand="1" w:evenHBand="0" w:firstRowFirstColumn="0" w:firstRowLastColumn="0" w:lastRowFirstColumn="0" w:lastRowLastColumn="0"/>
            </w:pPr>
            <w:r>
              <w:t>2</w:t>
            </w:r>
          </w:p>
        </w:tc>
        <w:tc>
          <w:tcPr>
            <w:tcW w:w="546" w:type="dxa"/>
          </w:tcPr>
          <w:p w14:paraId="049C6E2B" w14:textId="11C7F70F" w:rsidR="00DD1BB1" w:rsidRDefault="000F441A" w:rsidP="00934CD4">
            <w:pPr>
              <w:pStyle w:val="Tablenumbers"/>
              <w:cnfStyle w:val="000000100000" w:firstRow="0" w:lastRow="0" w:firstColumn="0" w:lastColumn="0" w:oddVBand="0" w:evenVBand="0" w:oddHBand="1" w:evenHBand="0" w:firstRowFirstColumn="0" w:firstRowLastColumn="0" w:lastRowFirstColumn="0" w:lastRowLastColumn="0"/>
            </w:pPr>
            <w:r>
              <w:t>..</w:t>
            </w:r>
          </w:p>
        </w:tc>
        <w:tc>
          <w:tcPr>
            <w:tcW w:w="1308" w:type="dxa"/>
          </w:tcPr>
          <w:p w14:paraId="003B2524" w14:textId="63D41CC2" w:rsidR="00DD1BB1" w:rsidRDefault="00DD1BB1" w:rsidP="00DD1BB1">
            <w:pPr>
              <w:pStyle w:val="TableText"/>
              <w:cnfStyle w:val="000000100000" w:firstRow="0" w:lastRow="0" w:firstColumn="0" w:lastColumn="0" w:oddVBand="0" w:evenVBand="0" w:oddHBand="1" w:evenHBand="0" w:firstRowFirstColumn="0" w:firstRowLastColumn="0" w:lastRowFirstColumn="0" w:lastRowLastColumn="0"/>
            </w:pPr>
            <w:r>
              <w:t>Leveraged</w:t>
            </w:r>
          </w:p>
        </w:tc>
        <w:tc>
          <w:tcPr>
            <w:tcW w:w="725" w:type="dxa"/>
          </w:tcPr>
          <w:p w14:paraId="780C8E6C" w14:textId="624AB04E" w:rsidR="00DD1BB1" w:rsidRDefault="00DD1BB1" w:rsidP="00DD1BB1">
            <w:pPr>
              <w:pStyle w:val="TableText"/>
              <w:cnfStyle w:val="000000100000" w:firstRow="0" w:lastRow="0" w:firstColumn="0" w:lastColumn="0" w:oddVBand="0" w:evenVBand="0" w:oddHBand="1" w:evenHBand="0" w:firstRowFirstColumn="0" w:firstRowLastColumn="0" w:lastRowFirstColumn="0" w:lastRowLastColumn="0"/>
            </w:pPr>
            <w:r>
              <w:t xml:space="preserve">RFQ </w:t>
            </w:r>
          </w:p>
        </w:tc>
        <w:tc>
          <w:tcPr>
            <w:tcW w:w="786" w:type="dxa"/>
          </w:tcPr>
          <w:p w14:paraId="14C0B5DB" w14:textId="4CC08613" w:rsidR="00DD1BB1" w:rsidRDefault="00DD1BB1" w:rsidP="00DD1BB1">
            <w:pPr>
              <w:pStyle w:val="TableText"/>
              <w:cnfStyle w:val="000000100000" w:firstRow="0" w:lastRow="0" w:firstColumn="0" w:lastColumn="0" w:oddVBand="0" w:evenVBand="0" w:oddHBand="1" w:evenHBand="0" w:firstRowFirstColumn="0" w:firstRowLastColumn="0" w:lastRowFirstColumn="0" w:lastRowLastColumn="0"/>
            </w:pPr>
            <w:r>
              <w:t>Closed</w:t>
            </w:r>
          </w:p>
        </w:tc>
        <w:tc>
          <w:tcPr>
            <w:tcW w:w="580" w:type="dxa"/>
          </w:tcPr>
          <w:p w14:paraId="400D54B8" w14:textId="10E457C1" w:rsidR="00DD1BB1" w:rsidRDefault="00DD1BB1" w:rsidP="00934CD4">
            <w:pPr>
              <w:pStyle w:val="Tablenumbers"/>
              <w:cnfStyle w:val="000000100000" w:firstRow="0" w:lastRow="0" w:firstColumn="0" w:lastColumn="0" w:oddVBand="0" w:evenVBand="0" w:oddHBand="1" w:evenHBand="0" w:firstRowFirstColumn="0" w:firstRowLastColumn="0" w:lastRowFirstColumn="0" w:lastRowLastColumn="0"/>
            </w:pPr>
            <w:r>
              <w:t>1</w:t>
            </w:r>
          </w:p>
        </w:tc>
      </w:tr>
      <w:tr w:rsidR="00200BCC" w14:paraId="05CA3969" w14:textId="77777777" w:rsidTr="00200BCC">
        <w:tc>
          <w:tcPr>
            <w:cnfStyle w:val="001000000000" w:firstRow="0" w:lastRow="0" w:firstColumn="1" w:lastColumn="0" w:oddVBand="0" w:evenVBand="0" w:oddHBand="0" w:evenHBand="0" w:firstRowFirstColumn="0" w:firstRowLastColumn="0" w:lastRowFirstColumn="0" w:lastRowLastColumn="0"/>
            <w:tcW w:w="1394" w:type="dxa"/>
            <w:vMerge/>
          </w:tcPr>
          <w:p w14:paraId="37D50245" w14:textId="77777777" w:rsidR="00DD1BB1" w:rsidRPr="00200BCC" w:rsidRDefault="00DD1BB1" w:rsidP="00DD1BB1">
            <w:pPr>
              <w:pStyle w:val="TableText"/>
              <w:rPr>
                <w:b w:val="0"/>
              </w:rPr>
            </w:pPr>
          </w:p>
        </w:tc>
        <w:tc>
          <w:tcPr>
            <w:tcW w:w="513" w:type="dxa"/>
            <w:vMerge/>
          </w:tcPr>
          <w:p w14:paraId="01C4DE9F" w14:textId="77777777" w:rsidR="00DD1BB1" w:rsidRDefault="00DD1BB1" w:rsidP="00DD1BB1">
            <w:pPr>
              <w:pStyle w:val="TableText"/>
              <w:cnfStyle w:val="000000000000" w:firstRow="0" w:lastRow="0" w:firstColumn="0" w:lastColumn="0" w:oddVBand="0" w:evenVBand="0" w:oddHBand="0" w:evenHBand="0" w:firstRowFirstColumn="0" w:firstRowLastColumn="0" w:lastRowFirstColumn="0" w:lastRowLastColumn="0"/>
            </w:pPr>
          </w:p>
        </w:tc>
        <w:tc>
          <w:tcPr>
            <w:tcW w:w="1671" w:type="dxa"/>
          </w:tcPr>
          <w:p w14:paraId="789D2D29" w14:textId="23073A37" w:rsidR="00DD1BB1" w:rsidRDefault="00DD1BB1" w:rsidP="00DD1BB1">
            <w:pPr>
              <w:pStyle w:val="TableText"/>
              <w:cnfStyle w:val="000000000000" w:firstRow="0" w:lastRow="0" w:firstColumn="0" w:lastColumn="0" w:oddVBand="0" w:evenVBand="0" w:oddHBand="0" w:evenHBand="0" w:firstRowFirstColumn="0" w:firstRowLastColumn="0" w:lastRowFirstColumn="0" w:lastRowLastColumn="0"/>
            </w:pPr>
            <w:r>
              <w:t>Solution development panel</w:t>
            </w:r>
          </w:p>
        </w:tc>
        <w:tc>
          <w:tcPr>
            <w:tcW w:w="784" w:type="dxa"/>
          </w:tcPr>
          <w:p w14:paraId="40DA6EF7" w14:textId="6751252C" w:rsidR="00DD1BB1" w:rsidRDefault="00DD1BB1" w:rsidP="00A536F2">
            <w:pPr>
              <w:pStyle w:val="TableText"/>
              <w:jc w:val="right"/>
              <w:cnfStyle w:val="000000000000" w:firstRow="0" w:lastRow="0" w:firstColumn="0" w:lastColumn="0" w:oddVBand="0" w:evenVBand="0" w:oddHBand="0" w:evenHBand="0" w:firstRowFirstColumn="0" w:firstRowLastColumn="0" w:lastRowFirstColumn="0" w:lastRowLastColumn="0"/>
            </w:pPr>
            <w:r>
              <w:t>$10.0</w:t>
            </w:r>
          </w:p>
        </w:tc>
        <w:tc>
          <w:tcPr>
            <w:tcW w:w="675" w:type="dxa"/>
          </w:tcPr>
          <w:p w14:paraId="16DFC7E2" w14:textId="2F0BF6FB" w:rsidR="00DD1BB1" w:rsidRDefault="00DD1BB1" w:rsidP="00A536F2">
            <w:pPr>
              <w:pStyle w:val="TableText"/>
              <w:jc w:val="right"/>
              <w:cnfStyle w:val="000000000000" w:firstRow="0" w:lastRow="0" w:firstColumn="0" w:lastColumn="0" w:oddVBand="0" w:evenVBand="0" w:oddHBand="0" w:evenHBand="0" w:firstRowFirstColumn="0" w:firstRowLastColumn="0" w:lastRowFirstColumn="0" w:lastRowLastColumn="0"/>
            </w:pPr>
            <w:r>
              <w:t>2</w:t>
            </w:r>
          </w:p>
        </w:tc>
        <w:tc>
          <w:tcPr>
            <w:tcW w:w="546" w:type="dxa"/>
          </w:tcPr>
          <w:p w14:paraId="2203EDE3" w14:textId="096A3D50" w:rsidR="00DD1BB1" w:rsidRDefault="000F441A" w:rsidP="000F441A">
            <w:pPr>
              <w:pStyle w:val="TableText"/>
              <w:jc w:val="right"/>
              <w:cnfStyle w:val="000000000000" w:firstRow="0" w:lastRow="0" w:firstColumn="0" w:lastColumn="0" w:oddVBand="0" w:evenVBand="0" w:oddHBand="0" w:evenHBand="0" w:firstRowFirstColumn="0" w:firstRowLastColumn="0" w:lastRowFirstColumn="0" w:lastRowLastColumn="0"/>
            </w:pPr>
            <w:r>
              <w:t>..</w:t>
            </w:r>
          </w:p>
        </w:tc>
        <w:tc>
          <w:tcPr>
            <w:tcW w:w="1308" w:type="dxa"/>
          </w:tcPr>
          <w:p w14:paraId="0BC9ED91" w14:textId="4709B021" w:rsidR="00DD1BB1" w:rsidRDefault="00DD1BB1" w:rsidP="00DD1BB1">
            <w:pPr>
              <w:pStyle w:val="TableText"/>
              <w:cnfStyle w:val="000000000000" w:firstRow="0" w:lastRow="0" w:firstColumn="0" w:lastColumn="0" w:oddVBand="0" w:evenVBand="0" w:oddHBand="0" w:evenHBand="0" w:firstRowFirstColumn="0" w:firstRowLastColumn="0" w:lastRowFirstColumn="0" w:lastRowLastColumn="0"/>
            </w:pPr>
            <w:r>
              <w:t>Strategic</w:t>
            </w:r>
          </w:p>
        </w:tc>
        <w:tc>
          <w:tcPr>
            <w:tcW w:w="725" w:type="dxa"/>
          </w:tcPr>
          <w:p w14:paraId="5CAB8DD2" w14:textId="59B6C86A" w:rsidR="00DD1BB1" w:rsidRDefault="00DD1BB1" w:rsidP="00DD1BB1">
            <w:pPr>
              <w:pStyle w:val="TableText"/>
              <w:cnfStyle w:val="000000000000" w:firstRow="0" w:lastRow="0" w:firstColumn="0" w:lastColumn="0" w:oddVBand="0" w:evenVBand="0" w:oddHBand="0" w:evenHBand="0" w:firstRowFirstColumn="0" w:firstRowLastColumn="0" w:lastRowFirstColumn="0" w:lastRowLastColumn="0"/>
            </w:pPr>
            <w:r>
              <w:t>RFQ</w:t>
            </w:r>
          </w:p>
        </w:tc>
        <w:tc>
          <w:tcPr>
            <w:tcW w:w="786" w:type="dxa"/>
          </w:tcPr>
          <w:p w14:paraId="3C6C8955" w14:textId="54336FF6" w:rsidR="00DD1BB1" w:rsidRDefault="00DD1BB1" w:rsidP="00DD1BB1">
            <w:pPr>
              <w:pStyle w:val="TableText"/>
              <w:cnfStyle w:val="000000000000" w:firstRow="0" w:lastRow="0" w:firstColumn="0" w:lastColumn="0" w:oddVBand="0" w:evenVBand="0" w:oddHBand="0" w:evenHBand="0" w:firstRowFirstColumn="0" w:firstRowLastColumn="0" w:lastRowFirstColumn="0" w:lastRowLastColumn="0"/>
            </w:pPr>
            <w:r>
              <w:t>Closed</w:t>
            </w:r>
          </w:p>
        </w:tc>
        <w:tc>
          <w:tcPr>
            <w:tcW w:w="580" w:type="dxa"/>
          </w:tcPr>
          <w:p w14:paraId="2ADD45C4" w14:textId="545B07F5" w:rsidR="00DD1BB1" w:rsidRDefault="00DD1BB1" w:rsidP="00934CD4">
            <w:pPr>
              <w:pStyle w:val="Tablenumbers"/>
              <w:cnfStyle w:val="000000000000" w:firstRow="0" w:lastRow="0" w:firstColumn="0" w:lastColumn="0" w:oddVBand="0" w:evenVBand="0" w:oddHBand="0" w:evenHBand="0" w:firstRowFirstColumn="0" w:firstRowLastColumn="0" w:lastRowFirstColumn="0" w:lastRowLastColumn="0"/>
            </w:pPr>
            <w:r>
              <w:t>25</w:t>
            </w:r>
          </w:p>
        </w:tc>
      </w:tr>
      <w:tr w:rsidR="00200BCC" w14:paraId="785E0D65" w14:textId="77777777" w:rsidTr="00200B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4" w:type="dxa"/>
            <w:vMerge/>
          </w:tcPr>
          <w:p w14:paraId="3A093661" w14:textId="77777777" w:rsidR="00DD1BB1" w:rsidRPr="00200BCC" w:rsidRDefault="00DD1BB1" w:rsidP="00DD1BB1">
            <w:pPr>
              <w:pStyle w:val="TableText"/>
              <w:rPr>
                <w:b w:val="0"/>
              </w:rPr>
            </w:pPr>
          </w:p>
        </w:tc>
        <w:tc>
          <w:tcPr>
            <w:tcW w:w="513" w:type="dxa"/>
            <w:vMerge/>
          </w:tcPr>
          <w:p w14:paraId="0E77FAC9" w14:textId="77777777" w:rsidR="00DD1BB1" w:rsidRDefault="00DD1BB1" w:rsidP="00DD1BB1">
            <w:pPr>
              <w:pStyle w:val="TableText"/>
              <w:cnfStyle w:val="000000100000" w:firstRow="0" w:lastRow="0" w:firstColumn="0" w:lastColumn="0" w:oddVBand="0" w:evenVBand="0" w:oddHBand="1" w:evenHBand="0" w:firstRowFirstColumn="0" w:firstRowLastColumn="0" w:lastRowFirstColumn="0" w:lastRowLastColumn="0"/>
            </w:pPr>
          </w:p>
        </w:tc>
        <w:tc>
          <w:tcPr>
            <w:tcW w:w="1671" w:type="dxa"/>
          </w:tcPr>
          <w:p w14:paraId="2BDCB8CD" w14:textId="15EE269C" w:rsidR="00DD1BB1" w:rsidRDefault="00DD1BB1" w:rsidP="00DD1BB1">
            <w:pPr>
              <w:pStyle w:val="TableText"/>
              <w:cnfStyle w:val="000000100000" w:firstRow="0" w:lastRow="0" w:firstColumn="0" w:lastColumn="0" w:oddVBand="0" w:evenVBand="0" w:oddHBand="1" w:evenHBand="0" w:firstRowFirstColumn="0" w:firstRowLastColumn="0" w:lastRowFirstColumn="0" w:lastRowLastColumn="0"/>
            </w:pPr>
            <w:r>
              <w:t>Learning, coaching and organisational development panel</w:t>
            </w:r>
          </w:p>
        </w:tc>
        <w:tc>
          <w:tcPr>
            <w:tcW w:w="784" w:type="dxa"/>
          </w:tcPr>
          <w:p w14:paraId="4DAA6AC3" w14:textId="022348C5" w:rsidR="00DD1BB1" w:rsidRDefault="00DD1BB1" w:rsidP="00934CD4">
            <w:pPr>
              <w:pStyle w:val="Tablenumbers"/>
              <w:cnfStyle w:val="000000100000" w:firstRow="0" w:lastRow="0" w:firstColumn="0" w:lastColumn="0" w:oddVBand="0" w:evenVBand="0" w:oddHBand="1" w:evenHBand="0" w:firstRowFirstColumn="0" w:firstRowLastColumn="0" w:lastRowFirstColumn="0" w:lastRowLastColumn="0"/>
            </w:pPr>
            <w:r>
              <w:t>$10.0</w:t>
            </w:r>
          </w:p>
        </w:tc>
        <w:tc>
          <w:tcPr>
            <w:tcW w:w="675" w:type="dxa"/>
          </w:tcPr>
          <w:p w14:paraId="1DCE8FF6" w14:textId="1EAB708E" w:rsidR="00DD1BB1" w:rsidRDefault="00DD1BB1" w:rsidP="00934CD4">
            <w:pPr>
              <w:pStyle w:val="Tablenumbers"/>
              <w:cnfStyle w:val="000000100000" w:firstRow="0" w:lastRow="0" w:firstColumn="0" w:lastColumn="0" w:oddVBand="0" w:evenVBand="0" w:oddHBand="1" w:evenHBand="0" w:firstRowFirstColumn="0" w:firstRowLastColumn="0" w:lastRowFirstColumn="0" w:lastRowLastColumn="0"/>
            </w:pPr>
            <w:r>
              <w:t>3</w:t>
            </w:r>
          </w:p>
        </w:tc>
        <w:tc>
          <w:tcPr>
            <w:tcW w:w="546" w:type="dxa"/>
          </w:tcPr>
          <w:p w14:paraId="18759108" w14:textId="4E987DDB" w:rsidR="00DD1BB1" w:rsidRDefault="00DD1BB1" w:rsidP="00934CD4">
            <w:pPr>
              <w:pStyle w:val="Tablenumbers"/>
              <w:cnfStyle w:val="000000100000" w:firstRow="0" w:lastRow="0" w:firstColumn="0" w:lastColumn="0" w:oddVBand="0" w:evenVBand="0" w:oddHBand="1" w:evenHBand="0" w:firstRowFirstColumn="0" w:firstRowLastColumn="0" w:lastRowFirstColumn="0" w:lastRowLastColumn="0"/>
            </w:pPr>
            <w:r>
              <w:t>2×1</w:t>
            </w:r>
          </w:p>
        </w:tc>
        <w:tc>
          <w:tcPr>
            <w:tcW w:w="1308" w:type="dxa"/>
          </w:tcPr>
          <w:p w14:paraId="7149B060" w14:textId="11F05D53" w:rsidR="00DD1BB1" w:rsidRDefault="00DD1BB1" w:rsidP="00DD1BB1">
            <w:pPr>
              <w:pStyle w:val="TableText"/>
              <w:cnfStyle w:val="000000100000" w:firstRow="0" w:lastRow="0" w:firstColumn="0" w:lastColumn="0" w:oddVBand="0" w:evenVBand="0" w:oddHBand="1" w:evenHBand="0" w:firstRowFirstColumn="0" w:firstRowLastColumn="0" w:lastRowFirstColumn="0" w:lastRowLastColumn="0"/>
            </w:pPr>
            <w:r>
              <w:t>Leveraged</w:t>
            </w:r>
          </w:p>
        </w:tc>
        <w:tc>
          <w:tcPr>
            <w:tcW w:w="725" w:type="dxa"/>
          </w:tcPr>
          <w:p w14:paraId="3300563A" w14:textId="018F0B17" w:rsidR="00DD1BB1" w:rsidRDefault="00DD1BB1" w:rsidP="00DD1BB1">
            <w:pPr>
              <w:pStyle w:val="TableText"/>
              <w:cnfStyle w:val="000000100000" w:firstRow="0" w:lastRow="0" w:firstColumn="0" w:lastColumn="0" w:oddVBand="0" w:evenVBand="0" w:oddHBand="1" w:evenHBand="0" w:firstRowFirstColumn="0" w:firstRowLastColumn="0" w:lastRowFirstColumn="0" w:lastRowLastColumn="0"/>
            </w:pPr>
            <w:r>
              <w:t>RFT</w:t>
            </w:r>
          </w:p>
        </w:tc>
        <w:tc>
          <w:tcPr>
            <w:tcW w:w="786" w:type="dxa"/>
          </w:tcPr>
          <w:p w14:paraId="2EF8B295" w14:textId="67A9177E" w:rsidR="00DD1BB1" w:rsidRDefault="00DD1BB1" w:rsidP="00DD1BB1">
            <w:pPr>
              <w:pStyle w:val="TableText"/>
              <w:cnfStyle w:val="000000100000" w:firstRow="0" w:lastRow="0" w:firstColumn="0" w:lastColumn="0" w:oddVBand="0" w:evenVBand="0" w:oddHBand="1" w:evenHBand="0" w:firstRowFirstColumn="0" w:firstRowLastColumn="0" w:lastRowFirstColumn="0" w:lastRowLastColumn="0"/>
            </w:pPr>
            <w:r>
              <w:t>Closed</w:t>
            </w:r>
          </w:p>
        </w:tc>
        <w:tc>
          <w:tcPr>
            <w:tcW w:w="580" w:type="dxa"/>
          </w:tcPr>
          <w:p w14:paraId="15E7CADC" w14:textId="5CF72812" w:rsidR="00DD1BB1" w:rsidRDefault="00DD1BB1" w:rsidP="00934CD4">
            <w:pPr>
              <w:pStyle w:val="Tablenumbers"/>
              <w:cnfStyle w:val="000000100000" w:firstRow="0" w:lastRow="0" w:firstColumn="0" w:lastColumn="0" w:oddVBand="0" w:evenVBand="0" w:oddHBand="1" w:evenHBand="0" w:firstRowFirstColumn="0" w:firstRowLastColumn="0" w:lastRowFirstColumn="0" w:lastRowLastColumn="0"/>
            </w:pPr>
            <w:r>
              <w:t>94</w:t>
            </w:r>
          </w:p>
        </w:tc>
      </w:tr>
      <w:tr w:rsidR="00200BCC" w14:paraId="36F62E12" w14:textId="77777777" w:rsidTr="00200BCC">
        <w:tc>
          <w:tcPr>
            <w:cnfStyle w:val="001000000000" w:firstRow="0" w:lastRow="0" w:firstColumn="1" w:lastColumn="0" w:oddVBand="0" w:evenVBand="0" w:oddHBand="0" w:evenHBand="0" w:firstRowFirstColumn="0" w:firstRowLastColumn="0" w:lastRowFirstColumn="0" w:lastRowLastColumn="0"/>
            <w:tcW w:w="1394" w:type="dxa"/>
            <w:vMerge/>
          </w:tcPr>
          <w:p w14:paraId="4B34D3BA" w14:textId="77777777" w:rsidR="00DD1BB1" w:rsidRPr="00200BCC" w:rsidRDefault="00DD1BB1" w:rsidP="00DD1BB1">
            <w:pPr>
              <w:pStyle w:val="TableText"/>
              <w:rPr>
                <w:b w:val="0"/>
              </w:rPr>
            </w:pPr>
          </w:p>
        </w:tc>
        <w:tc>
          <w:tcPr>
            <w:tcW w:w="513" w:type="dxa"/>
            <w:vMerge/>
          </w:tcPr>
          <w:p w14:paraId="44AB601C" w14:textId="77777777" w:rsidR="00DD1BB1" w:rsidRDefault="00DD1BB1" w:rsidP="00DD1BB1">
            <w:pPr>
              <w:pStyle w:val="TableText"/>
              <w:cnfStyle w:val="000000000000" w:firstRow="0" w:lastRow="0" w:firstColumn="0" w:lastColumn="0" w:oddVBand="0" w:evenVBand="0" w:oddHBand="0" w:evenHBand="0" w:firstRowFirstColumn="0" w:firstRowLastColumn="0" w:lastRowFirstColumn="0" w:lastRowLastColumn="0"/>
            </w:pPr>
          </w:p>
        </w:tc>
        <w:tc>
          <w:tcPr>
            <w:tcW w:w="1671" w:type="dxa"/>
          </w:tcPr>
          <w:p w14:paraId="7D92EE55" w14:textId="10C9240B" w:rsidR="00DD1BB1" w:rsidRDefault="00DD1BB1" w:rsidP="00DD1BB1">
            <w:pPr>
              <w:pStyle w:val="TableText"/>
              <w:cnfStyle w:val="000000000000" w:firstRow="0" w:lastRow="0" w:firstColumn="0" w:lastColumn="0" w:oddVBand="0" w:evenVBand="0" w:oddHBand="0" w:evenHBand="0" w:firstRowFirstColumn="0" w:firstRowLastColumn="0" w:lastRowFirstColumn="0" w:lastRowLastColumn="0"/>
            </w:pPr>
            <w:r>
              <w:t>Personal Alert Victoria</w:t>
            </w:r>
          </w:p>
        </w:tc>
        <w:tc>
          <w:tcPr>
            <w:tcW w:w="784" w:type="dxa"/>
          </w:tcPr>
          <w:p w14:paraId="08CE1CC2" w14:textId="0F7863E2" w:rsidR="00DD1BB1" w:rsidRDefault="00DD1BB1" w:rsidP="00934CD4">
            <w:pPr>
              <w:pStyle w:val="Tablenumbers"/>
              <w:cnfStyle w:val="000000000000" w:firstRow="0" w:lastRow="0" w:firstColumn="0" w:lastColumn="0" w:oddVBand="0" w:evenVBand="0" w:oddHBand="0" w:evenHBand="0" w:firstRowFirstColumn="0" w:firstRowLastColumn="0" w:lastRowFirstColumn="0" w:lastRowLastColumn="0"/>
            </w:pPr>
            <w:r>
              <w:t>$112.1</w:t>
            </w:r>
          </w:p>
        </w:tc>
        <w:tc>
          <w:tcPr>
            <w:tcW w:w="675" w:type="dxa"/>
          </w:tcPr>
          <w:p w14:paraId="6631E4EA" w14:textId="189C9D2F" w:rsidR="00DD1BB1" w:rsidRDefault="00DD1BB1" w:rsidP="00934CD4">
            <w:pPr>
              <w:pStyle w:val="Tablenumbers"/>
              <w:cnfStyle w:val="000000000000" w:firstRow="0" w:lastRow="0" w:firstColumn="0" w:lastColumn="0" w:oddVBand="0" w:evenVBand="0" w:oddHBand="0" w:evenHBand="0" w:firstRowFirstColumn="0" w:firstRowLastColumn="0" w:lastRowFirstColumn="0" w:lastRowLastColumn="0"/>
            </w:pPr>
            <w:r>
              <w:t>5</w:t>
            </w:r>
          </w:p>
        </w:tc>
        <w:tc>
          <w:tcPr>
            <w:tcW w:w="546" w:type="dxa"/>
          </w:tcPr>
          <w:p w14:paraId="2327C5D1" w14:textId="4EEA60CC" w:rsidR="00DD1BB1" w:rsidRDefault="00DD1BB1" w:rsidP="00934CD4">
            <w:pPr>
              <w:pStyle w:val="Tablenumbers"/>
              <w:cnfStyle w:val="000000000000" w:firstRow="0" w:lastRow="0" w:firstColumn="0" w:lastColumn="0" w:oddVBand="0" w:evenVBand="0" w:oddHBand="0" w:evenHBand="0" w:firstRowFirstColumn="0" w:firstRowLastColumn="0" w:lastRowFirstColumn="0" w:lastRowLastColumn="0"/>
            </w:pPr>
            <w:r>
              <w:t>2×2</w:t>
            </w:r>
          </w:p>
        </w:tc>
        <w:tc>
          <w:tcPr>
            <w:tcW w:w="1308" w:type="dxa"/>
          </w:tcPr>
          <w:p w14:paraId="47DCB07A" w14:textId="79A0CD02" w:rsidR="00DD1BB1" w:rsidRDefault="00DD1BB1" w:rsidP="00DD1BB1">
            <w:pPr>
              <w:pStyle w:val="TableText"/>
              <w:cnfStyle w:val="000000000000" w:firstRow="0" w:lastRow="0" w:firstColumn="0" w:lastColumn="0" w:oddVBand="0" w:evenVBand="0" w:oddHBand="0" w:evenHBand="0" w:firstRowFirstColumn="0" w:firstRowLastColumn="0" w:lastRowFirstColumn="0" w:lastRowLastColumn="0"/>
            </w:pPr>
            <w:r>
              <w:t>Strategic</w:t>
            </w:r>
          </w:p>
        </w:tc>
        <w:tc>
          <w:tcPr>
            <w:tcW w:w="725" w:type="dxa"/>
          </w:tcPr>
          <w:p w14:paraId="786B1215" w14:textId="182C62C1" w:rsidR="00DD1BB1" w:rsidRDefault="00DD1BB1" w:rsidP="00DD1BB1">
            <w:pPr>
              <w:pStyle w:val="TableText"/>
              <w:cnfStyle w:val="000000000000" w:firstRow="0" w:lastRow="0" w:firstColumn="0" w:lastColumn="0" w:oddVBand="0" w:evenVBand="0" w:oddHBand="0" w:evenHBand="0" w:firstRowFirstColumn="0" w:firstRowLastColumn="0" w:lastRowFirstColumn="0" w:lastRowLastColumn="0"/>
            </w:pPr>
            <w:r>
              <w:t xml:space="preserve">RFT </w:t>
            </w:r>
          </w:p>
        </w:tc>
        <w:tc>
          <w:tcPr>
            <w:tcW w:w="786" w:type="dxa"/>
          </w:tcPr>
          <w:p w14:paraId="3EA1A0B2" w14:textId="0E5AB614" w:rsidR="00DD1BB1" w:rsidRDefault="00DD1BB1" w:rsidP="00DD1BB1">
            <w:pPr>
              <w:pStyle w:val="TableText"/>
              <w:cnfStyle w:val="000000000000" w:firstRow="0" w:lastRow="0" w:firstColumn="0" w:lastColumn="0" w:oddVBand="0" w:evenVBand="0" w:oddHBand="0" w:evenHBand="0" w:firstRowFirstColumn="0" w:firstRowLastColumn="0" w:lastRowFirstColumn="0" w:lastRowLastColumn="0"/>
            </w:pPr>
            <w:r>
              <w:t>Closed</w:t>
            </w:r>
          </w:p>
        </w:tc>
        <w:tc>
          <w:tcPr>
            <w:tcW w:w="580" w:type="dxa"/>
          </w:tcPr>
          <w:p w14:paraId="599EAA40" w14:textId="4907D529" w:rsidR="00DD1BB1" w:rsidRDefault="00DD1BB1" w:rsidP="00934CD4">
            <w:pPr>
              <w:pStyle w:val="Tablenumbers"/>
              <w:cnfStyle w:val="000000000000" w:firstRow="0" w:lastRow="0" w:firstColumn="0" w:lastColumn="0" w:oddVBand="0" w:evenVBand="0" w:oddHBand="0" w:evenHBand="0" w:firstRowFirstColumn="0" w:firstRowLastColumn="0" w:lastRowFirstColumn="0" w:lastRowLastColumn="0"/>
            </w:pPr>
            <w:r>
              <w:t>1</w:t>
            </w:r>
          </w:p>
        </w:tc>
      </w:tr>
      <w:tr w:rsidR="00200BCC" w14:paraId="6F03691A" w14:textId="77777777" w:rsidTr="00200B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4" w:type="dxa"/>
          </w:tcPr>
          <w:p w14:paraId="1D5233B2" w14:textId="22B56716" w:rsidR="00DD1BB1" w:rsidRPr="00200BCC" w:rsidRDefault="00200BCC" w:rsidP="00DD1BB1">
            <w:pPr>
              <w:pStyle w:val="TableText"/>
              <w:rPr>
                <w:b w:val="0"/>
              </w:rPr>
            </w:pPr>
            <w:r>
              <w:rPr>
                <w:b w:val="0"/>
              </w:rPr>
              <w:t xml:space="preserve">Department of </w:t>
            </w:r>
            <w:r w:rsidR="007B4D44" w:rsidRPr="00200BCC">
              <w:rPr>
                <w:b w:val="0"/>
              </w:rPr>
              <w:t>Economic Development, Jobs, Transport and Resources</w:t>
            </w:r>
          </w:p>
        </w:tc>
        <w:tc>
          <w:tcPr>
            <w:tcW w:w="513" w:type="dxa"/>
          </w:tcPr>
          <w:p w14:paraId="7595EE41" w14:textId="303935D1" w:rsidR="00DD1BB1" w:rsidRDefault="00DD1BB1" w:rsidP="00934CD4">
            <w:pPr>
              <w:pStyle w:val="Tablenumbers"/>
              <w:cnfStyle w:val="000000100000" w:firstRow="0" w:lastRow="0" w:firstColumn="0" w:lastColumn="0" w:oddVBand="0" w:evenVBand="0" w:oddHBand="1" w:evenHBand="0" w:firstRowFirstColumn="0" w:firstRowLastColumn="0" w:lastRowFirstColumn="0" w:lastRowLastColumn="0"/>
            </w:pPr>
            <w:r>
              <w:t>1</w:t>
            </w:r>
          </w:p>
        </w:tc>
        <w:tc>
          <w:tcPr>
            <w:tcW w:w="1671" w:type="dxa"/>
          </w:tcPr>
          <w:p w14:paraId="13E23578" w14:textId="15730D1A" w:rsidR="00DD1BB1" w:rsidRDefault="00DD1BB1" w:rsidP="00DD1BB1">
            <w:pPr>
              <w:pStyle w:val="TableText"/>
              <w:cnfStyle w:val="000000100000" w:firstRow="0" w:lastRow="0" w:firstColumn="0" w:lastColumn="0" w:oddVBand="0" w:evenVBand="0" w:oddHBand="1" w:evenHBand="0" w:firstRowFirstColumn="0" w:firstRowLastColumn="0" w:lastRowFirstColumn="0" w:lastRowLastColumn="0"/>
            </w:pPr>
            <w:r>
              <w:t xml:space="preserve">Specialist advisory services </w:t>
            </w:r>
          </w:p>
        </w:tc>
        <w:tc>
          <w:tcPr>
            <w:tcW w:w="784" w:type="dxa"/>
          </w:tcPr>
          <w:p w14:paraId="6829E7D3" w14:textId="2D52C4FD" w:rsidR="00DD1BB1" w:rsidRDefault="00DD1BB1" w:rsidP="00934CD4">
            <w:pPr>
              <w:pStyle w:val="Tablenumbers"/>
              <w:cnfStyle w:val="000000100000" w:firstRow="0" w:lastRow="0" w:firstColumn="0" w:lastColumn="0" w:oddVBand="0" w:evenVBand="0" w:oddHBand="1" w:evenHBand="0" w:firstRowFirstColumn="0" w:firstRowLastColumn="0" w:lastRowFirstColumn="0" w:lastRowLastColumn="0"/>
            </w:pPr>
            <w:r>
              <w:t>$42.3</w:t>
            </w:r>
          </w:p>
        </w:tc>
        <w:tc>
          <w:tcPr>
            <w:tcW w:w="675" w:type="dxa"/>
          </w:tcPr>
          <w:p w14:paraId="2AAF8270" w14:textId="5B5BE218" w:rsidR="00DD1BB1" w:rsidRDefault="00DD1BB1" w:rsidP="00934CD4">
            <w:pPr>
              <w:pStyle w:val="Tablenumbers"/>
              <w:cnfStyle w:val="000000100000" w:firstRow="0" w:lastRow="0" w:firstColumn="0" w:lastColumn="0" w:oddVBand="0" w:evenVBand="0" w:oddHBand="1" w:evenHBand="0" w:firstRowFirstColumn="0" w:firstRowLastColumn="0" w:lastRowFirstColumn="0" w:lastRowLastColumn="0"/>
            </w:pPr>
            <w:r>
              <w:t>3</w:t>
            </w:r>
          </w:p>
        </w:tc>
        <w:tc>
          <w:tcPr>
            <w:tcW w:w="546" w:type="dxa"/>
          </w:tcPr>
          <w:p w14:paraId="2A2BD509" w14:textId="6EFD97CB" w:rsidR="00DD1BB1" w:rsidRDefault="00DD1BB1" w:rsidP="00934CD4">
            <w:pPr>
              <w:pStyle w:val="Tablenumbers"/>
              <w:cnfStyle w:val="000000100000" w:firstRow="0" w:lastRow="0" w:firstColumn="0" w:lastColumn="0" w:oddVBand="0" w:evenVBand="0" w:oddHBand="1" w:evenHBand="0" w:firstRowFirstColumn="0" w:firstRowLastColumn="0" w:lastRowFirstColumn="0" w:lastRowLastColumn="0"/>
            </w:pPr>
            <w:r>
              <w:t>2</w:t>
            </w:r>
          </w:p>
        </w:tc>
        <w:tc>
          <w:tcPr>
            <w:tcW w:w="1308" w:type="dxa"/>
          </w:tcPr>
          <w:p w14:paraId="6E9885A5" w14:textId="1B2E35EC" w:rsidR="00DD1BB1" w:rsidRDefault="00DD1BB1" w:rsidP="00DD1BB1">
            <w:pPr>
              <w:pStyle w:val="TableText"/>
              <w:cnfStyle w:val="000000100000" w:firstRow="0" w:lastRow="0" w:firstColumn="0" w:lastColumn="0" w:oddVBand="0" w:evenVBand="0" w:oddHBand="1" w:evenHBand="0" w:firstRowFirstColumn="0" w:firstRowLastColumn="0" w:lastRowFirstColumn="0" w:lastRowLastColumn="0"/>
            </w:pPr>
            <w:r>
              <w:t>Strategic</w:t>
            </w:r>
          </w:p>
        </w:tc>
        <w:tc>
          <w:tcPr>
            <w:tcW w:w="725" w:type="dxa"/>
          </w:tcPr>
          <w:p w14:paraId="6C4C00CD" w14:textId="04FDD04A" w:rsidR="00DD1BB1" w:rsidRDefault="00DD1BB1" w:rsidP="00DD1BB1">
            <w:pPr>
              <w:pStyle w:val="TableText"/>
              <w:cnfStyle w:val="000000100000" w:firstRow="0" w:lastRow="0" w:firstColumn="0" w:lastColumn="0" w:oddVBand="0" w:evenVBand="0" w:oddHBand="1" w:evenHBand="0" w:firstRowFirstColumn="0" w:firstRowLastColumn="0" w:lastRowFirstColumn="0" w:lastRowLastColumn="0"/>
            </w:pPr>
            <w:r>
              <w:t xml:space="preserve">RFT </w:t>
            </w:r>
          </w:p>
        </w:tc>
        <w:tc>
          <w:tcPr>
            <w:tcW w:w="786" w:type="dxa"/>
          </w:tcPr>
          <w:p w14:paraId="3AC7AE09" w14:textId="214D1363" w:rsidR="00DD1BB1" w:rsidRDefault="00DD1BB1" w:rsidP="00DD1BB1">
            <w:pPr>
              <w:pStyle w:val="TableText"/>
              <w:cnfStyle w:val="000000100000" w:firstRow="0" w:lastRow="0" w:firstColumn="0" w:lastColumn="0" w:oddVBand="0" w:evenVBand="0" w:oddHBand="1" w:evenHBand="0" w:firstRowFirstColumn="0" w:firstRowLastColumn="0" w:lastRowFirstColumn="0" w:lastRowLastColumn="0"/>
            </w:pPr>
            <w:r>
              <w:t>Closed</w:t>
            </w:r>
          </w:p>
        </w:tc>
        <w:tc>
          <w:tcPr>
            <w:tcW w:w="580" w:type="dxa"/>
          </w:tcPr>
          <w:p w14:paraId="196C68F6" w14:textId="647FC9F1" w:rsidR="00DD1BB1" w:rsidRDefault="00DD1BB1" w:rsidP="00934CD4">
            <w:pPr>
              <w:pStyle w:val="Tablenumbers"/>
              <w:cnfStyle w:val="000000100000" w:firstRow="0" w:lastRow="0" w:firstColumn="0" w:lastColumn="0" w:oddVBand="0" w:evenVBand="0" w:oddHBand="1" w:evenHBand="0" w:firstRowFirstColumn="0" w:firstRowLastColumn="0" w:lastRowFirstColumn="0" w:lastRowLastColumn="0"/>
            </w:pPr>
            <w:r>
              <w:t>34</w:t>
            </w:r>
          </w:p>
        </w:tc>
      </w:tr>
      <w:tr w:rsidR="00200BCC" w14:paraId="295CAF51" w14:textId="77777777" w:rsidTr="00200BCC">
        <w:tc>
          <w:tcPr>
            <w:cnfStyle w:val="001000000000" w:firstRow="0" w:lastRow="0" w:firstColumn="1" w:lastColumn="0" w:oddVBand="0" w:evenVBand="0" w:oddHBand="0" w:evenHBand="0" w:firstRowFirstColumn="0" w:firstRowLastColumn="0" w:lastRowFirstColumn="0" w:lastRowLastColumn="0"/>
            <w:tcW w:w="1394" w:type="dxa"/>
            <w:vMerge w:val="restart"/>
          </w:tcPr>
          <w:p w14:paraId="70E3EC13" w14:textId="50E5DE3C" w:rsidR="000F40A9" w:rsidRPr="00200BCC" w:rsidRDefault="000F40A9" w:rsidP="000F40A9">
            <w:pPr>
              <w:pStyle w:val="TableText"/>
              <w:rPr>
                <w:b w:val="0"/>
              </w:rPr>
            </w:pPr>
            <w:r w:rsidRPr="00200BCC">
              <w:rPr>
                <w:b w:val="0"/>
              </w:rPr>
              <w:t>Victoria Police</w:t>
            </w:r>
          </w:p>
        </w:tc>
        <w:tc>
          <w:tcPr>
            <w:tcW w:w="513" w:type="dxa"/>
            <w:vMerge w:val="restart"/>
          </w:tcPr>
          <w:p w14:paraId="72E488D0" w14:textId="0B45C90E" w:rsidR="000F40A9" w:rsidRDefault="000F40A9" w:rsidP="00934CD4">
            <w:pPr>
              <w:pStyle w:val="Tablenumbers"/>
              <w:cnfStyle w:val="000000000000" w:firstRow="0" w:lastRow="0" w:firstColumn="0" w:lastColumn="0" w:oddVBand="0" w:evenVBand="0" w:oddHBand="0" w:evenHBand="0" w:firstRowFirstColumn="0" w:firstRowLastColumn="0" w:lastRowFirstColumn="0" w:lastRowLastColumn="0"/>
            </w:pPr>
            <w:r>
              <w:t>17</w:t>
            </w:r>
          </w:p>
        </w:tc>
        <w:tc>
          <w:tcPr>
            <w:tcW w:w="1671" w:type="dxa"/>
          </w:tcPr>
          <w:p w14:paraId="446193C4" w14:textId="09DEC56D" w:rsidR="000F40A9" w:rsidRDefault="000F40A9" w:rsidP="000F40A9">
            <w:pPr>
              <w:pStyle w:val="TableText"/>
              <w:cnfStyle w:val="000000000000" w:firstRow="0" w:lastRow="0" w:firstColumn="0" w:lastColumn="0" w:oddVBand="0" w:evenVBand="0" w:oddHBand="0" w:evenHBand="0" w:firstRowFirstColumn="0" w:firstRowLastColumn="0" w:lastRowFirstColumn="0" w:lastRowLastColumn="0"/>
            </w:pPr>
            <w:r>
              <w:t>Baseball caps</w:t>
            </w:r>
          </w:p>
        </w:tc>
        <w:tc>
          <w:tcPr>
            <w:tcW w:w="784" w:type="dxa"/>
          </w:tcPr>
          <w:p w14:paraId="6E6E97F3" w14:textId="4248A3AA" w:rsidR="000F40A9" w:rsidRDefault="000F40A9" w:rsidP="00934CD4">
            <w:pPr>
              <w:pStyle w:val="Tablenumbers"/>
              <w:cnfStyle w:val="000000000000" w:firstRow="0" w:lastRow="0" w:firstColumn="0" w:lastColumn="0" w:oddVBand="0" w:evenVBand="0" w:oddHBand="0" w:evenHBand="0" w:firstRowFirstColumn="0" w:firstRowLastColumn="0" w:lastRowFirstColumn="0" w:lastRowLastColumn="0"/>
            </w:pPr>
            <w:r>
              <w:t>$0.1</w:t>
            </w:r>
          </w:p>
        </w:tc>
        <w:tc>
          <w:tcPr>
            <w:tcW w:w="675" w:type="dxa"/>
          </w:tcPr>
          <w:p w14:paraId="23C825A3" w14:textId="77BB8C04" w:rsidR="000F40A9" w:rsidRDefault="000F40A9" w:rsidP="00934CD4">
            <w:pPr>
              <w:pStyle w:val="Tablenumbers"/>
              <w:cnfStyle w:val="000000000000" w:firstRow="0" w:lastRow="0" w:firstColumn="0" w:lastColumn="0" w:oddVBand="0" w:evenVBand="0" w:oddHBand="0" w:evenHBand="0" w:firstRowFirstColumn="0" w:firstRowLastColumn="0" w:lastRowFirstColumn="0" w:lastRowLastColumn="0"/>
            </w:pPr>
            <w:r>
              <w:t>3</w:t>
            </w:r>
          </w:p>
        </w:tc>
        <w:tc>
          <w:tcPr>
            <w:tcW w:w="546" w:type="dxa"/>
          </w:tcPr>
          <w:p w14:paraId="5058A878" w14:textId="70F77ECB" w:rsidR="000F40A9" w:rsidRDefault="000F40A9" w:rsidP="00934CD4">
            <w:pPr>
              <w:pStyle w:val="Tablenumbers"/>
              <w:cnfStyle w:val="000000000000" w:firstRow="0" w:lastRow="0" w:firstColumn="0" w:lastColumn="0" w:oddVBand="0" w:evenVBand="0" w:oddHBand="0" w:evenHBand="0" w:firstRowFirstColumn="0" w:firstRowLastColumn="0" w:lastRowFirstColumn="0" w:lastRowLastColumn="0"/>
            </w:pPr>
            <w:r>
              <w:t>2</w:t>
            </w:r>
          </w:p>
        </w:tc>
        <w:tc>
          <w:tcPr>
            <w:tcW w:w="1308" w:type="dxa"/>
          </w:tcPr>
          <w:p w14:paraId="7443DDA8" w14:textId="61C83000" w:rsidR="000F40A9" w:rsidRDefault="000F40A9" w:rsidP="000F40A9">
            <w:pPr>
              <w:pStyle w:val="TableText"/>
              <w:cnfStyle w:val="000000000000" w:firstRow="0" w:lastRow="0" w:firstColumn="0" w:lastColumn="0" w:oddVBand="0" w:evenVBand="0" w:oddHBand="0" w:evenHBand="0" w:firstRowFirstColumn="0" w:firstRowLastColumn="0" w:lastRowFirstColumn="0" w:lastRowLastColumn="0"/>
            </w:pPr>
            <w:r>
              <w:t>Transactional</w:t>
            </w:r>
          </w:p>
        </w:tc>
        <w:tc>
          <w:tcPr>
            <w:tcW w:w="725" w:type="dxa"/>
          </w:tcPr>
          <w:p w14:paraId="6A9B5C9B" w14:textId="57E64C63" w:rsidR="000F40A9" w:rsidRDefault="000F40A9" w:rsidP="000F40A9">
            <w:pPr>
              <w:pStyle w:val="TableText"/>
              <w:cnfStyle w:val="000000000000" w:firstRow="0" w:lastRow="0" w:firstColumn="0" w:lastColumn="0" w:oddVBand="0" w:evenVBand="0" w:oddHBand="0" w:evenHBand="0" w:firstRowFirstColumn="0" w:firstRowLastColumn="0" w:lastRowFirstColumn="0" w:lastRowLastColumn="0"/>
            </w:pPr>
            <w:r>
              <w:t xml:space="preserve">RFQ </w:t>
            </w:r>
          </w:p>
        </w:tc>
        <w:tc>
          <w:tcPr>
            <w:tcW w:w="786" w:type="dxa"/>
          </w:tcPr>
          <w:p w14:paraId="653C99C5" w14:textId="390D4A62" w:rsidR="000F40A9" w:rsidRDefault="000F40A9" w:rsidP="000F40A9">
            <w:pPr>
              <w:pStyle w:val="TableText"/>
              <w:cnfStyle w:val="000000000000" w:firstRow="0" w:lastRow="0" w:firstColumn="0" w:lastColumn="0" w:oddVBand="0" w:evenVBand="0" w:oddHBand="0" w:evenHBand="0" w:firstRowFirstColumn="0" w:firstRowLastColumn="0" w:lastRowFirstColumn="0" w:lastRowLastColumn="0"/>
            </w:pPr>
            <w:r>
              <w:t>Closed</w:t>
            </w:r>
          </w:p>
        </w:tc>
        <w:tc>
          <w:tcPr>
            <w:tcW w:w="580" w:type="dxa"/>
          </w:tcPr>
          <w:p w14:paraId="60E4173F" w14:textId="4DEB51F7" w:rsidR="000F40A9" w:rsidRDefault="000F40A9" w:rsidP="00934CD4">
            <w:pPr>
              <w:pStyle w:val="Tablenumbers"/>
              <w:cnfStyle w:val="000000000000" w:firstRow="0" w:lastRow="0" w:firstColumn="0" w:lastColumn="0" w:oddVBand="0" w:evenVBand="0" w:oddHBand="0" w:evenHBand="0" w:firstRowFirstColumn="0" w:firstRowLastColumn="0" w:lastRowFirstColumn="0" w:lastRowLastColumn="0"/>
            </w:pPr>
            <w:r>
              <w:t>1</w:t>
            </w:r>
          </w:p>
        </w:tc>
      </w:tr>
      <w:tr w:rsidR="00200BCC" w14:paraId="2583DEF9" w14:textId="77777777" w:rsidTr="00200B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4" w:type="dxa"/>
            <w:vMerge/>
          </w:tcPr>
          <w:p w14:paraId="5B3DD56F" w14:textId="3DD827CC" w:rsidR="000F40A9" w:rsidRPr="00E3492C" w:rsidRDefault="000F40A9" w:rsidP="000F40A9">
            <w:pPr>
              <w:pStyle w:val="TableText"/>
            </w:pPr>
          </w:p>
        </w:tc>
        <w:tc>
          <w:tcPr>
            <w:tcW w:w="513" w:type="dxa"/>
            <w:vMerge/>
          </w:tcPr>
          <w:p w14:paraId="6E31E627" w14:textId="682A67AC" w:rsidR="000F40A9" w:rsidRDefault="000F40A9" w:rsidP="000F40A9">
            <w:pPr>
              <w:pStyle w:val="TableText"/>
              <w:cnfStyle w:val="000000100000" w:firstRow="0" w:lastRow="0" w:firstColumn="0" w:lastColumn="0" w:oddVBand="0" w:evenVBand="0" w:oddHBand="1" w:evenHBand="0" w:firstRowFirstColumn="0" w:firstRowLastColumn="0" w:lastRowFirstColumn="0" w:lastRowLastColumn="0"/>
            </w:pPr>
          </w:p>
        </w:tc>
        <w:tc>
          <w:tcPr>
            <w:tcW w:w="1671" w:type="dxa"/>
          </w:tcPr>
          <w:p w14:paraId="0B57566A" w14:textId="2471AA18" w:rsidR="000F40A9" w:rsidRDefault="00CF7F37" w:rsidP="000F40A9">
            <w:pPr>
              <w:pStyle w:val="TableText"/>
              <w:cnfStyle w:val="000000100000" w:firstRow="0" w:lastRow="0" w:firstColumn="0" w:lastColumn="0" w:oddVBand="0" w:evenVBand="0" w:oddHBand="1" w:evenHBand="0" w:firstRowFirstColumn="0" w:firstRowLastColumn="0" w:lastRowFirstColumn="0" w:lastRowLastColumn="0"/>
            </w:pPr>
            <w:r>
              <w:t>R</w:t>
            </w:r>
            <w:r w:rsidR="000F40A9">
              <w:t xml:space="preserve">ifles and accessories </w:t>
            </w:r>
          </w:p>
        </w:tc>
        <w:tc>
          <w:tcPr>
            <w:tcW w:w="784" w:type="dxa"/>
          </w:tcPr>
          <w:p w14:paraId="309AD7E2" w14:textId="3AC8B2C6" w:rsidR="000F40A9" w:rsidRDefault="000F40A9" w:rsidP="00934CD4">
            <w:pPr>
              <w:pStyle w:val="Tablenumbers"/>
              <w:cnfStyle w:val="000000100000" w:firstRow="0" w:lastRow="0" w:firstColumn="0" w:lastColumn="0" w:oddVBand="0" w:evenVBand="0" w:oddHBand="1" w:evenHBand="0" w:firstRowFirstColumn="0" w:firstRowLastColumn="0" w:lastRowFirstColumn="0" w:lastRowLastColumn="0"/>
            </w:pPr>
            <w:r>
              <w:t>$0.2</w:t>
            </w:r>
          </w:p>
        </w:tc>
        <w:tc>
          <w:tcPr>
            <w:tcW w:w="675" w:type="dxa"/>
          </w:tcPr>
          <w:p w14:paraId="3F58B57E" w14:textId="407F17DE" w:rsidR="000F40A9" w:rsidRDefault="000F40A9" w:rsidP="00934CD4">
            <w:pPr>
              <w:pStyle w:val="Tablenumbers"/>
              <w:cnfStyle w:val="000000100000" w:firstRow="0" w:lastRow="0" w:firstColumn="0" w:lastColumn="0" w:oddVBand="0" w:evenVBand="0" w:oddHBand="1" w:evenHBand="0" w:firstRowFirstColumn="0" w:firstRowLastColumn="0" w:lastRowFirstColumn="0" w:lastRowLastColumn="0"/>
            </w:pPr>
            <w:r>
              <w:t>3</w:t>
            </w:r>
          </w:p>
        </w:tc>
        <w:tc>
          <w:tcPr>
            <w:tcW w:w="546" w:type="dxa"/>
          </w:tcPr>
          <w:p w14:paraId="49378C0C" w14:textId="66C3737E" w:rsidR="000F40A9" w:rsidRDefault="000F40A9" w:rsidP="00934CD4">
            <w:pPr>
              <w:pStyle w:val="Tablenumbers"/>
              <w:cnfStyle w:val="000000100000" w:firstRow="0" w:lastRow="0" w:firstColumn="0" w:lastColumn="0" w:oddVBand="0" w:evenVBand="0" w:oddHBand="1" w:evenHBand="0" w:firstRowFirstColumn="0" w:firstRowLastColumn="0" w:lastRowFirstColumn="0" w:lastRowLastColumn="0"/>
            </w:pPr>
            <w:r>
              <w:t>2</w:t>
            </w:r>
          </w:p>
        </w:tc>
        <w:tc>
          <w:tcPr>
            <w:tcW w:w="1308" w:type="dxa"/>
          </w:tcPr>
          <w:p w14:paraId="73048A10" w14:textId="73328C6D" w:rsidR="000F40A9" w:rsidRDefault="000F40A9" w:rsidP="000F40A9">
            <w:pPr>
              <w:pStyle w:val="TableText"/>
              <w:cnfStyle w:val="000000100000" w:firstRow="0" w:lastRow="0" w:firstColumn="0" w:lastColumn="0" w:oddVBand="0" w:evenVBand="0" w:oddHBand="1" w:evenHBand="0" w:firstRowFirstColumn="0" w:firstRowLastColumn="0" w:lastRowFirstColumn="0" w:lastRowLastColumn="0"/>
            </w:pPr>
            <w:r>
              <w:t>Transactional</w:t>
            </w:r>
          </w:p>
        </w:tc>
        <w:tc>
          <w:tcPr>
            <w:tcW w:w="725" w:type="dxa"/>
          </w:tcPr>
          <w:p w14:paraId="103182A0" w14:textId="754221C3" w:rsidR="000F40A9" w:rsidRDefault="000F40A9" w:rsidP="000F40A9">
            <w:pPr>
              <w:pStyle w:val="TableText"/>
              <w:cnfStyle w:val="000000100000" w:firstRow="0" w:lastRow="0" w:firstColumn="0" w:lastColumn="0" w:oddVBand="0" w:evenVBand="0" w:oddHBand="1" w:evenHBand="0" w:firstRowFirstColumn="0" w:firstRowLastColumn="0" w:lastRowFirstColumn="0" w:lastRowLastColumn="0"/>
            </w:pPr>
            <w:r>
              <w:t>RFT</w:t>
            </w:r>
          </w:p>
        </w:tc>
        <w:tc>
          <w:tcPr>
            <w:tcW w:w="786" w:type="dxa"/>
          </w:tcPr>
          <w:p w14:paraId="566CDC83" w14:textId="051632E6" w:rsidR="000F40A9" w:rsidRDefault="000F40A9" w:rsidP="000F40A9">
            <w:pPr>
              <w:pStyle w:val="TableText"/>
              <w:cnfStyle w:val="000000100000" w:firstRow="0" w:lastRow="0" w:firstColumn="0" w:lastColumn="0" w:oddVBand="0" w:evenVBand="0" w:oddHBand="1" w:evenHBand="0" w:firstRowFirstColumn="0" w:firstRowLastColumn="0" w:lastRowFirstColumn="0" w:lastRowLastColumn="0"/>
            </w:pPr>
            <w:r>
              <w:t>Closed</w:t>
            </w:r>
          </w:p>
        </w:tc>
        <w:tc>
          <w:tcPr>
            <w:tcW w:w="580" w:type="dxa"/>
          </w:tcPr>
          <w:p w14:paraId="295463C2" w14:textId="3FAB5B2D" w:rsidR="000F40A9" w:rsidRDefault="000F40A9" w:rsidP="00934CD4">
            <w:pPr>
              <w:pStyle w:val="Tablenumbers"/>
              <w:cnfStyle w:val="000000100000" w:firstRow="0" w:lastRow="0" w:firstColumn="0" w:lastColumn="0" w:oddVBand="0" w:evenVBand="0" w:oddHBand="1" w:evenHBand="0" w:firstRowFirstColumn="0" w:firstRowLastColumn="0" w:lastRowFirstColumn="0" w:lastRowLastColumn="0"/>
            </w:pPr>
            <w:r>
              <w:t>1</w:t>
            </w:r>
          </w:p>
        </w:tc>
      </w:tr>
      <w:tr w:rsidR="00200BCC" w14:paraId="4153B4BB" w14:textId="77777777" w:rsidTr="00200BCC">
        <w:tc>
          <w:tcPr>
            <w:cnfStyle w:val="001000000000" w:firstRow="0" w:lastRow="0" w:firstColumn="1" w:lastColumn="0" w:oddVBand="0" w:evenVBand="0" w:oddHBand="0" w:evenHBand="0" w:firstRowFirstColumn="0" w:firstRowLastColumn="0" w:lastRowFirstColumn="0" w:lastRowLastColumn="0"/>
            <w:tcW w:w="1394" w:type="dxa"/>
            <w:vMerge/>
          </w:tcPr>
          <w:p w14:paraId="4F0DB399" w14:textId="77777777" w:rsidR="000F40A9" w:rsidRPr="0000017A" w:rsidRDefault="000F40A9" w:rsidP="000F40A9">
            <w:pPr>
              <w:pStyle w:val="TableText"/>
              <w:rPr>
                <w:b w:val="0"/>
              </w:rPr>
            </w:pPr>
          </w:p>
        </w:tc>
        <w:tc>
          <w:tcPr>
            <w:tcW w:w="513" w:type="dxa"/>
            <w:vMerge/>
          </w:tcPr>
          <w:p w14:paraId="5BAFD6D0" w14:textId="77777777" w:rsidR="000F40A9" w:rsidRDefault="000F40A9" w:rsidP="000F40A9">
            <w:pPr>
              <w:pStyle w:val="TableText"/>
              <w:cnfStyle w:val="000000000000" w:firstRow="0" w:lastRow="0" w:firstColumn="0" w:lastColumn="0" w:oddVBand="0" w:evenVBand="0" w:oddHBand="0" w:evenHBand="0" w:firstRowFirstColumn="0" w:firstRowLastColumn="0" w:lastRowFirstColumn="0" w:lastRowLastColumn="0"/>
            </w:pPr>
          </w:p>
        </w:tc>
        <w:tc>
          <w:tcPr>
            <w:tcW w:w="1671" w:type="dxa"/>
          </w:tcPr>
          <w:p w14:paraId="03D0C86D" w14:textId="2BD59AFA" w:rsidR="000F40A9" w:rsidRDefault="000F40A9" w:rsidP="000F40A9">
            <w:pPr>
              <w:pStyle w:val="TableText"/>
              <w:cnfStyle w:val="000000000000" w:firstRow="0" w:lastRow="0" w:firstColumn="0" w:lastColumn="0" w:oddVBand="0" w:evenVBand="0" w:oddHBand="0" w:evenHBand="0" w:firstRowFirstColumn="0" w:firstRowLastColumn="0" w:lastRowFirstColumn="0" w:lastRowLastColumn="0"/>
            </w:pPr>
            <w:r>
              <w:t>Gunshot residue particle identification system</w:t>
            </w:r>
          </w:p>
        </w:tc>
        <w:tc>
          <w:tcPr>
            <w:tcW w:w="784" w:type="dxa"/>
          </w:tcPr>
          <w:p w14:paraId="7BA5AF6C" w14:textId="3CA72331" w:rsidR="000F40A9" w:rsidRDefault="000F40A9" w:rsidP="00934CD4">
            <w:pPr>
              <w:pStyle w:val="Tablenumbers"/>
              <w:cnfStyle w:val="000000000000" w:firstRow="0" w:lastRow="0" w:firstColumn="0" w:lastColumn="0" w:oddVBand="0" w:evenVBand="0" w:oddHBand="0" w:evenHBand="0" w:firstRowFirstColumn="0" w:firstRowLastColumn="0" w:lastRowFirstColumn="0" w:lastRowLastColumn="0"/>
            </w:pPr>
            <w:r>
              <w:t>$0.3</w:t>
            </w:r>
          </w:p>
        </w:tc>
        <w:tc>
          <w:tcPr>
            <w:tcW w:w="675" w:type="dxa"/>
          </w:tcPr>
          <w:p w14:paraId="1E47BA6C" w14:textId="72FDD561" w:rsidR="000F40A9" w:rsidRDefault="000F40A9" w:rsidP="00934CD4">
            <w:pPr>
              <w:pStyle w:val="Tablenumbers"/>
              <w:cnfStyle w:val="000000000000" w:firstRow="0" w:lastRow="0" w:firstColumn="0" w:lastColumn="0" w:oddVBand="0" w:evenVBand="0" w:oddHBand="0" w:evenHBand="0" w:firstRowFirstColumn="0" w:firstRowLastColumn="0" w:lastRowFirstColumn="0" w:lastRowLastColumn="0"/>
            </w:pPr>
            <w:r>
              <w:t>2</w:t>
            </w:r>
          </w:p>
        </w:tc>
        <w:tc>
          <w:tcPr>
            <w:tcW w:w="546" w:type="dxa"/>
          </w:tcPr>
          <w:p w14:paraId="40C78233" w14:textId="0EEFEE7D" w:rsidR="000F40A9" w:rsidRDefault="000F40A9" w:rsidP="00934CD4">
            <w:pPr>
              <w:pStyle w:val="Tablenumbers"/>
              <w:cnfStyle w:val="000000000000" w:firstRow="0" w:lastRow="0" w:firstColumn="0" w:lastColumn="0" w:oddVBand="0" w:evenVBand="0" w:oddHBand="0" w:evenHBand="0" w:firstRowFirstColumn="0" w:firstRowLastColumn="0" w:lastRowFirstColumn="0" w:lastRowLastColumn="0"/>
            </w:pPr>
            <w:r>
              <w:t>.. </w:t>
            </w:r>
          </w:p>
        </w:tc>
        <w:tc>
          <w:tcPr>
            <w:tcW w:w="1308" w:type="dxa"/>
          </w:tcPr>
          <w:p w14:paraId="40DAA483" w14:textId="259CFBD1" w:rsidR="000F40A9" w:rsidRDefault="000F40A9" w:rsidP="000F40A9">
            <w:pPr>
              <w:pStyle w:val="TableText"/>
              <w:cnfStyle w:val="000000000000" w:firstRow="0" w:lastRow="0" w:firstColumn="0" w:lastColumn="0" w:oddVBand="0" w:evenVBand="0" w:oddHBand="0" w:evenHBand="0" w:firstRowFirstColumn="0" w:firstRowLastColumn="0" w:lastRowFirstColumn="0" w:lastRowLastColumn="0"/>
            </w:pPr>
            <w:r>
              <w:t>Transactional</w:t>
            </w:r>
          </w:p>
        </w:tc>
        <w:tc>
          <w:tcPr>
            <w:tcW w:w="725" w:type="dxa"/>
          </w:tcPr>
          <w:p w14:paraId="1EE60218" w14:textId="12754291" w:rsidR="000F40A9" w:rsidRDefault="000F40A9" w:rsidP="000F40A9">
            <w:pPr>
              <w:pStyle w:val="TableText"/>
              <w:cnfStyle w:val="000000000000" w:firstRow="0" w:lastRow="0" w:firstColumn="0" w:lastColumn="0" w:oddVBand="0" w:evenVBand="0" w:oddHBand="0" w:evenHBand="0" w:firstRowFirstColumn="0" w:firstRowLastColumn="0" w:lastRowFirstColumn="0" w:lastRowLastColumn="0"/>
            </w:pPr>
            <w:r>
              <w:t>RFQ</w:t>
            </w:r>
          </w:p>
        </w:tc>
        <w:tc>
          <w:tcPr>
            <w:tcW w:w="786" w:type="dxa"/>
          </w:tcPr>
          <w:p w14:paraId="78EB17A6" w14:textId="37876CA6" w:rsidR="000F40A9" w:rsidRDefault="000F40A9" w:rsidP="000F40A9">
            <w:pPr>
              <w:pStyle w:val="TableText"/>
              <w:cnfStyle w:val="000000000000" w:firstRow="0" w:lastRow="0" w:firstColumn="0" w:lastColumn="0" w:oddVBand="0" w:evenVBand="0" w:oddHBand="0" w:evenHBand="0" w:firstRowFirstColumn="0" w:firstRowLastColumn="0" w:lastRowFirstColumn="0" w:lastRowLastColumn="0"/>
            </w:pPr>
            <w:r>
              <w:t>Closed</w:t>
            </w:r>
          </w:p>
        </w:tc>
        <w:tc>
          <w:tcPr>
            <w:tcW w:w="580" w:type="dxa"/>
          </w:tcPr>
          <w:p w14:paraId="6DF73FB3" w14:textId="615FEA14" w:rsidR="000F40A9" w:rsidRDefault="000F40A9" w:rsidP="00934CD4">
            <w:pPr>
              <w:pStyle w:val="Tablenumbers"/>
              <w:cnfStyle w:val="000000000000" w:firstRow="0" w:lastRow="0" w:firstColumn="0" w:lastColumn="0" w:oddVBand="0" w:evenVBand="0" w:oddHBand="0" w:evenHBand="0" w:firstRowFirstColumn="0" w:firstRowLastColumn="0" w:lastRowFirstColumn="0" w:lastRowLastColumn="0"/>
            </w:pPr>
            <w:r>
              <w:t>1</w:t>
            </w:r>
          </w:p>
        </w:tc>
      </w:tr>
      <w:tr w:rsidR="00200BCC" w14:paraId="7FB2AA51" w14:textId="77777777" w:rsidTr="00200B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4" w:type="dxa"/>
            <w:vMerge/>
          </w:tcPr>
          <w:p w14:paraId="36262005" w14:textId="77777777" w:rsidR="000F40A9" w:rsidRPr="0000017A" w:rsidRDefault="000F40A9" w:rsidP="000F40A9">
            <w:pPr>
              <w:pStyle w:val="TableText"/>
              <w:rPr>
                <w:b w:val="0"/>
              </w:rPr>
            </w:pPr>
          </w:p>
        </w:tc>
        <w:tc>
          <w:tcPr>
            <w:tcW w:w="513" w:type="dxa"/>
            <w:vMerge/>
          </w:tcPr>
          <w:p w14:paraId="6FA72905" w14:textId="77777777" w:rsidR="000F40A9" w:rsidRDefault="000F40A9" w:rsidP="000F40A9">
            <w:pPr>
              <w:pStyle w:val="TableText"/>
              <w:cnfStyle w:val="000000100000" w:firstRow="0" w:lastRow="0" w:firstColumn="0" w:lastColumn="0" w:oddVBand="0" w:evenVBand="0" w:oddHBand="1" w:evenHBand="0" w:firstRowFirstColumn="0" w:firstRowLastColumn="0" w:lastRowFirstColumn="0" w:lastRowLastColumn="0"/>
            </w:pPr>
          </w:p>
        </w:tc>
        <w:tc>
          <w:tcPr>
            <w:tcW w:w="1671" w:type="dxa"/>
          </w:tcPr>
          <w:p w14:paraId="7ADD9069" w14:textId="4FF28B52" w:rsidR="000F40A9" w:rsidRDefault="000F40A9" w:rsidP="000F40A9">
            <w:pPr>
              <w:pStyle w:val="TableText"/>
              <w:cnfStyle w:val="000000100000" w:firstRow="0" w:lastRow="0" w:firstColumn="0" w:lastColumn="0" w:oddVBand="0" w:evenVBand="0" w:oddHBand="1" w:evenHBand="0" w:firstRowFirstColumn="0" w:firstRowLastColumn="0" w:lastRowFirstColumn="0" w:lastRowLastColumn="0"/>
            </w:pPr>
            <w:r>
              <w:t>Ballistic testing of operational, training and tactical ammunition</w:t>
            </w:r>
          </w:p>
        </w:tc>
        <w:tc>
          <w:tcPr>
            <w:tcW w:w="784" w:type="dxa"/>
          </w:tcPr>
          <w:p w14:paraId="20FA060E" w14:textId="655E5CE7" w:rsidR="000F40A9" w:rsidRDefault="000F40A9" w:rsidP="00934CD4">
            <w:pPr>
              <w:pStyle w:val="Tablenumbers"/>
              <w:cnfStyle w:val="000000100000" w:firstRow="0" w:lastRow="0" w:firstColumn="0" w:lastColumn="0" w:oddVBand="0" w:evenVBand="0" w:oddHBand="1" w:evenHBand="0" w:firstRowFirstColumn="0" w:firstRowLastColumn="0" w:lastRowFirstColumn="0" w:lastRowLastColumn="0"/>
            </w:pPr>
            <w:r>
              <w:t>$0.3</w:t>
            </w:r>
          </w:p>
        </w:tc>
        <w:tc>
          <w:tcPr>
            <w:tcW w:w="675" w:type="dxa"/>
          </w:tcPr>
          <w:p w14:paraId="32C70EF1" w14:textId="701F05B2" w:rsidR="000F40A9" w:rsidRDefault="000F40A9" w:rsidP="00934CD4">
            <w:pPr>
              <w:pStyle w:val="Tablenumbers"/>
              <w:cnfStyle w:val="000000100000" w:firstRow="0" w:lastRow="0" w:firstColumn="0" w:lastColumn="0" w:oddVBand="0" w:evenVBand="0" w:oddHBand="1" w:evenHBand="0" w:firstRowFirstColumn="0" w:firstRowLastColumn="0" w:lastRowFirstColumn="0" w:lastRowLastColumn="0"/>
            </w:pPr>
            <w:r>
              <w:t>1</w:t>
            </w:r>
          </w:p>
        </w:tc>
        <w:tc>
          <w:tcPr>
            <w:tcW w:w="546" w:type="dxa"/>
          </w:tcPr>
          <w:p w14:paraId="199514CF" w14:textId="34E11ABB" w:rsidR="000F40A9" w:rsidRDefault="000F40A9" w:rsidP="00934CD4">
            <w:pPr>
              <w:pStyle w:val="Tablenumbers"/>
              <w:cnfStyle w:val="000000100000" w:firstRow="0" w:lastRow="0" w:firstColumn="0" w:lastColumn="0" w:oddVBand="0" w:evenVBand="0" w:oddHBand="1" w:evenHBand="0" w:firstRowFirstColumn="0" w:firstRowLastColumn="0" w:lastRowFirstColumn="0" w:lastRowLastColumn="0"/>
            </w:pPr>
            <w:r>
              <w:t>.. </w:t>
            </w:r>
          </w:p>
        </w:tc>
        <w:tc>
          <w:tcPr>
            <w:tcW w:w="1308" w:type="dxa"/>
          </w:tcPr>
          <w:p w14:paraId="074C1A33" w14:textId="0692FABE" w:rsidR="000F40A9" w:rsidRDefault="000F40A9" w:rsidP="000F40A9">
            <w:pPr>
              <w:pStyle w:val="TableText"/>
              <w:cnfStyle w:val="000000100000" w:firstRow="0" w:lastRow="0" w:firstColumn="0" w:lastColumn="0" w:oddVBand="0" w:evenVBand="0" w:oddHBand="1" w:evenHBand="0" w:firstRowFirstColumn="0" w:firstRowLastColumn="0" w:lastRowFirstColumn="0" w:lastRowLastColumn="0"/>
            </w:pPr>
            <w:r>
              <w:t>Focused</w:t>
            </w:r>
          </w:p>
        </w:tc>
        <w:tc>
          <w:tcPr>
            <w:tcW w:w="725" w:type="dxa"/>
          </w:tcPr>
          <w:p w14:paraId="0D95D792" w14:textId="04CFBEDE" w:rsidR="000F40A9" w:rsidRDefault="000F40A9" w:rsidP="000F40A9">
            <w:pPr>
              <w:pStyle w:val="TableText"/>
              <w:cnfStyle w:val="000000100000" w:firstRow="0" w:lastRow="0" w:firstColumn="0" w:lastColumn="0" w:oddVBand="0" w:evenVBand="0" w:oddHBand="1" w:evenHBand="0" w:firstRowFirstColumn="0" w:firstRowLastColumn="0" w:lastRowFirstColumn="0" w:lastRowLastColumn="0"/>
            </w:pPr>
            <w:r>
              <w:t xml:space="preserve">RFQ </w:t>
            </w:r>
          </w:p>
        </w:tc>
        <w:tc>
          <w:tcPr>
            <w:tcW w:w="786" w:type="dxa"/>
          </w:tcPr>
          <w:p w14:paraId="487BA2A0" w14:textId="1FA02669" w:rsidR="000F40A9" w:rsidRDefault="000F40A9" w:rsidP="000F40A9">
            <w:pPr>
              <w:pStyle w:val="TableText"/>
              <w:cnfStyle w:val="000000100000" w:firstRow="0" w:lastRow="0" w:firstColumn="0" w:lastColumn="0" w:oddVBand="0" w:evenVBand="0" w:oddHBand="1" w:evenHBand="0" w:firstRowFirstColumn="0" w:firstRowLastColumn="0" w:lastRowFirstColumn="0" w:lastRowLastColumn="0"/>
            </w:pPr>
            <w:r>
              <w:t>Closed</w:t>
            </w:r>
          </w:p>
        </w:tc>
        <w:tc>
          <w:tcPr>
            <w:tcW w:w="580" w:type="dxa"/>
          </w:tcPr>
          <w:p w14:paraId="4A1AC2DE" w14:textId="779A6650" w:rsidR="000F40A9" w:rsidRDefault="000F40A9" w:rsidP="00934CD4">
            <w:pPr>
              <w:pStyle w:val="Tablenumbers"/>
              <w:cnfStyle w:val="000000100000" w:firstRow="0" w:lastRow="0" w:firstColumn="0" w:lastColumn="0" w:oddVBand="0" w:evenVBand="0" w:oddHBand="1" w:evenHBand="0" w:firstRowFirstColumn="0" w:firstRowLastColumn="0" w:lastRowFirstColumn="0" w:lastRowLastColumn="0"/>
            </w:pPr>
            <w:r>
              <w:t>1</w:t>
            </w:r>
          </w:p>
        </w:tc>
      </w:tr>
      <w:tr w:rsidR="00200BCC" w14:paraId="2DCEAEAF" w14:textId="77777777" w:rsidTr="00200BCC">
        <w:tc>
          <w:tcPr>
            <w:cnfStyle w:val="001000000000" w:firstRow="0" w:lastRow="0" w:firstColumn="1" w:lastColumn="0" w:oddVBand="0" w:evenVBand="0" w:oddHBand="0" w:evenHBand="0" w:firstRowFirstColumn="0" w:firstRowLastColumn="0" w:lastRowFirstColumn="0" w:lastRowLastColumn="0"/>
            <w:tcW w:w="1394" w:type="dxa"/>
            <w:vMerge/>
          </w:tcPr>
          <w:p w14:paraId="043CE64E" w14:textId="77777777" w:rsidR="000F40A9" w:rsidRPr="0000017A" w:rsidRDefault="000F40A9" w:rsidP="000F40A9">
            <w:pPr>
              <w:pStyle w:val="TableText"/>
              <w:rPr>
                <w:b w:val="0"/>
              </w:rPr>
            </w:pPr>
          </w:p>
        </w:tc>
        <w:tc>
          <w:tcPr>
            <w:tcW w:w="513" w:type="dxa"/>
            <w:vMerge/>
          </w:tcPr>
          <w:p w14:paraId="2F5C01FF" w14:textId="77777777" w:rsidR="000F40A9" w:rsidRDefault="000F40A9" w:rsidP="000F40A9">
            <w:pPr>
              <w:pStyle w:val="TableText"/>
              <w:cnfStyle w:val="000000000000" w:firstRow="0" w:lastRow="0" w:firstColumn="0" w:lastColumn="0" w:oddVBand="0" w:evenVBand="0" w:oddHBand="0" w:evenHBand="0" w:firstRowFirstColumn="0" w:firstRowLastColumn="0" w:lastRowFirstColumn="0" w:lastRowLastColumn="0"/>
            </w:pPr>
          </w:p>
        </w:tc>
        <w:tc>
          <w:tcPr>
            <w:tcW w:w="1671" w:type="dxa"/>
          </w:tcPr>
          <w:p w14:paraId="77C56E4C" w14:textId="2FC04382" w:rsidR="000F40A9" w:rsidRDefault="000F40A9" w:rsidP="000F40A9">
            <w:pPr>
              <w:pStyle w:val="TableText"/>
              <w:cnfStyle w:val="000000000000" w:firstRow="0" w:lastRow="0" w:firstColumn="0" w:lastColumn="0" w:oddVBand="0" w:evenVBand="0" w:oddHBand="0" w:evenHBand="0" w:firstRowFirstColumn="0" w:firstRowLastColumn="0" w:lastRowFirstColumn="0" w:lastRowLastColumn="0"/>
            </w:pPr>
            <w:r>
              <w:t>Digital radio upgrade program – antennas and associated hardware</w:t>
            </w:r>
          </w:p>
        </w:tc>
        <w:tc>
          <w:tcPr>
            <w:tcW w:w="784" w:type="dxa"/>
          </w:tcPr>
          <w:p w14:paraId="6C255191" w14:textId="2985D2C3" w:rsidR="000F40A9" w:rsidRDefault="000F40A9" w:rsidP="00934CD4">
            <w:pPr>
              <w:pStyle w:val="Tablenumbers"/>
              <w:cnfStyle w:val="000000000000" w:firstRow="0" w:lastRow="0" w:firstColumn="0" w:lastColumn="0" w:oddVBand="0" w:evenVBand="0" w:oddHBand="0" w:evenHBand="0" w:firstRowFirstColumn="0" w:firstRowLastColumn="0" w:lastRowFirstColumn="0" w:lastRowLastColumn="0"/>
            </w:pPr>
            <w:r>
              <w:t>$0.4</w:t>
            </w:r>
          </w:p>
        </w:tc>
        <w:tc>
          <w:tcPr>
            <w:tcW w:w="675" w:type="dxa"/>
          </w:tcPr>
          <w:p w14:paraId="6EB72088" w14:textId="0DF356FD" w:rsidR="000F40A9" w:rsidRDefault="000F40A9" w:rsidP="00934CD4">
            <w:pPr>
              <w:pStyle w:val="Tablenumbers"/>
              <w:cnfStyle w:val="000000000000" w:firstRow="0" w:lastRow="0" w:firstColumn="0" w:lastColumn="0" w:oddVBand="0" w:evenVBand="0" w:oddHBand="0" w:evenHBand="0" w:firstRowFirstColumn="0" w:firstRowLastColumn="0" w:lastRowFirstColumn="0" w:lastRowLastColumn="0"/>
            </w:pPr>
            <w:r>
              <w:t>3</w:t>
            </w:r>
          </w:p>
        </w:tc>
        <w:tc>
          <w:tcPr>
            <w:tcW w:w="546" w:type="dxa"/>
          </w:tcPr>
          <w:p w14:paraId="0268012A" w14:textId="266B9AD3" w:rsidR="000F40A9" w:rsidRDefault="000F40A9" w:rsidP="00934CD4">
            <w:pPr>
              <w:pStyle w:val="Tablenumbers"/>
              <w:cnfStyle w:val="000000000000" w:firstRow="0" w:lastRow="0" w:firstColumn="0" w:lastColumn="0" w:oddVBand="0" w:evenVBand="0" w:oddHBand="0" w:evenHBand="0" w:firstRowFirstColumn="0" w:firstRowLastColumn="0" w:lastRowFirstColumn="0" w:lastRowLastColumn="0"/>
            </w:pPr>
            <w:r>
              <w:t>.. </w:t>
            </w:r>
          </w:p>
        </w:tc>
        <w:tc>
          <w:tcPr>
            <w:tcW w:w="1308" w:type="dxa"/>
          </w:tcPr>
          <w:p w14:paraId="6B015031" w14:textId="443F57CD" w:rsidR="000F40A9" w:rsidRDefault="000F40A9" w:rsidP="000F40A9">
            <w:pPr>
              <w:pStyle w:val="TableText"/>
              <w:cnfStyle w:val="000000000000" w:firstRow="0" w:lastRow="0" w:firstColumn="0" w:lastColumn="0" w:oddVBand="0" w:evenVBand="0" w:oddHBand="0" w:evenHBand="0" w:firstRowFirstColumn="0" w:firstRowLastColumn="0" w:lastRowFirstColumn="0" w:lastRowLastColumn="0"/>
            </w:pPr>
            <w:r>
              <w:t>Transactional</w:t>
            </w:r>
          </w:p>
        </w:tc>
        <w:tc>
          <w:tcPr>
            <w:tcW w:w="725" w:type="dxa"/>
          </w:tcPr>
          <w:p w14:paraId="2C6E60E4" w14:textId="4D182B96" w:rsidR="000F40A9" w:rsidRDefault="000F40A9" w:rsidP="000F40A9">
            <w:pPr>
              <w:pStyle w:val="TableText"/>
              <w:cnfStyle w:val="000000000000" w:firstRow="0" w:lastRow="0" w:firstColumn="0" w:lastColumn="0" w:oddVBand="0" w:evenVBand="0" w:oddHBand="0" w:evenHBand="0" w:firstRowFirstColumn="0" w:firstRowLastColumn="0" w:lastRowFirstColumn="0" w:lastRowLastColumn="0"/>
            </w:pPr>
            <w:r>
              <w:t>RFQ</w:t>
            </w:r>
          </w:p>
        </w:tc>
        <w:tc>
          <w:tcPr>
            <w:tcW w:w="786" w:type="dxa"/>
          </w:tcPr>
          <w:p w14:paraId="2187C367" w14:textId="1BDADF1A" w:rsidR="000F40A9" w:rsidRDefault="000F40A9" w:rsidP="000F40A9">
            <w:pPr>
              <w:pStyle w:val="TableText"/>
              <w:cnfStyle w:val="000000000000" w:firstRow="0" w:lastRow="0" w:firstColumn="0" w:lastColumn="0" w:oddVBand="0" w:evenVBand="0" w:oddHBand="0" w:evenHBand="0" w:firstRowFirstColumn="0" w:firstRowLastColumn="0" w:lastRowFirstColumn="0" w:lastRowLastColumn="0"/>
            </w:pPr>
            <w:r>
              <w:t>Closed</w:t>
            </w:r>
          </w:p>
        </w:tc>
        <w:tc>
          <w:tcPr>
            <w:tcW w:w="580" w:type="dxa"/>
          </w:tcPr>
          <w:p w14:paraId="705FFF36" w14:textId="2DA0AD34" w:rsidR="000F40A9" w:rsidRDefault="000F40A9" w:rsidP="00934CD4">
            <w:pPr>
              <w:pStyle w:val="Tablenumbers"/>
              <w:cnfStyle w:val="000000000000" w:firstRow="0" w:lastRow="0" w:firstColumn="0" w:lastColumn="0" w:oddVBand="0" w:evenVBand="0" w:oddHBand="0" w:evenHBand="0" w:firstRowFirstColumn="0" w:firstRowLastColumn="0" w:lastRowFirstColumn="0" w:lastRowLastColumn="0"/>
            </w:pPr>
            <w:r>
              <w:t>1</w:t>
            </w:r>
          </w:p>
        </w:tc>
      </w:tr>
      <w:tr w:rsidR="00200BCC" w14:paraId="363A5A1C" w14:textId="77777777" w:rsidTr="00200B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4" w:type="dxa"/>
            <w:vMerge/>
          </w:tcPr>
          <w:p w14:paraId="6D1030FC" w14:textId="77777777" w:rsidR="000F40A9" w:rsidRPr="0000017A" w:rsidRDefault="000F40A9" w:rsidP="000F40A9">
            <w:pPr>
              <w:pStyle w:val="TableText"/>
              <w:rPr>
                <w:b w:val="0"/>
              </w:rPr>
            </w:pPr>
          </w:p>
        </w:tc>
        <w:tc>
          <w:tcPr>
            <w:tcW w:w="513" w:type="dxa"/>
            <w:vMerge/>
          </w:tcPr>
          <w:p w14:paraId="21342358" w14:textId="77777777" w:rsidR="000F40A9" w:rsidRDefault="000F40A9" w:rsidP="000F40A9">
            <w:pPr>
              <w:pStyle w:val="TableText"/>
              <w:cnfStyle w:val="000000100000" w:firstRow="0" w:lastRow="0" w:firstColumn="0" w:lastColumn="0" w:oddVBand="0" w:evenVBand="0" w:oddHBand="1" w:evenHBand="0" w:firstRowFirstColumn="0" w:firstRowLastColumn="0" w:lastRowFirstColumn="0" w:lastRowLastColumn="0"/>
            </w:pPr>
          </w:p>
        </w:tc>
        <w:tc>
          <w:tcPr>
            <w:tcW w:w="1671" w:type="dxa"/>
          </w:tcPr>
          <w:p w14:paraId="683C9ABE" w14:textId="4FBAA491" w:rsidR="000F40A9" w:rsidRDefault="000F40A9" w:rsidP="000F40A9">
            <w:pPr>
              <w:pStyle w:val="TableText"/>
              <w:cnfStyle w:val="000000100000" w:firstRow="0" w:lastRow="0" w:firstColumn="0" w:lastColumn="0" w:oddVBand="0" w:evenVBand="0" w:oddHBand="1" w:evenHBand="0" w:firstRowFirstColumn="0" w:firstRowLastColumn="0" w:lastRowFirstColumn="0" w:lastRowLastColumn="0"/>
            </w:pPr>
            <w:r>
              <w:t xml:space="preserve">Occupational health </w:t>
            </w:r>
            <w:r w:rsidR="00DE017D">
              <w:t>and</w:t>
            </w:r>
            <w:r>
              <w:t xml:space="preserve"> safety services</w:t>
            </w:r>
          </w:p>
        </w:tc>
        <w:tc>
          <w:tcPr>
            <w:tcW w:w="784" w:type="dxa"/>
          </w:tcPr>
          <w:p w14:paraId="78095891" w14:textId="04D92387" w:rsidR="000F40A9" w:rsidRDefault="000F40A9" w:rsidP="00934CD4">
            <w:pPr>
              <w:pStyle w:val="Tablenumbers"/>
              <w:cnfStyle w:val="000000100000" w:firstRow="0" w:lastRow="0" w:firstColumn="0" w:lastColumn="0" w:oddVBand="0" w:evenVBand="0" w:oddHBand="1" w:evenHBand="0" w:firstRowFirstColumn="0" w:firstRowLastColumn="0" w:lastRowFirstColumn="0" w:lastRowLastColumn="0"/>
            </w:pPr>
            <w:r>
              <w:t>$0.4</w:t>
            </w:r>
          </w:p>
        </w:tc>
        <w:tc>
          <w:tcPr>
            <w:tcW w:w="675" w:type="dxa"/>
          </w:tcPr>
          <w:p w14:paraId="1997A1F2" w14:textId="1934A539" w:rsidR="000F40A9" w:rsidRDefault="000F40A9" w:rsidP="00934CD4">
            <w:pPr>
              <w:pStyle w:val="Tablenumbers"/>
              <w:cnfStyle w:val="000000100000" w:firstRow="0" w:lastRow="0" w:firstColumn="0" w:lastColumn="0" w:oddVBand="0" w:evenVBand="0" w:oddHBand="1" w:evenHBand="0" w:firstRowFirstColumn="0" w:firstRowLastColumn="0" w:lastRowFirstColumn="0" w:lastRowLastColumn="0"/>
            </w:pPr>
            <w:r>
              <w:t>2</w:t>
            </w:r>
          </w:p>
        </w:tc>
        <w:tc>
          <w:tcPr>
            <w:tcW w:w="546" w:type="dxa"/>
          </w:tcPr>
          <w:p w14:paraId="692C90B6" w14:textId="13B33182" w:rsidR="000F40A9" w:rsidRDefault="000F40A9" w:rsidP="00934CD4">
            <w:pPr>
              <w:pStyle w:val="Tablenumbers"/>
              <w:cnfStyle w:val="000000100000" w:firstRow="0" w:lastRow="0" w:firstColumn="0" w:lastColumn="0" w:oddVBand="0" w:evenVBand="0" w:oddHBand="1" w:evenHBand="0" w:firstRowFirstColumn="0" w:firstRowLastColumn="0" w:lastRowFirstColumn="0" w:lastRowLastColumn="0"/>
            </w:pPr>
            <w:r>
              <w:t>2</w:t>
            </w:r>
          </w:p>
        </w:tc>
        <w:tc>
          <w:tcPr>
            <w:tcW w:w="1308" w:type="dxa"/>
          </w:tcPr>
          <w:p w14:paraId="6DB8811D" w14:textId="5C7F0BBC" w:rsidR="000F40A9" w:rsidRDefault="000F40A9" w:rsidP="000F40A9">
            <w:pPr>
              <w:pStyle w:val="TableText"/>
              <w:cnfStyle w:val="000000100000" w:firstRow="0" w:lastRow="0" w:firstColumn="0" w:lastColumn="0" w:oddVBand="0" w:evenVBand="0" w:oddHBand="1" w:evenHBand="0" w:firstRowFirstColumn="0" w:firstRowLastColumn="0" w:lastRowFirstColumn="0" w:lastRowLastColumn="0"/>
            </w:pPr>
            <w:r>
              <w:t>Transactional</w:t>
            </w:r>
          </w:p>
        </w:tc>
        <w:tc>
          <w:tcPr>
            <w:tcW w:w="725" w:type="dxa"/>
          </w:tcPr>
          <w:p w14:paraId="5A3E1E0F" w14:textId="30D9F62F" w:rsidR="000F40A9" w:rsidRDefault="000F40A9" w:rsidP="000F40A9">
            <w:pPr>
              <w:pStyle w:val="TableText"/>
              <w:cnfStyle w:val="000000100000" w:firstRow="0" w:lastRow="0" w:firstColumn="0" w:lastColumn="0" w:oddVBand="0" w:evenVBand="0" w:oddHBand="1" w:evenHBand="0" w:firstRowFirstColumn="0" w:firstRowLastColumn="0" w:lastRowFirstColumn="0" w:lastRowLastColumn="0"/>
            </w:pPr>
            <w:r>
              <w:t xml:space="preserve">RFT </w:t>
            </w:r>
          </w:p>
        </w:tc>
        <w:tc>
          <w:tcPr>
            <w:tcW w:w="786" w:type="dxa"/>
          </w:tcPr>
          <w:p w14:paraId="1C140E47" w14:textId="412051EB" w:rsidR="000F40A9" w:rsidRDefault="000F40A9" w:rsidP="000F40A9">
            <w:pPr>
              <w:pStyle w:val="TableText"/>
              <w:cnfStyle w:val="000000100000" w:firstRow="0" w:lastRow="0" w:firstColumn="0" w:lastColumn="0" w:oddVBand="0" w:evenVBand="0" w:oddHBand="1" w:evenHBand="0" w:firstRowFirstColumn="0" w:firstRowLastColumn="0" w:lastRowFirstColumn="0" w:lastRowLastColumn="0"/>
            </w:pPr>
            <w:r>
              <w:t>Closed</w:t>
            </w:r>
          </w:p>
        </w:tc>
        <w:tc>
          <w:tcPr>
            <w:tcW w:w="580" w:type="dxa"/>
          </w:tcPr>
          <w:p w14:paraId="487471B0" w14:textId="0073D183" w:rsidR="000F40A9" w:rsidRDefault="000F40A9" w:rsidP="00934CD4">
            <w:pPr>
              <w:pStyle w:val="Tablenumbers"/>
              <w:cnfStyle w:val="000000100000" w:firstRow="0" w:lastRow="0" w:firstColumn="0" w:lastColumn="0" w:oddVBand="0" w:evenVBand="0" w:oddHBand="1" w:evenHBand="0" w:firstRowFirstColumn="0" w:firstRowLastColumn="0" w:lastRowFirstColumn="0" w:lastRowLastColumn="0"/>
            </w:pPr>
            <w:r>
              <w:t>3</w:t>
            </w:r>
          </w:p>
        </w:tc>
      </w:tr>
      <w:tr w:rsidR="00200BCC" w14:paraId="7D28FFAB" w14:textId="77777777" w:rsidTr="00200BCC">
        <w:tc>
          <w:tcPr>
            <w:cnfStyle w:val="001000000000" w:firstRow="0" w:lastRow="0" w:firstColumn="1" w:lastColumn="0" w:oddVBand="0" w:evenVBand="0" w:oddHBand="0" w:evenHBand="0" w:firstRowFirstColumn="0" w:firstRowLastColumn="0" w:lastRowFirstColumn="0" w:lastRowLastColumn="0"/>
            <w:tcW w:w="1394" w:type="dxa"/>
            <w:vMerge/>
          </w:tcPr>
          <w:p w14:paraId="779FB098" w14:textId="77777777" w:rsidR="000F40A9" w:rsidRPr="0000017A" w:rsidRDefault="000F40A9" w:rsidP="000F40A9">
            <w:pPr>
              <w:pStyle w:val="TableText"/>
              <w:rPr>
                <w:b w:val="0"/>
              </w:rPr>
            </w:pPr>
          </w:p>
        </w:tc>
        <w:tc>
          <w:tcPr>
            <w:tcW w:w="513" w:type="dxa"/>
            <w:vMerge/>
          </w:tcPr>
          <w:p w14:paraId="4446C1E9" w14:textId="77777777" w:rsidR="000F40A9" w:rsidRDefault="000F40A9" w:rsidP="000F40A9">
            <w:pPr>
              <w:pStyle w:val="TableText"/>
              <w:cnfStyle w:val="000000000000" w:firstRow="0" w:lastRow="0" w:firstColumn="0" w:lastColumn="0" w:oddVBand="0" w:evenVBand="0" w:oddHBand="0" w:evenHBand="0" w:firstRowFirstColumn="0" w:firstRowLastColumn="0" w:lastRowFirstColumn="0" w:lastRowLastColumn="0"/>
            </w:pPr>
          </w:p>
        </w:tc>
        <w:tc>
          <w:tcPr>
            <w:tcW w:w="1671" w:type="dxa"/>
          </w:tcPr>
          <w:p w14:paraId="6989E9E0" w14:textId="2EC3A920" w:rsidR="000F40A9" w:rsidRDefault="000F40A9" w:rsidP="000F40A9">
            <w:pPr>
              <w:pStyle w:val="TableText"/>
              <w:cnfStyle w:val="000000000000" w:firstRow="0" w:lastRow="0" w:firstColumn="0" w:lastColumn="0" w:oddVBand="0" w:evenVBand="0" w:oddHBand="0" w:evenHBand="0" w:firstRowFirstColumn="0" w:firstRowLastColumn="0" w:lastRowFirstColumn="0" w:lastRowLastColumn="0"/>
            </w:pPr>
            <w:r>
              <w:t xml:space="preserve">Victoria Police Kokoda Project </w:t>
            </w:r>
            <w:r w:rsidR="00934CD4">
              <w:t>–</w:t>
            </w:r>
            <w:r>
              <w:t xml:space="preserve"> Community engagement project to </w:t>
            </w:r>
            <w:r>
              <w:lastRenderedPageBreak/>
              <w:t>improve relations between police and youth</w:t>
            </w:r>
          </w:p>
        </w:tc>
        <w:tc>
          <w:tcPr>
            <w:tcW w:w="784" w:type="dxa"/>
          </w:tcPr>
          <w:p w14:paraId="6ADE153B" w14:textId="0D9718A1" w:rsidR="000F40A9" w:rsidRDefault="000F40A9" w:rsidP="00934CD4">
            <w:pPr>
              <w:pStyle w:val="Tablenumbers"/>
              <w:cnfStyle w:val="000000000000" w:firstRow="0" w:lastRow="0" w:firstColumn="0" w:lastColumn="0" w:oddVBand="0" w:evenVBand="0" w:oddHBand="0" w:evenHBand="0" w:firstRowFirstColumn="0" w:firstRowLastColumn="0" w:lastRowFirstColumn="0" w:lastRowLastColumn="0"/>
            </w:pPr>
            <w:r>
              <w:lastRenderedPageBreak/>
              <w:t>$0.5</w:t>
            </w:r>
          </w:p>
        </w:tc>
        <w:tc>
          <w:tcPr>
            <w:tcW w:w="675" w:type="dxa"/>
          </w:tcPr>
          <w:p w14:paraId="64E176FC" w14:textId="7898896A" w:rsidR="000F40A9" w:rsidRDefault="000F40A9" w:rsidP="00934CD4">
            <w:pPr>
              <w:pStyle w:val="Tablenumbers"/>
              <w:cnfStyle w:val="000000000000" w:firstRow="0" w:lastRow="0" w:firstColumn="0" w:lastColumn="0" w:oddVBand="0" w:evenVBand="0" w:oddHBand="0" w:evenHBand="0" w:firstRowFirstColumn="0" w:firstRowLastColumn="0" w:lastRowFirstColumn="0" w:lastRowLastColumn="0"/>
            </w:pPr>
            <w:r>
              <w:t>1</w:t>
            </w:r>
          </w:p>
        </w:tc>
        <w:tc>
          <w:tcPr>
            <w:tcW w:w="546" w:type="dxa"/>
          </w:tcPr>
          <w:p w14:paraId="389E99CF" w14:textId="0EDC98CD" w:rsidR="000F40A9" w:rsidRDefault="000F40A9" w:rsidP="00934CD4">
            <w:pPr>
              <w:pStyle w:val="Tablenumbers"/>
              <w:cnfStyle w:val="000000000000" w:firstRow="0" w:lastRow="0" w:firstColumn="0" w:lastColumn="0" w:oddVBand="0" w:evenVBand="0" w:oddHBand="0" w:evenHBand="0" w:firstRowFirstColumn="0" w:firstRowLastColumn="0" w:lastRowFirstColumn="0" w:lastRowLastColumn="0"/>
            </w:pPr>
            <w:r>
              <w:t>2</w:t>
            </w:r>
          </w:p>
        </w:tc>
        <w:tc>
          <w:tcPr>
            <w:tcW w:w="1308" w:type="dxa"/>
          </w:tcPr>
          <w:p w14:paraId="377F6222" w14:textId="3FDEBC86" w:rsidR="000F40A9" w:rsidRDefault="000F40A9" w:rsidP="000F40A9">
            <w:pPr>
              <w:pStyle w:val="TableText"/>
              <w:cnfStyle w:val="000000000000" w:firstRow="0" w:lastRow="0" w:firstColumn="0" w:lastColumn="0" w:oddVBand="0" w:evenVBand="0" w:oddHBand="0" w:evenHBand="0" w:firstRowFirstColumn="0" w:firstRowLastColumn="0" w:lastRowFirstColumn="0" w:lastRowLastColumn="0"/>
            </w:pPr>
            <w:r>
              <w:t>Transactional</w:t>
            </w:r>
          </w:p>
        </w:tc>
        <w:tc>
          <w:tcPr>
            <w:tcW w:w="725" w:type="dxa"/>
          </w:tcPr>
          <w:p w14:paraId="2CE47437" w14:textId="5EF34887" w:rsidR="000F40A9" w:rsidRDefault="000F40A9" w:rsidP="000F40A9">
            <w:pPr>
              <w:pStyle w:val="TableText"/>
              <w:cnfStyle w:val="000000000000" w:firstRow="0" w:lastRow="0" w:firstColumn="0" w:lastColumn="0" w:oddVBand="0" w:evenVBand="0" w:oddHBand="0" w:evenHBand="0" w:firstRowFirstColumn="0" w:firstRowLastColumn="0" w:lastRowFirstColumn="0" w:lastRowLastColumn="0"/>
            </w:pPr>
            <w:r>
              <w:t>RFQ</w:t>
            </w:r>
          </w:p>
        </w:tc>
        <w:tc>
          <w:tcPr>
            <w:tcW w:w="786" w:type="dxa"/>
          </w:tcPr>
          <w:p w14:paraId="534B2EDB" w14:textId="0B716CF7" w:rsidR="000F40A9" w:rsidRDefault="000F40A9" w:rsidP="000F40A9">
            <w:pPr>
              <w:pStyle w:val="TableText"/>
              <w:cnfStyle w:val="000000000000" w:firstRow="0" w:lastRow="0" w:firstColumn="0" w:lastColumn="0" w:oddVBand="0" w:evenVBand="0" w:oddHBand="0" w:evenHBand="0" w:firstRowFirstColumn="0" w:firstRowLastColumn="0" w:lastRowFirstColumn="0" w:lastRowLastColumn="0"/>
            </w:pPr>
            <w:r>
              <w:t>Closed</w:t>
            </w:r>
          </w:p>
        </w:tc>
        <w:tc>
          <w:tcPr>
            <w:tcW w:w="580" w:type="dxa"/>
          </w:tcPr>
          <w:p w14:paraId="06516F57" w14:textId="44AC09DB" w:rsidR="000F40A9" w:rsidRDefault="000F40A9" w:rsidP="00934CD4">
            <w:pPr>
              <w:pStyle w:val="Tablenumbers"/>
              <w:cnfStyle w:val="000000000000" w:firstRow="0" w:lastRow="0" w:firstColumn="0" w:lastColumn="0" w:oddVBand="0" w:evenVBand="0" w:oddHBand="0" w:evenHBand="0" w:firstRowFirstColumn="0" w:firstRowLastColumn="0" w:lastRowFirstColumn="0" w:lastRowLastColumn="0"/>
            </w:pPr>
            <w:r>
              <w:t>2</w:t>
            </w:r>
          </w:p>
        </w:tc>
      </w:tr>
      <w:tr w:rsidR="00200BCC" w14:paraId="66A43B39" w14:textId="77777777" w:rsidTr="00200B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4" w:type="dxa"/>
            <w:vMerge/>
          </w:tcPr>
          <w:p w14:paraId="28E543A0" w14:textId="77777777" w:rsidR="000F40A9" w:rsidRPr="0000017A" w:rsidRDefault="000F40A9" w:rsidP="000F40A9">
            <w:pPr>
              <w:pStyle w:val="TableText"/>
              <w:rPr>
                <w:b w:val="0"/>
              </w:rPr>
            </w:pPr>
          </w:p>
        </w:tc>
        <w:tc>
          <w:tcPr>
            <w:tcW w:w="513" w:type="dxa"/>
            <w:vMerge/>
          </w:tcPr>
          <w:p w14:paraId="7E601861" w14:textId="77777777" w:rsidR="000F40A9" w:rsidRDefault="000F40A9" w:rsidP="000F40A9">
            <w:pPr>
              <w:pStyle w:val="TableText"/>
              <w:cnfStyle w:val="000000100000" w:firstRow="0" w:lastRow="0" w:firstColumn="0" w:lastColumn="0" w:oddVBand="0" w:evenVBand="0" w:oddHBand="1" w:evenHBand="0" w:firstRowFirstColumn="0" w:firstRowLastColumn="0" w:lastRowFirstColumn="0" w:lastRowLastColumn="0"/>
            </w:pPr>
          </w:p>
        </w:tc>
        <w:tc>
          <w:tcPr>
            <w:tcW w:w="1671" w:type="dxa"/>
          </w:tcPr>
          <w:p w14:paraId="4794377A" w14:textId="28F31F3A" w:rsidR="000F40A9" w:rsidRDefault="000F40A9" w:rsidP="000F40A9">
            <w:pPr>
              <w:pStyle w:val="TableText"/>
              <w:cnfStyle w:val="000000100000" w:firstRow="0" w:lastRow="0" w:firstColumn="0" w:lastColumn="0" w:oddVBand="0" w:evenVBand="0" w:oddHBand="1" w:evenHBand="0" w:firstRowFirstColumn="0" w:firstRowLastColumn="0" w:lastRowFirstColumn="0" w:lastRowLastColumn="0"/>
            </w:pPr>
            <w:r>
              <w:t xml:space="preserve">Staff allocation model </w:t>
            </w:r>
          </w:p>
        </w:tc>
        <w:tc>
          <w:tcPr>
            <w:tcW w:w="784" w:type="dxa"/>
          </w:tcPr>
          <w:p w14:paraId="1C210F13" w14:textId="640FEA48" w:rsidR="000F40A9" w:rsidRDefault="000F40A9" w:rsidP="00934CD4">
            <w:pPr>
              <w:pStyle w:val="Tablenumbers"/>
              <w:cnfStyle w:val="000000100000" w:firstRow="0" w:lastRow="0" w:firstColumn="0" w:lastColumn="0" w:oddVBand="0" w:evenVBand="0" w:oddHBand="1" w:evenHBand="0" w:firstRowFirstColumn="0" w:firstRowLastColumn="0" w:lastRowFirstColumn="0" w:lastRowLastColumn="0"/>
            </w:pPr>
            <w:r>
              <w:t>$0.8</w:t>
            </w:r>
          </w:p>
        </w:tc>
        <w:tc>
          <w:tcPr>
            <w:tcW w:w="675" w:type="dxa"/>
          </w:tcPr>
          <w:p w14:paraId="3B4C17E1" w14:textId="519BADA3" w:rsidR="000F40A9" w:rsidRDefault="000F40A9" w:rsidP="00934CD4">
            <w:pPr>
              <w:pStyle w:val="Tablenumbers"/>
              <w:cnfStyle w:val="000000100000" w:firstRow="0" w:lastRow="0" w:firstColumn="0" w:lastColumn="0" w:oddVBand="0" w:evenVBand="0" w:oddHBand="1" w:evenHBand="0" w:firstRowFirstColumn="0" w:firstRowLastColumn="0" w:lastRowFirstColumn="0" w:lastRowLastColumn="0"/>
            </w:pPr>
            <w:r>
              <w:t>3</w:t>
            </w:r>
          </w:p>
        </w:tc>
        <w:tc>
          <w:tcPr>
            <w:tcW w:w="546" w:type="dxa"/>
          </w:tcPr>
          <w:p w14:paraId="713CF39E" w14:textId="49526557" w:rsidR="000F40A9" w:rsidRDefault="000F40A9" w:rsidP="00934CD4">
            <w:pPr>
              <w:pStyle w:val="Tablenumbers"/>
              <w:cnfStyle w:val="000000100000" w:firstRow="0" w:lastRow="0" w:firstColumn="0" w:lastColumn="0" w:oddVBand="0" w:evenVBand="0" w:oddHBand="1" w:evenHBand="0" w:firstRowFirstColumn="0" w:firstRowLastColumn="0" w:lastRowFirstColumn="0" w:lastRowLastColumn="0"/>
            </w:pPr>
            <w:r>
              <w:t>.. </w:t>
            </w:r>
          </w:p>
        </w:tc>
        <w:tc>
          <w:tcPr>
            <w:tcW w:w="1308" w:type="dxa"/>
          </w:tcPr>
          <w:p w14:paraId="4A5AEF48" w14:textId="16E655F0" w:rsidR="000F40A9" w:rsidRDefault="000F40A9" w:rsidP="000F40A9">
            <w:pPr>
              <w:pStyle w:val="TableText"/>
              <w:cnfStyle w:val="000000100000" w:firstRow="0" w:lastRow="0" w:firstColumn="0" w:lastColumn="0" w:oddVBand="0" w:evenVBand="0" w:oddHBand="1" w:evenHBand="0" w:firstRowFirstColumn="0" w:firstRowLastColumn="0" w:lastRowFirstColumn="0" w:lastRowLastColumn="0"/>
            </w:pPr>
            <w:r>
              <w:t>Transactional</w:t>
            </w:r>
          </w:p>
        </w:tc>
        <w:tc>
          <w:tcPr>
            <w:tcW w:w="725" w:type="dxa"/>
          </w:tcPr>
          <w:p w14:paraId="1D9A72CD" w14:textId="1D7BA644" w:rsidR="000F40A9" w:rsidRDefault="000F40A9" w:rsidP="000F40A9">
            <w:pPr>
              <w:pStyle w:val="TableText"/>
              <w:cnfStyle w:val="000000100000" w:firstRow="0" w:lastRow="0" w:firstColumn="0" w:lastColumn="0" w:oddVBand="0" w:evenVBand="0" w:oddHBand="1" w:evenHBand="0" w:firstRowFirstColumn="0" w:firstRowLastColumn="0" w:lastRowFirstColumn="0" w:lastRowLastColumn="0"/>
            </w:pPr>
            <w:r>
              <w:t>RFQ</w:t>
            </w:r>
          </w:p>
        </w:tc>
        <w:tc>
          <w:tcPr>
            <w:tcW w:w="786" w:type="dxa"/>
          </w:tcPr>
          <w:p w14:paraId="4932ED8D" w14:textId="2A68864E" w:rsidR="000F40A9" w:rsidRDefault="000F40A9" w:rsidP="000F40A9">
            <w:pPr>
              <w:pStyle w:val="TableText"/>
              <w:cnfStyle w:val="000000100000" w:firstRow="0" w:lastRow="0" w:firstColumn="0" w:lastColumn="0" w:oddVBand="0" w:evenVBand="0" w:oddHBand="1" w:evenHBand="0" w:firstRowFirstColumn="0" w:firstRowLastColumn="0" w:lastRowFirstColumn="0" w:lastRowLastColumn="0"/>
            </w:pPr>
            <w:r>
              <w:t>Closed</w:t>
            </w:r>
          </w:p>
        </w:tc>
        <w:tc>
          <w:tcPr>
            <w:tcW w:w="580" w:type="dxa"/>
          </w:tcPr>
          <w:p w14:paraId="41D01436" w14:textId="236C8E8A" w:rsidR="000F40A9" w:rsidRDefault="000F40A9" w:rsidP="00934CD4">
            <w:pPr>
              <w:pStyle w:val="Tablenumbers"/>
              <w:cnfStyle w:val="000000100000" w:firstRow="0" w:lastRow="0" w:firstColumn="0" w:lastColumn="0" w:oddVBand="0" w:evenVBand="0" w:oddHBand="1" w:evenHBand="0" w:firstRowFirstColumn="0" w:firstRowLastColumn="0" w:lastRowFirstColumn="0" w:lastRowLastColumn="0"/>
            </w:pPr>
            <w:r>
              <w:t>1</w:t>
            </w:r>
          </w:p>
        </w:tc>
      </w:tr>
      <w:tr w:rsidR="00200BCC" w14:paraId="79A1B5D0" w14:textId="77777777" w:rsidTr="00200BCC">
        <w:tc>
          <w:tcPr>
            <w:cnfStyle w:val="001000000000" w:firstRow="0" w:lastRow="0" w:firstColumn="1" w:lastColumn="0" w:oddVBand="0" w:evenVBand="0" w:oddHBand="0" w:evenHBand="0" w:firstRowFirstColumn="0" w:firstRowLastColumn="0" w:lastRowFirstColumn="0" w:lastRowLastColumn="0"/>
            <w:tcW w:w="1394" w:type="dxa"/>
            <w:vMerge/>
          </w:tcPr>
          <w:p w14:paraId="41903925" w14:textId="77777777" w:rsidR="000F40A9" w:rsidRPr="0000017A" w:rsidRDefault="000F40A9" w:rsidP="000F40A9">
            <w:pPr>
              <w:pStyle w:val="TableText"/>
              <w:rPr>
                <w:b w:val="0"/>
              </w:rPr>
            </w:pPr>
          </w:p>
        </w:tc>
        <w:tc>
          <w:tcPr>
            <w:tcW w:w="513" w:type="dxa"/>
            <w:vMerge/>
          </w:tcPr>
          <w:p w14:paraId="54ED2AB0" w14:textId="77777777" w:rsidR="000F40A9" w:rsidRDefault="000F40A9" w:rsidP="000F40A9">
            <w:pPr>
              <w:pStyle w:val="TableText"/>
              <w:cnfStyle w:val="000000000000" w:firstRow="0" w:lastRow="0" w:firstColumn="0" w:lastColumn="0" w:oddVBand="0" w:evenVBand="0" w:oddHBand="0" w:evenHBand="0" w:firstRowFirstColumn="0" w:firstRowLastColumn="0" w:lastRowFirstColumn="0" w:lastRowLastColumn="0"/>
            </w:pPr>
          </w:p>
        </w:tc>
        <w:tc>
          <w:tcPr>
            <w:tcW w:w="1671" w:type="dxa"/>
          </w:tcPr>
          <w:p w14:paraId="298B9182" w14:textId="4BB1B338" w:rsidR="000F40A9" w:rsidRDefault="000F40A9" w:rsidP="000F40A9">
            <w:pPr>
              <w:pStyle w:val="TableText"/>
              <w:cnfStyle w:val="000000000000" w:firstRow="0" w:lastRow="0" w:firstColumn="0" w:lastColumn="0" w:oddVBand="0" w:evenVBand="0" w:oddHBand="0" w:evenHBand="0" w:firstRowFirstColumn="0" w:firstRowLastColumn="0" w:lastRowFirstColumn="0" w:lastRowLastColumn="0"/>
            </w:pPr>
            <w:r>
              <w:t>SAP holster and accessories</w:t>
            </w:r>
          </w:p>
        </w:tc>
        <w:tc>
          <w:tcPr>
            <w:tcW w:w="784" w:type="dxa"/>
          </w:tcPr>
          <w:p w14:paraId="6A59ED75" w14:textId="7B35390B" w:rsidR="000F40A9" w:rsidRDefault="000F40A9" w:rsidP="00934CD4">
            <w:pPr>
              <w:pStyle w:val="Tablenumbers"/>
              <w:cnfStyle w:val="000000000000" w:firstRow="0" w:lastRow="0" w:firstColumn="0" w:lastColumn="0" w:oddVBand="0" w:evenVBand="0" w:oddHBand="0" w:evenHBand="0" w:firstRowFirstColumn="0" w:firstRowLastColumn="0" w:lastRowFirstColumn="0" w:lastRowLastColumn="0"/>
            </w:pPr>
            <w:r>
              <w:t>$0.8</w:t>
            </w:r>
          </w:p>
        </w:tc>
        <w:tc>
          <w:tcPr>
            <w:tcW w:w="675" w:type="dxa"/>
          </w:tcPr>
          <w:p w14:paraId="16F79B6A" w14:textId="43DA42B2" w:rsidR="000F40A9" w:rsidRDefault="000F40A9" w:rsidP="00934CD4">
            <w:pPr>
              <w:pStyle w:val="Tablenumbers"/>
              <w:cnfStyle w:val="000000000000" w:firstRow="0" w:lastRow="0" w:firstColumn="0" w:lastColumn="0" w:oddVBand="0" w:evenVBand="0" w:oddHBand="0" w:evenHBand="0" w:firstRowFirstColumn="0" w:firstRowLastColumn="0" w:lastRowFirstColumn="0" w:lastRowLastColumn="0"/>
            </w:pPr>
            <w:r>
              <w:t>1</w:t>
            </w:r>
          </w:p>
        </w:tc>
        <w:tc>
          <w:tcPr>
            <w:tcW w:w="546" w:type="dxa"/>
          </w:tcPr>
          <w:p w14:paraId="3411F94A" w14:textId="273D8F7E" w:rsidR="000F40A9" w:rsidRDefault="000F40A9" w:rsidP="00934CD4">
            <w:pPr>
              <w:pStyle w:val="Tablenumbers"/>
              <w:cnfStyle w:val="000000000000" w:firstRow="0" w:lastRow="0" w:firstColumn="0" w:lastColumn="0" w:oddVBand="0" w:evenVBand="0" w:oddHBand="0" w:evenHBand="0" w:firstRowFirstColumn="0" w:firstRowLastColumn="0" w:lastRowFirstColumn="0" w:lastRowLastColumn="0"/>
            </w:pPr>
            <w:r>
              <w:t>1</w:t>
            </w:r>
          </w:p>
        </w:tc>
        <w:tc>
          <w:tcPr>
            <w:tcW w:w="1308" w:type="dxa"/>
          </w:tcPr>
          <w:p w14:paraId="3095662C" w14:textId="7FB68CAB" w:rsidR="000F40A9" w:rsidRDefault="000F40A9" w:rsidP="000F40A9">
            <w:pPr>
              <w:pStyle w:val="TableText"/>
              <w:cnfStyle w:val="000000000000" w:firstRow="0" w:lastRow="0" w:firstColumn="0" w:lastColumn="0" w:oddVBand="0" w:evenVBand="0" w:oddHBand="0" w:evenHBand="0" w:firstRowFirstColumn="0" w:firstRowLastColumn="0" w:lastRowFirstColumn="0" w:lastRowLastColumn="0"/>
            </w:pPr>
            <w:r>
              <w:t>Transactional</w:t>
            </w:r>
          </w:p>
        </w:tc>
        <w:tc>
          <w:tcPr>
            <w:tcW w:w="725" w:type="dxa"/>
          </w:tcPr>
          <w:p w14:paraId="6E7D7B1A" w14:textId="193F694B" w:rsidR="000F40A9" w:rsidRDefault="000F40A9" w:rsidP="000F40A9">
            <w:pPr>
              <w:pStyle w:val="TableText"/>
              <w:cnfStyle w:val="000000000000" w:firstRow="0" w:lastRow="0" w:firstColumn="0" w:lastColumn="0" w:oddVBand="0" w:evenVBand="0" w:oddHBand="0" w:evenHBand="0" w:firstRowFirstColumn="0" w:firstRowLastColumn="0" w:lastRowFirstColumn="0" w:lastRowLastColumn="0"/>
            </w:pPr>
            <w:r>
              <w:t>RFQ</w:t>
            </w:r>
          </w:p>
        </w:tc>
        <w:tc>
          <w:tcPr>
            <w:tcW w:w="786" w:type="dxa"/>
          </w:tcPr>
          <w:p w14:paraId="5EE87B78" w14:textId="30B72EC0" w:rsidR="000F40A9" w:rsidRDefault="000F40A9" w:rsidP="000F40A9">
            <w:pPr>
              <w:pStyle w:val="TableText"/>
              <w:cnfStyle w:val="000000000000" w:firstRow="0" w:lastRow="0" w:firstColumn="0" w:lastColumn="0" w:oddVBand="0" w:evenVBand="0" w:oddHBand="0" w:evenHBand="0" w:firstRowFirstColumn="0" w:firstRowLastColumn="0" w:lastRowFirstColumn="0" w:lastRowLastColumn="0"/>
            </w:pPr>
            <w:r>
              <w:t>Closed</w:t>
            </w:r>
          </w:p>
        </w:tc>
        <w:tc>
          <w:tcPr>
            <w:tcW w:w="580" w:type="dxa"/>
          </w:tcPr>
          <w:p w14:paraId="17D5A182" w14:textId="7E8940AE" w:rsidR="000F40A9" w:rsidRDefault="000F40A9" w:rsidP="00934CD4">
            <w:pPr>
              <w:pStyle w:val="Tablenumbers"/>
              <w:cnfStyle w:val="000000000000" w:firstRow="0" w:lastRow="0" w:firstColumn="0" w:lastColumn="0" w:oddVBand="0" w:evenVBand="0" w:oddHBand="0" w:evenHBand="0" w:firstRowFirstColumn="0" w:firstRowLastColumn="0" w:lastRowFirstColumn="0" w:lastRowLastColumn="0"/>
            </w:pPr>
            <w:r>
              <w:t>1</w:t>
            </w:r>
          </w:p>
        </w:tc>
      </w:tr>
      <w:tr w:rsidR="00200BCC" w14:paraId="469E8ACD" w14:textId="77777777" w:rsidTr="00200B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4" w:type="dxa"/>
            <w:vMerge/>
          </w:tcPr>
          <w:p w14:paraId="4580F138" w14:textId="77777777" w:rsidR="000F40A9" w:rsidRPr="0000017A" w:rsidRDefault="000F40A9" w:rsidP="000F40A9">
            <w:pPr>
              <w:pStyle w:val="TableText"/>
              <w:rPr>
                <w:b w:val="0"/>
              </w:rPr>
            </w:pPr>
          </w:p>
        </w:tc>
        <w:tc>
          <w:tcPr>
            <w:tcW w:w="513" w:type="dxa"/>
            <w:vMerge/>
          </w:tcPr>
          <w:p w14:paraId="7EB2C051" w14:textId="77777777" w:rsidR="000F40A9" w:rsidRDefault="000F40A9" w:rsidP="000F40A9">
            <w:pPr>
              <w:pStyle w:val="TableText"/>
              <w:cnfStyle w:val="000000100000" w:firstRow="0" w:lastRow="0" w:firstColumn="0" w:lastColumn="0" w:oddVBand="0" w:evenVBand="0" w:oddHBand="1" w:evenHBand="0" w:firstRowFirstColumn="0" w:firstRowLastColumn="0" w:lastRowFirstColumn="0" w:lastRowLastColumn="0"/>
            </w:pPr>
          </w:p>
        </w:tc>
        <w:tc>
          <w:tcPr>
            <w:tcW w:w="1671" w:type="dxa"/>
          </w:tcPr>
          <w:p w14:paraId="2A88CE80" w14:textId="662364E8" w:rsidR="000F40A9" w:rsidRDefault="000F40A9" w:rsidP="000F40A9">
            <w:pPr>
              <w:pStyle w:val="TableText"/>
              <w:cnfStyle w:val="000000100000" w:firstRow="0" w:lastRow="0" w:firstColumn="0" w:lastColumn="0" w:oddVBand="0" w:evenVBand="0" w:oddHBand="1" w:evenHBand="0" w:firstRowFirstColumn="0" w:firstRowLastColumn="0" w:lastRowFirstColumn="0" w:lastRowLastColumn="0"/>
            </w:pPr>
            <w:r>
              <w:t>Speed detector certification services</w:t>
            </w:r>
          </w:p>
        </w:tc>
        <w:tc>
          <w:tcPr>
            <w:tcW w:w="784" w:type="dxa"/>
          </w:tcPr>
          <w:p w14:paraId="5D66CDB4" w14:textId="52AD627B" w:rsidR="000F40A9" w:rsidRDefault="000F40A9" w:rsidP="00934CD4">
            <w:pPr>
              <w:pStyle w:val="Tablenumbers"/>
              <w:cnfStyle w:val="000000100000" w:firstRow="0" w:lastRow="0" w:firstColumn="0" w:lastColumn="0" w:oddVBand="0" w:evenVBand="0" w:oddHBand="1" w:evenHBand="0" w:firstRowFirstColumn="0" w:firstRowLastColumn="0" w:lastRowFirstColumn="0" w:lastRowLastColumn="0"/>
            </w:pPr>
            <w:r>
              <w:t>$1.0</w:t>
            </w:r>
          </w:p>
        </w:tc>
        <w:tc>
          <w:tcPr>
            <w:tcW w:w="675" w:type="dxa"/>
          </w:tcPr>
          <w:p w14:paraId="4BEE5DFD" w14:textId="60A7E12C" w:rsidR="000F40A9" w:rsidRDefault="000F40A9" w:rsidP="00934CD4">
            <w:pPr>
              <w:pStyle w:val="Tablenumbers"/>
              <w:cnfStyle w:val="000000100000" w:firstRow="0" w:lastRow="0" w:firstColumn="0" w:lastColumn="0" w:oddVBand="0" w:evenVBand="0" w:oddHBand="1" w:evenHBand="0" w:firstRowFirstColumn="0" w:firstRowLastColumn="0" w:lastRowFirstColumn="0" w:lastRowLastColumn="0"/>
            </w:pPr>
            <w:r>
              <w:t>2</w:t>
            </w:r>
          </w:p>
        </w:tc>
        <w:tc>
          <w:tcPr>
            <w:tcW w:w="546" w:type="dxa"/>
          </w:tcPr>
          <w:p w14:paraId="12988675" w14:textId="74B41A79" w:rsidR="000F40A9" w:rsidRDefault="00DE017D" w:rsidP="00934CD4">
            <w:pPr>
              <w:pStyle w:val="Tablenumbers"/>
              <w:cnfStyle w:val="000000100000" w:firstRow="0" w:lastRow="0" w:firstColumn="0" w:lastColumn="0" w:oddVBand="0" w:evenVBand="0" w:oddHBand="1" w:evenHBand="0" w:firstRowFirstColumn="0" w:firstRowLastColumn="0" w:lastRowFirstColumn="0" w:lastRowLastColumn="0"/>
            </w:pPr>
            <w:r>
              <w:t>2</w:t>
            </w:r>
            <w:r w:rsidR="000F40A9">
              <w:t> </w:t>
            </w:r>
          </w:p>
        </w:tc>
        <w:tc>
          <w:tcPr>
            <w:tcW w:w="1308" w:type="dxa"/>
          </w:tcPr>
          <w:p w14:paraId="006AFE4A" w14:textId="0AE8E40E" w:rsidR="000F40A9" w:rsidRDefault="000F40A9" w:rsidP="000F40A9">
            <w:pPr>
              <w:pStyle w:val="TableText"/>
              <w:cnfStyle w:val="000000100000" w:firstRow="0" w:lastRow="0" w:firstColumn="0" w:lastColumn="0" w:oddVBand="0" w:evenVBand="0" w:oddHBand="1" w:evenHBand="0" w:firstRowFirstColumn="0" w:firstRowLastColumn="0" w:lastRowFirstColumn="0" w:lastRowLastColumn="0"/>
            </w:pPr>
            <w:r>
              <w:t>Transactional</w:t>
            </w:r>
          </w:p>
        </w:tc>
        <w:tc>
          <w:tcPr>
            <w:tcW w:w="725" w:type="dxa"/>
          </w:tcPr>
          <w:p w14:paraId="23AA10CF" w14:textId="2381B492" w:rsidR="000F40A9" w:rsidRDefault="000F40A9" w:rsidP="000F40A9">
            <w:pPr>
              <w:pStyle w:val="TableText"/>
              <w:cnfStyle w:val="000000100000" w:firstRow="0" w:lastRow="0" w:firstColumn="0" w:lastColumn="0" w:oddVBand="0" w:evenVBand="0" w:oddHBand="1" w:evenHBand="0" w:firstRowFirstColumn="0" w:firstRowLastColumn="0" w:lastRowFirstColumn="0" w:lastRowLastColumn="0"/>
            </w:pPr>
            <w:r>
              <w:t>RFT</w:t>
            </w:r>
          </w:p>
        </w:tc>
        <w:tc>
          <w:tcPr>
            <w:tcW w:w="786" w:type="dxa"/>
          </w:tcPr>
          <w:p w14:paraId="4E53AA52" w14:textId="085C2951" w:rsidR="000F40A9" w:rsidRDefault="000F40A9" w:rsidP="000F40A9">
            <w:pPr>
              <w:pStyle w:val="TableText"/>
              <w:cnfStyle w:val="000000100000" w:firstRow="0" w:lastRow="0" w:firstColumn="0" w:lastColumn="0" w:oddVBand="0" w:evenVBand="0" w:oddHBand="1" w:evenHBand="0" w:firstRowFirstColumn="0" w:firstRowLastColumn="0" w:lastRowFirstColumn="0" w:lastRowLastColumn="0"/>
            </w:pPr>
            <w:r>
              <w:t>Closed</w:t>
            </w:r>
          </w:p>
        </w:tc>
        <w:tc>
          <w:tcPr>
            <w:tcW w:w="580" w:type="dxa"/>
          </w:tcPr>
          <w:p w14:paraId="7AB9D7F3" w14:textId="09065EBF" w:rsidR="000F40A9" w:rsidRDefault="000F40A9" w:rsidP="00934CD4">
            <w:pPr>
              <w:pStyle w:val="Tablenumbers"/>
              <w:cnfStyle w:val="000000100000" w:firstRow="0" w:lastRow="0" w:firstColumn="0" w:lastColumn="0" w:oddVBand="0" w:evenVBand="0" w:oddHBand="1" w:evenHBand="0" w:firstRowFirstColumn="0" w:firstRowLastColumn="0" w:lastRowFirstColumn="0" w:lastRowLastColumn="0"/>
            </w:pPr>
            <w:r>
              <w:t>1</w:t>
            </w:r>
          </w:p>
        </w:tc>
      </w:tr>
      <w:tr w:rsidR="00200BCC" w14:paraId="74A0DEDE" w14:textId="77777777" w:rsidTr="00200BCC">
        <w:tc>
          <w:tcPr>
            <w:cnfStyle w:val="001000000000" w:firstRow="0" w:lastRow="0" w:firstColumn="1" w:lastColumn="0" w:oddVBand="0" w:evenVBand="0" w:oddHBand="0" w:evenHBand="0" w:firstRowFirstColumn="0" w:firstRowLastColumn="0" w:lastRowFirstColumn="0" w:lastRowLastColumn="0"/>
            <w:tcW w:w="1394" w:type="dxa"/>
            <w:vMerge/>
          </w:tcPr>
          <w:p w14:paraId="4B3FA853" w14:textId="77777777" w:rsidR="000F40A9" w:rsidRPr="0000017A" w:rsidRDefault="000F40A9" w:rsidP="000F40A9">
            <w:pPr>
              <w:pStyle w:val="TableText"/>
              <w:rPr>
                <w:b w:val="0"/>
              </w:rPr>
            </w:pPr>
          </w:p>
        </w:tc>
        <w:tc>
          <w:tcPr>
            <w:tcW w:w="513" w:type="dxa"/>
            <w:vMerge/>
          </w:tcPr>
          <w:p w14:paraId="6429476D" w14:textId="77777777" w:rsidR="000F40A9" w:rsidRDefault="000F40A9" w:rsidP="000F40A9">
            <w:pPr>
              <w:pStyle w:val="TableText"/>
              <w:cnfStyle w:val="000000000000" w:firstRow="0" w:lastRow="0" w:firstColumn="0" w:lastColumn="0" w:oddVBand="0" w:evenVBand="0" w:oddHBand="0" w:evenHBand="0" w:firstRowFirstColumn="0" w:firstRowLastColumn="0" w:lastRowFirstColumn="0" w:lastRowLastColumn="0"/>
            </w:pPr>
          </w:p>
        </w:tc>
        <w:tc>
          <w:tcPr>
            <w:tcW w:w="1671" w:type="dxa"/>
          </w:tcPr>
          <w:p w14:paraId="1EA6012F" w14:textId="19AEF6B9" w:rsidR="000F40A9" w:rsidRDefault="000F40A9" w:rsidP="000F40A9">
            <w:pPr>
              <w:pStyle w:val="TableText"/>
              <w:cnfStyle w:val="000000000000" w:firstRow="0" w:lastRow="0" w:firstColumn="0" w:lastColumn="0" w:oddVBand="0" w:evenVBand="0" w:oddHBand="0" w:evenHBand="0" w:firstRowFirstColumn="0" w:firstRowLastColumn="0" w:lastRowFirstColumn="0" w:lastRowLastColumn="0"/>
            </w:pPr>
            <w:r>
              <w:t xml:space="preserve">Oleoresin Capsicum </w:t>
            </w:r>
            <w:r w:rsidR="00DD2235">
              <w:t>products and distraction devices</w:t>
            </w:r>
          </w:p>
        </w:tc>
        <w:tc>
          <w:tcPr>
            <w:tcW w:w="784" w:type="dxa"/>
          </w:tcPr>
          <w:p w14:paraId="618820B8" w14:textId="0882F3C9" w:rsidR="000F40A9" w:rsidRDefault="000F40A9" w:rsidP="00934CD4">
            <w:pPr>
              <w:pStyle w:val="Tablenumbers"/>
              <w:cnfStyle w:val="000000000000" w:firstRow="0" w:lastRow="0" w:firstColumn="0" w:lastColumn="0" w:oddVBand="0" w:evenVBand="0" w:oddHBand="0" w:evenHBand="0" w:firstRowFirstColumn="0" w:firstRowLastColumn="0" w:lastRowFirstColumn="0" w:lastRowLastColumn="0"/>
            </w:pPr>
            <w:r>
              <w:t>$1.0</w:t>
            </w:r>
          </w:p>
        </w:tc>
        <w:tc>
          <w:tcPr>
            <w:tcW w:w="675" w:type="dxa"/>
          </w:tcPr>
          <w:p w14:paraId="3E5C18F9" w14:textId="22CF2257" w:rsidR="000F40A9" w:rsidRDefault="000F40A9" w:rsidP="00934CD4">
            <w:pPr>
              <w:pStyle w:val="Tablenumbers"/>
              <w:cnfStyle w:val="000000000000" w:firstRow="0" w:lastRow="0" w:firstColumn="0" w:lastColumn="0" w:oddVBand="0" w:evenVBand="0" w:oddHBand="0" w:evenHBand="0" w:firstRowFirstColumn="0" w:firstRowLastColumn="0" w:lastRowFirstColumn="0" w:lastRowLastColumn="0"/>
            </w:pPr>
            <w:r>
              <w:t>2</w:t>
            </w:r>
          </w:p>
        </w:tc>
        <w:tc>
          <w:tcPr>
            <w:tcW w:w="546" w:type="dxa"/>
          </w:tcPr>
          <w:p w14:paraId="6E36D209" w14:textId="37D50927" w:rsidR="000F40A9" w:rsidRDefault="00DD2235" w:rsidP="00934CD4">
            <w:pPr>
              <w:pStyle w:val="Tablenumbers"/>
              <w:cnfStyle w:val="000000000000" w:firstRow="0" w:lastRow="0" w:firstColumn="0" w:lastColumn="0" w:oddVBand="0" w:evenVBand="0" w:oddHBand="0" w:evenHBand="0" w:firstRowFirstColumn="0" w:firstRowLastColumn="0" w:lastRowFirstColumn="0" w:lastRowLastColumn="0"/>
            </w:pPr>
            <w:r>
              <w:t>1</w:t>
            </w:r>
            <w:r w:rsidR="000F40A9">
              <w:t> </w:t>
            </w:r>
          </w:p>
        </w:tc>
        <w:tc>
          <w:tcPr>
            <w:tcW w:w="1308" w:type="dxa"/>
          </w:tcPr>
          <w:p w14:paraId="48248B58" w14:textId="657823AF" w:rsidR="000F40A9" w:rsidRDefault="000F40A9" w:rsidP="000F40A9">
            <w:pPr>
              <w:pStyle w:val="TableText"/>
              <w:cnfStyle w:val="000000000000" w:firstRow="0" w:lastRow="0" w:firstColumn="0" w:lastColumn="0" w:oddVBand="0" w:evenVBand="0" w:oddHBand="0" w:evenHBand="0" w:firstRowFirstColumn="0" w:firstRowLastColumn="0" w:lastRowFirstColumn="0" w:lastRowLastColumn="0"/>
            </w:pPr>
            <w:r>
              <w:t>Transactional</w:t>
            </w:r>
          </w:p>
        </w:tc>
        <w:tc>
          <w:tcPr>
            <w:tcW w:w="725" w:type="dxa"/>
          </w:tcPr>
          <w:p w14:paraId="3D029459" w14:textId="4CFDEB15" w:rsidR="000F40A9" w:rsidRDefault="000F40A9" w:rsidP="000F40A9">
            <w:pPr>
              <w:pStyle w:val="TableText"/>
              <w:cnfStyle w:val="000000000000" w:firstRow="0" w:lastRow="0" w:firstColumn="0" w:lastColumn="0" w:oddVBand="0" w:evenVBand="0" w:oddHBand="0" w:evenHBand="0" w:firstRowFirstColumn="0" w:firstRowLastColumn="0" w:lastRowFirstColumn="0" w:lastRowLastColumn="0"/>
            </w:pPr>
            <w:r>
              <w:t>RFT</w:t>
            </w:r>
          </w:p>
        </w:tc>
        <w:tc>
          <w:tcPr>
            <w:tcW w:w="786" w:type="dxa"/>
          </w:tcPr>
          <w:p w14:paraId="2701EAF5" w14:textId="54F65A73" w:rsidR="000F40A9" w:rsidRDefault="000F40A9" w:rsidP="000F40A9">
            <w:pPr>
              <w:pStyle w:val="TableText"/>
              <w:cnfStyle w:val="000000000000" w:firstRow="0" w:lastRow="0" w:firstColumn="0" w:lastColumn="0" w:oddVBand="0" w:evenVBand="0" w:oddHBand="0" w:evenHBand="0" w:firstRowFirstColumn="0" w:firstRowLastColumn="0" w:lastRowFirstColumn="0" w:lastRowLastColumn="0"/>
            </w:pPr>
            <w:r>
              <w:t>Closed</w:t>
            </w:r>
          </w:p>
        </w:tc>
        <w:tc>
          <w:tcPr>
            <w:tcW w:w="580" w:type="dxa"/>
          </w:tcPr>
          <w:p w14:paraId="0F9F7D91" w14:textId="0E8B146F" w:rsidR="000F40A9" w:rsidRDefault="000F40A9" w:rsidP="00934CD4">
            <w:pPr>
              <w:pStyle w:val="Tablenumbers"/>
              <w:cnfStyle w:val="000000000000" w:firstRow="0" w:lastRow="0" w:firstColumn="0" w:lastColumn="0" w:oddVBand="0" w:evenVBand="0" w:oddHBand="0" w:evenHBand="0" w:firstRowFirstColumn="0" w:firstRowLastColumn="0" w:lastRowFirstColumn="0" w:lastRowLastColumn="0"/>
            </w:pPr>
            <w:r>
              <w:t>1</w:t>
            </w:r>
          </w:p>
        </w:tc>
      </w:tr>
      <w:tr w:rsidR="00200BCC" w14:paraId="615EA524" w14:textId="77777777" w:rsidTr="00200B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4" w:type="dxa"/>
            <w:vMerge/>
          </w:tcPr>
          <w:p w14:paraId="5A92D785" w14:textId="77777777" w:rsidR="000F40A9" w:rsidRPr="0000017A" w:rsidRDefault="000F40A9" w:rsidP="000F40A9">
            <w:pPr>
              <w:pStyle w:val="TableText"/>
              <w:rPr>
                <w:b w:val="0"/>
              </w:rPr>
            </w:pPr>
          </w:p>
        </w:tc>
        <w:tc>
          <w:tcPr>
            <w:tcW w:w="513" w:type="dxa"/>
            <w:vMerge/>
          </w:tcPr>
          <w:p w14:paraId="4E62E04F" w14:textId="77777777" w:rsidR="000F40A9" w:rsidRDefault="000F40A9" w:rsidP="000F40A9">
            <w:pPr>
              <w:pStyle w:val="TableText"/>
              <w:cnfStyle w:val="000000100000" w:firstRow="0" w:lastRow="0" w:firstColumn="0" w:lastColumn="0" w:oddVBand="0" w:evenVBand="0" w:oddHBand="1" w:evenHBand="0" w:firstRowFirstColumn="0" w:firstRowLastColumn="0" w:lastRowFirstColumn="0" w:lastRowLastColumn="0"/>
            </w:pPr>
          </w:p>
        </w:tc>
        <w:tc>
          <w:tcPr>
            <w:tcW w:w="1671" w:type="dxa"/>
          </w:tcPr>
          <w:p w14:paraId="42440C1E" w14:textId="7E6BFE88" w:rsidR="000F40A9" w:rsidRDefault="000F40A9" w:rsidP="000F40A9">
            <w:pPr>
              <w:pStyle w:val="TableText"/>
              <w:cnfStyle w:val="000000100000" w:firstRow="0" w:lastRow="0" w:firstColumn="0" w:lastColumn="0" w:oddVBand="0" w:evenVBand="0" w:oddHBand="1" w:evenHBand="0" w:firstRowFirstColumn="0" w:firstRowLastColumn="0" w:lastRowFirstColumn="0" w:lastRowLastColumn="0"/>
            </w:pPr>
            <w:r>
              <w:t>First aid training services</w:t>
            </w:r>
          </w:p>
        </w:tc>
        <w:tc>
          <w:tcPr>
            <w:tcW w:w="784" w:type="dxa"/>
          </w:tcPr>
          <w:p w14:paraId="4791B76F" w14:textId="5426021E" w:rsidR="000F40A9" w:rsidRDefault="000F40A9" w:rsidP="00934CD4">
            <w:pPr>
              <w:pStyle w:val="Tablenumbers"/>
              <w:cnfStyle w:val="000000100000" w:firstRow="0" w:lastRow="0" w:firstColumn="0" w:lastColumn="0" w:oddVBand="0" w:evenVBand="0" w:oddHBand="1" w:evenHBand="0" w:firstRowFirstColumn="0" w:firstRowLastColumn="0" w:lastRowFirstColumn="0" w:lastRowLastColumn="0"/>
            </w:pPr>
            <w:r>
              <w:t>$1.6</w:t>
            </w:r>
          </w:p>
        </w:tc>
        <w:tc>
          <w:tcPr>
            <w:tcW w:w="675" w:type="dxa"/>
          </w:tcPr>
          <w:p w14:paraId="3C3703AD" w14:textId="512C2458" w:rsidR="000F40A9" w:rsidRDefault="000F40A9" w:rsidP="00934CD4">
            <w:pPr>
              <w:pStyle w:val="Tablenumbers"/>
              <w:cnfStyle w:val="000000100000" w:firstRow="0" w:lastRow="0" w:firstColumn="0" w:lastColumn="0" w:oddVBand="0" w:evenVBand="0" w:oddHBand="1" w:evenHBand="0" w:firstRowFirstColumn="0" w:firstRowLastColumn="0" w:lastRowFirstColumn="0" w:lastRowLastColumn="0"/>
            </w:pPr>
            <w:r>
              <w:t>3</w:t>
            </w:r>
          </w:p>
        </w:tc>
        <w:tc>
          <w:tcPr>
            <w:tcW w:w="546" w:type="dxa"/>
          </w:tcPr>
          <w:p w14:paraId="2594E256" w14:textId="257B2FF1" w:rsidR="000F40A9" w:rsidRDefault="000F40A9" w:rsidP="00934CD4">
            <w:pPr>
              <w:pStyle w:val="Tablenumbers"/>
              <w:cnfStyle w:val="000000100000" w:firstRow="0" w:lastRow="0" w:firstColumn="0" w:lastColumn="0" w:oddVBand="0" w:evenVBand="0" w:oddHBand="1" w:evenHBand="0" w:firstRowFirstColumn="0" w:firstRowLastColumn="0" w:lastRowFirstColumn="0" w:lastRowLastColumn="0"/>
            </w:pPr>
            <w:r>
              <w:t>2</w:t>
            </w:r>
          </w:p>
        </w:tc>
        <w:tc>
          <w:tcPr>
            <w:tcW w:w="1308" w:type="dxa"/>
          </w:tcPr>
          <w:p w14:paraId="5BBBB297" w14:textId="01EB0094" w:rsidR="000F40A9" w:rsidRDefault="000F40A9" w:rsidP="000F40A9">
            <w:pPr>
              <w:pStyle w:val="TableText"/>
              <w:cnfStyle w:val="000000100000" w:firstRow="0" w:lastRow="0" w:firstColumn="0" w:lastColumn="0" w:oddVBand="0" w:evenVBand="0" w:oddHBand="1" w:evenHBand="0" w:firstRowFirstColumn="0" w:firstRowLastColumn="0" w:lastRowFirstColumn="0" w:lastRowLastColumn="0"/>
            </w:pPr>
            <w:r>
              <w:t>Transactional</w:t>
            </w:r>
          </w:p>
        </w:tc>
        <w:tc>
          <w:tcPr>
            <w:tcW w:w="725" w:type="dxa"/>
          </w:tcPr>
          <w:p w14:paraId="4ABF3148" w14:textId="2F81E0F1" w:rsidR="000F40A9" w:rsidRDefault="000F40A9" w:rsidP="000F40A9">
            <w:pPr>
              <w:pStyle w:val="TableText"/>
              <w:cnfStyle w:val="000000100000" w:firstRow="0" w:lastRow="0" w:firstColumn="0" w:lastColumn="0" w:oddVBand="0" w:evenVBand="0" w:oddHBand="1" w:evenHBand="0" w:firstRowFirstColumn="0" w:firstRowLastColumn="0" w:lastRowFirstColumn="0" w:lastRowLastColumn="0"/>
            </w:pPr>
            <w:r>
              <w:t>RFT</w:t>
            </w:r>
          </w:p>
        </w:tc>
        <w:tc>
          <w:tcPr>
            <w:tcW w:w="786" w:type="dxa"/>
          </w:tcPr>
          <w:p w14:paraId="23D27C9C" w14:textId="2B39659A" w:rsidR="000F40A9" w:rsidRDefault="000F40A9" w:rsidP="000F40A9">
            <w:pPr>
              <w:pStyle w:val="TableText"/>
              <w:cnfStyle w:val="000000100000" w:firstRow="0" w:lastRow="0" w:firstColumn="0" w:lastColumn="0" w:oddVBand="0" w:evenVBand="0" w:oddHBand="1" w:evenHBand="0" w:firstRowFirstColumn="0" w:firstRowLastColumn="0" w:lastRowFirstColumn="0" w:lastRowLastColumn="0"/>
            </w:pPr>
            <w:r>
              <w:t>Closed</w:t>
            </w:r>
          </w:p>
        </w:tc>
        <w:tc>
          <w:tcPr>
            <w:tcW w:w="580" w:type="dxa"/>
          </w:tcPr>
          <w:p w14:paraId="5D034443" w14:textId="10419BFF" w:rsidR="000F40A9" w:rsidRDefault="000F40A9" w:rsidP="00934CD4">
            <w:pPr>
              <w:pStyle w:val="Tablenumbers"/>
              <w:cnfStyle w:val="000000100000" w:firstRow="0" w:lastRow="0" w:firstColumn="0" w:lastColumn="0" w:oddVBand="0" w:evenVBand="0" w:oddHBand="1" w:evenHBand="0" w:firstRowFirstColumn="0" w:firstRowLastColumn="0" w:lastRowFirstColumn="0" w:lastRowLastColumn="0"/>
            </w:pPr>
            <w:r>
              <w:t>1</w:t>
            </w:r>
          </w:p>
        </w:tc>
      </w:tr>
      <w:tr w:rsidR="00200BCC" w14:paraId="24686026" w14:textId="77777777" w:rsidTr="00200BCC">
        <w:tc>
          <w:tcPr>
            <w:cnfStyle w:val="001000000000" w:firstRow="0" w:lastRow="0" w:firstColumn="1" w:lastColumn="0" w:oddVBand="0" w:evenVBand="0" w:oddHBand="0" w:evenHBand="0" w:firstRowFirstColumn="0" w:firstRowLastColumn="0" w:lastRowFirstColumn="0" w:lastRowLastColumn="0"/>
            <w:tcW w:w="1394" w:type="dxa"/>
            <w:vMerge/>
          </w:tcPr>
          <w:p w14:paraId="4AE982D5" w14:textId="77777777" w:rsidR="000F40A9" w:rsidRPr="0000017A" w:rsidRDefault="000F40A9" w:rsidP="000F40A9">
            <w:pPr>
              <w:pStyle w:val="TableText"/>
              <w:rPr>
                <w:b w:val="0"/>
              </w:rPr>
            </w:pPr>
          </w:p>
        </w:tc>
        <w:tc>
          <w:tcPr>
            <w:tcW w:w="513" w:type="dxa"/>
            <w:vMerge/>
          </w:tcPr>
          <w:p w14:paraId="7B4D05E2" w14:textId="77777777" w:rsidR="000F40A9" w:rsidRDefault="000F40A9" w:rsidP="000F40A9">
            <w:pPr>
              <w:pStyle w:val="TableText"/>
              <w:cnfStyle w:val="000000000000" w:firstRow="0" w:lastRow="0" w:firstColumn="0" w:lastColumn="0" w:oddVBand="0" w:evenVBand="0" w:oddHBand="0" w:evenHBand="0" w:firstRowFirstColumn="0" w:firstRowLastColumn="0" w:lastRowFirstColumn="0" w:lastRowLastColumn="0"/>
            </w:pPr>
          </w:p>
        </w:tc>
        <w:tc>
          <w:tcPr>
            <w:tcW w:w="1671" w:type="dxa"/>
          </w:tcPr>
          <w:p w14:paraId="54E7AD81" w14:textId="2C16EB74" w:rsidR="000F40A9" w:rsidRDefault="000F40A9" w:rsidP="000F40A9">
            <w:pPr>
              <w:pStyle w:val="TableText"/>
              <w:cnfStyle w:val="000000000000" w:firstRow="0" w:lastRow="0" w:firstColumn="0" w:lastColumn="0" w:oddVBand="0" w:evenVBand="0" w:oddHBand="0" w:evenHBand="0" w:firstRowFirstColumn="0" w:firstRowLastColumn="0" w:lastRowFirstColumn="0" w:lastRowLastColumn="0"/>
            </w:pPr>
            <w:r>
              <w:t xml:space="preserve">Metalware and </w:t>
            </w:r>
            <w:r w:rsidR="00DD2235">
              <w:t>i</w:t>
            </w:r>
            <w:r>
              <w:t>nsignia</w:t>
            </w:r>
          </w:p>
        </w:tc>
        <w:tc>
          <w:tcPr>
            <w:tcW w:w="784" w:type="dxa"/>
          </w:tcPr>
          <w:p w14:paraId="56F8182F" w14:textId="65AAC345" w:rsidR="000F40A9" w:rsidRDefault="000F40A9" w:rsidP="00934CD4">
            <w:pPr>
              <w:pStyle w:val="Tablenumbers"/>
              <w:cnfStyle w:val="000000000000" w:firstRow="0" w:lastRow="0" w:firstColumn="0" w:lastColumn="0" w:oddVBand="0" w:evenVBand="0" w:oddHBand="0" w:evenHBand="0" w:firstRowFirstColumn="0" w:firstRowLastColumn="0" w:lastRowFirstColumn="0" w:lastRowLastColumn="0"/>
            </w:pPr>
            <w:r>
              <w:t>$1.8</w:t>
            </w:r>
          </w:p>
        </w:tc>
        <w:tc>
          <w:tcPr>
            <w:tcW w:w="675" w:type="dxa"/>
          </w:tcPr>
          <w:p w14:paraId="06C4B99D" w14:textId="63122606" w:rsidR="000F40A9" w:rsidRDefault="000F40A9" w:rsidP="00934CD4">
            <w:pPr>
              <w:pStyle w:val="Tablenumbers"/>
              <w:cnfStyle w:val="000000000000" w:firstRow="0" w:lastRow="0" w:firstColumn="0" w:lastColumn="0" w:oddVBand="0" w:evenVBand="0" w:oddHBand="0" w:evenHBand="0" w:firstRowFirstColumn="0" w:firstRowLastColumn="0" w:lastRowFirstColumn="0" w:lastRowLastColumn="0"/>
            </w:pPr>
            <w:r>
              <w:t>3</w:t>
            </w:r>
          </w:p>
        </w:tc>
        <w:tc>
          <w:tcPr>
            <w:tcW w:w="546" w:type="dxa"/>
          </w:tcPr>
          <w:p w14:paraId="44117D26" w14:textId="4A49ACF7" w:rsidR="000F40A9" w:rsidRDefault="000F40A9" w:rsidP="00934CD4">
            <w:pPr>
              <w:pStyle w:val="Tablenumbers"/>
              <w:cnfStyle w:val="000000000000" w:firstRow="0" w:lastRow="0" w:firstColumn="0" w:lastColumn="0" w:oddVBand="0" w:evenVBand="0" w:oddHBand="0" w:evenHBand="0" w:firstRowFirstColumn="0" w:firstRowLastColumn="0" w:lastRowFirstColumn="0" w:lastRowLastColumn="0"/>
            </w:pPr>
            <w:r>
              <w:t>2</w:t>
            </w:r>
          </w:p>
        </w:tc>
        <w:tc>
          <w:tcPr>
            <w:tcW w:w="1308" w:type="dxa"/>
          </w:tcPr>
          <w:p w14:paraId="6DFAEEB9" w14:textId="077D5215" w:rsidR="000F40A9" w:rsidRDefault="000F40A9" w:rsidP="000F40A9">
            <w:pPr>
              <w:pStyle w:val="TableText"/>
              <w:cnfStyle w:val="000000000000" w:firstRow="0" w:lastRow="0" w:firstColumn="0" w:lastColumn="0" w:oddVBand="0" w:evenVBand="0" w:oddHBand="0" w:evenHBand="0" w:firstRowFirstColumn="0" w:firstRowLastColumn="0" w:lastRowFirstColumn="0" w:lastRowLastColumn="0"/>
            </w:pPr>
            <w:r>
              <w:t>Transactional</w:t>
            </w:r>
          </w:p>
        </w:tc>
        <w:tc>
          <w:tcPr>
            <w:tcW w:w="725" w:type="dxa"/>
          </w:tcPr>
          <w:p w14:paraId="4EA519D4" w14:textId="6DC294A4" w:rsidR="000F40A9" w:rsidRDefault="000F40A9" w:rsidP="000F40A9">
            <w:pPr>
              <w:pStyle w:val="TableText"/>
              <w:cnfStyle w:val="000000000000" w:firstRow="0" w:lastRow="0" w:firstColumn="0" w:lastColumn="0" w:oddVBand="0" w:evenVBand="0" w:oddHBand="0" w:evenHBand="0" w:firstRowFirstColumn="0" w:firstRowLastColumn="0" w:lastRowFirstColumn="0" w:lastRowLastColumn="0"/>
            </w:pPr>
            <w:r>
              <w:t>RFT</w:t>
            </w:r>
          </w:p>
        </w:tc>
        <w:tc>
          <w:tcPr>
            <w:tcW w:w="786" w:type="dxa"/>
          </w:tcPr>
          <w:p w14:paraId="2EDCC623" w14:textId="7546EADD" w:rsidR="000F40A9" w:rsidRDefault="000F40A9" w:rsidP="000F40A9">
            <w:pPr>
              <w:pStyle w:val="TableText"/>
              <w:cnfStyle w:val="000000000000" w:firstRow="0" w:lastRow="0" w:firstColumn="0" w:lastColumn="0" w:oddVBand="0" w:evenVBand="0" w:oddHBand="0" w:evenHBand="0" w:firstRowFirstColumn="0" w:firstRowLastColumn="0" w:lastRowFirstColumn="0" w:lastRowLastColumn="0"/>
            </w:pPr>
            <w:r>
              <w:t>Closed</w:t>
            </w:r>
          </w:p>
        </w:tc>
        <w:tc>
          <w:tcPr>
            <w:tcW w:w="580" w:type="dxa"/>
          </w:tcPr>
          <w:p w14:paraId="66AA0AAC" w14:textId="4B20B740" w:rsidR="000F40A9" w:rsidRDefault="000F40A9" w:rsidP="00934CD4">
            <w:pPr>
              <w:pStyle w:val="Tablenumbers"/>
              <w:cnfStyle w:val="000000000000" w:firstRow="0" w:lastRow="0" w:firstColumn="0" w:lastColumn="0" w:oddVBand="0" w:evenVBand="0" w:oddHBand="0" w:evenHBand="0" w:firstRowFirstColumn="0" w:firstRowLastColumn="0" w:lastRowFirstColumn="0" w:lastRowLastColumn="0"/>
            </w:pPr>
            <w:r>
              <w:t>3</w:t>
            </w:r>
          </w:p>
        </w:tc>
      </w:tr>
      <w:tr w:rsidR="00200BCC" w14:paraId="21A0A878" w14:textId="77777777" w:rsidTr="00200B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4" w:type="dxa"/>
            <w:vMerge/>
          </w:tcPr>
          <w:p w14:paraId="533D485A" w14:textId="77777777" w:rsidR="000F40A9" w:rsidRPr="0000017A" w:rsidRDefault="000F40A9" w:rsidP="000F40A9">
            <w:pPr>
              <w:pStyle w:val="TableText"/>
              <w:rPr>
                <w:b w:val="0"/>
              </w:rPr>
            </w:pPr>
          </w:p>
        </w:tc>
        <w:tc>
          <w:tcPr>
            <w:tcW w:w="513" w:type="dxa"/>
            <w:vMerge/>
          </w:tcPr>
          <w:p w14:paraId="710D8786" w14:textId="77777777" w:rsidR="000F40A9" w:rsidRDefault="000F40A9" w:rsidP="000F40A9">
            <w:pPr>
              <w:pStyle w:val="TableText"/>
              <w:cnfStyle w:val="000000100000" w:firstRow="0" w:lastRow="0" w:firstColumn="0" w:lastColumn="0" w:oddVBand="0" w:evenVBand="0" w:oddHBand="1" w:evenHBand="0" w:firstRowFirstColumn="0" w:firstRowLastColumn="0" w:lastRowFirstColumn="0" w:lastRowLastColumn="0"/>
            </w:pPr>
          </w:p>
        </w:tc>
        <w:tc>
          <w:tcPr>
            <w:tcW w:w="1671" w:type="dxa"/>
          </w:tcPr>
          <w:p w14:paraId="2F150FEC" w14:textId="5ADE0FE0" w:rsidR="000F40A9" w:rsidRDefault="000F40A9" w:rsidP="000F40A9">
            <w:pPr>
              <w:pStyle w:val="TableText"/>
              <w:cnfStyle w:val="000000100000" w:firstRow="0" w:lastRow="0" w:firstColumn="0" w:lastColumn="0" w:oddVBand="0" w:evenVBand="0" w:oddHBand="1" w:evenHBand="0" w:firstRowFirstColumn="0" w:firstRowLastColumn="0" w:lastRowFirstColumn="0" w:lastRowLastColumn="0"/>
            </w:pPr>
            <w:r>
              <w:t>Automated DNA processing equipment</w:t>
            </w:r>
          </w:p>
        </w:tc>
        <w:tc>
          <w:tcPr>
            <w:tcW w:w="784" w:type="dxa"/>
          </w:tcPr>
          <w:p w14:paraId="5610AE78" w14:textId="73BF606A" w:rsidR="000F40A9" w:rsidRDefault="000F40A9" w:rsidP="00934CD4">
            <w:pPr>
              <w:pStyle w:val="Tablenumbers"/>
              <w:cnfStyle w:val="000000100000" w:firstRow="0" w:lastRow="0" w:firstColumn="0" w:lastColumn="0" w:oddVBand="0" w:evenVBand="0" w:oddHBand="1" w:evenHBand="0" w:firstRowFirstColumn="0" w:firstRowLastColumn="0" w:lastRowFirstColumn="0" w:lastRowLastColumn="0"/>
            </w:pPr>
            <w:r>
              <w:t>$3.5</w:t>
            </w:r>
          </w:p>
        </w:tc>
        <w:tc>
          <w:tcPr>
            <w:tcW w:w="675" w:type="dxa"/>
          </w:tcPr>
          <w:p w14:paraId="59021459" w14:textId="0FE2A844" w:rsidR="000F40A9" w:rsidRDefault="000F40A9" w:rsidP="00934CD4">
            <w:pPr>
              <w:pStyle w:val="Tablenumbers"/>
              <w:cnfStyle w:val="000000100000" w:firstRow="0" w:lastRow="0" w:firstColumn="0" w:lastColumn="0" w:oddVBand="0" w:evenVBand="0" w:oddHBand="1" w:evenHBand="0" w:firstRowFirstColumn="0" w:firstRowLastColumn="0" w:lastRowFirstColumn="0" w:lastRowLastColumn="0"/>
            </w:pPr>
            <w:r>
              <w:t>3</w:t>
            </w:r>
          </w:p>
        </w:tc>
        <w:tc>
          <w:tcPr>
            <w:tcW w:w="546" w:type="dxa"/>
          </w:tcPr>
          <w:p w14:paraId="3FD3839B" w14:textId="4E654B5B" w:rsidR="000F40A9" w:rsidRDefault="000F40A9" w:rsidP="00934CD4">
            <w:pPr>
              <w:pStyle w:val="Tablenumbers"/>
              <w:cnfStyle w:val="000000100000" w:firstRow="0" w:lastRow="0" w:firstColumn="0" w:lastColumn="0" w:oddVBand="0" w:evenVBand="0" w:oddHBand="1" w:evenHBand="0" w:firstRowFirstColumn="0" w:firstRowLastColumn="0" w:lastRowFirstColumn="0" w:lastRowLastColumn="0"/>
            </w:pPr>
            <w:r>
              <w:t>.. </w:t>
            </w:r>
          </w:p>
        </w:tc>
        <w:tc>
          <w:tcPr>
            <w:tcW w:w="1308" w:type="dxa"/>
          </w:tcPr>
          <w:p w14:paraId="306CB304" w14:textId="7D57881B" w:rsidR="000F40A9" w:rsidRDefault="000F40A9" w:rsidP="000F40A9">
            <w:pPr>
              <w:pStyle w:val="TableText"/>
              <w:cnfStyle w:val="000000100000" w:firstRow="0" w:lastRow="0" w:firstColumn="0" w:lastColumn="0" w:oddVBand="0" w:evenVBand="0" w:oddHBand="1" w:evenHBand="0" w:firstRowFirstColumn="0" w:firstRowLastColumn="0" w:lastRowFirstColumn="0" w:lastRowLastColumn="0"/>
            </w:pPr>
            <w:r>
              <w:t>Transactional</w:t>
            </w:r>
          </w:p>
        </w:tc>
        <w:tc>
          <w:tcPr>
            <w:tcW w:w="725" w:type="dxa"/>
          </w:tcPr>
          <w:p w14:paraId="551C74E5" w14:textId="220D755D" w:rsidR="000F40A9" w:rsidRDefault="000F40A9" w:rsidP="000F40A9">
            <w:pPr>
              <w:pStyle w:val="TableText"/>
              <w:cnfStyle w:val="000000100000" w:firstRow="0" w:lastRow="0" w:firstColumn="0" w:lastColumn="0" w:oddVBand="0" w:evenVBand="0" w:oddHBand="1" w:evenHBand="0" w:firstRowFirstColumn="0" w:firstRowLastColumn="0" w:lastRowFirstColumn="0" w:lastRowLastColumn="0"/>
            </w:pPr>
            <w:r>
              <w:t>RFT</w:t>
            </w:r>
          </w:p>
        </w:tc>
        <w:tc>
          <w:tcPr>
            <w:tcW w:w="786" w:type="dxa"/>
          </w:tcPr>
          <w:p w14:paraId="3FBD6A3B" w14:textId="574E7DF8" w:rsidR="000F40A9" w:rsidRDefault="000F40A9" w:rsidP="000F40A9">
            <w:pPr>
              <w:pStyle w:val="TableText"/>
              <w:cnfStyle w:val="000000100000" w:firstRow="0" w:lastRow="0" w:firstColumn="0" w:lastColumn="0" w:oddVBand="0" w:evenVBand="0" w:oddHBand="1" w:evenHBand="0" w:firstRowFirstColumn="0" w:firstRowLastColumn="0" w:lastRowFirstColumn="0" w:lastRowLastColumn="0"/>
            </w:pPr>
            <w:r>
              <w:t>Closed</w:t>
            </w:r>
          </w:p>
        </w:tc>
        <w:tc>
          <w:tcPr>
            <w:tcW w:w="580" w:type="dxa"/>
          </w:tcPr>
          <w:p w14:paraId="60A128A2" w14:textId="5F3E2C21" w:rsidR="000F40A9" w:rsidRDefault="000F40A9" w:rsidP="00934CD4">
            <w:pPr>
              <w:pStyle w:val="Tablenumbers"/>
              <w:cnfStyle w:val="000000100000" w:firstRow="0" w:lastRow="0" w:firstColumn="0" w:lastColumn="0" w:oddVBand="0" w:evenVBand="0" w:oddHBand="1" w:evenHBand="0" w:firstRowFirstColumn="0" w:firstRowLastColumn="0" w:lastRowFirstColumn="0" w:lastRowLastColumn="0"/>
            </w:pPr>
            <w:r>
              <w:t>3</w:t>
            </w:r>
          </w:p>
        </w:tc>
      </w:tr>
      <w:tr w:rsidR="00200BCC" w14:paraId="79E41FEF" w14:textId="77777777" w:rsidTr="00200BCC">
        <w:tc>
          <w:tcPr>
            <w:cnfStyle w:val="001000000000" w:firstRow="0" w:lastRow="0" w:firstColumn="1" w:lastColumn="0" w:oddVBand="0" w:evenVBand="0" w:oddHBand="0" w:evenHBand="0" w:firstRowFirstColumn="0" w:firstRowLastColumn="0" w:lastRowFirstColumn="0" w:lastRowLastColumn="0"/>
            <w:tcW w:w="1394" w:type="dxa"/>
            <w:vMerge/>
          </w:tcPr>
          <w:p w14:paraId="2B6BC05D" w14:textId="77777777" w:rsidR="000F40A9" w:rsidRPr="0000017A" w:rsidRDefault="000F40A9" w:rsidP="000F40A9">
            <w:pPr>
              <w:pStyle w:val="TableText"/>
              <w:rPr>
                <w:b w:val="0"/>
              </w:rPr>
            </w:pPr>
          </w:p>
        </w:tc>
        <w:tc>
          <w:tcPr>
            <w:tcW w:w="513" w:type="dxa"/>
            <w:vMerge/>
          </w:tcPr>
          <w:p w14:paraId="5FBF6F2C" w14:textId="77777777" w:rsidR="000F40A9" w:rsidRDefault="000F40A9" w:rsidP="000F40A9">
            <w:pPr>
              <w:pStyle w:val="TableText"/>
              <w:cnfStyle w:val="000000000000" w:firstRow="0" w:lastRow="0" w:firstColumn="0" w:lastColumn="0" w:oddVBand="0" w:evenVBand="0" w:oddHBand="0" w:evenHBand="0" w:firstRowFirstColumn="0" w:firstRowLastColumn="0" w:lastRowFirstColumn="0" w:lastRowLastColumn="0"/>
            </w:pPr>
          </w:p>
        </w:tc>
        <w:tc>
          <w:tcPr>
            <w:tcW w:w="1671" w:type="dxa"/>
          </w:tcPr>
          <w:p w14:paraId="4E18DE73" w14:textId="2FDECEB6" w:rsidR="000F40A9" w:rsidRDefault="000F40A9" w:rsidP="000F40A9">
            <w:pPr>
              <w:pStyle w:val="TableText"/>
              <w:cnfStyle w:val="000000000000" w:firstRow="0" w:lastRow="0" w:firstColumn="0" w:lastColumn="0" w:oddVBand="0" w:evenVBand="0" w:oddHBand="0" w:evenHBand="0" w:firstRowFirstColumn="0" w:firstRowLastColumn="0" w:lastRowFirstColumn="0" w:lastRowLastColumn="0"/>
            </w:pPr>
            <w:r>
              <w:t>Employee assistance program</w:t>
            </w:r>
          </w:p>
        </w:tc>
        <w:tc>
          <w:tcPr>
            <w:tcW w:w="784" w:type="dxa"/>
          </w:tcPr>
          <w:p w14:paraId="2B1AB819" w14:textId="1B78AEFF" w:rsidR="000F40A9" w:rsidRDefault="000F40A9" w:rsidP="00934CD4">
            <w:pPr>
              <w:pStyle w:val="Tablenumbers"/>
              <w:cnfStyle w:val="000000000000" w:firstRow="0" w:lastRow="0" w:firstColumn="0" w:lastColumn="0" w:oddVBand="0" w:evenVBand="0" w:oddHBand="0" w:evenHBand="0" w:firstRowFirstColumn="0" w:firstRowLastColumn="0" w:lastRowFirstColumn="0" w:lastRowLastColumn="0"/>
            </w:pPr>
            <w:r>
              <w:t>$5.8</w:t>
            </w:r>
          </w:p>
        </w:tc>
        <w:tc>
          <w:tcPr>
            <w:tcW w:w="675" w:type="dxa"/>
          </w:tcPr>
          <w:p w14:paraId="3B155426" w14:textId="7FDE1B9D" w:rsidR="000F40A9" w:rsidRDefault="000F40A9" w:rsidP="00934CD4">
            <w:pPr>
              <w:pStyle w:val="Tablenumbers"/>
              <w:cnfStyle w:val="000000000000" w:firstRow="0" w:lastRow="0" w:firstColumn="0" w:lastColumn="0" w:oddVBand="0" w:evenVBand="0" w:oddHBand="0" w:evenHBand="0" w:firstRowFirstColumn="0" w:firstRowLastColumn="0" w:lastRowFirstColumn="0" w:lastRowLastColumn="0"/>
            </w:pPr>
            <w:r>
              <w:t>3</w:t>
            </w:r>
          </w:p>
        </w:tc>
        <w:tc>
          <w:tcPr>
            <w:tcW w:w="546" w:type="dxa"/>
          </w:tcPr>
          <w:p w14:paraId="3C4A1111" w14:textId="5181627F" w:rsidR="000F40A9" w:rsidRDefault="00DD2235" w:rsidP="00934CD4">
            <w:pPr>
              <w:pStyle w:val="Tablenumbers"/>
              <w:cnfStyle w:val="000000000000" w:firstRow="0" w:lastRow="0" w:firstColumn="0" w:lastColumn="0" w:oddVBand="0" w:evenVBand="0" w:oddHBand="0" w:evenHBand="0" w:firstRowFirstColumn="0" w:firstRowLastColumn="0" w:lastRowFirstColumn="0" w:lastRowLastColumn="0"/>
            </w:pPr>
            <w:r>
              <w:t>2</w:t>
            </w:r>
            <w:r w:rsidR="000F40A9">
              <w:t> </w:t>
            </w:r>
          </w:p>
        </w:tc>
        <w:tc>
          <w:tcPr>
            <w:tcW w:w="1308" w:type="dxa"/>
          </w:tcPr>
          <w:p w14:paraId="007D9C29" w14:textId="67135B5A" w:rsidR="000F40A9" w:rsidRDefault="000F40A9" w:rsidP="000F40A9">
            <w:pPr>
              <w:pStyle w:val="TableText"/>
              <w:cnfStyle w:val="000000000000" w:firstRow="0" w:lastRow="0" w:firstColumn="0" w:lastColumn="0" w:oddVBand="0" w:evenVBand="0" w:oddHBand="0" w:evenHBand="0" w:firstRowFirstColumn="0" w:firstRowLastColumn="0" w:lastRowFirstColumn="0" w:lastRowLastColumn="0"/>
            </w:pPr>
            <w:r>
              <w:t>Leveraged</w:t>
            </w:r>
          </w:p>
        </w:tc>
        <w:tc>
          <w:tcPr>
            <w:tcW w:w="725" w:type="dxa"/>
          </w:tcPr>
          <w:p w14:paraId="6DDC8258" w14:textId="34C63102" w:rsidR="000F40A9" w:rsidRDefault="000F40A9" w:rsidP="000F40A9">
            <w:pPr>
              <w:pStyle w:val="TableText"/>
              <w:cnfStyle w:val="000000000000" w:firstRow="0" w:lastRow="0" w:firstColumn="0" w:lastColumn="0" w:oddVBand="0" w:evenVBand="0" w:oddHBand="0" w:evenHBand="0" w:firstRowFirstColumn="0" w:firstRowLastColumn="0" w:lastRowFirstColumn="0" w:lastRowLastColumn="0"/>
            </w:pPr>
            <w:r>
              <w:t xml:space="preserve">RFT </w:t>
            </w:r>
          </w:p>
        </w:tc>
        <w:tc>
          <w:tcPr>
            <w:tcW w:w="786" w:type="dxa"/>
          </w:tcPr>
          <w:p w14:paraId="3F8165AD" w14:textId="2B7D3593" w:rsidR="000F40A9" w:rsidRDefault="000F40A9" w:rsidP="000F40A9">
            <w:pPr>
              <w:pStyle w:val="TableText"/>
              <w:cnfStyle w:val="000000000000" w:firstRow="0" w:lastRow="0" w:firstColumn="0" w:lastColumn="0" w:oddVBand="0" w:evenVBand="0" w:oddHBand="0" w:evenHBand="0" w:firstRowFirstColumn="0" w:firstRowLastColumn="0" w:lastRowFirstColumn="0" w:lastRowLastColumn="0"/>
            </w:pPr>
            <w:r>
              <w:t>Closed</w:t>
            </w:r>
          </w:p>
        </w:tc>
        <w:tc>
          <w:tcPr>
            <w:tcW w:w="580" w:type="dxa"/>
          </w:tcPr>
          <w:p w14:paraId="62267F07" w14:textId="1CEBEDF3" w:rsidR="000F40A9" w:rsidRDefault="000F40A9" w:rsidP="00934CD4">
            <w:pPr>
              <w:pStyle w:val="Tablenumbers"/>
              <w:cnfStyle w:val="000000000000" w:firstRow="0" w:lastRow="0" w:firstColumn="0" w:lastColumn="0" w:oddVBand="0" w:evenVBand="0" w:oddHBand="0" w:evenHBand="0" w:firstRowFirstColumn="0" w:firstRowLastColumn="0" w:lastRowFirstColumn="0" w:lastRowLastColumn="0"/>
            </w:pPr>
            <w:r>
              <w:t>2</w:t>
            </w:r>
          </w:p>
        </w:tc>
      </w:tr>
      <w:tr w:rsidR="00200BCC" w14:paraId="462F5756" w14:textId="77777777" w:rsidTr="00200B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4" w:type="dxa"/>
            <w:vMerge/>
          </w:tcPr>
          <w:p w14:paraId="3FA9FF59" w14:textId="77777777" w:rsidR="000F40A9" w:rsidRPr="0000017A" w:rsidRDefault="000F40A9" w:rsidP="000F40A9">
            <w:pPr>
              <w:pStyle w:val="TableText"/>
              <w:rPr>
                <w:b w:val="0"/>
              </w:rPr>
            </w:pPr>
          </w:p>
        </w:tc>
        <w:tc>
          <w:tcPr>
            <w:tcW w:w="513" w:type="dxa"/>
            <w:vMerge/>
          </w:tcPr>
          <w:p w14:paraId="77B5C5FB" w14:textId="77777777" w:rsidR="000F40A9" w:rsidRDefault="000F40A9" w:rsidP="000F40A9">
            <w:pPr>
              <w:pStyle w:val="TableText"/>
              <w:cnfStyle w:val="000000100000" w:firstRow="0" w:lastRow="0" w:firstColumn="0" w:lastColumn="0" w:oddVBand="0" w:evenVBand="0" w:oddHBand="1" w:evenHBand="0" w:firstRowFirstColumn="0" w:firstRowLastColumn="0" w:lastRowFirstColumn="0" w:lastRowLastColumn="0"/>
            </w:pPr>
          </w:p>
        </w:tc>
        <w:tc>
          <w:tcPr>
            <w:tcW w:w="1671" w:type="dxa"/>
          </w:tcPr>
          <w:p w14:paraId="1379276C" w14:textId="2EB01FDD" w:rsidR="000F40A9" w:rsidRDefault="000F40A9" w:rsidP="000F40A9">
            <w:pPr>
              <w:pStyle w:val="TableText"/>
              <w:cnfStyle w:val="000000100000" w:firstRow="0" w:lastRow="0" w:firstColumn="0" w:lastColumn="0" w:oddVBand="0" w:evenVBand="0" w:oddHBand="1" w:evenHBand="0" w:firstRowFirstColumn="0" w:firstRowLastColumn="0" w:lastRowFirstColumn="0" w:lastRowLastColumn="0"/>
            </w:pPr>
            <w:r>
              <w:t>Transcription services</w:t>
            </w:r>
          </w:p>
        </w:tc>
        <w:tc>
          <w:tcPr>
            <w:tcW w:w="784" w:type="dxa"/>
          </w:tcPr>
          <w:p w14:paraId="29EA09D1" w14:textId="7DFB0AF8" w:rsidR="000F40A9" w:rsidRDefault="000F40A9" w:rsidP="00934CD4">
            <w:pPr>
              <w:pStyle w:val="Tablenumbers"/>
              <w:cnfStyle w:val="000000100000" w:firstRow="0" w:lastRow="0" w:firstColumn="0" w:lastColumn="0" w:oddVBand="0" w:evenVBand="0" w:oddHBand="1" w:evenHBand="0" w:firstRowFirstColumn="0" w:firstRowLastColumn="0" w:lastRowFirstColumn="0" w:lastRowLastColumn="0"/>
            </w:pPr>
            <w:r>
              <w:t>$14.5</w:t>
            </w:r>
          </w:p>
        </w:tc>
        <w:tc>
          <w:tcPr>
            <w:tcW w:w="675" w:type="dxa"/>
          </w:tcPr>
          <w:p w14:paraId="12875784" w14:textId="22E0CD33" w:rsidR="000F40A9" w:rsidRDefault="000F40A9" w:rsidP="00934CD4">
            <w:pPr>
              <w:pStyle w:val="Tablenumbers"/>
              <w:cnfStyle w:val="000000100000" w:firstRow="0" w:lastRow="0" w:firstColumn="0" w:lastColumn="0" w:oddVBand="0" w:evenVBand="0" w:oddHBand="1" w:evenHBand="0" w:firstRowFirstColumn="0" w:firstRowLastColumn="0" w:lastRowFirstColumn="0" w:lastRowLastColumn="0"/>
            </w:pPr>
            <w:r>
              <w:t>3</w:t>
            </w:r>
          </w:p>
        </w:tc>
        <w:tc>
          <w:tcPr>
            <w:tcW w:w="546" w:type="dxa"/>
          </w:tcPr>
          <w:p w14:paraId="6D352C75" w14:textId="7C1F25F6" w:rsidR="000F40A9" w:rsidRDefault="00DD2235" w:rsidP="00934CD4">
            <w:pPr>
              <w:pStyle w:val="Tablenumbers"/>
              <w:cnfStyle w:val="000000100000" w:firstRow="0" w:lastRow="0" w:firstColumn="0" w:lastColumn="0" w:oddVBand="0" w:evenVBand="0" w:oddHBand="1" w:evenHBand="0" w:firstRowFirstColumn="0" w:firstRowLastColumn="0" w:lastRowFirstColumn="0" w:lastRowLastColumn="0"/>
            </w:pPr>
            <w:r>
              <w:t>2</w:t>
            </w:r>
            <w:r w:rsidR="000F40A9">
              <w:t> </w:t>
            </w:r>
          </w:p>
        </w:tc>
        <w:tc>
          <w:tcPr>
            <w:tcW w:w="1308" w:type="dxa"/>
          </w:tcPr>
          <w:p w14:paraId="2BF7659D" w14:textId="432CE71B" w:rsidR="000F40A9" w:rsidRDefault="000F40A9" w:rsidP="000F40A9">
            <w:pPr>
              <w:pStyle w:val="TableText"/>
              <w:cnfStyle w:val="000000100000" w:firstRow="0" w:lastRow="0" w:firstColumn="0" w:lastColumn="0" w:oddVBand="0" w:evenVBand="0" w:oddHBand="1" w:evenHBand="0" w:firstRowFirstColumn="0" w:firstRowLastColumn="0" w:lastRowFirstColumn="0" w:lastRowLastColumn="0"/>
            </w:pPr>
            <w:r>
              <w:t>Transactional</w:t>
            </w:r>
          </w:p>
        </w:tc>
        <w:tc>
          <w:tcPr>
            <w:tcW w:w="725" w:type="dxa"/>
          </w:tcPr>
          <w:p w14:paraId="4D01FB18" w14:textId="2CAAC569" w:rsidR="000F40A9" w:rsidRDefault="000F40A9" w:rsidP="000F40A9">
            <w:pPr>
              <w:pStyle w:val="TableText"/>
              <w:cnfStyle w:val="000000100000" w:firstRow="0" w:lastRow="0" w:firstColumn="0" w:lastColumn="0" w:oddVBand="0" w:evenVBand="0" w:oddHBand="1" w:evenHBand="0" w:firstRowFirstColumn="0" w:firstRowLastColumn="0" w:lastRowFirstColumn="0" w:lastRowLastColumn="0"/>
            </w:pPr>
            <w:r>
              <w:t>RFT</w:t>
            </w:r>
          </w:p>
        </w:tc>
        <w:tc>
          <w:tcPr>
            <w:tcW w:w="786" w:type="dxa"/>
          </w:tcPr>
          <w:p w14:paraId="600AB75C" w14:textId="422A9221" w:rsidR="000F40A9" w:rsidRDefault="000F40A9" w:rsidP="000F40A9">
            <w:pPr>
              <w:pStyle w:val="TableText"/>
              <w:cnfStyle w:val="000000100000" w:firstRow="0" w:lastRow="0" w:firstColumn="0" w:lastColumn="0" w:oddVBand="0" w:evenVBand="0" w:oddHBand="1" w:evenHBand="0" w:firstRowFirstColumn="0" w:firstRowLastColumn="0" w:lastRowFirstColumn="0" w:lastRowLastColumn="0"/>
            </w:pPr>
            <w:r>
              <w:t>Closed</w:t>
            </w:r>
          </w:p>
        </w:tc>
        <w:tc>
          <w:tcPr>
            <w:tcW w:w="580" w:type="dxa"/>
          </w:tcPr>
          <w:p w14:paraId="162936FD" w14:textId="5094E19C" w:rsidR="000F40A9" w:rsidRDefault="000F40A9" w:rsidP="00934CD4">
            <w:pPr>
              <w:pStyle w:val="Tablenumbers"/>
              <w:cnfStyle w:val="000000100000" w:firstRow="0" w:lastRow="0" w:firstColumn="0" w:lastColumn="0" w:oddVBand="0" w:evenVBand="0" w:oddHBand="1" w:evenHBand="0" w:firstRowFirstColumn="0" w:firstRowLastColumn="0" w:lastRowFirstColumn="0" w:lastRowLastColumn="0"/>
            </w:pPr>
            <w:r>
              <w:t>1</w:t>
            </w:r>
          </w:p>
        </w:tc>
      </w:tr>
      <w:tr w:rsidR="00200BCC" w14:paraId="595C5E59" w14:textId="77777777" w:rsidTr="00200BCC">
        <w:tc>
          <w:tcPr>
            <w:cnfStyle w:val="001000000000" w:firstRow="0" w:lastRow="0" w:firstColumn="1" w:lastColumn="0" w:oddVBand="0" w:evenVBand="0" w:oddHBand="0" w:evenHBand="0" w:firstRowFirstColumn="0" w:firstRowLastColumn="0" w:lastRowFirstColumn="0" w:lastRowLastColumn="0"/>
            <w:tcW w:w="1394" w:type="dxa"/>
            <w:vMerge/>
          </w:tcPr>
          <w:p w14:paraId="21364666" w14:textId="77777777" w:rsidR="000F40A9" w:rsidRPr="0000017A" w:rsidRDefault="000F40A9" w:rsidP="000F40A9">
            <w:pPr>
              <w:pStyle w:val="TableText"/>
              <w:rPr>
                <w:b w:val="0"/>
              </w:rPr>
            </w:pPr>
          </w:p>
        </w:tc>
        <w:tc>
          <w:tcPr>
            <w:tcW w:w="513" w:type="dxa"/>
            <w:vMerge/>
          </w:tcPr>
          <w:p w14:paraId="3A378DD3" w14:textId="77777777" w:rsidR="000F40A9" w:rsidRDefault="000F40A9" w:rsidP="000F40A9">
            <w:pPr>
              <w:pStyle w:val="TableText"/>
              <w:cnfStyle w:val="000000000000" w:firstRow="0" w:lastRow="0" w:firstColumn="0" w:lastColumn="0" w:oddVBand="0" w:evenVBand="0" w:oddHBand="0" w:evenHBand="0" w:firstRowFirstColumn="0" w:firstRowLastColumn="0" w:lastRowFirstColumn="0" w:lastRowLastColumn="0"/>
            </w:pPr>
          </w:p>
        </w:tc>
        <w:tc>
          <w:tcPr>
            <w:tcW w:w="1671" w:type="dxa"/>
          </w:tcPr>
          <w:p w14:paraId="0048982B" w14:textId="1DBD2C6E" w:rsidR="000F40A9" w:rsidRDefault="000F40A9" w:rsidP="000F40A9">
            <w:pPr>
              <w:pStyle w:val="TableText"/>
              <w:cnfStyle w:val="000000000000" w:firstRow="0" w:lastRow="0" w:firstColumn="0" w:lastColumn="0" w:oddVBand="0" w:evenVBand="0" w:oddHBand="0" w:evenHBand="0" w:firstRowFirstColumn="0" w:firstRowLastColumn="0" w:lastRowFirstColumn="0" w:lastRowLastColumn="0"/>
            </w:pPr>
            <w:r>
              <w:t>Regional impoundment towing services</w:t>
            </w:r>
          </w:p>
        </w:tc>
        <w:tc>
          <w:tcPr>
            <w:tcW w:w="784" w:type="dxa"/>
          </w:tcPr>
          <w:p w14:paraId="7C026C27" w14:textId="673D3EDF" w:rsidR="000F40A9" w:rsidRDefault="000F40A9" w:rsidP="00934CD4">
            <w:pPr>
              <w:pStyle w:val="Tablenumbers"/>
              <w:cnfStyle w:val="000000000000" w:firstRow="0" w:lastRow="0" w:firstColumn="0" w:lastColumn="0" w:oddVBand="0" w:evenVBand="0" w:oddHBand="0" w:evenHBand="0" w:firstRowFirstColumn="0" w:firstRowLastColumn="0" w:lastRowFirstColumn="0" w:lastRowLastColumn="0"/>
            </w:pPr>
            <w:r>
              <w:t>$16.9</w:t>
            </w:r>
          </w:p>
        </w:tc>
        <w:tc>
          <w:tcPr>
            <w:tcW w:w="675" w:type="dxa"/>
          </w:tcPr>
          <w:p w14:paraId="03FC1FC4" w14:textId="33A1D2CB" w:rsidR="000F40A9" w:rsidRDefault="000F40A9" w:rsidP="00934CD4">
            <w:pPr>
              <w:pStyle w:val="Tablenumbers"/>
              <w:cnfStyle w:val="000000000000" w:firstRow="0" w:lastRow="0" w:firstColumn="0" w:lastColumn="0" w:oddVBand="0" w:evenVBand="0" w:oddHBand="0" w:evenHBand="0" w:firstRowFirstColumn="0" w:firstRowLastColumn="0" w:lastRowFirstColumn="0" w:lastRowLastColumn="0"/>
            </w:pPr>
            <w:r>
              <w:t>3</w:t>
            </w:r>
          </w:p>
        </w:tc>
        <w:tc>
          <w:tcPr>
            <w:tcW w:w="546" w:type="dxa"/>
          </w:tcPr>
          <w:p w14:paraId="7A5B4CFC" w14:textId="62209128" w:rsidR="000F40A9" w:rsidRDefault="000F40A9" w:rsidP="00934CD4">
            <w:pPr>
              <w:pStyle w:val="Tablenumbers"/>
              <w:cnfStyle w:val="000000000000" w:firstRow="0" w:lastRow="0" w:firstColumn="0" w:lastColumn="0" w:oddVBand="0" w:evenVBand="0" w:oddHBand="0" w:evenHBand="0" w:firstRowFirstColumn="0" w:firstRowLastColumn="0" w:lastRowFirstColumn="0" w:lastRowLastColumn="0"/>
            </w:pPr>
            <w:r>
              <w:t>2</w:t>
            </w:r>
          </w:p>
        </w:tc>
        <w:tc>
          <w:tcPr>
            <w:tcW w:w="1308" w:type="dxa"/>
          </w:tcPr>
          <w:p w14:paraId="1BA554E3" w14:textId="166D9C73" w:rsidR="000F40A9" w:rsidRDefault="000F40A9" w:rsidP="000F40A9">
            <w:pPr>
              <w:pStyle w:val="TableText"/>
              <w:cnfStyle w:val="000000000000" w:firstRow="0" w:lastRow="0" w:firstColumn="0" w:lastColumn="0" w:oddVBand="0" w:evenVBand="0" w:oddHBand="0" w:evenHBand="0" w:firstRowFirstColumn="0" w:firstRowLastColumn="0" w:lastRowFirstColumn="0" w:lastRowLastColumn="0"/>
            </w:pPr>
            <w:r>
              <w:t>Leveraged</w:t>
            </w:r>
          </w:p>
        </w:tc>
        <w:tc>
          <w:tcPr>
            <w:tcW w:w="725" w:type="dxa"/>
          </w:tcPr>
          <w:p w14:paraId="30B64D53" w14:textId="0617B75B" w:rsidR="000F40A9" w:rsidRDefault="000F40A9" w:rsidP="000F40A9">
            <w:pPr>
              <w:pStyle w:val="TableText"/>
              <w:cnfStyle w:val="000000000000" w:firstRow="0" w:lastRow="0" w:firstColumn="0" w:lastColumn="0" w:oddVBand="0" w:evenVBand="0" w:oddHBand="0" w:evenHBand="0" w:firstRowFirstColumn="0" w:firstRowLastColumn="0" w:lastRowFirstColumn="0" w:lastRowLastColumn="0"/>
            </w:pPr>
            <w:r>
              <w:t>RFT</w:t>
            </w:r>
          </w:p>
        </w:tc>
        <w:tc>
          <w:tcPr>
            <w:tcW w:w="786" w:type="dxa"/>
          </w:tcPr>
          <w:p w14:paraId="5CC14038" w14:textId="651B6AC1" w:rsidR="000F40A9" w:rsidRDefault="000F40A9" w:rsidP="000F40A9">
            <w:pPr>
              <w:pStyle w:val="TableText"/>
              <w:cnfStyle w:val="000000000000" w:firstRow="0" w:lastRow="0" w:firstColumn="0" w:lastColumn="0" w:oddVBand="0" w:evenVBand="0" w:oddHBand="0" w:evenHBand="0" w:firstRowFirstColumn="0" w:firstRowLastColumn="0" w:lastRowFirstColumn="0" w:lastRowLastColumn="0"/>
            </w:pPr>
            <w:r>
              <w:t>Closed</w:t>
            </w:r>
          </w:p>
        </w:tc>
        <w:tc>
          <w:tcPr>
            <w:tcW w:w="580" w:type="dxa"/>
          </w:tcPr>
          <w:p w14:paraId="7CC980BA" w14:textId="2FA08CE9" w:rsidR="000F40A9" w:rsidRDefault="000F40A9" w:rsidP="00934CD4">
            <w:pPr>
              <w:pStyle w:val="Tablenumbers"/>
              <w:cnfStyle w:val="000000000000" w:firstRow="0" w:lastRow="0" w:firstColumn="0" w:lastColumn="0" w:oddVBand="0" w:evenVBand="0" w:oddHBand="0" w:evenHBand="0" w:firstRowFirstColumn="0" w:firstRowLastColumn="0" w:lastRowFirstColumn="0" w:lastRowLastColumn="0"/>
            </w:pPr>
            <w:r>
              <w:t>52</w:t>
            </w:r>
          </w:p>
        </w:tc>
      </w:tr>
      <w:tr w:rsidR="00200BCC" w14:paraId="5B171FD5" w14:textId="77777777" w:rsidTr="00200BCC">
        <w:trPr>
          <w:cnfStyle w:val="000000100000" w:firstRow="0" w:lastRow="0" w:firstColumn="0" w:lastColumn="0" w:oddVBand="0" w:evenVBand="0" w:oddHBand="1" w:evenHBand="0" w:firstRowFirstColumn="0" w:firstRowLastColumn="0" w:lastRowFirstColumn="0" w:lastRowLastColumn="0"/>
          <w:trHeight w:val="85"/>
        </w:trPr>
        <w:tc>
          <w:tcPr>
            <w:cnfStyle w:val="001000000000" w:firstRow="0" w:lastRow="0" w:firstColumn="1" w:lastColumn="0" w:oddVBand="0" w:evenVBand="0" w:oddHBand="0" w:evenHBand="0" w:firstRowFirstColumn="0" w:firstRowLastColumn="0" w:lastRowFirstColumn="0" w:lastRowLastColumn="0"/>
            <w:tcW w:w="1394" w:type="dxa"/>
          </w:tcPr>
          <w:p w14:paraId="6A0AD7F4" w14:textId="1502DE02" w:rsidR="000F40A9" w:rsidRPr="0000017A" w:rsidRDefault="000F40A9" w:rsidP="000F40A9">
            <w:pPr>
              <w:pStyle w:val="TableText"/>
              <w:rPr>
                <w:b w:val="0"/>
              </w:rPr>
            </w:pPr>
            <w:r>
              <w:t>Total</w:t>
            </w:r>
          </w:p>
        </w:tc>
        <w:tc>
          <w:tcPr>
            <w:tcW w:w="513" w:type="dxa"/>
          </w:tcPr>
          <w:p w14:paraId="3D0BA9BF" w14:textId="77B835F5" w:rsidR="000F40A9" w:rsidRPr="00DD1BB1" w:rsidRDefault="000F40A9" w:rsidP="000F40A9">
            <w:pPr>
              <w:pStyle w:val="TableText"/>
              <w:cnfStyle w:val="000000100000" w:firstRow="0" w:lastRow="0" w:firstColumn="0" w:lastColumn="0" w:oddVBand="0" w:evenVBand="0" w:oddHBand="1" w:evenHBand="0" w:firstRowFirstColumn="0" w:firstRowLastColumn="0" w:lastRowFirstColumn="0" w:lastRowLastColumn="0"/>
              <w:rPr>
                <w:b/>
              </w:rPr>
            </w:pPr>
            <w:r w:rsidRPr="00DD1BB1">
              <w:rPr>
                <w:b/>
              </w:rPr>
              <w:t>36</w:t>
            </w:r>
          </w:p>
        </w:tc>
        <w:tc>
          <w:tcPr>
            <w:tcW w:w="1671" w:type="dxa"/>
          </w:tcPr>
          <w:p w14:paraId="037BD2C4" w14:textId="77777777" w:rsidR="000F40A9" w:rsidRDefault="000F40A9" w:rsidP="000F40A9">
            <w:pPr>
              <w:pStyle w:val="TableText"/>
              <w:cnfStyle w:val="000000100000" w:firstRow="0" w:lastRow="0" w:firstColumn="0" w:lastColumn="0" w:oddVBand="0" w:evenVBand="0" w:oddHBand="1" w:evenHBand="0" w:firstRowFirstColumn="0" w:firstRowLastColumn="0" w:lastRowFirstColumn="0" w:lastRowLastColumn="0"/>
            </w:pPr>
          </w:p>
        </w:tc>
        <w:tc>
          <w:tcPr>
            <w:tcW w:w="784" w:type="dxa"/>
          </w:tcPr>
          <w:p w14:paraId="40515C88" w14:textId="5C55AB1D" w:rsidR="000F40A9" w:rsidRDefault="000F40A9" w:rsidP="000F40A9">
            <w:pPr>
              <w:pStyle w:val="TableText"/>
              <w:cnfStyle w:val="000000100000" w:firstRow="0" w:lastRow="0" w:firstColumn="0" w:lastColumn="0" w:oddVBand="0" w:evenVBand="0" w:oddHBand="1" w:evenHBand="0" w:firstRowFirstColumn="0" w:firstRowLastColumn="0" w:lastRowFirstColumn="0" w:lastRowLastColumn="0"/>
            </w:pPr>
          </w:p>
        </w:tc>
        <w:tc>
          <w:tcPr>
            <w:tcW w:w="675" w:type="dxa"/>
          </w:tcPr>
          <w:p w14:paraId="0C579125" w14:textId="77777777" w:rsidR="000F40A9" w:rsidRDefault="000F40A9" w:rsidP="000F40A9">
            <w:pPr>
              <w:pStyle w:val="TableText"/>
              <w:cnfStyle w:val="000000100000" w:firstRow="0" w:lastRow="0" w:firstColumn="0" w:lastColumn="0" w:oddVBand="0" w:evenVBand="0" w:oddHBand="1" w:evenHBand="0" w:firstRowFirstColumn="0" w:firstRowLastColumn="0" w:lastRowFirstColumn="0" w:lastRowLastColumn="0"/>
            </w:pPr>
          </w:p>
        </w:tc>
        <w:tc>
          <w:tcPr>
            <w:tcW w:w="546" w:type="dxa"/>
          </w:tcPr>
          <w:p w14:paraId="1667F3B6" w14:textId="77777777" w:rsidR="000F40A9" w:rsidRDefault="000F40A9" w:rsidP="000F40A9">
            <w:pPr>
              <w:pStyle w:val="TableText"/>
              <w:cnfStyle w:val="000000100000" w:firstRow="0" w:lastRow="0" w:firstColumn="0" w:lastColumn="0" w:oddVBand="0" w:evenVBand="0" w:oddHBand="1" w:evenHBand="0" w:firstRowFirstColumn="0" w:firstRowLastColumn="0" w:lastRowFirstColumn="0" w:lastRowLastColumn="0"/>
            </w:pPr>
          </w:p>
        </w:tc>
        <w:tc>
          <w:tcPr>
            <w:tcW w:w="1308" w:type="dxa"/>
          </w:tcPr>
          <w:p w14:paraId="2CFD5A98" w14:textId="77777777" w:rsidR="000F40A9" w:rsidRDefault="000F40A9" w:rsidP="000F40A9">
            <w:pPr>
              <w:pStyle w:val="TableText"/>
              <w:cnfStyle w:val="000000100000" w:firstRow="0" w:lastRow="0" w:firstColumn="0" w:lastColumn="0" w:oddVBand="0" w:evenVBand="0" w:oddHBand="1" w:evenHBand="0" w:firstRowFirstColumn="0" w:firstRowLastColumn="0" w:lastRowFirstColumn="0" w:lastRowLastColumn="0"/>
            </w:pPr>
          </w:p>
        </w:tc>
        <w:tc>
          <w:tcPr>
            <w:tcW w:w="725" w:type="dxa"/>
          </w:tcPr>
          <w:p w14:paraId="0E894C05" w14:textId="77777777" w:rsidR="000F40A9" w:rsidRDefault="000F40A9" w:rsidP="000F40A9">
            <w:pPr>
              <w:pStyle w:val="TableText"/>
              <w:cnfStyle w:val="000000100000" w:firstRow="0" w:lastRow="0" w:firstColumn="0" w:lastColumn="0" w:oddVBand="0" w:evenVBand="0" w:oddHBand="1" w:evenHBand="0" w:firstRowFirstColumn="0" w:firstRowLastColumn="0" w:lastRowFirstColumn="0" w:lastRowLastColumn="0"/>
            </w:pPr>
          </w:p>
        </w:tc>
        <w:tc>
          <w:tcPr>
            <w:tcW w:w="786" w:type="dxa"/>
          </w:tcPr>
          <w:p w14:paraId="44360447" w14:textId="77777777" w:rsidR="000F40A9" w:rsidRDefault="000F40A9" w:rsidP="000F40A9">
            <w:pPr>
              <w:pStyle w:val="TableText"/>
              <w:cnfStyle w:val="000000100000" w:firstRow="0" w:lastRow="0" w:firstColumn="0" w:lastColumn="0" w:oddVBand="0" w:evenVBand="0" w:oddHBand="1" w:evenHBand="0" w:firstRowFirstColumn="0" w:firstRowLastColumn="0" w:lastRowFirstColumn="0" w:lastRowLastColumn="0"/>
            </w:pPr>
          </w:p>
        </w:tc>
        <w:tc>
          <w:tcPr>
            <w:tcW w:w="580" w:type="dxa"/>
          </w:tcPr>
          <w:p w14:paraId="674EF4ED" w14:textId="77777777" w:rsidR="000F40A9" w:rsidRDefault="000F40A9" w:rsidP="000F40A9">
            <w:pPr>
              <w:pStyle w:val="TableText"/>
              <w:cnfStyle w:val="000000100000" w:firstRow="0" w:lastRow="0" w:firstColumn="0" w:lastColumn="0" w:oddVBand="0" w:evenVBand="0" w:oddHBand="1" w:evenHBand="0" w:firstRowFirstColumn="0" w:firstRowLastColumn="0" w:lastRowFirstColumn="0" w:lastRowLastColumn="0"/>
            </w:pPr>
          </w:p>
        </w:tc>
      </w:tr>
    </w:tbl>
    <w:p w14:paraId="518023DE" w14:textId="7CAA7936" w:rsidR="00474E7B" w:rsidRDefault="00CA76D2" w:rsidP="00200BCC">
      <w:pPr>
        <w:pStyle w:val="Tablenotes"/>
        <w:ind w:left="993"/>
      </w:pPr>
      <w:r>
        <w:t>RFQ = Request for quote</w:t>
      </w:r>
      <w:r w:rsidR="00FE1F84">
        <w:t xml:space="preserve">, </w:t>
      </w:r>
      <w:r>
        <w:t>RFT = Request for tender</w:t>
      </w:r>
      <w:bookmarkStart w:id="246" w:name="_Toc366693354"/>
    </w:p>
    <w:p w14:paraId="68225581" w14:textId="4D50679A" w:rsidR="00B971DE" w:rsidRPr="00CD6245" w:rsidRDefault="00547D3A" w:rsidP="00B60ADC">
      <w:pPr>
        <w:pStyle w:val="Heading1NoNum"/>
      </w:pPr>
      <w:bookmarkStart w:id="247" w:name="_Toc524354094"/>
      <w:bookmarkEnd w:id="246"/>
      <w:r>
        <w:lastRenderedPageBreak/>
        <w:t>Acronyms</w:t>
      </w:r>
      <w:bookmarkEnd w:id="247"/>
    </w:p>
    <w:p w14:paraId="4F029E43" w14:textId="61374CB6" w:rsidR="009556FC" w:rsidRDefault="009556FC" w:rsidP="00E41631">
      <w:pPr>
        <w:pStyle w:val="Normal1"/>
      </w:pPr>
      <w:r>
        <w:t>AO</w:t>
      </w:r>
      <w:r>
        <w:tab/>
      </w:r>
      <w:r>
        <w:tab/>
        <w:t>Accountable officer</w:t>
      </w:r>
    </w:p>
    <w:p w14:paraId="4816B3B2" w14:textId="2501BED4" w:rsidR="00804CEB" w:rsidRDefault="00804CEB" w:rsidP="00E41631">
      <w:pPr>
        <w:pStyle w:val="Normal1"/>
      </w:pPr>
      <w:r w:rsidRPr="00CD6245">
        <w:t>ASR</w:t>
      </w:r>
      <w:r w:rsidRPr="00CD6245">
        <w:tab/>
      </w:r>
      <w:r w:rsidRPr="00CD6245">
        <w:tab/>
        <w:t>Annual supply report</w:t>
      </w:r>
    </w:p>
    <w:p w14:paraId="1617DF88" w14:textId="4B7EB180" w:rsidR="00B971DE" w:rsidRDefault="00B971DE" w:rsidP="00E41631">
      <w:pPr>
        <w:pStyle w:val="Normal1"/>
      </w:pPr>
      <w:r w:rsidRPr="00CD6245">
        <w:t>CPO</w:t>
      </w:r>
      <w:r w:rsidRPr="00CD6245">
        <w:tab/>
      </w:r>
      <w:r w:rsidRPr="00CD6245">
        <w:tab/>
        <w:t>Chief procurement officer</w:t>
      </w:r>
    </w:p>
    <w:p w14:paraId="2CE73209" w14:textId="77777777" w:rsidR="00926274" w:rsidRPr="00CD6245" w:rsidRDefault="00926274" w:rsidP="00E41631">
      <w:pPr>
        <w:pStyle w:val="Normal1"/>
      </w:pPr>
      <w:r w:rsidRPr="00CD6245">
        <w:t>DEDJTR</w:t>
      </w:r>
      <w:r w:rsidRPr="00CD6245">
        <w:tab/>
        <w:t xml:space="preserve">Department of Economic Development, Jobs, Transport and </w:t>
      </w:r>
      <w:r w:rsidR="00931446" w:rsidRPr="00CD6245">
        <w:tab/>
      </w:r>
      <w:r w:rsidR="00931446" w:rsidRPr="00CD6245">
        <w:tab/>
      </w:r>
      <w:r w:rsidR="00931446" w:rsidRPr="00CD6245">
        <w:tab/>
      </w:r>
      <w:r w:rsidR="007D6AE0" w:rsidRPr="00CD6245">
        <w:tab/>
      </w:r>
      <w:r w:rsidR="007D6AE0" w:rsidRPr="00CD6245">
        <w:tab/>
      </w:r>
      <w:r w:rsidRPr="00CD6245">
        <w:t>Resources</w:t>
      </w:r>
    </w:p>
    <w:p w14:paraId="3C773DA4" w14:textId="77777777" w:rsidR="00926274" w:rsidRPr="00CD6245" w:rsidRDefault="00926274" w:rsidP="00E41631">
      <w:pPr>
        <w:pStyle w:val="Normal1"/>
      </w:pPr>
      <w:r w:rsidRPr="00CD6245">
        <w:t>DELWP</w:t>
      </w:r>
      <w:r w:rsidRPr="00CD6245">
        <w:tab/>
      </w:r>
      <w:r w:rsidRPr="00CD6245">
        <w:tab/>
        <w:t>Department of Environment, Land, Water and Planning</w:t>
      </w:r>
    </w:p>
    <w:p w14:paraId="45848329" w14:textId="77777777" w:rsidR="008F1E38" w:rsidRPr="00CD6245" w:rsidRDefault="008F1E38" w:rsidP="00E41631">
      <w:pPr>
        <w:pStyle w:val="Normal1"/>
      </w:pPr>
      <w:r w:rsidRPr="00CD6245">
        <w:t>DET</w:t>
      </w:r>
      <w:r w:rsidRPr="00CD6245">
        <w:tab/>
      </w:r>
      <w:r w:rsidRPr="00CD6245">
        <w:tab/>
        <w:t>Department of Education and Training</w:t>
      </w:r>
    </w:p>
    <w:p w14:paraId="07A899C9" w14:textId="77777777" w:rsidR="00926274" w:rsidRPr="00CD6245" w:rsidRDefault="00926274" w:rsidP="00E41631">
      <w:pPr>
        <w:pStyle w:val="Normal1"/>
      </w:pPr>
      <w:r w:rsidRPr="00CD6245">
        <w:t>DHHS</w:t>
      </w:r>
      <w:r w:rsidRPr="00CD6245">
        <w:tab/>
      </w:r>
      <w:r w:rsidRPr="00CD6245">
        <w:tab/>
        <w:t>Department of Health and Human Services</w:t>
      </w:r>
    </w:p>
    <w:p w14:paraId="6A2057FC" w14:textId="77777777" w:rsidR="00926274" w:rsidRPr="00CD6245" w:rsidRDefault="00926274" w:rsidP="00E41631">
      <w:pPr>
        <w:pStyle w:val="Normal1"/>
      </w:pPr>
      <w:r w:rsidRPr="00CD6245">
        <w:t>DJR</w:t>
      </w:r>
      <w:r w:rsidRPr="00CD6245">
        <w:tab/>
      </w:r>
      <w:r w:rsidRPr="00CD6245">
        <w:tab/>
      </w:r>
      <w:r w:rsidR="00931446" w:rsidRPr="00CD6245">
        <w:t>Department of Justice and</w:t>
      </w:r>
      <w:r w:rsidRPr="00CD6245">
        <w:t xml:space="preserve"> Regulation</w:t>
      </w:r>
    </w:p>
    <w:p w14:paraId="75DC3F93" w14:textId="77777777" w:rsidR="00926274" w:rsidRPr="00CD6245" w:rsidRDefault="00926274" w:rsidP="00E41631">
      <w:pPr>
        <w:pStyle w:val="Normal1"/>
      </w:pPr>
      <w:r w:rsidRPr="00CD6245">
        <w:t>DPC</w:t>
      </w:r>
      <w:r w:rsidRPr="00CD6245">
        <w:tab/>
      </w:r>
      <w:r w:rsidRPr="00CD6245">
        <w:tab/>
        <w:t>Department of Premier and Cabinet</w:t>
      </w:r>
    </w:p>
    <w:p w14:paraId="1D7FF339" w14:textId="135F09FA" w:rsidR="00926274" w:rsidRDefault="00926274" w:rsidP="00E41631">
      <w:pPr>
        <w:pStyle w:val="Normal1"/>
      </w:pPr>
      <w:r w:rsidRPr="00CD6245">
        <w:t>DTF</w:t>
      </w:r>
      <w:r w:rsidRPr="00CD6245">
        <w:tab/>
      </w:r>
      <w:r w:rsidRPr="00CD6245">
        <w:tab/>
        <w:t>Department of Treasury and Finance</w:t>
      </w:r>
    </w:p>
    <w:p w14:paraId="4ED46B89" w14:textId="6973149F" w:rsidR="00547D3A" w:rsidRPr="00547D3A" w:rsidRDefault="00547D3A" w:rsidP="00547D3A">
      <w:pPr>
        <w:pStyle w:val="Normal1"/>
        <w:rPr>
          <w:lang w:val="en-US"/>
        </w:rPr>
      </w:pPr>
      <w:r w:rsidRPr="00547D3A">
        <w:rPr>
          <w:lang w:val="en-US"/>
        </w:rPr>
        <w:t>EOI</w:t>
      </w:r>
      <w:r w:rsidRPr="00547D3A">
        <w:rPr>
          <w:lang w:val="en-US"/>
        </w:rPr>
        <w:tab/>
      </w:r>
      <w:r w:rsidRPr="00547D3A">
        <w:rPr>
          <w:lang w:val="en-US"/>
        </w:rPr>
        <w:tab/>
        <w:t>Expression of interest</w:t>
      </w:r>
    </w:p>
    <w:p w14:paraId="6CCAE6F7" w14:textId="2DDC533C" w:rsidR="003C34A7" w:rsidRDefault="003C34A7" w:rsidP="00E41631">
      <w:pPr>
        <w:pStyle w:val="Normal1"/>
      </w:pPr>
      <w:r>
        <w:t>ERP</w:t>
      </w:r>
      <w:r>
        <w:tab/>
      </w:r>
      <w:r>
        <w:tab/>
        <w:t>Enterprise Resource Planning</w:t>
      </w:r>
    </w:p>
    <w:p w14:paraId="528BC3BA" w14:textId="3C9F23B9" w:rsidR="003B398F" w:rsidRDefault="003B398F" w:rsidP="00E41631">
      <w:pPr>
        <w:pStyle w:val="Normal1"/>
      </w:pPr>
      <w:r w:rsidRPr="00CD6245">
        <w:t>GST</w:t>
      </w:r>
      <w:r w:rsidRPr="00CD6245">
        <w:tab/>
      </w:r>
      <w:r w:rsidRPr="00CD6245">
        <w:tab/>
        <w:t>Goods and services tax</w:t>
      </w:r>
    </w:p>
    <w:p w14:paraId="56E09414" w14:textId="77777777" w:rsidR="003B398F" w:rsidRPr="00CD6245" w:rsidRDefault="003B398F" w:rsidP="00E41631">
      <w:pPr>
        <w:pStyle w:val="Normal1"/>
      </w:pPr>
      <w:r w:rsidRPr="00474E7B">
        <w:t>ICT</w:t>
      </w:r>
      <w:r w:rsidRPr="00474E7B">
        <w:tab/>
      </w:r>
      <w:r w:rsidRPr="00474E7B">
        <w:tab/>
        <w:t>Information and communications technology</w:t>
      </w:r>
    </w:p>
    <w:p w14:paraId="009DB77C" w14:textId="0BDA8F26" w:rsidR="00B971DE" w:rsidRDefault="002C5E39" w:rsidP="00E41631">
      <w:pPr>
        <w:pStyle w:val="Normal1"/>
      </w:pPr>
      <w:r w:rsidRPr="00CD6245">
        <w:t>IPU</w:t>
      </w:r>
      <w:r w:rsidRPr="00CD6245">
        <w:tab/>
      </w:r>
      <w:r w:rsidRPr="00CD6245">
        <w:tab/>
      </w:r>
      <w:r w:rsidR="00B971DE" w:rsidRPr="00CD6245">
        <w:t>Internal procurement unit</w:t>
      </w:r>
    </w:p>
    <w:p w14:paraId="534D0CA4" w14:textId="3BF17D79" w:rsidR="00547D3A" w:rsidRPr="00547D3A" w:rsidRDefault="00547D3A" w:rsidP="00547D3A">
      <w:pPr>
        <w:pStyle w:val="Normal1"/>
        <w:rPr>
          <w:lang w:val="en-US"/>
        </w:rPr>
      </w:pPr>
      <w:r w:rsidRPr="00547D3A">
        <w:rPr>
          <w:lang w:val="en-US"/>
        </w:rPr>
        <w:t>IT</w:t>
      </w:r>
      <w:r w:rsidRPr="00547D3A">
        <w:rPr>
          <w:lang w:val="en-US"/>
        </w:rPr>
        <w:tab/>
      </w:r>
      <w:r w:rsidRPr="00547D3A">
        <w:rPr>
          <w:lang w:val="en-US"/>
        </w:rPr>
        <w:tab/>
        <w:t>Information technology</w:t>
      </w:r>
    </w:p>
    <w:p w14:paraId="3391D470" w14:textId="77777777" w:rsidR="000B12BA" w:rsidRDefault="000E4201" w:rsidP="00E41631">
      <w:pPr>
        <w:pStyle w:val="Normal1"/>
      </w:pPr>
      <w:r>
        <w:t>MTIP</w:t>
      </w:r>
      <w:r>
        <w:tab/>
      </w:r>
      <w:r>
        <w:tab/>
      </w:r>
      <w:r w:rsidRPr="000E4201">
        <w:t>Major Transport Infrastructure Program</w:t>
      </w:r>
    </w:p>
    <w:p w14:paraId="1095948A" w14:textId="16C235AC" w:rsidR="0007325F" w:rsidRDefault="0007325F" w:rsidP="00E41631">
      <w:pPr>
        <w:pStyle w:val="Normal1"/>
      </w:pPr>
      <w:r>
        <w:t>PPE</w:t>
      </w:r>
      <w:r>
        <w:tab/>
      </w:r>
      <w:r>
        <w:tab/>
      </w:r>
      <w:r w:rsidR="002D246A">
        <w:t>P</w:t>
      </w:r>
      <w:r w:rsidR="002D246A" w:rsidRPr="0007325F">
        <w:t>ersonal protective equipmen</w:t>
      </w:r>
      <w:r w:rsidRPr="0007325F">
        <w:t>t</w:t>
      </w:r>
    </w:p>
    <w:p w14:paraId="3D94B8F5" w14:textId="13DCDFE3" w:rsidR="002B112D" w:rsidRPr="00CD6245" w:rsidRDefault="002B112D" w:rsidP="00E41631">
      <w:pPr>
        <w:pStyle w:val="Normal1"/>
      </w:pPr>
      <w:r w:rsidRPr="00CD6245">
        <w:t>PTV</w:t>
      </w:r>
      <w:r w:rsidRPr="00CD6245">
        <w:tab/>
      </w:r>
      <w:r w:rsidRPr="00CD6245">
        <w:tab/>
        <w:t>Public Transport Victoria</w:t>
      </w:r>
    </w:p>
    <w:p w14:paraId="0D886F97" w14:textId="77777777" w:rsidR="00E21482" w:rsidRPr="00CD6245" w:rsidRDefault="00E21482" w:rsidP="00E41631">
      <w:pPr>
        <w:pStyle w:val="Normal1"/>
      </w:pPr>
      <w:r w:rsidRPr="00CD6245">
        <w:t>RFQ</w:t>
      </w:r>
      <w:r w:rsidRPr="00CD6245">
        <w:tab/>
      </w:r>
      <w:r w:rsidRPr="00CD6245">
        <w:tab/>
        <w:t>Request for quotation</w:t>
      </w:r>
    </w:p>
    <w:p w14:paraId="462DB7F7" w14:textId="77777777" w:rsidR="00817F5B" w:rsidRPr="00CD6245" w:rsidRDefault="00817F5B" w:rsidP="00E41631">
      <w:pPr>
        <w:pStyle w:val="Normal1"/>
      </w:pPr>
      <w:r w:rsidRPr="00CD6245">
        <w:t>RFT</w:t>
      </w:r>
      <w:r w:rsidRPr="00CD6245">
        <w:tab/>
      </w:r>
      <w:r w:rsidRPr="00CD6245">
        <w:tab/>
        <w:t>Request for tender</w:t>
      </w:r>
    </w:p>
    <w:p w14:paraId="62F75CD7" w14:textId="2BBBD2C1" w:rsidR="00B971DE" w:rsidRPr="00CD6245" w:rsidRDefault="00B971DE" w:rsidP="00E41631">
      <w:pPr>
        <w:pStyle w:val="Normal1"/>
      </w:pPr>
      <w:r w:rsidRPr="00CD6245">
        <w:t>SEPC</w:t>
      </w:r>
      <w:r w:rsidRPr="00CD6245">
        <w:tab/>
      </w:r>
      <w:r w:rsidRPr="00CD6245">
        <w:tab/>
        <w:t>Sole entity purchase contract</w:t>
      </w:r>
    </w:p>
    <w:p w14:paraId="46B18357" w14:textId="46E7EBFC" w:rsidR="00B971DE" w:rsidRDefault="00B971DE" w:rsidP="00E41631">
      <w:pPr>
        <w:pStyle w:val="Normal1"/>
      </w:pPr>
      <w:r w:rsidRPr="00CD6245">
        <w:t>SPC</w:t>
      </w:r>
      <w:r w:rsidRPr="00CD6245">
        <w:tab/>
      </w:r>
      <w:r w:rsidRPr="00CD6245">
        <w:tab/>
        <w:t>State purchase contract</w:t>
      </w:r>
    </w:p>
    <w:p w14:paraId="1687E203" w14:textId="37594DB5" w:rsidR="00B971DE" w:rsidRPr="00CD6245" w:rsidRDefault="00B971DE" w:rsidP="00E41631">
      <w:pPr>
        <w:pStyle w:val="Normal1"/>
      </w:pPr>
      <w:r w:rsidRPr="00CD6245">
        <w:t>VGPB</w:t>
      </w:r>
      <w:r w:rsidRPr="00CD6245">
        <w:tab/>
      </w:r>
      <w:r w:rsidRPr="00CD6245">
        <w:tab/>
        <w:t>Victorian Government Purchasing Board</w:t>
      </w:r>
    </w:p>
    <w:p w14:paraId="4F6FC0E1" w14:textId="7468C51B" w:rsidR="00042E3B" w:rsidRPr="00CD6245" w:rsidRDefault="00042E3B" w:rsidP="00042E3B">
      <w:pPr>
        <w:pStyle w:val="Normal1"/>
      </w:pPr>
      <w:r>
        <w:t>WoVG</w:t>
      </w:r>
      <w:r w:rsidR="00560F17">
        <w:tab/>
      </w:r>
      <w:r w:rsidR="00560F17">
        <w:tab/>
        <w:t>Whole of Victorian Government</w:t>
      </w:r>
    </w:p>
    <w:p w14:paraId="37F75262" w14:textId="6F8E8DB0" w:rsidR="006951E8" w:rsidRDefault="006951E8" w:rsidP="00E41631">
      <w:pPr>
        <w:pStyle w:val="Normal1"/>
      </w:pPr>
      <w:r>
        <w:t xml:space="preserve">For a full glossary of terms, refer to </w:t>
      </w:r>
      <w:hyperlink r:id="rId36" w:history="1">
        <w:r w:rsidR="008E2EE8" w:rsidRPr="006A3D64">
          <w:rPr>
            <w:rStyle w:val="Hyperlink"/>
          </w:rPr>
          <w:t>procurement.vic.gov.au/About-the-VGPB/Glossary</w:t>
        </w:r>
      </w:hyperlink>
    </w:p>
    <w:p w14:paraId="2B5698D9" w14:textId="77777777" w:rsidR="000B12BA" w:rsidRDefault="000B12BA" w:rsidP="00E41631">
      <w:pPr>
        <w:pStyle w:val="Normal1"/>
      </w:pPr>
    </w:p>
    <w:p w14:paraId="13E7D4DE" w14:textId="77777777" w:rsidR="000B12BA" w:rsidRDefault="000B12BA" w:rsidP="00E41631">
      <w:pPr>
        <w:pStyle w:val="Normal1"/>
      </w:pPr>
    </w:p>
    <w:p w14:paraId="419FAEFD" w14:textId="77777777" w:rsidR="000B12BA" w:rsidRDefault="000B12BA" w:rsidP="00E41631">
      <w:pPr>
        <w:pStyle w:val="Normal1"/>
      </w:pPr>
    </w:p>
    <w:p w14:paraId="6A83F471" w14:textId="3FDDF8D4" w:rsidR="00904111" w:rsidRPr="00DA27AC" w:rsidRDefault="007645C5" w:rsidP="00E41631">
      <w:pPr>
        <w:pStyle w:val="Normal1"/>
      </w:pPr>
      <w:r w:rsidRPr="00F66493">
        <w:t>This annual report is printed on ecoStar</w:t>
      </w:r>
      <w:r w:rsidR="002100B9" w:rsidRPr="00F66493">
        <w:t>+</w:t>
      </w:r>
      <w:r w:rsidRPr="00F66493">
        <w:t xml:space="preserve">. </w:t>
      </w:r>
      <w:r w:rsidR="002100B9" w:rsidRPr="00F66493">
        <w:t>ecoStar+ is an environmentally responsible paper made Carbon Neutral and the fibre source is Forest Stewardship Council® Chain of Custody Recycled certified. ecoStar+ is manufactured from 100</w:t>
      </w:r>
      <w:r w:rsidR="009556FC">
        <w:t xml:space="preserve"> per cent</w:t>
      </w:r>
      <w:r w:rsidR="002100B9" w:rsidRPr="00F66493">
        <w:t xml:space="preserve"> post-consumer recycled paper in a</w:t>
      </w:r>
      <w:r w:rsidR="002100B9">
        <w:t xml:space="preserve"> process chlorine free environment under the ISO 14001 environmental management system.</w:t>
      </w:r>
    </w:p>
    <w:sectPr w:rsidR="00904111" w:rsidRPr="00DA27AC" w:rsidSect="002A2A95">
      <w:pgSz w:w="11900" w:h="16840"/>
      <w:pgMar w:top="1134" w:right="1134" w:bottom="1134" w:left="1134"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054BE5" w14:textId="77777777" w:rsidR="00074AD5" w:rsidRDefault="00074AD5" w:rsidP="009F4D80">
      <w:r>
        <w:separator/>
      </w:r>
    </w:p>
  </w:endnote>
  <w:endnote w:type="continuationSeparator" w:id="0">
    <w:p w14:paraId="1BB54221" w14:textId="77777777" w:rsidR="00074AD5" w:rsidRDefault="00074AD5" w:rsidP="009F4D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Lucida Grande">
    <w:altName w:val="Times New Roman"/>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43" w:usb2="00000009" w:usb3="00000000" w:csb0="000001FF" w:csb1="00000000"/>
  </w:font>
  <w:font w:name="Corbel">
    <w:panose1 w:val="020B0503020204020204"/>
    <w:charset w:val="00"/>
    <w:family w:val="swiss"/>
    <w:pitch w:val="variable"/>
    <w:sig w:usb0="A00002EF" w:usb1="4000A44B" w:usb2="00000000" w:usb3="00000000" w:csb0="0000019F" w:csb1="00000000"/>
  </w:font>
  <w:font w:name="TradeGothic-CondEighteen">
    <w:altName w:val="Cambria"/>
    <w:panose1 w:val="00000000000000000000"/>
    <w:charset w:val="4D"/>
    <w:family w:val="auto"/>
    <w:notTrueType/>
    <w:pitch w:val="default"/>
    <w:sig w:usb0="00000003" w:usb1="00000000" w:usb2="00000000" w:usb3="00000000" w:csb0="00000001" w:csb1="00000000"/>
  </w:font>
  <w:font w:name="TradeGothic-BoldCondTwenty">
    <w:altName w:val="Cambria"/>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radeGothic-Light">
    <w:altName w:val="Times New Roman"/>
    <w:charset w:val="00"/>
    <w:family w:val="roman"/>
    <w:pitch w:val="default"/>
  </w:font>
  <w:font w:name="VIC-SemiBold">
    <w:altName w:val="Calibri"/>
    <w:panose1 w:val="00000000000000000000"/>
    <w:charset w:val="4D"/>
    <w:family w:val="auto"/>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D60711" w14:textId="77777777" w:rsidR="001206E5" w:rsidRDefault="001206E5" w:rsidP="00CD0E46">
    <w:pPr>
      <w:pStyle w:val="Footer"/>
      <w:rPr>
        <w:rFonts w:cs="Arial"/>
        <w:b/>
        <w:color w:val="3F3F3F"/>
        <w:sz w:val="20"/>
      </w:rPr>
    </w:pPr>
    <w:bookmarkStart w:id="4" w:name="aliashNonProtectiveMarki1FooterEvenPages"/>
    <w:r>
      <w:rPr>
        <w:rFonts w:cs="Arial"/>
        <w:b/>
        <w:color w:val="3F3F3F"/>
        <w:sz w:val="20"/>
      </w:rPr>
      <w:t>Public</w:t>
    </w:r>
  </w:p>
  <w:bookmarkEnd w:id="4"/>
  <w:p w14:paraId="0AD9B9DF" w14:textId="77777777" w:rsidR="001206E5" w:rsidRDefault="001206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7287880"/>
      <w:docPartObj>
        <w:docPartGallery w:val="Page Numbers (Bottom of Page)"/>
        <w:docPartUnique/>
      </w:docPartObj>
    </w:sdtPr>
    <w:sdtEndPr/>
    <w:sdtContent>
      <w:p w14:paraId="1D6E647C" w14:textId="6F251C54" w:rsidR="001206E5" w:rsidRDefault="001206E5">
        <w:pPr>
          <w:pStyle w:val="Footer"/>
        </w:pPr>
        <w:r>
          <w:fldChar w:fldCharType="begin"/>
        </w:r>
        <w:r>
          <w:instrText xml:space="preserve"> PAGE   \* MERGEFORMAT </w:instrText>
        </w:r>
        <w:r>
          <w:fldChar w:fldCharType="separate"/>
        </w:r>
        <w:r>
          <w:rPr>
            <w:noProof/>
          </w:rPr>
          <w:t>42</w:t>
        </w:r>
        <w:r>
          <w:rPr>
            <w:noProof/>
          </w:rPr>
          <w:fldChar w:fldCharType="end"/>
        </w:r>
      </w:p>
    </w:sdtContent>
  </w:sdt>
  <w:p w14:paraId="2F1197BB" w14:textId="77777777" w:rsidR="001206E5" w:rsidRDefault="001206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094C44" w14:textId="77777777" w:rsidR="00074AD5" w:rsidRDefault="00074AD5" w:rsidP="009F4D80">
      <w:r>
        <w:separator/>
      </w:r>
    </w:p>
  </w:footnote>
  <w:footnote w:type="continuationSeparator" w:id="0">
    <w:p w14:paraId="71ECE7A3" w14:textId="77777777" w:rsidR="00074AD5" w:rsidRDefault="00074AD5" w:rsidP="009F4D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61DFD1" w14:textId="6327DA30" w:rsidR="001206E5" w:rsidRPr="002E75B9" w:rsidRDefault="001206E5" w:rsidP="002E75B9">
    <w:pPr>
      <w:pStyle w:val="Footer"/>
      <w:jc w:val="right"/>
      <w:rPr>
        <w:rFonts w:cs="Arial"/>
        <w:color w:val="3F3F3F"/>
        <w:sz w:val="20"/>
        <w:szCs w:val="20"/>
      </w:rPr>
    </w:pPr>
    <w:r w:rsidRPr="002E75B9">
      <w:rPr>
        <w:rFonts w:cs="Arial"/>
        <w:color w:val="3F3F3F"/>
        <w:sz w:val="20"/>
        <w:szCs w:val="20"/>
      </w:rPr>
      <w:t xml:space="preserve">VGPB Annual Report </w:t>
    </w:r>
    <w:r>
      <w:rPr>
        <w:rFonts w:cs="Arial"/>
        <w:color w:val="3F3F3F"/>
        <w:sz w:val="20"/>
        <w:szCs w:val="20"/>
      </w:rPr>
      <w:t>2017–18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856D76"/>
    <w:multiLevelType w:val="hybridMultilevel"/>
    <w:tmpl w:val="2BE0BE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A2300F2"/>
    <w:multiLevelType w:val="hybridMultilevel"/>
    <w:tmpl w:val="AFC0CE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C804DE6"/>
    <w:multiLevelType w:val="hybridMultilevel"/>
    <w:tmpl w:val="60FE58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F6C6707"/>
    <w:multiLevelType w:val="hybridMultilevel"/>
    <w:tmpl w:val="7BE47D5A"/>
    <w:lvl w:ilvl="0" w:tplc="0C090001">
      <w:start w:val="1"/>
      <w:numFmt w:val="bullet"/>
      <w:lvlText w:val=""/>
      <w:lvlJc w:val="left"/>
      <w:pPr>
        <w:ind w:left="1514" w:hanging="360"/>
      </w:pPr>
      <w:rPr>
        <w:rFonts w:ascii="Symbol" w:hAnsi="Symbol" w:hint="default"/>
      </w:rPr>
    </w:lvl>
    <w:lvl w:ilvl="1" w:tplc="0C090003" w:tentative="1">
      <w:start w:val="1"/>
      <w:numFmt w:val="bullet"/>
      <w:lvlText w:val="o"/>
      <w:lvlJc w:val="left"/>
      <w:pPr>
        <w:ind w:left="2234" w:hanging="360"/>
      </w:pPr>
      <w:rPr>
        <w:rFonts w:ascii="Courier New" w:hAnsi="Courier New" w:cs="Courier New" w:hint="default"/>
      </w:rPr>
    </w:lvl>
    <w:lvl w:ilvl="2" w:tplc="0C090005" w:tentative="1">
      <w:start w:val="1"/>
      <w:numFmt w:val="bullet"/>
      <w:lvlText w:val=""/>
      <w:lvlJc w:val="left"/>
      <w:pPr>
        <w:ind w:left="2954" w:hanging="360"/>
      </w:pPr>
      <w:rPr>
        <w:rFonts w:ascii="Wingdings" w:hAnsi="Wingdings" w:hint="default"/>
      </w:rPr>
    </w:lvl>
    <w:lvl w:ilvl="3" w:tplc="0C090001" w:tentative="1">
      <w:start w:val="1"/>
      <w:numFmt w:val="bullet"/>
      <w:lvlText w:val=""/>
      <w:lvlJc w:val="left"/>
      <w:pPr>
        <w:ind w:left="3674" w:hanging="360"/>
      </w:pPr>
      <w:rPr>
        <w:rFonts w:ascii="Symbol" w:hAnsi="Symbol" w:hint="default"/>
      </w:rPr>
    </w:lvl>
    <w:lvl w:ilvl="4" w:tplc="0C090003" w:tentative="1">
      <w:start w:val="1"/>
      <w:numFmt w:val="bullet"/>
      <w:lvlText w:val="o"/>
      <w:lvlJc w:val="left"/>
      <w:pPr>
        <w:ind w:left="4394" w:hanging="360"/>
      </w:pPr>
      <w:rPr>
        <w:rFonts w:ascii="Courier New" w:hAnsi="Courier New" w:cs="Courier New" w:hint="default"/>
      </w:rPr>
    </w:lvl>
    <w:lvl w:ilvl="5" w:tplc="0C090005" w:tentative="1">
      <w:start w:val="1"/>
      <w:numFmt w:val="bullet"/>
      <w:lvlText w:val=""/>
      <w:lvlJc w:val="left"/>
      <w:pPr>
        <w:ind w:left="5114" w:hanging="360"/>
      </w:pPr>
      <w:rPr>
        <w:rFonts w:ascii="Wingdings" w:hAnsi="Wingdings" w:hint="default"/>
      </w:rPr>
    </w:lvl>
    <w:lvl w:ilvl="6" w:tplc="0C090001" w:tentative="1">
      <w:start w:val="1"/>
      <w:numFmt w:val="bullet"/>
      <w:lvlText w:val=""/>
      <w:lvlJc w:val="left"/>
      <w:pPr>
        <w:ind w:left="5834" w:hanging="360"/>
      </w:pPr>
      <w:rPr>
        <w:rFonts w:ascii="Symbol" w:hAnsi="Symbol" w:hint="default"/>
      </w:rPr>
    </w:lvl>
    <w:lvl w:ilvl="7" w:tplc="0C090003" w:tentative="1">
      <w:start w:val="1"/>
      <w:numFmt w:val="bullet"/>
      <w:lvlText w:val="o"/>
      <w:lvlJc w:val="left"/>
      <w:pPr>
        <w:ind w:left="6554" w:hanging="360"/>
      </w:pPr>
      <w:rPr>
        <w:rFonts w:ascii="Courier New" w:hAnsi="Courier New" w:cs="Courier New" w:hint="default"/>
      </w:rPr>
    </w:lvl>
    <w:lvl w:ilvl="8" w:tplc="0C090005" w:tentative="1">
      <w:start w:val="1"/>
      <w:numFmt w:val="bullet"/>
      <w:lvlText w:val=""/>
      <w:lvlJc w:val="left"/>
      <w:pPr>
        <w:ind w:left="7274" w:hanging="360"/>
      </w:pPr>
      <w:rPr>
        <w:rFonts w:ascii="Wingdings" w:hAnsi="Wingdings" w:hint="default"/>
      </w:rPr>
    </w:lvl>
  </w:abstractNum>
  <w:abstractNum w:abstractNumId="4" w15:restartNumberingAfterBreak="0">
    <w:nsid w:val="161C752B"/>
    <w:multiLevelType w:val="multilevel"/>
    <w:tmpl w:val="DA904724"/>
    <w:lvl w:ilvl="0">
      <w:start w:val="1"/>
      <w:numFmt w:val="decimal"/>
      <w:pStyle w:val="Heading1"/>
      <w:lvlText w:val="%1."/>
      <w:lvlJc w:val="left"/>
      <w:pPr>
        <w:tabs>
          <w:tab w:val="num" w:pos="794"/>
        </w:tabs>
        <w:ind w:left="794" w:hanging="794"/>
      </w:pPr>
      <w:rPr>
        <w:rFonts w:ascii="Calibri" w:hAnsi="Calibri" w:hint="default"/>
        <w:b w:val="0"/>
        <w:i w:val="0"/>
        <w:vanish w:val="0"/>
        <w:color w:val="404040"/>
        <w:sz w:val="40"/>
      </w:rPr>
    </w:lvl>
    <w:lvl w:ilvl="1">
      <w:start w:val="1"/>
      <w:numFmt w:val="decimal"/>
      <w:pStyle w:val="Heading2"/>
      <w:lvlText w:val="%1.%2"/>
      <w:lvlJc w:val="left"/>
      <w:pPr>
        <w:tabs>
          <w:tab w:val="num" w:pos="794"/>
        </w:tabs>
        <w:ind w:left="794" w:hanging="794"/>
      </w:pPr>
      <w:rPr>
        <w:rFonts w:ascii="Calibri" w:hAnsi="Calibri" w:hint="default"/>
        <w:b w:val="0"/>
        <w:i w:val="0"/>
        <w:vanish w:val="0"/>
        <w:color w:val="4D4D4D"/>
        <w:sz w:val="30"/>
      </w:rPr>
    </w:lvl>
    <w:lvl w:ilvl="2">
      <w:start w:val="1"/>
      <w:numFmt w:val="decimal"/>
      <w:pStyle w:val="Heading3"/>
      <w:lvlText w:val="%1.%2.%3"/>
      <w:lvlJc w:val="left"/>
      <w:pPr>
        <w:tabs>
          <w:tab w:val="num" w:pos="794"/>
        </w:tabs>
        <w:ind w:left="794" w:hanging="794"/>
      </w:pPr>
      <w:rPr>
        <w:rFonts w:ascii="Calibri" w:hAnsi="Calibri" w:hint="default"/>
        <w:b/>
        <w:i w:val="0"/>
        <w:vanish w:val="0"/>
        <w:color w:val="4D4D4D"/>
        <w:sz w:val="26"/>
      </w:rPr>
    </w:lvl>
    <w:lvl w:ilvl="3">
      <w:start w:val="1"/>
      <w:numFmt w:val="decimal"/>
      <w:pStyle w:val="Heading4"/>
      <w:lvlText w:val="%1.%2.%3.%4"/>
      <w:lvlJc w:val="left"/>
      <w:pPr>
        <w:tabs>
          <w:tab w:val="num" w:pos="792"/>
        </w:tabs>
        <w:ind w:left="794" w:hanging="794"/>
      </w:pPr>
      <w:rPr>
        <w:rFonts w:ascii="Calibri" w:hAnsi="Calibri" w:hint="default"/>
        <w:b/>
        <w:i w:val="0"/>
        <w:vanish w:val="0"/>
        <w:color w:val="4D4D4D"/>
        <w:sz w:val="22"/>
      </w:rPr>
    </w:lvl>
    <w:lvl w:ilvl="4">
      <w:start w:val="1"/>
      <w:numFmt w:val="none"/>
      <w:pStyle w:val="Heading5"/>
      <w:suff w:val="nothing"/>
      <w:lvlText w:val="%5"/>
      <w:lvlJc w:val="left"/>
      <w:pPr>
        <w:ind w:left="794" w:firstLine="0"/>
      </w:pPr>
      <w:rPr>
        <w:rFonts w:ascii="Calibri" w:hAnsi="Calibri" w:hint="default"/>
        <w:b w:val="0"/>
        <w:i/>
        <w:vanish w:val="0"/>
        <w:color w:val="404040"/>
        <w:sz w:val="22"/>
      </w:rPr>
    </w:lvl>
    <w:lvl w:ilvl="5">
      <w:start w:val="1"/>
      <w:numFmt w:val="decimal"/>
      <w:pStyle w:val="Heading6"/>
      <w:suff w:val="nothing"/>
      <w:lvlText w:val=""/>
      <w:lvlJc w:val="left"/>
      <w:pPr>
        <w:ind w:left="794" w:firstLine="0"/>
      </w:pPr>
      <w:rPr>
        <w:rFonts w:ascii="Calibri" w:hAnsi="Calibri" w:hint="default"/>
        <w:b w:val="0"/>
        <w:i/>
        <w:vanish w:val="0"/>
        <w:color w:val="404040"/>
        <w:sz w:val="22"/>
      </w:rPr>
    </w:lvl>
    <w:lvl w:ilvl="6">
      <w:start w:val="1"/>
      <w:numFmt w:val="decimal"/>
      <w:pStyle w:val="Heading7"/>
      <w:suff w:val="nothing"/>
      <w:lvlText w:val=""/>
      <w:lvlJc w:val="left"/>
      <w:pPr>
        <w:ind w:left="794" w:firstLine="0"/>
      </w:pPr>
      <w:rPr>
        <w:rFonts w:ascii="Calibri" w:hAnsi="Calibri" w:hint="default"/>
        <w:b w:val="0"/>
        <w:i w:val="0"/>
        <w:vanish w:val="0"/>
        <w:color w:val="404040"/>
        <w:sz w:val="22"/>
      </w:rPr>
    </w:lvl>
    <w:lvl w:ilvl="7">
      <w:start w:val="1"/>
      <w:numFmt w:val="decimal"/>
      <w:pStyle w:val="Heading8"/>
      <w:suff w:val="nothing"/>
      <w:lvlText w:val=""/>
      <w:lvlJc w:val="left"/>
      <w:pPr>
        <w:ind w:left="794" w:firstLine="0"/>
      </w:pPr>
      <w:rPr>
        <w:rFonts w:ascii="Calibri" w:hAnsi="Calibri" w:hint="default"/>
        <w:b/>
        <w:i w:val="0"/>
        <w:vanish w:val="0"/>
        <w:color w:val="404040"/>
        <w:sz w:val="22"/>
      </w:rPr>
    </w:lvl>
    <w:lvl w:ilvl="8">
      <w:start w:val="1"/>
      <w:numFmt w:val="decimal"/>
      <w:pStyle w:val="Heading9"/>
      <w:suff w:val="nothing"/>
      <w:lvlText w:val=""/>
      <w:lvlJc w:val="left"/>
      <w:pPr>
        <w:ind w:left="794" w:firstLine="0"/>
      </w:pPr>
      <w:rPr>
        <w:rFonts w:ascii="Calibri" w:hAnsi="Calibri" w:hint="default"/>
        <w:b/>
        <w:i w:val="0"/>
        <w:vanish w:val="0"/>
        <w:color w:val="404040"/>
        <w:sz w:val="22"/>
      </w:rPr>
    </w:lvl>
  </w:abstractNum>
  <w:abstractNum w:abstractNumId="5" w15:restartNumberingAfterBreak="0">
    <w:nsid w:val="171119F2"/>
    <w:multiLevelType w:val="hybridMultilevel"/>
    <w:tmpl w:val="2C9CA2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AEA430E"/>
    <w:multiLevelType w:val="hybridMultilevel"/>
    <w:tmpl w:val="B284E0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E240635"/>
    <w:multiLevelType w:val="hybridMultilevel"/>
    <w:tmpl w:val="BF2C828C"/>
    <w:lvl w:ilvl="0" w:tplc="0C090001">
      <w:start w:val="1"/>
      <w:numFmt w:val="bullet"/>
      <w:lvlText w:val=""/>
      <w:lvlJc w:val="left"/>
      <w:pPr>
        <w:ind w:left="1514" w:hanging="360"/>
      </w:pPr>
      <w:rPr>
        <w:rFonts w:ascii="Symbol" w:hAnsi="Symbol" w:hint="default"/>
      </w:rPr>
    </w:lvl>
    <w:lvl w:ilvl="1" w:tplc="0C090003" w:tentative="1">
      <w:start w:val="1"/>
      <w:numFmt w:val="bullet"/>
      <w:lvlText w:val="o"/>
      <w:lvlJc w:val="left"/>
      <w:pPr>
        <w:ind w:left="2234" w:hanging="360"/>
      </w:pPr>
      <w:rPr>
        <w:rFonts w:ascii="Courier New" w:hAnsi="Courier New" w:cs="Courier New" w:hint="default"/>
      </w:rPr>
    </w:lvl>
    <w:lvl w:ilvl="2" w:tplc="0C090005" w:tentative="1">
      <w:start w:val="1"/>
      <w:numFmt w:val="bullet"/>
      <w:lvlText w:val=""/>
      <w:lvlJc w:val="left"/>
      <w:pPr>
        <w:ind w:left="2954" w:hanging="360"/>
      </w:pPr>
      <w:rPr>
        <w:rFonts w:ascii="Wingdings" w:hAnsi="Wingdings" w:hint="default"/>
      </w:rPr>
    </w:lvl>
    <w:lvl w:ilvl="3" w:tplc="0C090001" w:tentative="1">
      <w:start w:val="1"/>
      <w:numFmt w:val="bullet"/>
      <w:lvlText w:val=""/>
      <w:lvlJc w:val="left"/>
      <w:pPr>
        <w:ind w:left="3674" w:hanging="360"/>
      </w:pPr>
      <w:rPr>
        <w:rFonts w:ascii="Symbol" w:hAnsi="Symbol" w:hint="default"/>
      </w:rPr>
    </w:lvl>
    <w:lvl w:ilvl="4" w:tplc="0C090003" w:tentative="1">
      <w:start w:val="1"/>
      <w:numFmt w:val="bullet"/>
      <w:lvlText w:val="o"/>
      <w:lvlJc w:val="left"/>
      <w:pPr>
        <w:ind w:left="4394" w:hanging="360"/>
      </w:pPr>
      <w:rPr>
        <w:rFonts w:ascii="Courier New" w:hAnsi="Courier New" w:cs="Courier New" w:hint="default"/>
      </w:rPr>
    </w:lvl>
    <w:lvl w:ilvl="5" w:tplc="0C090005" w:tentative="1">
      <w:start w:val="1"/>
      <w:numFmt w:val="bullet"/>
      <w:lvlText w:val=""/>
      <w:lvlJc w:val="left"/>
      <w:pPr>
        <w:ind w:left="5114" w:hanging="360"/>
      </w:pPr>
      <w:rPr>
        <w:rFonts w:ascii="Wingdings" w:hAnsi="Wingdings" w:hint="default"/>
      </w:rPr>
    </w:lvl>
    <w:lvl w:ilvl="6" w:tplc="0C090001" w:tentative="1">
      <w:start w:val="1"/>
      <w:numFmt w:val="bullet"/>
      <w:lvlText w:val=""/>
      <w:lvlJc w:val="left"/>
      <w:pPr>
        <w:ind w:left="5834" w:hanging="360"/>
      </w:pPr>
      <w:rPr>
        <w:rFonts w:ascii="Symbol" w:hAnsi="Symbol" w:hint="default"/>
      </w:rPr>
    </w:lvl>
    <w:lvl w:ilvl="7" w:tplc="0C090003" w:tentative="1">
      <w:start w:val="1"/>
      <w:numFmt w:val="bullet"/>
      <w:lvlText w:val="o"/>
      <w:lvlJc w:val="left"/>
      <w:pPr>
        <w:ind w:left="6554" w:hanging="360"/>
      </w:pPr>
      <w:rPr>
        <w:rFonts w:ascii="Courier New" w:hAnsi="Courier New" w:cs="Courier New" w:hint="default"/>
      </w:rPr>
    </w:lvl>
    <w:lvl w:ilvl="8" w:tplc="0C090005" w:tentative="1">
      <w:start w:val="1"/>
      <w:numFmt w:val="bullet"/>
      <w:lvlText w:val=""/>
      <w:lvlJc w:val="left"/>
      <w:pPr>
        <w:ind w:left="7274" w:hanging="360"/>
      </w:pPr>
      <w:rPr>
        <w:rFonts w:ascii="Wingdings" w:hAnsi="Wingdings" w:hint="default"/>
      </w:rPr>
    </w:lvl>
  </w:abstractNum>
  <w:abstractNum w:abstractNumId="8" w15:restartNumberingAfterBreak="0">
    <w:nsid w:val="1FCB7787"/>
    <w:multiLevelType w:val="multilevel"/>
    <w:tmpl w:val="EE5AABDA"/>
    <w:lvl w:ilvl="0">
      <w:start w:val="1"/>
      <w:numFmt w:val="decimal"/>
      <w:pStyle w:val="ListNumber"/>
      <w:lvlText w:val="%1."/>
      <w:lvlJc w:val="left"/>
      <w:pPr>
        <w:tabs>
          <w:tab w:val="num" w:pos="1077"/>
        </w:tabs>
        <w:ind w:left="1077" w:hanging="283"/>
      </w:pPr>
      <w:rPr>
        <w:rFonts w:ascii="Calibri" w:hAnsi="Calibri"/>
        <w:b w:val="0"/>
        <w:i w:val="0"/>
        <w:sz w:val="22"/>
      </w:rPr>
    </w:lvl>
    <w:lvl w:ilvl="1">
      <w:start w:val="1"/>
      <w:numFmt w:val="lowerLetter"/>
      <w:lvlText w:val="%2)"/>
      <w:lvlJc w:val="left"/>
      <w:pPr>
        <w:tabs>
          <w:tab w:val="num" w:pos="1361"/>
        </w:tabs>
        <w:ind w:left="1361" w:hanging="284"/>
      </w:pPr>
      <w:rPr>
        <w:rFonts w:ascii="Calibri" w:hAnsi="Calibri"/>
        <w:b w:val="0"/>
        <w:i w:val="0"/>
        <w:sz w:val="22"/>
      </w:rPr>
    </w:lvl>
    <w:lvl w:ilvl="2">
      <w:start w:val="1"/>
      <w:numFmt w:val="lowerRoman"/>
      <w:lvlText w:val="%3."/>
      <w:lvlJc w:val="left"/>
      <w:pPr>
        <w:tabs>
          <w:tab w:val="num" w:pos="1644"/>
        </w:tabs>
        <w:ind w:left="1644" w:hanging="283"/>
      </w:pPr>
      <w:rPr>
        <w:rFonts w:ascii="Calibri" w:hAnsi="Calibri"/>
        <w:b w:val="0"/>
        <w:i w:val="0"/>
        <w:sz w:val="22"/>
      </w:rPr>
    </w:lvl>
    <w:lvl w:ilvl="3">
      <w:start w:val="1"/>
      <w:numFmt w:val="decimal"/>
      <w:lvlText w:val="–"/>
      <w:lvlJc w:val="left"/>
      <w:pPr>
        <w:tabs>
          <w:tab w:val="num" w:pos="1928"/>
        </w:tabs>
        <w:ind w:left="1928" w:hanging="284"/>
      </w:pPr>
      <w:rPr>
        <w:rFonts w:ascii="Calibri" w:hAnsi="Calibri"/>
        <w:b w:val="0"/>
        <w:i w:val="0"/>
        <w:sz w:val="22"/>
      </w:rPr>
    </w:lvl>
    <w:lvl w:ilvl="4">
      <w:start w:val="1"/>
      <w:numFmt w:val="decimal"/>
      <w:lvlText w:val="–"/>
      <w:lvlJc w:val="left"/>
      <w:pPr>
        <w:tabs>
          <w:tab w:val="num" w:pos="2211"/>
        </w:tabs>
        <w:ind w:left="2211" w:hanging="283"/>
      </w:pPr>
      <w:rPr>
        <w:rFonts w:ascii="Calibri" w:hAnsi="Calibri"/>
        <w:b w:val="0"/>
        <w:i w:val="0"/>
        <w:sz w:val="22"/>
      </w:rPr>
    </w:lvl>
    <w:lvl w:ilvl="5">
      <w:start w:val="1"/>
      <w:numFmt w:val="decimal"/>
      <w:lvlText w:val="–"/>
      <w:lvlJc w:val="left"/>
      <w:pPr>
        <w:tabs>
          <w:tab w:val="num" w:pos="2495"/>
        </w:tabs>
        <w:ind w:left="2495" w:hanging="284"/>
      </w:pPr>
      <w:rPr>
        <w:rFonts w:ascii="Calibri" w:hAnsi="Calibri"/>
        <w:b w:val="0"/>
        <w:i w:val="0"/>
        <w:sz w:val="22"/>
      </w:rPr>
    </w:lvl>
    <w:lvl w:ilvl="6">
      <w:start w:val="1"/>
      <w:numFmt w:val="decimal"/>
      <w:lvlText w:val="–"/>
      <w:lvlJc w:val="left"/>
      <w:pPr>
        <w:tabs>
          <w:tab w:val="num" w:pos="2778"/>
        </w:tabs>
        <w:ind w:left="2778" w:hanging="283"/>
      </w:pPr>
      <w:rPr>
        <w:rFonts w:ascii="Calibri" w:hAnsi="Calibri"/>
        <w:b w:val="0"/>
        <w:i w:val="0"/>
        <w:sz w:val="22"/>
      </w:rPr>
    </w:lvl>
    <w:lvl w:ilvl="7">
      <w:start w:val="1"/>
      <w:numFmt w:val="decimal"/>
      <w:lvlText w:val="–"/>
      <w:lvlJc w:val="left"/>
      <w:pPr>
        <w:tabs>
          <w:tab w:val="num" w:pos="3062"/>
        </w:tabs>
        <w:ind w:left="3062" w:hanging="284"/>
      </w:pPr>
      <w:rPr>
        <w:rFonts w:ascii="Calibri" w:hAnsi="Calibri"/>
        <w:b w:val="0"/>
        <w:i w:val="0"/>
        <w:sz w:val="22"/>
      </w:rPr>
    </w:lvl>
    <w:lvl w:ilvl="8">
      <w:start w:val="1"/>
      <w:numFmt w:val="decimal"/>
      <w:lvlText w:val="–"/>
      <w:lvlJc w:val="left"/>
      <w:pPr>
        <w:tabs>
          <w:tab w:val="num" w:pos="3345"/>
        </w:tabs>
        <w:ind w:left="3345" w:hanging="283"/>
      </w:pPr>
      <w:rPr>
        <w:rFonts w:ascii="Calibri" w:hAnsi="Calibri"/>
        <w:b w:val="0"/>
        <w:i w:val="0"/>
        <w:sz w:val="22"/>
      </w:rPr>
    </w:lvl>
  </w:abstractNum>
  <w:abstractNum w:abstractNumId="9" w15:restartNumberingAfterBreak="0">
    <w:nsid w:val="23DC6721"/>
    <w:multiLevelType w:val="hybridMultilevel"/>
    <w:tmpl w:val="578049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75771CF"/>
    <w:multiLevelType w:val="hybridMultilevel"/>
    <w:tmpl w:val="BC5A7484"/>
    <w:lvl w:ilvl="0" w:tplc="6EB0B96A">
      <w:start w:val="1"/>
      <w:numFmt w:val="bullet"/>
      <w:lvlText w:val=""/>
      <w:lvlJc w:val="left"/>
      <w:pPr>
        <w:tabs>
          <w:tab w:val="num" w:pos="720"/>
        </w:tabs>
        <w:ind w:left="720" w:hanging="360"/>
      </w:pPr>
      <w:rPr>
        <w:rFonts w:ascii="Symbol" w:hAnsi="Symbol" w:hint="default"/>
      </w:rPr>
    </w:lvl>
    <w:lvl w:ilvl="1" w:tplc="94E0E5E8" w:tentative="1">
      <w:start w:val="1"/>
      <w:numFmt w:val="bullet"/>
      <w:lvlText w:val=""/>
      <w:lvlJc w:val="left"/>
      <w:pPr>
        <w:tabs>
          <w:tab w:val="num" w:pos="1440"/>
        </w:tabs>
        <w:ind w:left="1440" w:hanging="360"/>
      </w:pPr>
      <w:rPr>
        <w:rFonts w:ascii="Symbol" w:hAnsi="Symbol" w:hint="default"/>
      </w:rPr>
    </w:lvl>
    <w:lvl w:ilvl="2" w:tplc="98A46248" w:tentative="1">
      <w:start w:val="1"/>
      <w:numFmt w:val="bullet"/>
      <w:lvlText w:val=""/>
      <w:lvlJc w:val="left"/>
      <w:pPr>
        <w:tabs>
          <w:tab w:val="num" w:pos="2160"/>
        </w:tabs>
        <w:ind w:left="2160" w:hanging="360"/>
      </w:pPr>
      <w:rPr>
        <w:rFonts w:ascii="Symbol" w:hAnsi="Symbol" w:hint="default"/>
      </w:rPr>
    </w:lvl>
    <w:lvl w:ilvl="3" w:tplc="C23603B6" w:tentative="1">
      <w:start w:val="1"/>
      <w:numFmt w:val="bullet"/>
      <w:lvlText w:val=""/>
      <w:lvlJc w:val="left"/>
      <w:pPr>
        <w:tabs>
          <w:tab w:val="num" w:pos="2880"/>
        </w:tabs>
        <w:ind w:left="2880" w:hanging="360"/>
      </w:pPr>
      <w:rPr>
        <w:rFonts w:ascii="Symbol" w:hAnsi="Symbol" w:hint="default"/>
      </w:rPr>
    </w:lvl>
    <w:lvl w:ilvl="4" w:tplc="9E9671D0" w:tentative="1">
      <w:start w:val="1"/>
      <w:numFmt w:val="bullet"/>
      <w:lvlText w:val=""/>
      <w:lvlJc w:val="left"/>
      <w:pPr>
        <w:tabs>
          <w:tab w:val="num" w:pos="3600"/>
        </w:tabs>
        <w:ind w:left="3600" w:hanging="360"/>
      </w:pPr>
      <w:rPr>
        <w:rFonts w:ascii="Symbol" w:hAnsi="Symbol" w:hint="default"/>
      </w:rPr>
    </w:lvl>
    <w:lvl w:ilvl="5" w:tplc="9DA8D964" w:tentative="1">
      <w:start w:val="1"/>
      <w:numFmt w:val="bullet"/>
      <w:lvlText w:val=""/>
      <w:lvlJc w:val="left"/>
      <w:pPr>
        <w:tabs>
          <w:tab w:val="num" w:pos="4320"/>
        </w:tabs>
        <w:ind w:left="4320" w:hanging="360"/>
      </w:pPr>
      <w:rPr>
        <w:rFonts w:ascii="Symbol" w:hAnsi="Symbol" w:hint="default"/>
      </w:rPr>
    </w:lvl>
    <w:lvl w:ilvl="6" w:tplc="57748AF0" w:tentative="1">
      <w:start w:val="1"/>
      <w:numFmt w:val="bullet"/>
      <w:lvlText w:val=""/>
      <w:lvlJc w:val="left"/>
      <w:pPr>
        <w:tabs>
          <w:tab w:val="num" w:pos="5040"/>
        </w:tabs>
        <w:ind w:left="5040" w:hanging="360"/>
      </w:pPr>
      <w:rPr>
        <w:rFonts w:ascii="Symbol" w:hAnsi="Symbol" w:hint="default"/>
      </w:rPr>
    </w:lvl>
    <w:lvl w:ilvl="7" w:tplc="8A625358" w:tentative="1">
      <w:start w:val="1"/>
      <w:numFmt w:val="bullet"/>
      <w:lvlText w:val=""/>
      <w:lvlJc w:val="left"/>
      <w:pPr>
        <w:tabs>
          <w:tab w:val="num" w:pos="5760"/>
        </w:tabs>
        <w:ind w:left="5760" w:hanging="360"/>
      </w:pPr>
      <w:rPr>
        <w:rFonts w:ascii="Symbol" w:hAnsi="Symbol" w:hint="default"/>
      </w:rPr>
    </w:lvl>
    <w:lvl w:ilvl="8" w:tplc="E20A386E"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27785FCD"/>
    <w:multiLevelType w:val="multilevel"/>
    <w:tmpl w:val="0268CF42"/>
    <w:lvl w:ilvl="0">
      <w:start w:val="1"/>
      <w:numFmt w:val="decimal"/>
      <w:pStyle w:val="Attachment1"/>
      <w:lvlText w:val="Attachment %1."/>
      <w:lvlJc w:val="left"/>
      <w:pPr>
        <w:tabs>
          <w:tab w:val="num" w:pos="2268"/>
        </w:tabs>
        <w:ind w:left="2268" w:hanging="2268"/>
      </w:pPr>
      <w:rPr>
        <w:rFonts w:ascii="Calibri" w:hAnsi="Calibri" w:cs="Lucida Grande" w:hint="default"/>
        <w:b w:val="0"/>
        <w:i w:val="0"/>
        <w:color w:val="404040"/>
        <w:sz w:val="40"/>
      </w:rPr>
    </w:lvl>
    <w:lvl w:ilvl="1">
      <w:start w:val="1"/>
      <w:numFmt w:val="decimal"/>
      <w:lvlText w:val="%1.%2"/>
      <w:lvlJc w:val="left"/>
      <w:pPr>
        <w:tabs>
          <w:tab w:val="num" w:pos="794"/>
        </w:tabs>
        <w:ind w:left="794" w:hanging="794"/>
      </w:pPr>
      <w:rPr>
        <w:rFonts w:ascii="Arial" w:hAnsi="Arial" w:cs="Lucida Grande" w:hint="default"/>
        <w:b w:val="0"/>
        <w:i w:val="0"/>
        <w:color w:val="87746A"/>
        <w:sz w:val="24"/>
      </w:rPr>
    </w:lvl>
    <w:lvl w:ilvl="2">
      <w:start w:val="1"/>
      <w:numFmt w:val="decimal"/>
      <w:lvlText w:val="%1.%2.%3"/>
      <w:lvlJc w:val="left"/>
      <w:pPr>
        <w:tabs>
          <w:tab w:val="num" w:pos="794"/>
        </w:tabs>
        <w:ind w:left="794" w:hanging="794"/>
      </w:pPr>
      <w:rPr>
        <w:rFonts w:ascii="Arial" w:hAnsi="Arial" w:cs="Lucida Grande" w:hint="default"/>
        <w:b w:val="0"/>
        <w:i w:val="0"/>
        <w:color w:val="B20838"/>
        <w:sz w:val="22"/>
      </w:rPr>
    </w:lvl>
    <w:lvl w:ilvl="3">
      <w:start w:val="1"/>
      <w:numFmt w:val="decimal"/>
      <w:lvlText w:val="%1.%2.%3.%4"/>
      <w:lvlJc w:val="left"/>
      <w:pPr>
        <w:tabs>
          <w:tab w:val="num" w:pos="794"/>
        </w:tabs>
        <w:ind w:left="794" w:hanging="794"/>
      </w:pPr>
      <w:rPr>
        <w:rFonts w:ascii="Arial" w:hAnsi="Arial" w:cs="Lucida Grande" w:hint="default"/>
        <w:b/>
        <w:i w:val="0"/>
        <w:color w:val="093A80"/>
        <w:sz w:val="20"/>
      </w:rPr>
    </w:lvl>
    <w:lvl w:ilvl="4">
      <w:start w:val="1"/>
      <w:numFmt w:val="decimal"/>
      <w:lvlText w:val="%1.%2.%3.%4.%5"/>
      <w:lvlJc w:val="left"/>
      <w:pPr>
        <w:tabs>
          <w:tab w:val="num" w:pos="794"/>
        </w:tabs>
        <w:ind w:left="794" w:hanging="794"/>
      </w:pPr>
      <w:rPr>
        <w:rFonts w:ascii="Arial" w:hAnsi="Arial" w:cs="Lucida Grande" w:hint="default"/>
        <w:b w:val="0"/>
        <w:i w:val="0"/>
        <w:color w:val="093A80"/>
        <w:sz w:val="20"/>
      </w:rPr>
    </w:lvl>
    <w:lvl w:ilvl="5">
      <w:start w:val="1"/>
      <w:numFmt w:val="decimal"/>
      <w:lvlText w:val="%1.%2.%3.%4.%5.%6"/>
      <w:lvlJc w:val="left"/>
      <w:pPr>
        <w:tabs>
          <w:tab w:val="num" w:pos="794"/>
        </w:tabs>
        <w:ind w:left="794" w:hanging="794"/>
      </w:pPr>
      <w:rPr>
        <w:rFonts w:ascii="Arial" w:hAnsi="Arial" w:cs="Lucida Grande" w:hint="default"/>
        <w:b w:val="0"/>
        <w:i w:val="0"/>
        <w:color w:val="093A80"/>
        <w:sz w:val="20"/>
      </w:rPr>
    </w:lvl>
    <w:lvl w:ilvl="6">
      <w:start w:val="1"/>
      <w:numFmt w:val="decimal"/>
      <w:lvlText w:val="%1.%2.%3.%4.%5.%6.%7"/>
      <w:lvlJc w:val="left"/>
      <w:pPr>
        <w:tabs>
          <w:tab w:val="num" w:pos="794"/>
        </w:tabs>
        <w:ind w:left="794" w:hanging="794"/>
      </w:pPr>
      <w:rPr>
        <w:rFonts w:ascii="Arial" w:hAnsi="Arial" w:cs="Lucida Grande" w:hint="default"/>
        <w:b w:val="0"/>
        <w:i w:val="0"/>
        <w:color w:val="093A80"/>
        <w:sz w:val="20"/>
      </w:rPr>
    </w:lvl>
    <w:lvl w:ilvl="7">
      <w:start w:val="1"/>
      <w:numFmt w:val="decimal"/>
      <w:lvlText w:val="%1.%2.%3.%4.%5.%6.%7.%8"/>
      <w:lvlJc w:val="left"/>
      <w:pPr>
        <w:tabs>
          <w:tab w:val="num" w:pos="794"/>
        </w:tabs>
        <w:ind w:left="794" w:hanging="794"/>
      </w:pPr>
      <w:rPr>
        <w:rFonts w:ascii="Arial" w:hAnsi="Arial" w:cs="Lucida Grande" w:hint="default"/>
        <w:b w:val="0"/>
        <w:i w:val="0"/>
        <w:color w:val="093A80"/>
        <w:sz w:val="20"/>
      </w:rPr>
    </w:lvl>
    <w:lvl w:ilvl="8">
      <w:start w:val="1"/>
      <w:numFmt w:val="decimal"/>
      <w:lvlText w:val="%1.%2.%3.%4.%5.%6.%7.%8.%9"/>
      <w:lvlJc w:val="left"/>
      <w:pPr>
        <w:tabs>
          <w:tab w:val="num" w:pos="794"/>
        </w:tabs>
        <w:ind w:left="794" w:hanging="794"/>
      </w:pPr>
      <w:rPr>
        <w:rFonts w:ascii="Arial" w:hAnsi="Arial" w:cs="Lucida Grande" w:hint="default"/>
        <w:b w:val="0"/>
        <w:i w:val="0"/>
        <w:color w:val="093A80"/>
        <w:sz w:val="20"/>
      </w:rPr>
    </w:lvl>
  </w:abstractNum>
  <w:abstractNum w:abstractNumId="12" w15:restartNumberingAfterBreak="0">
    <w:nsid w:val="29387BED"/>
    <w:multiLevelType w:val="hybridMultilevel"/>
    <w:tmpl w:val="E7E24D32"/>
    <w:lvl w:ilvl="0" w:tplc="0C090001">
      <w:start w:val="1"/>
      <w:numFmt w:val="bullet"/>
      <w:lvlText w:val=""/>
      <w:lvlJc w:val="left"/>
      <w:pPr>
        <w:ind w:left="1514" w:hanging="360"/>
      </w:pPr>
      <w:rPr>
        <w:rFonts w:ascii="Symbol" w:hAnsi="Symbol" w:hint="default"/>
      </w:rPr>
    </w:lvl>
    <w:lvl w:ilvl="1" w:tplc="0C090003" w:tentative="1">
      <w:start w:val="1"/>
      <w:numFmt w:val="bullet"/>
      <w:lvlText w:val="o"/>
      <w:lvlJc w:val="left"/>
      <w:pPr>
        <w:ind w:left="2234" w:hanging="360"/>
      </w:pPr>
      <w:rPr>
        <w:rFonts w:ascii="Courier New" w:hAnsi="Courier New" w:cs="Courier New" w:hint="default"/>
      </w:rPr>
    </w:lvl>
    <w:lvl w:ilvl="2" w:tplc="0C090005" w:tentative="1">
      <w:start w:val="1"/>
      <w:numFmt w:val="bullet"/>
      <w:lvlText w:val=""/>
      <w:lvlJc w:val="left"/>
      <w:pPr>
        <w:ind w:left="2954" w:hanging="360"/>
      </w:pPr>
      <w:rPr>
        <w:rFonts w:ascii="Wingdings" w:hAnsi="Wingdings" w:hint="default"/>
      </w:rPr>
    </w:lvl>
    <w:lvl w:ilvl="3" w:tplc="0C090001" w:tentative="1">
      <w:start w:val="1"/>
      <w:numFmt w:val="bullet"/>
      <w:lvlText w:val=""/>
      <w:lvlJc w:val="left"/>
      <w:pPr>
        <w:ind w:left="3674" w:hanging="360"/>
      </w:pPr>
      <w:rPr>
        <w:rFonts w:ascii="Symbol" w:hAnsi="Symbol" w:hint="default"/>
      </w:rPr>
    </w:lvl>
    <w:lvl w:ilvl="4" w:tplc="0C090003" w:tentative="1">
      <w:start w:val="1"/>
      <w:numFmt w:val="bullet"/>
      <w:lvlText w:val="o"/>
      <w:lvlJc w:val="left"/>
      <w:pPr>
        <w:ind w:left="4394" w:hanging="360"/>
      </w:pPr>
      <w:rPr>
        <w:rFonts w:ascii="Courier New" w:hAnsi="Courier New" w:cs="Courier New" w:hint="default"/>
      </w:rPr>
    </w:lvl>
    <w:lvl w:ilvl="5" w:tplc="0C090005" w:tentative="1">
      <w:start w:val="1"/>
      <w:numFmt w:val="bullet"/>
      <w:lvlText w:val=""/>
      <w:lvlJc w:val="left"/>
      <w:pPr>
        <w:ind w:left="5114" w:hanging="360"/>
      </w:pPr>
      <w:rPr>
        <w:rFonts w:ascii="Wingdings" w:hAnsi="Wingdings" w:hint="default"/>
      </w:rPr>
    </w:lvl>
    <w:lvl w:ilvl="6" w:tplc="0C090001" w:tentative="1">
      <w:start w:val="1"/>
      <w:numFmt w:val="bullet"/>
      <w:lvlText w:val=""/>
      <w:lvlJc w:val="left"/>
      <w:pPr>
        <w:ind w:left="5834" w:hanging="360"/>
      </w:pPr>
      <w:rPr>
        <w:rFonts w:ascii="Symbol" w:hAnsi="Symbol" w:hint="default"/>
      </w:rPr>
    </w:lvl>
    <w:lvl w:ilvl="7" w:tplc="0C090003" w:tentative="1">
      <w:start w:val="1"/>
      <w:numFmt w:val="bullet"/>
      <w:lvlText w:val="o"/>
      <w:lvlJc w:val="left"/>
      <w:pPr>
        <w:ind w:left="6554" w:hanging="360"/>
      </w:pPr>
      <w:rPr>
        <w:rFonts w:ascii="Courier New" w:hAnsi="Courier New" w:cs="Courier New" w:hint="default"/>
      </w:rPr>
    </w:lvl>
    <w:lvl w:ilvl="8" w:tplc="0C090005" w:tentative="1">
      <w:start w:val="1"/>
      <w:numFmt w:val="bullet"/>
      <w:lvlText w:val=""/>
      <w:lvlJc w:val="left"/>
      <w:pPr>
        <w:ind w:left="7274" w:hanging="360"/>
      </w:pPr>
      <w:rPr>
        <w:rFonts w:ascii="Wingdings" w:hAnsi="Wingdings" w:hint="default"/>
      </w:rPr>
    </w:lvl>
  </w:abstractNum>
  <w:abstractNum w:abstractNumId="13" w15:restartNumberingAfterBreak="0">
    <w:nsid w:val="2CF024CB"/>
    <w:multiLevelType w:val="hybridMultilevel"/>
    <w:tmpl w:val="7DD01E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E4B26FE"/>
    <w:multiLevelType w:val="hybridMultilevel"/>
    <w:tmpl w:val="23A611EC"/>
    <w:lvl w:ilvl="0" w:tplc="0C090001">
      <w:start w:val="1"/>
      <w:numFmt w:val="bullet"/>
      <w:lvlText w:val=""/>
      <w:lvlJc w:val="left"/>
      <w:pPr>
        <w:ind w:left="1514" w:hanging="360"/>
      </w:pPr>
      <w:rPr>
        <w:rFonts w:ascii="Symbol" w:hAnsi="Symbol" w:hint="default"/>
      </w:rPr>
    </w:lvl>
    <w:lvl w:ilvl="1" w:tplc="0C090003" w:tentative="1">
      <w:start w:val="1"/>
      <w:numFmt w:val="bullet"/>
      <w:lvlText w:val="o"/>
      <w:lvlJc w:val="left"/>
      <w:pPr>
        <w:ind w:left="2234" w:hanging="360"/>
      </w:pPr>
      <w:rPr>
        <w:rFonts w:ascii="Courier New" w:hAnsi="Courier New" w:cs="Courier New" w:hint="default"/>
      </w:rPr>
    </w:lvl>
    <w:lvl w:ilvl="2" w:tplc="0C090005" w:tentative="1">
      <w:start w:val="1"/>
      <w:numFmt w:val="bullet"/>
      <w:lvlText w:val=""/>
      <w:lvlJc w:val="left"/>
      <w:pPr>
        <w:ind w:left="2954" w:hanging="360"/>
      </w:pPr>
      <w:rPr>
        <w:rFonts w:ascii="Wingdings" w:hAnsi="Wingdings" w:hint="default"/>
      </w:rPr>
    </w:lvl>
    <w:lvl w:ilvl="3" w:tplc="0C090001" w:tentative="1">
      <w:start w:val="1"/>
      <w:numFmt w:val="bullet"/>
      <w:lvlText w:val=""/>
      <w:lvlJc w:val="left"/>
      <w:pPr>
        <w:ind w:left="3674" w:hanging="360"/>
      </w:pPr>
      <w:rPr>
        <w:rFonts w:ascii="Symbol" w:hAnsi="Symbol" w:hint="default"/>
      </w:rPr>
    </w:lvl>
    <w:lvl w:ilvl="4" w:tplc="0C090003" w:tentative="1">
      <w:start w:val="1"/>
      <w:numFmt w:val="bullet"/>
      <w:lvlText w:val="o"/>
      <w:lvlJc w:val="left"/>
      <w:pPr>
        <w:ind w:left="4394" w:hanging="360"/>
      </w:pPr>
      <w:rPr>
        <w:rFonts w:ascii="Courier New" w:hAnsi="Courier New" w:cs="Courier New" w:hint="default"/>
      </w:rPr>
    </w:lvl>
    <w:lvl w:ilvl="5" w:tplc="0C090005" w:tentative="1">
      <w:start w:val="1"/>
      <w:numFmt w:val="bullet"/>
      <w:lvlText w:val=""/>
      <w:lvlJc w:val="left"/>
      <w:pPr>
        <w:ind w:left="5114" w:hanging="360"/>
      </w:pPr>
      <w:rPr>
        <w:rFonts w:ascii="Wingdings" w:hAnsi="Wingdings" w:hint="default"/>
      </w:rPr>
    </w:lvl>
    <w:lvl w:ilvl="6" w:tplc="0C090001" w:tentative="1">
      <w:start w:val="1"/>
      <w:numFmt w:val="bullet"/>
      <w:lvlText w:val=""/>
      <w:lvlJc w:val="left"/>
      <w:pPr>
        <w:ind w:left="5834" w:hanging="360"/>
      </w:pPr>
      <w:rPr>
        <w:rFonts w:ascii="Symbol" w:hAnsi="Symbol" w:hint="default"/>
      </w:rPr>
    </w:lvl>
    <w:lvl w:ilvl="7" w:tplc="0C090003" w:tentative="1">
      <w:start w:val="1"/>
      <w:numFmt w:val="bullet"/>
      <w:lvlText w:val="o"/>
      <w:lvlJc w:val="left"/>
      <w:pPr>
        <w:ind w:left="6554" w:hanging="360"/>
      </w:pPr>
      <w:rPr>
        <w:rFonts w:ascii="Courier New" w:hAnsi="Courier New" w:cs="Courier New" w:hint="default"/>
      </w:rPr>
    </w:lvl>
    <w:lvl w:ilvl="8" w:tplc="0C090005" w:tentative="1">
      <w:start w:val="1"/>
      <w:numFmt w:val="bullet"/>
      <w:lvlText w:val=""/>
      <w:lvlJc w:val="left"/>
      <w:pPr>
        <w:ind w:left="7274" w:hanging="360"/>
      </w:pPr>
      <w:rPr>
        <w:rFonts w:ascii="Wingdings" w:hAnsi="Wingdings" w:hint="default"/>
      </w:rPr>
    </w:lvl>
  </w:abstractNum>
  <w:abstractNum w:abstractNumId="15" w15:restartNumberingAfterBreak="0">
    <w:nsid w:val="30753E52"/>
    <w:multiLevelType w:val="hybridMultilevel"/>
    <w:tmpl w:val="3B185B56"/>
    <w:lvl w:ilvl="0" w:tplc="04090001">
      <w:start w:val="1"/>
      <w:numFmt w:val="bullet"/>
      <w:lvlText w:val=""/>
      <w:lvlJc w:val="left"/>
      <w:pPr>
        <w:ind w:left="1514" w:hanging="360"/>
      </w:pPr>
      <w:rPr>
        <w:rFonts w:ascii="Symbol" w:hAnsi="Symbol" w:hint="default"/>
      </w:rPr>
    </w:lvl>
    <w:lvl w:ilvl="1" w:tplc="04090003" w:tentative="1">
      <w:start w:val="1"/>
      <w:numFmt w:val="bullet"/>
      <w:lvlText w:val="o"/>
      <w:lvlJc w:val="left"/>
      <w:pPr>
        <w:ind w:left="2234" w:hanging="360"/>
      </w:pPr>
      <w:rPr>
        <w:rFonts w:ascii="Courier New" w:hAnsi="Courier New" w:hint="default"/>
      </w:rPr>
    </w:lvl>
    <w:lvl w:ilvl="2" w:tplc="04090005" w:tentative="1">
      <w:start w:val="1"/>
      <w:numFmt w:val="bullet"/>
      <w:lvlText w:val=""/>
      <w:lvlJc w:val="left"/>
      <w:pPr>
        <w:ind w:left="2954" w:hanging="360"/>
      </w:pPr>
      <w:rPr>
        <w:rFonts w:ascii="Wingdings" w:hAnsi="Wingdings" w:hint="default"/>
      </w:rPr>
    </w:lvl>
    <w:lvl w:ilvl="3" w:tplc="04090001" w:tentative="1">
      <w:start w:val="1"/>
      <w:numFmt w:val="bullet"/>
      <w:lvlText w:val=""/>
      <w:lvlJc w:val="left"/>
      <w:pPr>
        <w:ind w:left="3674" w:hanging="360"/>
      </w:pPr>
      <w:rPr>
        <w:rFonts w:ascii="Symbol" w:hAnsi="Symbol" w:hint="default"/>
      </w:rPr>
    </w:lvl>
    <w:lvl w:ilvl="4" w:tplc="04090003" w:tentative="1">
      <w:start w:val="1"/>
      <w:numFmt w:val="bullet"/>
      <w:lvlText w:val="o"/>
      <w:lvlJc w:val="left"/>
      <w:pPr>
        <w:ind w:left="4394" w:hanging="360"/>
      </w:pPr>
      <w:rPr>
        <w:rFonts w:ascii="Courier New" w:hAnsi="Courier New" w:hint="default"/>
      </w:rPr>
    </w:lvl>
    <w:lvl w:ilvl="5" w:tplc="04090005" w:tentative="1">
      <w:start w:val="1"/>
      <w:numFmt w:val="bullet"/>
      <w:lvlText w:val=""/>
      <w:lvlJc w:val="left"/>
      <w:pPr>
        <w:ind w:left="5114" w:hanging="360"/>
      </w:pPr>
      <w:rPr>
        <w:rFonts w:ascii="Wingdings" w:hAnsi="Wingdings" w:hint="default"/>
      </w:rPr>
    </w:lvl>
    <w:lvl w:ilvl="6" w:tplc="04090001" w:tentative="1">
      <w:start w:val="1"/>
      <w:numFmt w:val="bullet"/>
      <w:lvlText w:val=""/>
      <w:lvlJc w:val="left"/>
      <w:pPr>
        <w:ind w:left="5834" w:hanging="360"/>
      </w:pPr>
      <w:rPr>
        <w:rFonts w:ascii="Symbol" w:hAnsi="Symbol" w:hint="default"/>
      </w:rPr>
    </w:lvl>
    <w:lvl w:ilvl="7" w:tplc="04090003" w:tentative="1">
      <w:start w:val="1"/>
      <w:numFmt w:val="bullet"/>
      <w:lvlText w:val="o"/>
      <w:lvlJc w:val="left"/>
      <w:pPr>
        <w:ind w:left="6554" w:hanging="360"/>
      </w:pPr>
      <w:rPr>
        <w:rFonts w:ascii="Courier New" w:hAnsi="Courier New" w:hint="default"/>
      </w:rPr>
    </w:lvl>
    <w:lvl w:ilvl="8" w:tplc="04090005" w:tentative="1">
      <w:start w:val="1"/>
      <w:numFmt w:val="bullet"/>
      <w:lvlText w:val=""/>
      <w:lvlJc w:val="left"/>
      <w:pPr>
        <w:ind w:left="7274" w:hanging="360"/>
      </w:pPr>
      <w:rPr>
        <w:rFonts w:ascii="Wingdings" w:hAnsi="Wingdings" w:hint="default"/>
      </w:rPr>
    </w:lvl>
  </w:abstractNum>
  <w:abstractNum w:abstractNumId="16" w15:restartNumberingAfterBreak="0">
    <w:nsid w:val="319C6E8A"/>
    <w:multiLevelType w:val="hybridMultilevel"/>
    <w:tmpl w:val="FD3C6B64"/>
    <w:lvl w:ilvl="0" w:tplc="0C090001">
      <w:start w:val="1"/>
      <w:numFmt w:val="bullet"/>
      <w:lvlText w:val=""/>
      <w:lvlJc w:val="left"/>
      <w:pPr>
        <w:ind w:left="1514" w:hanging="360"/>
      </w:pPr>
      <w:rPr>
        <w:rFonts w:ascii="Symbol" w:hAnsi="Symbol" w:hint="default"/>
      </w:rPr>
    </w:lvl>
    <w:lvl w:ilvl="1" w:tplc="0C090003" w:tentative="1">
      <w:start w:val="1"/>
      <w:numFmt w:val="bullet"/>
      <w:lvlText w:val="o"/>
      <w:lvlJc w:val="left"/>
      <w:pPr>
        <w:ind w:left="2234" w:hanging="360"/>
      </w:pPr>
      <w:rPr>
        <w:rFonts w:ascii="Courier New" w:hAnsi="Courier New" w:cs="Courier New" w:hint="default"/>
      </w:rPr>
    </w:lvl>
    <w:lvl w:ilvl="2" w:tplc="0C090005" w:tentative="1">
      <w:start w:val="1"/>
      <w:numFmt w:val="bullet"/>
      <w:lvlText w:val=""/>
      <w:lvlJc w:val="left"/>
      <w:pPr>
        <w:ind w:left="2954" w:hanging="360"/>
      </w:pPr>
      <w:rPr>
        <w:rFonts w:ascii="Wingdings" w:hAnsi="Wingdings" w:hint="default"/>
      </w:rPr>
    </w:lvl>
    <w:lvl w:ilvl="3" w:tplc="0C090001" w:tentative="1">
      <w:start w:val="1"/>
      <w:numFmt w:val="bullet"/>
      <w:lvlText w:val=""/>
      <w:lvlJc w:val="left"/>
      <w:pPr>
        <w:ind w:left="3674" w:hanging="360"/>
      </w:pPr>
      <w:rPr>
        <w:rFonts w:ascii="Symbol" w:hAnsi="Symbol" w:hint="default"/>
      </w:rPr>
    </w:lvl>
    <w:lvl w:ilvl="4" w:tplc="0C090003" w:tentative="1">
      <w:start w:val="1"/>
      <w:numFmt w:val="bullet"/>
      <w:lvlText w:val="o"/>
      <w:lvlJc w:val="left"/>
      <w:pPr>
        <w:ind w:left="4394" w:hanging="360"/>
      </w:pPr>
      <w:rPr>
        <w:rFonts w:ascii="Courier New" w:hAnsi="Courier New" w:cs="Courier New" w:hint="default"/>
      </w:rPr>
    </w:lvl>
    <w:lvl w:ilvl="5" w:tplc="0C090005" w:tentative="1">
      <w:start w:val="1"/>
      <w:numFmt w:val="bullet"/>
      <w:lvlText w:val=""/>
      <w:lvlJc w:val="left"/>
      <w:pPr>
        <w:ind w:left="5114" w:hanging="360"/>
      </w:pPr>
      <w:rPr>
        <w:rFonts w:ascii="Wingdings" w:hAnsi="Wingdings" w:hint="default"/>
      </w:rPr>
    </w:lvl>
    <w:lvl w:ilvl="6" w:tplc="0C090001" w:tentative="1">
      <w:start w:val="1"/>
      <w:numFmt w:val="bullet"/>
      <w:lvlText w:val=""/>
      <w:lvlJc w:val="left"/>
      <w:pPr>
        <w:ind w:left="5834" w:hanging="360"/>
      </w:pPr>
      <w:rPr>
        <w:rFonts w:ascii="Symbol" w:hAnsi="Symbol" w:hint="default"/>
      </w:rPr>
    </w:lvl>
    <w:lvl w:ilvl="7" w:tplc="0C090003" w:tentative="1">
      <w:start w:val="1"/>
      <w:numFmt w:val="bullet"/>
      <w:lvlText w:val="o"/>
      <w:lvlJc w:val="left"/>
      <w:pPr>
        <w:ind w:left="6554" w:hanging="360"/>
      </w:pPr>
      <w:rPr>
        <w:rFonts w:ascii="Courier New" w:hAnsi="Courier New" w:cs="Courier New" w:hint="default"/>
      </w:rPr>
    </w:lvl>
    <w:lvl w:ilvl="8" w:tplc="0C090005" w:tentative="1">
      <w:start w:val="1"/>
      <w:numFmt w:val="bullet"/>
      <w:lvlText w:val=""/>
      <w:lvlJc w:val="left"/>
      <w:pPr>
        <w:ind w:left="7274" w:hanging="360"/>
      </w:pPr>
      <w:rPr>
        <w:rFonts w:ascii="Wingdings" w:hAnsi="Wingdings" w:hint="default"/>
      </w:rPr>
    </w:lvl>
  </w:abstractNum>
  <w:abstractNum w:abstractNumId="17" w15:restartNumberingAfterBreak="0">
    <w:nsid w:val="32D70CCF"/>
    <w:multiLevelType w:val="hybridMultilevel"/>
    <w:tmpl w:val="C3D8E09A"/>
    <w:lvl w:ilvl="0" w:tplc="FDFEA42E">
      <w:start w:val="1"/>
      <w:numFmt w:val="decimal"/>
      <w:pStyle w:val="DHHSNumberText"/>
      <w:lvlText w:val="%1."/>
      <w:lvlJc w:val="left"/>
      <w:pPr>
        <w:ind w:left="397" w:hanging="397"/>
      </w:pPr>
      <w:rPr>
        <w:rFonts w:cs="Times New Roman"/>
        <w:b w:val="0"/>
        <w:bCs w:val="0"/>
        <w:i w:val="0"/>
        <w:iCs w:val="0"/>
        <w:caps w:val="0"/>
        <w:smallCaps w:val="0"/>
        <w:strike w:val="0"/>
        <w:dstrike w:val="0"/>
        <w:vanish w:val="0"/>
        <w:color w:val="000000"/>
        <w:spacing w:val="0"/>
        <w:kern w:val="0"/>
        <w:position w:val="0"/>
        <w:u w:val="none"/>
        <w:effect w:val="none"/>
        <w:vertAlign w:val="baseline"/>
      </w:rPr>
    </w:lvl>
    <w:lvl w:ilvl="1" w:tplc="0C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15:restartNumberingAfterBreak="0">
    <w:nsid w:val="33EE6BAB"/>
    <w:multiLevelType w:val="hybridMultilevel"/>
    <w:tmpl w:val="AED82620"/>
    <w:lvl w:ilvl="0" w:tplc="0C090001">
      <w:start w:val="1"/>
      <w:numFmt w:val="bullet"/>
      <w:lvlText w:val=""/>
      <w:lvlJc w:val="left"/>
      <w:pPr>
        <w:ind w:left="1514" w:hanging="360"/>
      </w:pPr>
      <w:rPr>
        <w:rFonts w:ascii="Symbol" w:hAnsi="Symbol" w:hint="default"/>
      </w:rPr>
    </w:lvl>
    <w:lvl w:ilvl="1" w:tplc="0C090003" w:tentative="1">
      <w:start w:val="1"/>
      <w:numFmt w:val="bullet"/>
      <w:lvlText w:val="o"/>
      <w:lvlJc w:val="left"/>
      <w:pPr>
        <w:ind w:left="2234" w:hanging="360"/>
      </w:pPr>
      <w:rPr>
        <w:rFonts w:ascii="Courier New" w:hAnsi="Courier New" w:cs="Courier New" w:hint="default"/>
      </w:rPr>
    </w:lvl>
    <w:lvl w:ilvl="2" w:tplc="0C090005" w:tentative="1">
      <w:start w:val="1"/>
      <w:numFmt w:val="bullet"/>
      <w:lvlText w:val=""/>
      <w:lvlJc w:val="left"/>
      <w:pPr>
        <w:ind w:left="2954" w:hanging="360"/>
      </w:pPr>
      <w:rPr>
        <w:rFonts w:ascii="Wingdings" w:hAnsi="Wingdings" w:hint="default"/>
      </w:rPr>
    </w:lvl>
    <w:lvl w:ilvl="3" w:tplc="0C090001" w:tentative="1">
      <w:start w:val="1"/>
      <w:numFmt w:val="bullet"/>
      <w:lvlText w:val=""/>
      <w:lvlJc w:val="left"/>
      <w:pPr>
        <w:ind w:left="3674" w:hanging="360"/>
      </w:pPr>
      <w:rPr>
        <w:rFonts w:ascii="Symbol" w:hAnsi="Symbol" w:hint="default"/>
      </w:rPr>
    </w:lvl>
    <w:lvl w:ilvl="4" w:tplc="0C090003" w:tentative="1">
      <w:start w:val="1"/>
      <w:numFmt w:val="bullet"/>
      <w:lvlText w:val="o"/>
      <w:lvlJc w:val="left"/>
      <w:pPr>
        <w:ind w:left="4394" w:hanging="360"/>
      </w:pPr>
      <w:rPr>
        <w:rFonts w:ascii="Courier New" w:hAnsi="Courier New" w:cs="Courier New" w:hint="default"/>
      </w:rPr>
    </w:lvl>
    <w:lvl w:ilvl="5" w:tplc="0C090005" w:tentative="1">
      <w:start w:val="1"/>
      <w:numFmt w:val="bullet"/>
      <w:lvlText w:val=""/>
      <w:lvlJc w:val="left"/>
      <w:pPr>
        <w:ind w:left="5114" w:hanging="360"/>
      </w:pPr>
      <w:rPr>
        <w:rFonts w:ascii="Wingdings" w:hAnsi="Wingdings" w:hint="default"/>
      </w:rPr>
    </w:lvl>
    <w:lvl w:ilvl="6" w:tplc="0C090001" w:tentative="1">
      <w:start w:val="1"/>
      <w:numFmt w:val="bullet"/>
      <w:lvlText w:val=""/>
      <w:lvlJc w:val="left"/>
      <w:pPr>
        <w:ind w:left="5834" w:hanging="360"/>
      </w:pPr>
      <w:rPr>
        <w:rFonts w:ascii="Symbol" w:hAnsi="Symbol" w:hint="default"/>
      </w:rPr>
    </w:lvl>
    <w:lvl w:ilvl="7" w:tplc="0C090003" w:tentative="1">
      <w:start w:val="1"/>
      <w:numFmt w:val="bullet"/>
      <w:lvlText w:val="o"/>
      <w:lvlJc w:val="left"/>
      <w:pPr>
        <w:ind w:left="6554" w:hanging="360"/>
      </w:pPr>
      <w:rPr>
        <w:rFonts w:ascii="Courier New" w:hAnsi="Courier New" w:cs="Courier New" w:hint="default"/>
      </w:rPr>
    </w:lvl>
    <w:lvl w:ilvl="8" w:tplc="0C090005" w:tentative="1">
      <w:start w:val="1"/>
      <w:numFmt w:val="bullet"/>
      <w:lvlText w:val=""/>
      <w:lvlJc w:val="left"/>
      <w:pPr>
        <w:ind w:left="7274" w:hanging="360"/>
      </w:pPr>
      <w:rPr>
        <w:rFonts w:ascii="Wingdings" w:hAnsi="Wingdings" w:hint="default"/>
      </w:rPr>
    </w:lvl>
  </w:abstractNum>
  <w:abstractNum w:abstractNumId="19" w15:restartNumberingAfterBreak="0">
    <w:nsid w:val="38F83893"/>
    <w:multiLevelType w:val="hybridMultilevel"/>
    <w:tmpl w:val="46C8BFCE"/>
    <w:lvl w:ilvl="0" w:tplc="0C090001">
      <w:start w:val="1"/>
      <w:numFmt w:val="bullet"/>
      <w:lvlText w:val=""/>
      <w:lvlJc w:val="left"/>
      <w:pPr>
        <w:ind w:left="1514" w:hanging="360"/>
      </w:pPr>
      <w:rPr>
        <w:rFonts w:ascii="Symbol" w:hAnsi="Symbol" w:hint="default"/>
      </w:rPr>
    </w:lvl>
    <w:lvl w:ilvl="1" w:tplc="0C090003" w:tentative="1">
      <w:start w:val="1"/>
      <w:numFmt w:val="bullet"/>
      <w:lvlText w:val="o"/>
      <w:lvlJc w:val="left"/>
      <w:pPr>
        <w:ind w:left="2234" w:hanging="360"/>
      </w:pPr>
      <w:rPr>
        <w:rFonts w:ascii="Courier New" w:hAnsi="Courier New" w:cs="Courier New" w:hint="default"/>
      </w:rPr>
    </w:lvl>
    <w:lvl w:ilvl="2" w:tplc="0C090005" w:tentative="1">
      <w:start w:val="1"/>
      <w:numFmt w:val="bullet"/>
      <w:lvlText w:val=""/>
      <w:lvlJc w:val="left"/>
      <w:pPr>
        <w:ind w:left="2954" w:hanging="360"/>
      </w:pPr>
      <w:rPr>
        <w:rFonts w:ascii="Wingdings" w:hAnsi="Wingdings" w:hint="default"/>
      </w:rPr>
    </w:lvl>
    <w:lvl w:ilvl="3" w:tplc="0C090001" w:tentative="1">
      <w:start w:val="1"/>
      <w:numFmt w:val="bullet"/>
      <w:lvlText w:val=""/>
      <w:lvlJc w:val="left"/>
      <w:pPr>
        <w:ind w:left="3674" w:hanging="360"/>
      </w:pPr>
      <w:rPr>
        <w:rFonts w:ascii="Symbol" w:hAnsi="Symbol" w:hint="default"/>
      </w:rPr>
    </w:lvl>
    <w:lvl w:ilvl="4" w:tplc="0C090003" w:tentative="1">
      <w:start w:val="1"/>
      <w:numFmt w:val="bullet"/>
      <w:lvlText w:val="o"/>
      <w:lvlJc w:val="left"/>
      <w:pPr>
        <w:ind w:left="4394" w:hanging="360"/>
      </w:pPr>
      <w:rPr>
        <w:rFonts w:ascii="Courier New" w:hAnsi="Courier New" w:cs="Courier New" w:hint="default"/>
      </w:rPr>
    </w:lvl>
    <w:lvl w:ilvl="5" w:tplc="0C090005" w:tentative="1">
      <w:start w:val="1"/>
      <w:numFmt w:val="bullet"/>
      <w:lvlText w:val=""/>
      <w:lvlJc w:val="left"/>
      <w:pPr>
        <w:ind w:left="5114" w:hanging="360"/>
      </w:pPr>
      <w:rPr>
        <w:rFonts w:ascii="Wingdings" w:hAnsi="Wingdings" w:hint="default"/>
      </w:rPr>
    </w:lvl>
    <w:lvl w:ilvl="6" w:tplc="0C090001" w:tentative="1">
      <w:start w:val="1"/>
      <w:numFmt w:val="bullet"/>
      <w:lvlText w:val=""/>
      <w:lvlJc w:val="left"/>
      <w:pPr>
        <w:ind w:left="5834" w:hanging="360"/>
      </w:pPr>
      <w:rPr>
        <w:rFonts w:ascii="Symbol" w:hAnsi="Symbol" w:hint="default"/>
      </w:rPr>
    </w:lvl>
    <w:lvl w:ilvl="7" w:tplc="0C090003" w:tentative="1">
      <w:start w:val="1"/>
      <w:numFmt w:val="bullet"/>
      <w:lvlText w:val="o"/>
      <w:lvlJc w:val="left"/>
      <w:pPr>
        <w:ind w:left="6554" w:hanging="360"/>
      </w:pPr>
      <w:rPr>
        <w:rFonts w:ascii="Courier New" w:hAnsi="Courier New" w:cs="Courier New" w:hint="default"/>
      </w:rPr>
    </w:lvl>
    <w:lvl w:ilvl="8" w:tplc="0C090005" w:tentative="1">
      <w:start w:val="1"/>
      <w:numFmt w:val="bullet"/>
      <w:lvlText w:val=""/>
      <w:lvlJc w:val="left"/>
      <w:pPr>
        <w:ind w:left="7274" w:hanging="360"/>
      </w:pPr>
      <w:rPr>
        <w:rFonts w:ascii="Wingdings" w:hAnsi="Wingdings" w:hint="default"/>
      </w:rPr>
    </w:lvl>
  </w:abstractNum>
  <w:abstractNum w:abstractNumId="20" w15:restartNumberingAfterBreak="0">
    <w:nsid w:val="3A0F1F3B"/>
    <w:multiLevelType w:val="hybridMultilevel"/>
    <w:tmpl w:val="A6D4AA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FB007E0"/>
    <w:multiLevelType w:val="hybridMultilevel"/>
    <w:tmpl w:val="82FEBEA8"/>
    <w:lvl w:ilvl="0" w:tplc="0C090001">
      <w:start w:val="1"/>
      <w:numFmt w:val="bullet"/>
      <w:lvlText w:val=""/>
      <w:lvlJc w:val="left"/>
      <w:pPr>
        <w:ind w:left="1514" w:hanging="360"/>
      </w:pPr>
      <w:rPr>
        <w:rFonts w:ascii="Symbol" w:hAnsi="Symbol" w:hint="default"/>
      </w:rPr>
    </w:lvl>
    <w:lvl w:ilvl="1" w:tplc="0C090003" w:tentative="1">
      <w:start w:val="1"/>
      <w:numFmt w:val="bullet"/>
      <w:lvlText w:val="o"/>
      <w:lvlJc w:val="left"/>
      <w:pPr>
        <w:ind w:left="2234" w:hanging="360"/>
      </w:pPr>
      <w:rPr>
        <w:rFonts w:ascii="Courier New" w:hAnsi="Courier New" w:cs="Courier New" w:hint="default"/>
      </w:rPr>
    </w:lvl>
    <w:lvl w:ilvl="2" w:tplc="0C090005" w:tentative="1">
      <w:start w:val="1"/>
      <w:numFmt w:val="bullet"/>
      <w:lvlText w:val=""/>
      <w:lvlJc w:val="left"/>
      <w:pPr>
        <w:ind w:left="2954" w:hanging="360"/>
      </w:pPr>
      <w:rPr>
        <w:rFonts w:ascii="Wingdings" w:hAnsi="Wingdings" w:hint="default"/>
      </w:rPr>
    </w:lvl>
    <w:lvl w:ilvl="3" w:tplc="0C090001" w:tentative="1">
      <w:start w:val="1"/>
      <w:numFmt w:val="bullet"/>
      <w:lvlText w:val=""/>
      <w:lvlJc w:val="left"/>
      <w:pPr>
        <w:ind w:left="3674" w:hanging="360"/>
      </w:pPr>
      <w:rPr>
        <w:rFonts w:ascii="Symbol" w:hAnsi="Symbol" w:hint="default"/>
      </w:rPr>
    </w:lvl>
    <w:lvl w:ilvl="4" w:tplc="0C090003" w:tentative="1">
      <w:start w:val="1"/>
      <w:numFmt w:val="bullet"/>
      <w:lvlText w:val="o"/>
      <w:lvlJc w:val="left"/>
      <w:pPr>
        <w:ind w:left="4394" w:hanging="360"/>
      </w:pPr>
      <w:rPr>
        <w:rFonts w:ascii="Courier New" w:hAnsi="Courier New" w:cs="Courier New" w:hint="default"/>
      </w:rPr>
    </w:lvl>
    <w:lvl w:ilvl="5" w:tplc="0C090005" w:tentative="1">
      <w:start w:val="1"/>
      <w:numFmt w:val="bullet"/>
      <w:lvlText w:val=""/>
      <w:lvlJc w:val="left"/>
      <w:pPr>
        <w:ind w:left="5114" w:hanging="360"/>
      </w:pPr>
      <w:rPr>
        <w:rFonts w:ascii="Wingdings" w:hAnsi="Wingdings" w:hint="default"/>
      </w:rPr>
    </w:lvl>
    <w:lvl w:ilvl="6" w:tplc="0C090001" w:tentative="1">
      <w:start w:val="1"/>
      <w:numFmt w:val="bullet"/>
      <w:lvlText w:val=""/>
      <w:lvlJc w:val="left"/>
      <w:pPr>
        <w:ind w:left="5834" w:hanging="360"/>
      </w:pPr>
      <w:rPr>
        <w:rFonts w:ascii="Symbol" w:hAnsi="Symbol" w:hint="default"/>
      </w:rPr>
    </w:lvl>
    <w:lvl w:ilvl="7" w:tplc="0C090003" w:tentative="1">
      <w:start w:val="1"/>
      <w:numFmt w:val="bullet"/>
      <w:lvlText w:val="o"/>
      <w:lvlJc w:val="left"/>
      <w:pPr>
        <w:ind w:left="6554" w:hanging="360"/>
      </w:pPr>
      <w:rPr>
        <w:rFonts w:ascii="Courier New" w:hAnsi="Courier New" w:cs="Courier New" w:hint="default"/>
      </w:rPr>
    </w:lvl>
    <w:lvl w:ilvl="8" w:tplc="0C090005" w:tentative="1">
      <w:start w:val="1"/>
      <w:numFmt w:val="bullet"/>
      <w:lvlText w:val=""/>
      <w:lvlJc w:val="left"/>
      <w:pPr>
        <w:ind w:left="7274" w:hanging="360"/>
      </w:pPr>
      <w:rPr>
        <w:rFonts w:ascii="Wingdings" w:hAnsi="Wingdings" w:hint="default"/>
      </w:rPr>
    </w:lvl>
  </w:abstractNum>
  <w:abstractNum w:abstractNumId="22" w15:restartNumberingAfterBreak="0">
    <w:nsid w:val="41C30910"/>
    <w:multiLevelType w:val="hybridMultilevel"/>
    <w:tmpl w:val="BE3A70A4"/>
    <w:lvl w:ilvl="0" w:tplc="AB986E14">
      <w:start w:val="1"/>
      <w:numFmt w:val="bullet"/>
      <w:pStyle w:val="tasble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46D3A6A"/>
    <w:multiLevelType w:val="multilevel"/>
    <w:tmpl w:val="A214506C"/>
    <w:lvl w:ilvl="0">
      <w:start w:val="1"/>
      <w:numFmt w:val="bullet"/>
      <w:pStyle w:val="Bullet1"/>
      <w:lvlText w:val=""/>
      <w:lvlJc w:val="left"/>
      <w:pPr>
        <w:tabs>
          <w:tab w:val="num" w:pos="1077"/>
        </w:tabs>
        <w:ind w:left="1077" w:hanging="283"/>
      </w:pPr>
      <w:rPr>
        <w:rFonts w:ascii="Symbol" w:hAnsi="Symbol" w:hint="default"/>
        <w:b w:val="0"/>
        <w:i w:val="0"/>
        <w:vanish w:val="0"/>
        <w:color w:val="auto"/>
        <w:sz w:val="22"/>
      </w:rPr>
    </w:lvl>
    <w:lvl w:ilvl="1">
      <w:start w:val="1"/>
      <w:numFmt w:val="bullet"/>
      <w:lvlText w:val="–"/>
      <w:lvlJc w:val="left"/>
      <w:pPr>
        <w:tabs>
          <w:tab w:val="num" w:pos="1361"/>
        </w:tabs>
        <w:ind w:left="1361" w:hanging="284"/>
      </w:pPr>
      <w:rPr>
        <w:rFonts w:ascii="Calibri" w:hAnsi="Calibri" w:hint="default"/>
        <w:b w:val="0"/>
        <w:i w:val="0"/>
        <w:vanish w:val="0"/>
        <w:color w:val="auto"/>
        <w:sz w:val="22"/>
      </w:rPr>
    </w:lvl>
    <w:lvl w:ilvl="2">
      <w:start w:val="1"/>
      <w:numFmt w:val="bullet"/>
      <w:lvlText w:val=""/>
      <w:lvlJc w:val="left"/>
      <w:pPr>
        <w:tabs>
          <w:tab w:val="num" w:pos="1644"/>
        </w:tabs>
        <w:ind w:left="1644" w:hanging="283"/>
      </w:pPr>
      <w:rPr>
        <w:rFonts w:ascii="Symbol" w:hAnsi="Symbol" w:hint="default"/>
        <w:b w:val="0"/>
        <w:i w:val="0"/>
        <w:vanish w:val="0"/>
        <w:color w:val="auto"/>
        <w:sz w:val="22"/>
      </w:rPr>
    </w:lvl>
    <w:lvl w:ilvl="3">
      <w:start w:val="1"/>
      <w:numFmt w:val="bullet"/>
      <w:lvlText w:val=""/>
      <w:lvlJc w:val="left"/>
      <w:pPr>
        <w:tabs>
          <w:tab w:val="num" w:pos="1928"/>
        </w:tabs>
        <w:ind w:left="1928" w:hanging="284"/>
      </w:pPr>
      <w:rPr>
        <w:rFonts w:ascii="Symbol" w:hAnsi="Symbol" w:hint="default"/>
        <w:b w:val="0"/>
        <w:i w:val="0"/>
        <w:vanish w:val="0"/>
        <w:color w:val="auto"/>
        <w:sz w:val="22"/>
      </w:rPr>
    </w:lvl>
    <w:lvl w:ilvl="4">
      <w:start w:val="1"/>
      <w:numFmt w:val="bullet"/>
      <w:lvlText w:val=""/>
      <w:lvlJc w:val="left"/>
      <w:pPr>
        <w:tabs>
          <w:tab w:val="num" w:pos="2211"/>
        </w:tabs>
        <w:ind w:left="2211" w:hanging="283"/>
      </w:pPr>
      <w:rPr>
        <w:rFonts w:ascii="Symbol" w:hAnsi="Symbol" w:hint="default"/>
        <w:b w:val="0"/>
        <w:i w:val="0"/>
        <w:vanish w:val="0"/>
        <w:color w:val="auto"/>
        <w:sz w:val="22"/>
      </w:rPr>
    </w:lvl>
    <w:lvl w:ilvl="5">
      <w:start w:val="1"/>
      <w:numFmt w:val="bullet"/>
      <w:lvlText w:val=""/>
      <w:lvlJc w:val="left"/>
      <w:pPr>
        <w:tabs>
          <w:tab w:val="num" w:pos="2495"/>
        </w:tabs>
        <w:ind w:left="2495" w:hanging="284"/>
      </w:pPr>
      <w:rPr>
        <w:rFonts w:ascii="Symbol" w:hAnsi="Symbol" w:hint="default"/>
        <w:b w:val="0"/>
        <w:i w:val="0"/>
        <w:vanish w:val="0"/>
        <w:color w:val="auto"/>
        <w:sz w:val="22"/>
      </w:rPr>
    </w:lvl>
    <w:lvl w:ilvl="6">
      <w:start w:val="1"/>
      <w:numFmt w:val="bullet"/>
      <w:lvlText w:val=""/>
      <w:lvlJc w:val="left"/>
      <w:pPr>
        <w:tabs>
          <w:tab w:val="num" w:pos="2778"/>
        </w:tabs>
        <w:ind w:left="2778" w:hanging="283"/>
      </w:pPr>
      <w:rPr>
        <w:rFonts w:ascii="Symbol" w:hAnsi="Symbol" w:hint="default"/>
        <w:b w:val="0"/>
        <w:i w:val="0"/>
        <w:vanish w:val="0"/>
        <w:color w:val="auto"/>
        <w:sz w:val="22"/>
      </w:rPr>
    </w:lvl>
    <w:lvl w:ilvl="7">
      <w:start w:val="1"/>
      <w:numFmt w:val="bullet"/>
      <w:lvlText w:val=""/>
      <w:lvlJc w:val="left"/>
      <w:pPr>
        <w:tabs>
          <w:tab w:val="num" w:pos="3062"/>
        </w:tabs>
        <w:ind w:left="3062" w:hanging="284"/>
      </w:pPr>
      <w:rPr>
        <w:rFonts w:ascii="Symbol" w:hAnsi="Symbol" w:hint="default"/>
        <w:b w:val="0"/>
        <w:i w:val="0"/>
        <w:vanish w:val="0"/>
        <w:color w:val="auto"/>
        <w:sz w:val="22"/>
      </w:rPr>
    </w:lvl>
    <w:lvl w:ilvl="8">
      <w:start w:val="1"/>
      <w:numFmt w:val="bullet"/>
      <w:lvlText w:val=""/>
      <w:lvlJc w:val="left"/>
      <w:pPr>
        <w:tabs>
          <w:tab w:val="num" w:pos="3345"/>
        </w:tabs>
        <w:ind w:left="3345" w:hanging="283"/>
      </w:pPr>
      <w:rPr>
        <w:rFonts w:ascii="Symbol" w:hAnsi="Symbol" w:hint="default"/>
        <w:b w:val="0"/>
        <w:i w:val="0"/>
        <w:vanish w:val="0"/>
        <w:color w:val="auto"/>
        <w:sz w:val="22"/>
      </w:rPr>
    </w:lvl>
  </w:abstractNum>
  <w:abstractNum w:abstractNumId="24" w15:restartNumberingAfterBreak="0">
    <w:nsid w:val="46B37A21"/>
    <w:multiLevelType w:val="hybridMultilevel"/>
    <w:tmpl w:val="1BAE38F0"/>
    <w:lvl w:ilvl="0" w:tplc="0C090001">
      <w:start w:val="1"/>
      <w:numFmt w:val="bullet"/>
      <w:lvlText w:val=""/>
      <w:lvlJc w:val="left"/>
      <w:pPr>
        <w:ind w:left="1514" w:hanging="360"/>
      </w:pPr>
      <w:rPr>
        <w:rFonts w:ascii="Symbol" w:hAnsi="Symbol" w:hint="default"/>
      </w:rPr>
    </w:lvl>
    <w:lvl w:ilvl="1" w:tplc="0C090003" w:tentative="1">
      <w:start w:val="1"/>
      <w:numFmt w:val="bullet"/>
      <w:lvlText w:val="o"/>
      <w:lvlJc w:val="left"/>
      <w:pPr>
        <w:ind w:left="2234" w:hanging="360"/>
      </w:pPr>
      <w:rPr>
        <w:rFonts w:ascii="Courier New" w:hAnsi="Courier New" w:cs="Courier New" w:hint="default"/>
      </w:rPr>
    </w:lvl>
    <w:lvl w:ilvl="2" w:tplc="0C090005" w:tentative="1">
      <w:start w:val="1"/>
      <w:numFmt w:val="bullet"/>
      <w:lvlText w:val=""/>
      <w:lvlJc w:val="left"/>
      <w:pPr>
        <w:ind w:left="2954" w:hanging="360"/>
      </w:pPr>
      <w:rPr>
        <w:rFonts w:ascii="Wingdings" w:hAnsi="Wingdings" w:hint="default"/>
      </w:rPr>
    </w:lvl>
    <w:lvl w:ilvl="3" w:tplc="0C090001" w:tentative="1">
      <w:start w:val="1"/>
      <w:numFmt w:val="bullet"/>
      <w:lvlText w:val=""/>
      <w:lvlJc w:val="left"/>
      <w:pPr>
        <w:ind w:left="3674" w:hanging="360"/>
      </w:pPr>
      <w:rPr>
        <w:rFonts w:ascii="Symbol" w:hAnsi="Symbol" w:hint="default"/>
      </w:rPr>
    </w:lvl>
    <w:lvl w:ilvl="4" w:tplc="0C090003" w:tentative="1">
      <w:start w:val="1"/>
      <w:numFmt w:val="bullet"/>
      <w:lvlText w:val="o"/>
      <w:lvlJc w:val="left"/>
      <w:pPr>
        <w:ind w:left="4394" w:hanging="360"/>
      </w:pPr>
      <w:rPr>
        <w:rFonts w:ascii="Courier New" w:hAnsi="Courier New" w:cs="Courier New" w:hint="default"/>
      </w:rPr>
    </w:lvl>
    <w:lvl w:ilvl="5" w:tplc="0C090005" w:tentative="1">
      <w:start w:val="1"/>
      <w:numFmt w:val="bullet"/>
      <w:lvlText w:val=""/>
      <w:lvlJc w:val="left"/>
      <w:pPr>
        <w:ind w:left="5114" w:hanging="360"/>
      </w:pPr>
      <w:rPr>
        <w:rFonts w:ascii="Wingdings" w:hAnsi="Wingdings" w:hint="default"/>
      </w:rPr>
    </w:lvl>
    <w:lvl w:ilvl="6" w:tplc="0C090001" w:tentative="1">
      <w:start w:val="1"/>
      <w:numFmt w:val="bullet"/>
      <w:lvlText w:val=""/>
      <w:lvlJc w:val="left"/>
      <w:pPr>
        <w:ind w:left="5834" w:hanging="360"/>
      </w:pPr>
      <w:rPr>
        <w:rFonts w:ascii="Symbol" w:hAnsi="Symbol" w:hint="default"/>
      </w:rPr>
    </w:lvl>
    <w:lvl w:ilvl="7" w:tplc="0C090003" w:tentative="1">
      <w:start w:val="1"/>
      <w:numFmt w:val="bullet"/>
      <w:lvlText w:val="o"/>
      <w:lvlJc w:val="left"/>
      <w:pPr>
        <w:ind w:left="6554" w:hanging="360"/>
      </w:pPr>
      <w:rPr>
        <w:rFonts w:ascii="Courier New" w:hAnsi="Courier New" w:cs="Courier New" w:hint="default"/>
      </w:rPr>
    </w:lvl>
    <w:lvl w:ilvl="8" w:tplc="0C090005" w:tentative="1">
      <w:start w:val="1"/>
      <w:numFmt w:val="bullet"/>
      <w:lvlText w:val=""/>
      <w:lvlJc w:val="left"/>
      <w:pPr>
        <w:ind w:left="7274" w:hanging="360"/>
      </w:pPr>
      <w:rPr>
        <w:rFonts w:ascii="Wingdings" w:hAnsi="Wingdings" w:hint="default"/>
      </w:rPr>
    </w:lvl>
  </w:abstractNum>
  <w:abstractNum w:abstractNumId="25" w15:restartNumberingAfterBreak="0">
    <w:nsid w:val="4755426E"/>
    <w:multiLevelType w:val="multilevel"/>
    <w:tmpl w:val="0B0658D0"/>
    <w:lvl w:ilvl="0">
      <w:start w:val="1"/>
      <w:numFmt w:val="decimal"/>
      <w:lvlText w:val="%1"/>
      <w:lvlJc w:val="left"/>
      <w:pPr>
        <w:ind w:left="0" w:hanging="1134"/>
      </w:pPr>
      <w:rPr>
        <w:rFonts w:ascii="Corbel" w:hAnsi="Corbel" w:hint="default"/>
        <w:b/>
        <w:sz w:val="18"/>
      </w:rPr>
    </w:lvl>
    <w:lvl w:ilvl="1">
      <w:start w:val="1"/>
      <w:numFmt w:val="decimal"/>
      <w:lvlText w:val="%1.%2"/>
      <w:lvlJc w:val="left"/>
      <w:pPr>
        <w:ind w:left="0" w:hanging="1134"/>
      </w:pPr>
      <w:rPr>
        <w:rFonts w:hint="default"/>
      </w:rPr>
    </w:lvl>
    <w:lvl w:ilvl="2">
      <w:start w:val="1"/>
      <w:numFmt w:val="decimal"/>
      <w:lvlText w:val="%1.%2.%3"/>
      <w:lvlJc w:val="left"/>
      <w:pPr>
        <w:ind w:left="0" w:hanging="1134"/>
      </w:pPr>
      <w:rPr>
        <w:rFonts w:hint="default"/>
      </w:rPr>
    </w:lvl>
    <w:lvl w:ilvl="3">
      <w:start w:val="1"/>
      <w:numFmt w:val="decimal"/>
      <w:pStyle w:val="FigureHeading"/>
      <w:lvlText w:val="%1.%2.%3.%4"/>
      <w:lvlJc w:val="left"/>
      <w:pPr>
        <w:ind w:left="0" w:hanging="1134"/>
      </w:pPr>
      <w:rPr>
        <w:rFonts w:hint="default"/>
      </w:rPr>
    </w:lvl>
    <w:lvl w:ilvl="4">
      <w:start w:val="1"/>
      <w:numFmt w:val="decimal"/>
      <w:lvlText w:val="%1.%2.%3.%4.%5."/>
      <w:lvlJc w:val="left"/>
      <w:pPr>
        <w:ind w:left="0" w:hanging="1134"/>
      </w:pPr>
      <w:rPr>
        <w:rFonts w:hint="default"/>
      </w:rPr>
    </w:lvl>
    <w:lvl w:ilvl="5">
      <w:start w:val="1"/>
      <w:numFmt w:val="decimal"/>
      <w:lvlText w:val="%1.%2.%3.%4.%5.%6."/>
      <w:lvlJc w:val="left"/>
      <w:pPr>
        <w:ind w:left="0" w:hanging="1134"/>
      </w:pPr>
      <w:rPr>
        <w:rFonts w:hint="default"/>
      </w:rPr>
    </w:lvl>
    <w:lvl w:ilvl="6">
      <w:start w:val="1"/>
      <w:numFmt w:val="decimal"/>
      <w:lvlText w:val="%1.%2.%3.%4.%5.%6.%7."/>
      <w:lvlJc w:val="left"/>
      <w:pPr>
        <w:ind w:left="0" w:hanging="1134"/>
      </w:pPr>
      <w:rPr>
        <w:rFonts w:hint="default"/>
      </w:rPr>
    </w:lvl>
    <w:lvl w:ilvl="7">
      <w:start w:val="1"/>
      <w:numFmt w:val="decimal"/>
      <w:lvlText w:val="%1.%2.%3.%4.%5.%6.%7.%8."/>
      <w:lvlJc w:val="left"/>
      <w:pPr>
        <w:ind w:left="0" w:hanging="1134"/>
      </w:pPr>
      <w:rPr>
        <w:rFonts w:hint="default"/>
      </w:rPr>
    </w:lvl>
    <w:lvl w:ilvl="8">
      <w:start w:val="1"/>
      <w:numFmt w:val="decimal"/>
      <w:lvlText w:val="%1.%2.%3.%4.%5.%6.%7.%8.%9."/>
      <w:lvlJc w:val="left"/>
      <w:pPr>
        <w:ind w:left="0" w:hanging="1134"/>
      </w:pPr>
      <w:rPr>
        <w:rFonts w:hint="default"/>
      </w:rPr>
    </w:lvl>
  </w:abstractNum>
  <w:abstractNum w:abstractNumId="26" w15:restartNumberingAfterBreak="0">
    <w:nsid w:val="491E4D41"/>
    <w:multiLevelType w:val="hybridMultilevel"/>
    <w:tmpl w:val="F236AB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9725860"/>
    <w:multiLevelType w:val="hybridMultilevel"/>
    <w:tmpl w:val="2B189B76"/>
    <w:lvl w:ilvl="0" w:tplc="0C090001">
      <w:start w:val="1"/>
      <w:numFmt w:val="bullet"/>
      <w:lvlText w:val=""/>
      <w:lvlJc w:val="left"/>
      <w:pPr>
        <w:ind w:left="1514" w:hanging="360"/>
      </w:pPr>
      <w:rPr>
        <w:rFonts w:ascii="Symbol" w:hAnsi="Symbol" w:hint="default"/>
      </w:rPr>
    </w:lvl>
    <w:lvl w:ilvl="1" w:tplc="0C090003" w:tentative="1">
      <w:start w:val="1"/>
      <w:numFmt w:val="bullet"/>
      <w:lvlText w:val="o"/>
      <w:lvlJc w:val="left"/>
      <w:pPr>
        <w:ind w:left="2234" w:hanging="360"/>
      </w:pPr>
      <w:rPr>
        <w:rFonts w:ascii="Courier New" w:hAnsi="Courier New" w:cs="Courier New" w:hint="default"/>
      </w:rPr>
    </w:lvl>
    <w:lvl w:ilvl="2" w:tplc="0C090005" w:tentative="1">
      <w:start w:val="1"/>
      <w:numFmt w:val="bullet"/>
      <w:lvlText w:val=""/>
      <w:lvlJc w:val="left"/>
      <w:pPr>
        <w:ind w:left="2954" w:hanging="360"/>
      </w:pPr>
      <w:rPr>
        <w:rFonts w:ascii="Wingdings" w:hAnsi="Wingdings" w:hint="default"/>
      </w:rPr>
    </w:lvl>
    <w:lvl w:ilvl="3" w:tplc="0C090001" w:tentative="1">
      <w:start w:val="1"/>
      <w:numFmt w:val="bullet"/>
      <w:lvlText w:val=""/>
      <w:lvlJc w:val="left"/>
      <w:pPr>
        <w:ind w:left="3674" w:hanging="360"/>
      </w:pPr>
      <w:rPr>
        <w:rFonts w:ascii="Symbol" w:hAnsi="Symbol" w:hint="default"/>
      </w:rPr>
    </w:lvl>
    <w:lvl w:ilvl="4" w:tplc="0C090003" w:tentative="1">
      <w:start w:val="1"/>
      <w:numFmt w:val="bullet"/>
      <w:lvlText w:val="o"/>
      <w:lvlJc w:val="left"/>
      <w:pPr>
        <w:ind w:left="4394" w:hanging="360"/>
      </w:pPr>
      <w:rPr>
        <w:rFonts w:ascii="Courier New" w:hAnsi="Courier New" w:cs="Courier New" w:hint="default"/>
      </w:rPr>
    </w:lvl>
    <w:lvl w:ilvl="5" w:tplc="0C090005" w:tentative="1">
      <w:start w:val="1"/>
      <w:numFmt w:val="bullet"/>
      <w:lvlText w:val=""/>
      <w:lvlJc w:val="left"/>
      <w:pPr>
        <w:ind w:left="5114" w:hanging="360"/>
      </w:pPr>
      <w:rPr>
        <w:rFonts w:ascii="Wingdings" w:hAnsi="Wingdings" w:hint="default"/>
      </w:rPr>
    </w:lvl>
    <w:lvl w:ilvl="6" w:tplc="0C090001" w:tentative="1">
      <w:start w:val="1"/>
      <w:numFmt w:val="bullet"/>
      <w:lvlText w:val=""/>
      <w:lvlJc w:val="left"/>
      <w:pPr>
        <w:ind w:left="5834" w:hanging="360"/>
      </w:pPr>
      <w:rPr>
        <w:rFonts w:ascii="Symbol" w:hAnsi="Symbol" w:hint="default"/>
      </w:rPr>
    </w:lvl>
    <w:lvl w:ilvl="7" w:tplc="0C090003" w:tentative="1">
      <w:start w:val="1"/>
      <w:numFmt w:val="bullet"/>
      <w:lvlText w:val="o"/>
      <w:lvlJc w:val="left"/>
      <w:pPr>
        <w:ind w:left="6554" w:hanging="360"/>
      </w:pPr>
      <w:rPr>
        <w:rFonts w:ascii="Courier New" w:hAnsi="Courier New" w:cs="Courier New" w:hint="default"/>
      </w:rPr>
    </w:lvl>
    <w:lvl w:ilvl="8" w:tplc="0C090005" w:tentative="1">
      <w:start w:val="1"/>
      <w:numFmt w:val="bullet"/>
      <w:lvlText w:val=""/>
      <w:lvlJc w:val="left"/>
      <w:pPr>
        <w:ind w:left="7274" w:hanging="360"/>
      </w:pPr>
      <w:rPr>
        <w:rFonts w:ascii="Wingdings" w:hAnsi="Wingdings" w:hint="default"/>
      </w:rPr>
    </w:lvl>
  </w:abstractNum>
  <w:abstractNum w:abstractNumId="28" w15:restartNumberingAfterBreak="0">
    <w:nsid w:val="4CBF7D81"/>
    <w:multiLevelType w:val="hybridMultilevel"/>
    <w:tmpl w:val="1158D8E0"/>
    <w:lvl w:ilvl="0" w:tplc="0C090001">
      <w:start w:val="1"/>
      <w:numFmt w:val="bullet"/>
      <w:lvlText w:val=""/>
      <w:lvlJc w:val="left"/>
      <w:pPr>
        <w:ind w:left="1514" w:hanging="360"/>
      </w:pPr>
      <w:rPr>
        <w:rFonts w:ascii="Symbol" w:hAnsi="Symbol" w:hint="default"/>
      </w:rPr>
    </w:lvl>
    <w:lvl w:ilvl="1" w:tplc="0C090003" w:tentative="1">
      <w:start w:val="1"/>
      <w:numFmt w:val="bullet"/>
      <w:lvlText w:val="o"/>
      <w:lvlJc w:val="left"/>
      <w:pPr>
        <w:ind w:left="2234" w:hanging="360"/>
      </w:pPr>
      <w:rPr>
        <w:rFonts w:ascii="Courier New" w:hAnsi="Courier New" w:cs="Courier New" w:hint="default"/>
      </w:rPr>
    </w:lvl>
    <w:lvl w:ilvl="2" w:tplc="0C090005" w:tentative="1">
      <w:start w:val="1"/>
      <w:numFmt w:val="bullet"/>
      <w:lvlText w:val=""/>
      <w:lvlJc w:val="left"/>
      <w:pPr>
        <w:ind w:left="2954" w:hanging="360"/>
      </w:pPr>
      <w:rPr>
        <w:rFonts w:ascii="Wingdings" w:hAnsi="Wingdings" w:hint="default"/>
      </w:rPr>
    </w:lvl>
    <w:lvl w:ilvl="3" w:tplc="0C090001" w:tentative="1">
      <w:start w:val="1"/>
      <w:numFmt w:val="bullet"/>
      <w:lvlText w:val=""/>
      <w:lvlJc w:val="left"/>
      <w:pPr>
        <w:ind w:left="3674" w:hanging="360"/>
      </w:pPr>
      <w:rPr>
        <w:rFonts w:ascii="Symbol" w:hAnsi="Symbol" w:hint="default"/>
      </w:rPr>
    </w:lvl>
    <w:lvl w:ilvl="4" w:tplc="0C090003" w:tentative="1">
      <w:start w:val="1"/>
      <w:numFmt w:val="bullet"/>
      <w:lvlText w:val="o"/>
      <w:lvlJc w:val="left"/>
      <w:pPr>
        <w:ind w:left="4394" w:hanging="360"/>
      </w:pPr>
      <w:rPr>
        <w:rFonts w:ascii="Courier New" w:hAnsi="Courier New" w:cs="Courier New" w:hint="default"/>
      </w:rPr>
    </w:lvl>
    <w:lvl w:ilvl="5" w:tplc="0C090005" w:tentative="1">
      <w:start w:val="1"/>
      <w:numFmt w:val="bullet"/>
      <w:lvlText w:val=""/>
      <w:lvlJc w:val="left"/>
      <w:pPr>
        <w:ind w:left="5114" w:hanging="360"/>
      </w:pPr>
      <w:rPr>
        <w:rFonts w:ascii="Wingdings" w:hAnsi="Wingdings" w:hint="default"/>
      </w:rPr>
    </w:lvl>
    <w:lvl w:ilvl="6" w:tplc="0C090001" w:tentative="1">
      <w:start w:val="1"/>
      <w:numFmt w:val="bullet"/>
      <w:lvlText w:val=""/>
      <w:lvlJc w:val="left"/>
      <w:pPr>
        <w:ind w:left="5834" w:hanging="360"/>
      </w:pPr>
      <w:rPr>
        <w:rFonts w:ascii="Symbol" w:hAnsi="Symbol" w:hint="default"/>
      </w:rPr>
    </w:lvl>
    <w:lvl w:ilvl="7" w:tplc="0C090003" w:tentative="1">
      <w:start w:val="1"/>
      <w:numFmt w:val="bullet"/>
      <w:lvlText w:val="o"/>
      <w:lvlJc w:val="left"/>
      <w:pPr>
        <w:ind w:left="6554" w:hanging="360"/>
      </w:pPr>
      <w:rPr>
        <w:rFonts w:ascii="Courier New" w:hAnsi="Courier New" w:cs="Courier New" w:hint="default"/>
      </w:rPr>
    </w:lvl>
    <w:lvl w:ilvl="8" w:tplc="0C090005" w:tentative="1">
      <w:start w:val="1"/>
      <w:numFmt w:val="bullet"/>
      <w:lvlText w:val=""/>
      <w:lvlJc w:val="left"/>
      <w:pPr>
        <w:ind w:left="7274" w:hanging="360"/>
      </w:pPr>
      <w:rPr>
        <w:rFonts w:ascii="Wingdings" w:hAnsi="Wingdings" w:hint="default"/>
      </w:rPr>
    </w:lvl>
  </w:abstractNum>
  <w:abstractNum w:abstractNumId="29" w15:restartNumberingAfterBreak="0">
    <w:nsid w:val="4ECA6397"/>
    <w:multiLevelType w:val="hybridMultilevel"/>
    <w:tmpl w:val="BF049A24"/>
    <w:lvl w:ilvl="0" w:tplc="0C090001">
      <w:start w:val="1"/>
      <w:numFmt w:val="bullet"/>
      <w:lvlText w:val=""/>
      <w:lvlJc w:val="left"/>
      <w:pPr>
        <w:ind w:left="1514" w:hanging="360"/>
      </w:pPr>
      <w:rPr>
        <w:rFonts w:ascii="Symbol" w:hAnsi="Symbol" w:hint="default"/>
      </w:rPr>
    </w:lvl>
    <w:lvl w:ilvl="1" w:tplc="0C090003" w:tentative="1">
      <w:start w:val="1"/>
      <w:numFmt w:val="bullet"/>
      <w:lvlText w:val="o"/>
      <w:lvlJc w:val="left"/>
      <w:pPr>
        <w:ind w:left="2234" w:hanging="360"/>
      </w:pPr>
      <w:rPr>
        <w:rFonts w:ascii="Courier New" w:hAnsi="Courier New" w:cs="Courier New" w:hint="default"/>
      </w:rPr>
    </w:lvl>
    <w:lvl w:ilvl="2" w:tplc="0C090005" w:tentative="1">
      <w:start w:val="1"/>
      <w:numFmt w:val="bullet"/>
      <w:lvlText w:val=""/>
      <w:lvlJc w:val="left"/>
      <w:pPr>
        <w:ind w:left="2954" w:hanging="360"/>
      </w:pPr>
      <w:rPr>
        <w:rFonts w:ascii="Wingdings" w:hAnsi="Wingdings" w:hint="default"/>
      </w:rPr>
    </w:lvl>
    <w:lvl w:ilvl="3" w:tplc="0C090001" w:tentative="1">
      <w:start w:val="1"/>
      <w:numFmt w:val="bullet"/>
      <w:lvlText w:val=""/>
      <w:lvlJc w:val="left"/>
      <w:pPr>
        <w:ind w:left="3674" w:hanging="360"/>
      </w:pPr>
      <w:rPr>
        <w:rFonts w:ascii="Symbol" w:hAnsi="Symbol" w:hint="default"/>
      </w:rPr>
    </w:lvl>
    <w:lvl w:ilvl="4" w:tplc="0C090003" w:tentative="1">
      <w:start w:val="1"/>
      <w:numFmt w:val="bullet"/>
      <w:lvlText w:val="o"/>
      <w:lvlJc w:val="left"/>
      <w:pPr>
        <w:ind w:left="4394" w:hanging="360"/>
      </w:pPr>
      <w:rPr>
        <w:rFonts w:ascii="Courier New" w:hAnsi="Courier New" w:cs="Courier New" w:hint="default"/>
      </w:rPr>
    </w:lvl>
    <w:lvl w:ilvl="5" w:tplc="0C090005" w:tentative="1">
      <w:start w:val="1"/>
      <w:numFmt w:val="bullet"/>
      <w:lvlText w:val=""/>
      <w:lvlJc w:val="left"/>
      <w:pPr>
        <w:ind w:left="5114" w:hanging="360"/>
      </w:pPr>
      <w:rPr>
        <w:rFonts w:ascii="Wingdings" w:hAnsi="Wingdings" w:hint="default"/>
      </w:rPr>
    </w:lvl>
    <w:lvl w:ilvl="6" w:tplc="0C090001" w:tentative="1">
      <w:start w:val="1"/>
      <w:numFmt w:val="bullet"/>
      <w:lvlText w:val=""/>
      <w:lvlJc w:val="left"/>
      <w:pPr>
        <w:ind w:left="5834" w:hanging="360"/>
      </w:pPr>
      <w:rPr>
        <w:rFonts w:ascii="Symbol" w:hAnsi="Symbol" w:hint="default"/>
      </w:rPr>
    </w:lvl>
    <w:lvl w:ilvl="7" w:tplc="0C090003" w:tentative="1">
      <w:start w:val="1"/>
      <w:numFmt w:val="bullet"/>
      <w:lvlText w:val="o"/>
      <w:lvlJc w:val="left"/>
      <w:pPr>
        <w:ind w:left="6554" w:hanging="360"/>
      </w:pPr>
      <w:rPr>
        <w:rFonts w:ascii="Courier New" w:hAnsi="Courier New" w:cs="Courier New" w:hint="default"/>
      </w:rPr>
    </w:lvl>
    <w:lvl w:ilvl="8" w:tplc="0C090005" w:tentative="1">
      <w:start w:val="1"/>
      <w:numFmt w:val="bullet"/>
      <w:lvlText w:val=""/>
      <w:lvlJc w:val="left"/>
      <w:pPr>
        <w:ind w:left="7274" w:hanging="360"/>
      </w:pPr>
      <w:rPr>
        <w:rFonts w:ascii="Wingdings" w:hAnsi="Wingdings" w:hint="default"/>
      </w:rPr>
    </w:lvl>
  </w:abstractNum>
  <w:abstractNum w:abstractNumId="30" w15:restartNumberingAfterBreak="0">
    <w:nsid w:val="53215D3F"/>
    <w:multiLevelType w:val="hybridMultilevel"/>
    <w:tmpl w:val="2C90E4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53F0E33"/>
    <w:multiLevelType w:val="hybridMultilevel"/>
    <w:tmpl w:val="BE80B3AC"/>
    <w:lvl w:ilvl="0" w:tplc="0C090001">
      <w:start w:val="1"/>
      <w:numFmt w:val="bullet"/>
      <w:lvlText w:val=""/>
      <w:lvlJc w:val="left"/>
      <w:pPr>
        <w:ind w:left="1514" w:hanging="360"/>
      </w:pPr>
      <w:rPr>
        <w:rFonts w:ascii="Symbol" w:hAnsi="Symbol" w:hint="default"/>
      </w:rPr>
    </w:lvl>
    <w:lvl w:ilvl="1" w:tplc="0C090003" w:tentative="1">
      <w:start w:val="1"/>
      <w:numFmt w:val="bullet"/>
      <w:lvlText w:val="o"/>
      <w:lvlJc w:val="left"/>
      <w:pPr>
        <w:ind w:left="2234" w:hanging="360"/>
      </w:pPr>
      <w:rPr>
        <w:rFonts w:ascii="Courier New" w:hAnsi="Courier New" w:cs="Courier New" w:hint="default"/>
      </w:rPr>
    </w:lvl>
    <w:lvl w:ilvl="2" w:tplc="0C090005" w:tentative="1">
      <w:start w:val="1"/>
      <w:numFmt w:val="bullet"/>
      <w:lvlText w:val=""/>
      <w:lvlJc w:val="left"/>
      <w:pPr>
        <w:ind w:left="2954" w:hanging="360"/>
      </w:pPr>
      <w:rPr>
        <w:rFonts w:ascii="Wingdings" w:hAnsi="Wingdings" w:hint="default"/>
      </w:rPr>
    </w:lvl>
    <w:lvl w:ilvl="3" w:tplc="0C090001" w:tentative="1">
      <w:start w:val="1"/>
      <w:numFmt w:val="bullet"/>
      <w:lvlText w:val=""/>
      <w:lvlJc w:val="left"/>
      <w:pPr>
        <w:ind w:left="3674" w:hanging="360"/>
      </w:pPr>
      <w:rPr>
        <w:rFonts w:ascii="Symbol" w:hAnsi="Symbol" w:hint="default"/>
      </w:rPr>
    </w:lvl>
    <w:lvl w:ilvl="4" w:tplc="0C090003" w:tentative="1">
      <w:start w:val="1"/>
      <w:numFmt w:val="bullet"/>
      <w:lvlText w:val="o"/>
      <w:lvlJc w:val="left"/>
      <w:pPr>
        <w:ind w:left="4394" w:hanging="360"/>
      </w:pPr>
      <w:rPr>
        <w:rFonts w:ascii="Courier New" w:hAnsi="Courier New" w:cs="Courier New" w:hint="default"/>
      </w:rPr>
    </w:lvl>
    <w:lvl w:ilvl="5" w:tplc="0C090005" w:tentative="1">
      <w:start w:val="1"/>
      <w:numFmt w:val="bullet"/>
      <w:lvlText w:val=""/>
      <w:lvlJc w:val="left"/>
      <w:pPr>
        <w:ind w:left="5114" w:hanging="360"/>
      </w:pPr>
      <w:rPr>
        <w:rFonts w:ascii="Wingdings" w:hAnsi="Wingdings" w:hint="default"/>
      </w:rPr>
    </w:lvl>
    <w:lvl w:ilvl="6" w:tplc="0C090001" w:tentative="1">
      <w:start w:val="1"/>
      <w:numFmt w:val="bullet"/>
      <w:lvlText w:val=""/>
      <w:lvlJc w:val="left"/>
      <w:pPr>
        <w:ind w:left="5834" w:hanging="360"/>
      </w:pPr>
      <w:rPr>
        <w:rFonts w:ascii="Symbol" w:hAnsi="Symbol" w:hint="default"/>
      </w:rPr>
    </w:lvl>
    <w:lvl w:ilvl="7" w:tplc="0C090003" w:tentative="1">
      <w:start w:val="1"/>
      <w:numFmt w:val="bullet"/>
      <w:lvlText w:val="o"/>
      <w:lvlJc w:val="left"/>
      <w:pPr>
        <w:ind w:left="6554" w:hanging="360"/>
      </w:pPr>
      <w:rPr>
        <w:rFonts w:ascii="Courier New" w:hAnsi="Courier New" w:cs="Courier New" w:hint="default"/>
      </w:rPr>
    </w:lvl>
    <w:lvl w:ilvl="8" w:tplc="0C090005" w:tentative="1">
      <w:start w:val="1"/>
      <w:numFmt w:val="bullet"/>
      <w:lvlText w:val=""/>
      <w:lvlJc w:val="left"/>
      <w:pPr>
        <w:ind w:left="7274" w:hanging="360"/>
      </w:pPr>
      <w:rPr>
        <w:rFonts w:ascii="Wingdings" w:hAnsi="Wingdings" w:hint="default"/>
      </w:rPr>
    </w:lvl>
  </w:abstractNum>
  <w:abstractNum w:abstractNumId="32" w15:restartNumberingAfterBreak="0">
    <w:nsid w:val="56651973"/>
    <w:multiLevelType w:val="hybridMultilevel"/>
    <w:tmpl w:val="1D28EC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DA96C0F"/>
    <w:multiLevelType w:val="hybridMultilevel"/>
    <w:tmpl w:val="890C3894"/>
    <w:lvl w:ilvl="0" w:tplc="0C09000F">
      <w:start w:val="1"/>
      <w:numFmt w:val="decimal"/>
      <w:lvlText w:val="%1."/>
      <w:lvlJc w:val="left"/>
      <w:pPr>
        <w:ind w:left="1514" w:hanging="360"/>
      </w:pPr>
    </w:lvl>
    <w:lvl w:ilvl="1" w:tplc="0C090019" w:tentative="1">
      <w:start w:val="1"/>
      <w:numFmt w:val="lowerLetter"/>
      <w:lvlText w:val="%2."/>
      <w:lvlJc w:val="left"/>
      <w:pPr>
        <w:ind w:left="2234" w:hanging="360"/>
      </w:pPr>
    </w:lvl>
    <w:lvl w:ilvl="2" w:tplc="0C09001B" w:tentative="1">
      <w:start w:val="1"/>
      <w:numFmt w:val="lowerRoman"/>
      <w:lvlText w:val="%3."/>
      <w:lvlJc w:val="right"/>
      <w:pPr>
        <w:ind w:left="2954" w:hanging="180"/>
      </w:pPr>
    </w:lvl>
    <w:lvl w:ilvl="3" w:tplc="0C09000F" w:tentative="1">
      <w:start w:val="1"/>
      <w:numFmt w:val="decimal"/>
      <w:lvlText w:val="%4."/>
      <w:lvlJc w:val="left"/>
      <w:pPr>
        <w:ind w:left="3674" w:hanging="360"/>
      </w:pPr>
    </w:lvl>
    <w:lvl w:ilvl="4" w:tplc="0C090019" w:tentative="1">
      <w:start w:val="1"/>
      <w:numFmt w:val="lowerLetter"/>
      <w:lvlText w:val="%5."/>
      <w:lvlJc w:val="left"/>
      <w:pPr>
        <w:ind w:left="4394" w:hanging="360"/>
      </w:pPr>
    </w:lvl>
    <w:lvl w:ilvl="5" w:tplc="0C09001B" w:tentative="1">
      <w:start w:val="1"/>
      <w:numFmt w:val="lowerRoman"/>
      <w:lvlText w:val="%6."/>
      <w:lvlJc w:val="right"/>
      <w:pPr>
        <w:ind w:left="5114" w:hanging="180"/>
      </w:pPr>
    </w:lvl>
    <w:lvl w:ilvl="6" w:tplc="0C09000F" w:tentative="1">
      <w:start w:val="1"/>
      <w:numFmt w:val="decimal"/>
      <w:lvlText w:val="%7."/>
      <w:lvlJc w:val="left"/>
      <w:pPr>
        <w:ind w:left="5834" w:hanging="360"/>
      </w:pPr>
    </w:lvl>
    <w:lvl w:ilvl="7" w:tplc="0C090019" w:tentative="1">
      <w:start w:val="1"/>
      <w:numFmt w:val="lowerLetter"/>
      <w:lvlText w:val="%8."/>
      <w:lvlJc w:val="left"/>
      <w:pPr>
        <w:ind w:left="6554" w:hanging="360"/>
      </w:pPr>
    </w:lvl>
    <w:lvl w:ilvl="8" w:tplc="0C09001B" w:tentative="1">
      <w:start w:val="1"/>
      <w:numFmt w:val="lowerRoman"/>
      <w:lvlText w:val="%9."/>
      <w:lvlJc w:val="right"/>
      <w:pPr>
        <w:ind w:left="7274" w:hanging="180"/>
      </w:pPr>
    </w:lvl>
  </w:abstractNum>
  <w:abstractNum w:abstractNumId="34" w15:restartNumberingAfterBreak="0">
    <w:nsid w:val="5DC5102A"/>
    <w:multiLevelType w:val="multilevel"/>
    <w:tmpl w:val="8A38F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49B6293"/>
    <w:multiLevelType w:val="multilevel"/>
    <w:tmpl w:val="EF6E050A"/>
    <w:lvl w:ilvl="0">
      <w:numFmt w:val="bullet"/>
      <w:lvlText w:val="-"/>
      <w:lvlJc w:val="left"/>
      <w:pPr>
        <w:tabs>
          <w:tab w:val="num" w:pos="1077"/>
        </w:tabs>
        <w:ind w:left="1077" w:hanging="283"/>
      </w:pPr>
      <w:rPr>
        <w:rFonts w:ascii="Arial" w:eastAsia="Times New Roman" w:hAnsi="Arial" w:cs="Arial" w:hint="default"/>
        <w:b w:val="0"/>
        <w:i w:val="0"/>
        <w:vanish w:val="0"/>
        <w:color w:val="auto"/>
        <w:sz w:val="22"/>
      </w:rPr>
    </w:lvl>
    <w:lvl w:ilvl="1">
      <w:start w:val="1"/>
      <w:numFmt w:val="bullet"/>
      <w:lvlText w:val="–"/>
      <w:lvlJc w:val="left"/>
      <w:pPr>
        <w:tabs>
          <w:tab w:val="num" w:pos="1361"/>
        </w:tabs>
        <w:ind w:left="1361" w:hanging="284"/>
      </w:pPr>
      <w:rPr>
        <w:rFonts w:ascii="Calibri" w:hAnsi="Calibri" w:hint="default"/>
        <w:b w:val="0"/>
        <w:i w:val="0"/>
        <w:vanish w:val="0"/>
        <w:color w:val="auto"/>
        <w:sz w:val="22"/>
      </w:rPr>
    </w:lvl>
    <w:lvl w:ilvl="2">
      <w:start w:val="1"/>
      <w:numFmt w:val="bullet"/>
      <w:lvlText w:val=""/>
      <w:lvlJc w:val="left"/>
      <w:pPr>
        <w:tabs>
          <w:tab w:val="num" w:pos="1644"/>
        </w:tabs>
        <w:ind w:left="1644" w:hanging="283"/>
      </w:pPr>
      <w:rPr>
        <w:rFonts w:ascii="Symbol" w:hAnsi="Symbol" w:hint="default"/>
        <w:b w:val="0"/>
        <w:i w:val="0"/>
        <w:vanish w:val="0"/>
        <w:color w:val="auto"/>
        <w:sz w:val="22"/>
      </w:rPr>
    </w:lvl>
    <w:lvl w:ilvl="3">
      <w:start w:val="1"/>
      <w:numFmt w:val="bullet"/>
      <w:lvlText w:val=""/>
      <w:lvlJc w:val="left"/>
      <w:pPr>
        <w:tabs>
          <w:tab w:val="num" w:pos="1928"/>
        </w:tabs>
        <w:ind w:left="1928" w:hanging="284"/>
      </w:pPr>
      <w:rPr>
        <w:rFonts w:ascii="Symbol" w:hAnsi="Symbol" w:hint="default"/>
        <w:b w:val="0"/>
        <w:i w:val="0"/>
        <w:vanish w:val="0"/>
        <w:color w:val="auto"/>
        <w:sz w:val="22"/>
      </w:rPr>
    </w:lvl>
    <w:lvl w:ilvl="4">
      <w:start w:val="1"/>
      <w:numFmt w:val="bullet"/>
      <w:lvlText w:val=""/>
      <w:lvlJc w:val="left"/>
      <w:pPr>
        <w:tabs>
          <w:tab w:val="num" w:pos="2211"/>
        </w:tabs>
        <w:ind w:left="2211" w:hanging="283"/>
      </w:pPr>
      <w:rPr>
        <w:rFonts w:ascii="Symbol" w:hAnsi="Symbol" w:hint="default"/>
        <w:b w:val="0"/>
        <w:i w:val="0"/>
        <w:vanish w:val="0"/>
        <w:color w:val="auto"/>
        <w:sz w:val="22"/>
      </w:rPr>
    </w:lvl>
    <w:lvl w:ilvl="5">
      <w:start w:val="1"/>
      <w:numFmt w:val="bullet"/>
      <w:lvlText w:val=""/>
      <w:lvlJc w:val="left"/>
      <w:pPr>
        <w:tabs>
          <w:tab w:val="num" w:pos="2495"/>
        </w:tabs>
        <w:ind w:left="2495" w:hanging="284"/>
      </w:pPr>
      <w:rPr>
        <w:rFonts w:ascii="Symbol" w:hAnsi="Symbol" w:hint="default"/>
        <w:b w:val="0"/>
        <w:i w:val="0"/>
        <w:vanish w:val="0"/>
        <w:color w:val="auto"/>
        <w:sz w:val="22"/>
      </w:rPr>
    </w:lvl>
    <w:lvl w:ilvl="6">
      <w:start w:val="1"/>
      <w:numFmt w:val="bullet"/>
      <w:lvlText w:val=""/>
      <w:lvlJc w:val="left"/>
      <w:pPr>
        <w:tabs>
          <w:tab w:val="num" w:pos="2778"/>
        </w:tabs>
        <w:ind w:left="2778" w:hanging="283"/>
      </w:pPr>
      <w:rPr>
        <w:rFonts w:ascii="Symbol" w:hAnsi="Symbol" w:hint="default"/>
        <w:b w:val="0"/>
        <w:i w:val="0"/>
        <w:vanish w:val="0"/>
        <w:color w:val="auto"/>
        <w:sz w:val="22"/>
      </w:rPr>
    </w:lvl>
    <w:lvl w:ilvl="7">
      <w:start w:val="1"/>
      <w:numFmt w:val="bullet"/>
      <w:lvlText w:val=""/>
      <w:lvlJc w:val="left"/>
      <w:pPr>
        <w:tabs>
          <w:tab w:val="num" w:pos="3062"/>
        </w:tabs>
        <w:ind w:left="3062" w:hanging="284"/>
      </w:pPr>
      <w:rPr>
        <w:rFonts w:ascii="Symbol" w:hAnsi="Symbol" w:hint="default"/>
        <w:b w:val="0"/>
        <w:i w:val="0"/>
        <w:vanish w:val="0"/>
        <w:color w:val="auto"/>
        <w:sz w:val="22"/>
      </w:rPr>
    </w:lvl>
    <w:lvl w:ilvl="8">
      <w:start w:val="1"/>
      <w:numFmt w:val="bullet"/>
      <w:lvlText w:val=""/>
      <w:lvlJc w:val="left"/>
      <w:pPr>
        <w:tabs>
          <w:tab w:val="num" w:pos="3345"/>
        </w:tabs>
        <w:ind w:left="3345" w:hanging="283"/>
      </w:pPr>
      <w:rPr>
        <w:rFonts w:ascii="Symbol" w:hAnsi="Symbol" w:hint="default"/>
        <w:b w:val="0"/>
        <w:i w:val="0"/>
        <w:vanish w:val="0"/>
        <w:color w:val="auto"/>
        <w:sz w:val="22"/>
      </w:rPr>
    </w:lvl>
  </w:abstractNum>
  <w:abstractNum w:abstractNumId="36" w15:restartNumberingAfterBreak="0">
    <w:nsid w:val="66551A1C"/>
    <w:multiLevelType w:val="multilevel"/>
    <w:tmpl w:val="8F9AA32A"/>
    <w:lvl w:ilvl="0">
      <w:start w:val="1"/>
      <w:numFmt w:val="bullet"/>
      <w:pStyle w:val="TableBullet"/>
      <w:lvlText w:val=""/>
      <w:lvlJc w:val="left"/>
      <w:pPr>
        <w:tabs>
          <w:tab w:val="num" w:pos="227"/>
        </w:tabs>
        <w:ind w:left="227" w:hanging="227"/>
      </w:pPr>
      <w:rPr>
        <w:rFonts w:ascii="Symbol" w:hAnsi="Symbol" w:cs="Lucida Grande" w:hint="default"/>
        <w:b w:val="0"/>
        <w:i w:val="0"/>
        <w:sz w:val="18"/>
      </w:rPr>
    </w:lvl>
    <w:lvl w:ilvl="1">
      <w:start w:val="1"/>
      <w:numFmt w:val="bullet"/>
      <w:lvlText w:val="–"/>
      <w:lvlJc w:val="left"/>
      <w:pPr>
        <w:tabs>
          <w:tab w:val="num" w:pos="454"/>
        </w:tabs>
        <w:ind w:left="454" w:hanging="227"/>
      </w:pPr>
      <w:rPr>
        <w:rFonts w:ascii="Calibri" w:hAnsi="Calibri" w:cs="Lucida Grande" w:hint="default"/>
        <w:b w:val="0"/>
        <w:i w:val="0"/>
        <w:sz w:val="18"/>
      </w:rPr>
    </w:lvl>
    <w:lvl w:ilvl="2">
      <w:start w:val="1"/>
      <w:numFmt w:val="bullet"/>
      <w:lvlText w:val=""/>
      <w:lvlJc w:val="left"/>
      <w:pPr>
        <w:tabs>
          <w:tab w:val="num" w:pos="680"/>
        </w:tabs>
        <w:ind w:left="680" w:hanging="226"/>
      </w:pPr>
      <w:rPr>
        <w:rFonts w:ascii="Symbol" w:hAnsi="Symbol" w:cs="Lucida Grande" w:hint="default"/>
        <w:b w:val="0"/>
        <w:i w:val="0"/>
        <w:sz w:val="18"/>
      </w:rPr>
    </w:lvl>
    <w:lvl w:ilvl="3">
      <w:start w:val="1"/>
      <w:numFmt w:val="bullet"/>
      <w:lvlText w:val=""/>
      <w:lvlJc w:val="left"/>
      <w:pPr>
        <w:tabs>
          <w:tab w:val="num" w:pos="907"/>
        </w:tabs>
        <w:ind w:left="907" w:hanging="227"/>
      </w:pPr>
      <w:rPr>
        <w:rFonts w:ascii="Symbol" w:hAnsi="Symbol" w:cs="Lucida Grande" w:hint="default"/>
        <w:b w:val="0"/>
        <w:i w:val="0"/>
        <w:sz w:val="18"/>
      </w:rPr>
    </w:lvl>
    <w:lvl w:ilvl="4">
      <w:start w:val="1"/>
      <w:numFmt w:val="bullet"/>
      <w:lvlText w:val=""/>
      <w:lvlJc w:val="left"/>
      <w:pPr>
        <w:tabs>
          <w:tab w:val="num" w:pos="1134"/>
        </w:tabs>
        <w:ind w:left="1134" w:hanging="227"/>
      </w:pPr>
      <w:rPr>
        <w:rFonts w:ascii="Symbol" w:hAnsi="Symbol" w:cs="Lucida Grande" w:hint="default"/>
        <w:b w:val="0"/>
        <w:i w:val="0"/>
        <w:sz w:val="18"/>
      </w:rPr>
    </w:lvl>
    <w:lvl w:ilvl="5">
      <w:start w:val="1"/>
      <w:numFmt w:val="bullet"/>
      <w:lvlText w:val=""/>
      <w:lvlJc w:val="left"/>
      <w:pPr>
        <w:tabs>
          <w:tab w:val="num" w:pos="1361"/>
        </w:tabs>
        <w:ind w:left="1361" w:hanging="227"/>
      </w:pPr>
      <w:rPr>
        <w:rFonts w:ascii="Symbol" w:hAnsi="Symbol" w:cs="Lucida Grande" w:hint="default"/>
        <w:b w:val="0"/>
        <w:i w:val="0"/>
        <w:sz w:val="18"/>
      </w:rPr>
    </w:lvl>
    <w:lvl w:ilvl="6">
      <w:start w:val="1"/>
      <w:numFmt w:val="bullet"/>
      <w:lvlText w:val=""/>
      <w:lvlJc w:val="left"/>
      <w:pPr>
        <w:tabs>
          <w:tab w:val="num" w:pos="1587"/>
        </w:tabs>
        <w:ind w:left="1587" w:hanging="226"/>
      </w:pPr>
      <w:rPr>
        <w:rFonts w:ascii="Symbol" w:hAnsi="Symbol" w:cs="Lucida Grande" w:hint="default"/>
        <w:b w:val="0"/>
        <w:i w:val="0"/>
        <w:sz w:val="18"/>
      </w:rPr>
    </w:lvl>
    <w:lvl w:ilvl="7">
      <w:start w:val="1"/>
      <w:numFmt w:val="bullet"/>
      <w:lvlText w:val=""/>
      <w:lvlJc w:val="left"/>
      <w:pPr>
        <w:tabs>
          <w:tab w:val="num" w:pos="1814"/>
        </w:tabs>
        <w:ind w:left="1814" w:hanging="227"/>
      </w:pPr>
      <w:rPr>
        <w:rFonts w:ascii="Symbol" w:hAnsi="Symbol" w:cs="Lucida Grande" w:hint="default"/>
        <w:b w:val="0"/>
        <w:i w:val="0"/>
        <w:sz w:val="18"/>
      </w:rPr>
    </w:lvl>
    <w:lvl w:ilvl="8">
      <w:start w:val="1"/>
      <w:numFmt w:val="bullet"/>
      <w:lvlText w:val=""/>
      <w:lvlJc w:val="left"/>
      <w:pPr>
        <w:tabs>
          <w:tab w:val="num" w:pos="2041"/>
        </w:tabs>
        <w:ind w:left="2041" w:hanging="227"/>
      </w:pPr>
      <w:rPr>
        <w:rFonts w:ascii="Symbol" w:hAnsi="Symbol" w:cs="Lucida Grande" w:hint="default"/>
        <w:b w:val="0"/>
        <w:i w:val="0"/>
        <w:sz w:val="18"/>
      </w:rPr>
    </w:lvl>
  </w:abstractNum>
  <w:abstractNum w:abstractNumId="37" w15:restartNumberingAfterBreak="0">
    <w:nsid w:val="6C7B79C6"/>
    <w:multiLevelType w:val="hybridMultilevel"/>
    <w:tmpl w:val="BFB890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D5F2FE8"/>
    <w:multiLevelType w:val="hybridMultilevel"/>
    <w:tmpl w:val="36D63472"/>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EFC0FAF"/>
    <w:multiLevelType w:val="hybridMultilevel"/>
    <w:tmpl w:val="5F6655CC"/>
    <w:lvl w:ilvl="0" w:tplc="0C090001">
      <w:start w:val="1"/>
      <w:numFmt w:val="bullet"/>
      <w:lvlText w:val=""/>
      <w:lvlJc w:val="left"/>
      <w:pPr>
        <w:ind w:left="1514" w:hanging="360"/>
      </w:pPr>
      <w:rPr>
        <w:rFonts w:ascii="Symbol" w:hAnsi="Symbol" w:hint="default"/>
      </w:rPr>
    </w:lvl>
    <w:lvl w:ilvl="1" w:tplc="0C090003" w:tentative="1">
      <w:start w:val="1"/>
      <w:numFmt w:val="bullet"/>
      <w:lvlText w:val="o"/>
      <w:lvlJc w:val="left"/>
      <w:pPr>
        <w:ind w:left="2234" w:hanging="360"/>
      </w:pPr>
      <w:rPr>
        <w:rFonts w:ascii="Courier New" w:hAnsi="Courier New" w:cs="Courier New" w:hint="default"/>
      </w:rPr>
    </w:lvl>
    <w:lvl w:ilvl="2" w:tplc="0C090005" w:tentative="1">
      <w:start w:val="1"/>
      <w:numFmt w:val="bullet"/>
      <w:lvlText w:val=""/>
      <w:lvlJc w:val="left"/>
      <w:pPr>
        <w:ind w:left="2954" w:hanging="360"/>
      </w:pPr>
      <w:rPr>
        <w:rFonts w:ascii="Wingdings" w:hAnsi="Wingdings" w:hint="default"/>
      </w:rPr>
    </w:lvl>
    <w:lvl w:ilvl="3" w:tplc="0C090001" w:tentative="1">
      <w:start w:val="1"/>
      <w:numFmt w:val="bullet"/>
      <w:lvlText w:val=""/>
      <w:lvlJc w:val="left"/>
      <w:pPr>
        <w:ind w:left="3674" w:hanging="360"/>
      </w:pPr>
      <w:rPr>
        <w:rFonts w:ascii="Symbol" w:hAnsi="Symbol" w:hint="default"/>
      </w:rPr>
    </w:lvl>
    <w:lvl w:ilvl="4" w:tplc="0C090003" w:tentative="1">
      <w:start w:val="1"/>
      <w:numFmt w:val="bullet"/>
      <w:lvlText w:val="o"/>
      <w:lvlJc w:val="left"/>
      <w:pPr>
        <w:ind w:left="4394" w:hanging="360"/>
      </w:pPr>
      <w:rPr>
        <w:rFonts w:ascii="Courier New" w:hAnsi="Courier New" w:cs="Courier New" w:hint="default"/>
      </w:rPr>
    </w:lvl>
    <w:lvl w:ilvl="5" w:tplc="0C090005" w:tentative="1">
      <w:start w:val="1"/>
      <w:numFmt w:val="bullet"/>
      <w:lvlText w:val=""/>
      <w:lvlJc w:val="left"/>
      <w:pPr>
        <w:ind w:left="5114" w:hanging="360"/>
      </w:pPr>
      <w:rPr>
        <w:rFonts w:ascii="Wingdings" w:hAnsi="Wingdings" w:hint="default"/>
      </w:rPr>
    </w:lvl>
    <w:lvl w:ilvl="6" w:tplc="0C090001" w:tentative="1">
      <w:start w:val="1"/>
      <w:numFmt w:val="bullet"/>
      <w:lvlText w:val=""/>
      <w:lvlJc w:val="left"/>
      <w:pPr>
        <w:ind w:left="5834" w:hanging="360"/>
      </w:pPr>
      <w:rPr>
        <w:rFonts w:ascii="Symbol" w:hAnsi="Symbol" w:hint="default"/>
      </w:rPr>
    </w:lvl>
    <w:lvl w:ilvl="7" w:tplc="0C090003" w:tentative="1">
      <w:start w:val="1"/>
      <w:numFmt w:val="bullet"/>
      <w:lvlText w:val="o"/>
      <w:lvlJc w:val="left"/>
      <w:pPr>
        <w:ind w:left="6554" w:hanging="360"/>
      </w:pPr>
      <w:rPr>
        <w:rFonts w:ascii="Courier New" w:hAnsi="Courier New" w:cs="Courier New" w:hint="default"/>
      </w:rPr>
    </w:lvl>
    <w:lvl w:ilvl="8" w:tplc="0C090005" w:tentative="1">
      <w:start w:val="1"/>
      <w:numFmt w:val="bullet"/>
      <w:lvlText w:val=""/>
      <w:lvlJc w:val="left"/>
      <w:pPr>
        <w:ind w:left="7274" w:hanging="360"/>
      </w:pPr>
      <w:rPr>
        <w:rFonts w:ascii="Wingdings" w:hAnsi="Wingdings" w:hint="default"/>
      </w:rPr>
    </w:lvl>
  </w:abstractNum>
  <w:abstractNum w:abstractNumId="40" w15:restartNumberingAfterBreak="0">
    <w:nsid w:val="72A33995"/>
    <w:multiLevelType w:val="hybridMultilevel"/>
    <w:tmpl w:val="9B326D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B816672"/>
    <w:multiLevelType w:val="hybridMultilevel"/>
    <w:tmpl w:val="EC10B2F6"/>
    <w:lvl w:ilvl="0" w:tplc="0C090001">
      <w:start w:val="1"/>
      <w:numFmt w:val="bullet"/>
      <w:lvlText w:val=""/>
      <w:lvlJc w:val="left"/>
      <w:pPr>
        <w:ind w:left="1514" w:hanging="360"/>
      </w:pPr>
      <w:rPr>
        <w:rFonts w:ascii="Symbol" w:hAnsi="Symbol" w:hint="default"/>
      </w:rPr>
    </w:lvl>
    <w:lvl w:ilvl="1" w:tplc="0C090003" w:tentative="1">
      <w:start w:val="1"/>
      <w:numFmt w:val="bullet"/>
      <w:lvlText w:val="o"/>
      <w:lvlJc w:val="left"/>
      <w:pPr>
        <w:ind w:left="2234" w:hanging="360"/>
      </w:pPr>
      <w:rPr>
        <w:rFonts w:ascii="Courier New" w:hAnsi="Courier New" w:cs="Courier New" w:hint="default"/>
      </w:rPr>
    </w:lvl>
    <w:lvl w:ilvl="2" w:tplc="0C090005" w:tentative="1">
      <w:start w:val="1"/>
      <w:numFmt w:val="bullet"/>
      <w:lvlText w:val=""/>
      <w:lvlJc w:val="left"/>
      <w:pPr>
        <w:ind w:left="2954" w:hanging="360"/>
      </w:pPr>
      <w:rPr>
        <w:rFonts w:ascii="Wingdings" w:hAnsi="Wingdings" w:hint="default"/>
      </w:rPr>
    </w:lvl>
    <w:lvl w:ilvl="3" w:tplc="0C090001" w:tentative="1">
      <w:start w:val="1"/>
      <w:numFmt w:val="bullet"/>
      <w:lvlText w:val=""/>
      <w:lvlJc w:val="left"/>
      <w:pPr>
        <w:ind w:left="3674" w:hanging="360"/>
      </w:pPr>
      <w:rPr>
        <w:rFonts w:ascii="Symbol" w:hAnsi="Symbol" w:hint="default"/>
      </w:rPr>
    </w:lvl>
    <w:lvl w:ilvl="4" w:tplc="0C090003" w:tentative="1">
      <w:start w:val="1"/>
      <w:numFmt w:val="bullet"/>
      <w:lvlText w:val="o"/>
      <w:lvlJc w:val="left"/>
      <w:pPr>
        <w:ind w:left="4394" w:hanging="360"/>
      </w:pPr>
      <w:rPr>
        <w:rFonts w:ascii="Courier New" w:hAnsi="Courier New" w:cs="Courier New" w:hint="default"/>
      </w:rPr>
    </w:lvl>
    <w:lvl w:ilvl="5" w:tplc="0C090005" w:tentative="1">
      <w:start w:val="1"/>
      <w:numFmt w:val="bullet"/>
      <w:lvlText w:val=""/>
      <w:lvlJc w:val="left"/>
      <w:pPr>
        <w:ind w:left="5114" w:hanging="360"/>
      </w:pPr>
      <w:rPr>
        <w:rFonts w:ascii="Wingdings" w:hAnsi="Wingdings" w:hint="default"/>
      </w:rPr>
    </w:lvl>
    <w:lvl w:ilvl="6" w:tplc="0C090001" w:tentative="1">
      <w:start w:val="1"/>
      <w:numFmt w:val="bullet"/>
      <w:lvlText w:val=""/>
      <w:lvlJc w:val="left"/>
      <w:pPr>
        <w:ind w:left="5834" w:hanging="360"/>
      </w:pPr>
      <w:rPr>
        <w:rFonts w:ascii="Symbol" w:hAnsi="Symbol" w:hint="default"/>
      </w:rPr>
    </w:lvl>
    <w:lvl w:ilvl="7" w:tplc="0C090003" w:tentative="1">
      <w:start w:val="1"/>
      <w:numFmt w:val="bullet"/>
      <w:lvlText w:val="o"/>
      <w:lvlJc w:val="left"/>
      <w:pPr>
        <w:ind w:left="6554" w:hanging="360"/>
      </w:pPr>
      <w:rPr>
        <w:rFonts w:ascii="Courier New" w:hAnsi="Courier New" w:cs="Courier New" w:hint="default"/>
      </w:rPr>
    </w:lvl>
    <w:lvl w:ilvl="8" w:tplc="0C090005" w:tentative="1">
      <w:start w:val="1"/>
      <w:numFmt w:val="bullet"/>
      <w:lvlText w:val=""/>
      <w:lvlJc w:val="left"/>
      <w:pPr>
        <w:ind w:left="7274" w:hanging="360"/>
      </w:pPr>
      <w:rPr>
        <w:rFonts w:ascii="Wingdings" w:hAnsi="Wingdings" w:hint="default"/>
      </w:rPr>
    </w:lvl>
  </w:abstractNum>
  <w:abstractNum w:abstractNumId="42" w15:restartNumberingAfterBreak="0">
    <w:nsid w:val="7BA25264"/>
    <w:multiLevelType w:val="hybridMultilevel"/>
    <w:tmpl w:val="24EE3540"/>
    <w:lvl w:ilvl="0" w:tplc="0C090001">
      <w:start w:val="1"/>
      <w:numFmt w:val="bullet"/>
      <w:lvlText w:val=""/>
      <w:lvlJc w:val="left"/>
      <w:pPr>
        <w:ind w:left="1514" w:hanging="360"/>
      </w:pPr>
      <w:rPr>
        <w:rFonts w:ascii="Symbol" w:hAnsi="Symbol" w:hint="default"/>
      </w:rPr>
    </w:lvl>
    <w:lvl w:ilvl="1" w:tplc="0C090003" w:tentative="1">
      <w:start w:val="1"/>
      <w:numFmt w:val="bullet"/>
      <w:lvlText w:val="o"/>
      <w:lvlJc w:val="left"/>
      <w:pPr>
        <w:ind w:left="2234" w:hanging="360"/>
      </w:pPr>
      <w:rPr>
        <w:rFonts w:ascii="Courier New" w:hAnsi="Courier New" w:cs="Courier New" w:hint="default"/>
      </w:rPr>
    </w:lvl>
    <w:lvl w:ilvl="2" w:tplc="0C090005" w:tentative="1">
      <w:start w:val="1"/>
      <w:numFmt w:val="bullet"/>
      <w:lvlText w:val=""/>
      <w:lvlJc w:val="left"/>
      <w:pPr>
        <w:ind w:left="2954" w:hanging="360"/>
      </w:pPr>
      <w:rPr>
        <w:rFonts w:ascii="Wingdings" w:hAnsi="Wingdings" w:hint="default"/>
      </w:rPr>
    </w:lvl>
    <w:lvl w:ilvl="3" w:tplc="0C090001" w:tentative="1">
      <w:start w:val="1"/>
      <w:numFmt w:val="bullet"/>
      <w:lvlText w:val=""/>
      <w:lvlJc w:val="left"/>
      <w:pPr>
        <w:ind w:left="3674" w:hanging="360"/>
      </w:pPr>
      <w:rPr>
        <w:rFonts w:ascii="Symbol" w:hAnsi="Symbol" w:hint="default"/>
      </w:rPr>
    </w:lvl>
    <w:lvl w:ilvl="4" w:tplc="0C090003" w:tentative="1">
      <w:start w:val="1"/>
      <w:numFmt w:val="bullet"/>
      <w:lvlText w:val="o"/>
      <w:lvlJc w:val="left"/>
      <w:pPr>
        <w:ind w:left="4394" w:hanging="360"/>
      </w:pPr>
      <w:rPr>
        <w:rFonts w:ascii="Courier New" w:hAnsi="Courier New" w:cs="Courier New" w:hint="default"/>
      </w:rPr>
    </w:lvl>
    <w:lvl w:ilvl="5" w:tplc="0C090005" w:tentative="1">
      <w:start w:val="1"/>
      <w:numFmt w:val="bullet"/>
      <w:lvlText w:val=""/>
      <w:lvlJc w:val="left"/>
      <w:pPr>
        <w:ind w:left="5114" w:hanging="360"/>
      </w:pPr>
      <w:rPr>
        <w:rFonts w:ascii="Wingdings" w:hAnsi="Wingdings" w:hint="default"/>
      </w:rPr>
    </w:lvl>
    <w:lvl w:ilvl="6" w:tplc="0C090001" w:tentative="1">
      <w:start w:val="1"/>
      <w:numFmt w:val="bullet"/>
      <w:lvlText w:val=""/>
      <w:lvlJc w:val="left"/>
      <w:pPr>
        <w:ind w:left="5834" w:hanging="360"/>
      </w:pPr>
      <w:rPr>
        <w:rFonts w:ascii="Symbol" w:hAnsi="Symbol" w:hint="default"/>
      </w:rPr>
    </w:lvl>
    <w:lvl w:ilvl="7" w:tplc="0C090003" w:tentative="1">
      <w:start w:val="1"/>
      <w:numFmt w:val="bullet"/>
      <w:lvlText w:val="o"/>
      <w:lvlJc w:val="left"/>
      <w:pPr>
        <w:ind w:left="6554" w:hanging="360"/>
      </w:pPr>
      <w:rPr>
        <w:rFonts w:ascii="Courier New" w:hAnsi="Courier New" w:cs="Courier New" w:hint="default"/>
      </w:rPr>
    </w:lvl>
    <w:lvl w:ilvl="8" w:tplc="0C090005" w:tentative="1">
      <w:start w:val="1"/>
      <w:numFmt w:val="bullet"/>
      <w:lvlText w:val=""/>
      <w:lvlJc w:val="left"/>
      <w:pPr>
        <w:ind w:left="7274" w:hanging="360"/>
      </w:pPr>
      <w:rPr>
        <w:rFonts w:ascii="Wingdings" w:hAnsi="Wingdings" w:hint="default"/>
      </w:rPr>
    </w:lvl>
  </w:abstractNum>
  <w:num w:numId="1">
    <w:abstractNumId w:val="4"/>
  </w:num>
  <w:num w:numId="2">
    <w:abstractNumId w:val="8"/>
  </w:num>
  <w:num w:numId="3">
    <w:abstractNumId w:val="23"/>
  </w:num>
  <w:num w:numId="4">
    <w:abstractNumId w:val="36"/>
  </w:num>
  <w:num w:numId="5">
    <w:abstractNumId w:val="11"/>
  </w:num>
  <w:num w:numId="6">
    <w:abstractNumId w:val="17"/>
  </w:num>
  <w:num w:numId="7">
    <w:abstractNumId w:val="22"/>
  </w:num>
  <w:num w:numId="8">
    <w:abstractNumId w:val="39"/>
  </w:num>
  <w:num w:numId="9">
    <w:abstractNumId w:val="25"/>
  </w:num>
  <w:num w:numId="10">
    <w:abstractNumId w:val="38"/>
  </w:num>
  <w:num w:numId="11">
    <w:abstractNumId w:val="29"/>
  </w:num>
  <w:num w:numId="12">
    <w:abstractNumId w:val="35"/>
  </w:num>
  <w:num w:numId="13">
    <w:abstractNumId w:val="32"/>
  </w:num>
  <w:num w:numId="14">
    <w:abstractNumId w:val="33"/>
  </w:num>
  <w:num w:numId="15">
    <w:abstractNumId w:val="0"/>
  </w:num>
  <w:num w:numId="16">
    <w:abstractNumId w:val="10"/>
  </w:num>
  <w:num w:numId="17">
    <w:abstractNumId w:val="20"/>
  </w:num>
  <w:num w:numId="18">
    <w:abstractNumId w:val="37"/>
  </w:num>
  <w:num w:numId="19">
    <w:abstractNumId w:val="12"/>
  </w:num>
  <w:num w:numId="20">
    <w:abstractNumId w:val="19"/>
  </w:num>
  <w:num w:numId="21">
    <w:abstractNumId w:val="14"/>
  </w:num>
  <w:num w:numId="22">
    <w:abstractNumId w:val="30"/>
  </w:num>
  <w:num w:numId="23">
    <w:abstractNumId w:val="3"/>
  </w:num>
  <w:num w:numId="24">
    <w:abstractNumId w:val="27"/>
  </w:num>
  <w:num w:numId="25">
    <w:abstractNumId w:val="15"/>
  </w:num>
  <w:num w:numId="26">
    <w:abstractNumId w:val="7"/>
  </w:num>
  <w:num w:numId="27">
    <w:abstractNumId w:val="31"/>
  </w:num>
  <w:num w:numId="28">
    <w:abstractNumId w:val="2"/>
  </w:num>
  <w:num w:numId="29">
    <w:abstractNumId w:val="18"/>
  </w:num>
  <w:num w:numId="30">
    <w:abstractNumId w:val="42"/>
  </w:num>
  <w:num w:numId="31">
    <w:abstractNumId w:val="24"/>
  </w:num>
  <w:num w:numId="32">
    <w:abstractNumId w:val="6"/>
  </w:num>
  <w:num w:numId="33">
    <w:abstractNumId w:val="41"/>
  </w:num>
  <w:num w:numId="34">
    <w:abstractNumId w:val="28"/>
  </w:num>
  <w:num w:numId="35">
    <w:abstractNumId w:val="21"/>
  </w:num>
  <w:num w:numId="36">
    <w:abstractNumId w:val="1"/>
  </w:num>
  <w:num w:numId="37">
    <w:abstractNumId w:val="40"/>
  </w:num>
  <w:num w:numId="38">
    <w:abstractNumId w:val="13"/>
  </w:num>
  <w:num w:numId="39">
    <w:abstractNumId w:val="26"/>
  </w:num>
  <w:num w:numId="40">
    <w:abstractNumId w:val="23"/>
  </w:num>
  <w:num w:numId="41">
    <w:abstractNumId w:val="16"/>
  </w:num>
  <w:num w:numId="42">
    <w:abstractNumId w:val="9"/>
  </w:num>
  <w:num w:numId="43">
    <w:abstractNumId w:val="34"/>
  </w:num>
  <w:num w:numId="44">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defaultTabStop w:val="720"/>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1DE"/>
    <w:rsid w:val="0000017A"/>
    <w:rsid w:val="00001360"/>
    <w:rsid w:val="00003088"/>
    <w:rsid w:val="00004A6C"/>
    <w:rsid w:val="00005B90"/>
    <w:rsid w:val="000069D2"/>
    <w:rsid w:val="00006A5F"/>
    <w:rsid w:val="00007D90"/>
    <w:rsid w:val="00011197"/>
    <w:rsid w:val="00012F2B"/>
    <w:rsid w:val="00013225"/>
    <w:rsid w:val="00013E63"/>
    <w:rsid w:val="00013E74"/>
    <w:rsid w:val="00015871"/>
    <w:rsid w:val="00016550"/>
    <w:rsid w:val="00016AAD"/>
    <w:rsid w:val="00016F0C"/>
    <w:rsid w:val="00017228"/>
    <w:rsid w:val="000178E4"/>
    <w:rsid w:val="00017DE8"/>
    <w:rsid w:val="00020351"/>
    <w:rsid w:val="00020629"/>
    <w:rsid w:val="000212DF"/>
    <w:rsid w:val="0002298F"/>
    <w:rsid w:val="00023133"/>
    <w:rsid w:val="00023FBD"/>
    <w:rsid w:val="000255C1"/>
    <w:rsid w:val="00025FAB"/>
    <w:rsid w:val="0003010A"/>
    <w:rsid w:val="00031365"/>
    <w:rsid w:val="00031678"/>
    <w:rsid w:val="00031A72"/>
    <w:rsid w:val="00031B6E"/>
    <w:rsid w:val="0003274B"/>
    <w:rsid w:val="0003409C"/>
    <w:rsid w:val="000341C5"/>
    <w:rsid w:val="00034B02"/>
    <w:rsid w:val="00035570"/>
    <w:rsid w:val="00035999"/>
    <w:rsid w:val="00035E3E"/>
    <w:rsid w:val="000376FB"/>
    <w:rsid w:val="00042D41"/>
    <w:rsid w:val="00042E3B"/>
    <w:rsid w:val="00046488"/>
    <w:rsid w:val="00047782"/>
    <w:rsid w:val="000506EC"/>
    <w:rsid w:val="00052729"/>
    <w:rsid w:val="0005337B"/>
    <w:rsid w:val="00053802"/>
    <w:rsid w:val="00056270"/>
    <w:rsid w:val="0005720B"/>
    <w:rsid w:val="00057C51"/>
    <w:rsid w:val="00061364"/>
    <w:rsid w:val="00063341"/>
    <w:rsid w:val="00063B1B"/>
    <w:rsid w:val="00063F56"/>
    <w:rsid w:val="00064492"/>
    <w:rsid w:val="000660DA"/>
    <w:rsid w:val="00066BD2"/>
    <w:rsid w:val="00067653"/>
    <w:rsid w:val="00067BEC"/>
    <w:rsid w:val="00070037"/>
    <w:rsid w:val="00072D05"/>
    <w:rsid w:val="00072E02"/>
    <w:rsid w:val="000730A2"/>
    <w:rsid w:val="0007325F"/>
    <w:rsid w:val="00073458"/>
    <w:rsid w:val="000749FD"/>
    <w:rsid w:val="00074AD5"/>
    <w:rsid w:val="00074B7B"/>
    <w:rsid w:val="000766BF"/>
    <w:rsid w:val="00076DC5"/>
    <w:rsid w:val="00077E2C"/>
    <w:rsid w:val="00081854"/>
    <w:rsid w:val="00081E62"/>
    <w:rsid w:val="0008597E"/>
    <w:rsid w:val="00091087"/>
    <w:rsid w:val="00092056"/>
    <w:rsid w:val="00092526"/>
    <w:rsid w:val="00093EA5"/>
    <w:rsid w:val="00094E39"/>
    <w:rsid w:val="0009536F"/>
    <w:rsid w:val="00095505"/>
    <w:rsid w:val="00097647"/>
    <w:rsid w:val="000A0621"/>
    <w:rsid w:val="000A1498"/>
    <w:rsid w:val="000A1AB1"/>
    <w:rsid w:val="000A26CE"/>
    <w:rsid w:val="000A2781"/>
    <w:rsid w:val="000A27D9"/>
    <w:rsid w:val="000A3CB7"/>
    <w:rsid w:val="000A3E8A"/>
    <w:rsid w:val="000A45F9"/>
    <w:rsid w:val="000A4A12"/>
    <w:rsid w:val="000A4CD4"/>
    <w:rsid w:val="000A5B3B"/>
    <w:rsid w:val="000A5F10"/>
    <w:rsid w:val="000A75BE"/>
    <w:rsid w:val="000A7D04"/>
    <w:rsid w:val="000A7DCB"/>
    <w:rsid w:val="000B02F4"/>
    <w:rsid w:val="000B12BA"/>
    <w:rsid w:val="000B186F"/>
    <w:rsid w:val="000B36ED"/>
    <w:rsid w:val="000B4416"/>
    <w:rsid w:val="000B4482"/>
    <w:rsid w:val="000B5AEA"/>
    <w:rsid w:val="000B5BEE"/>
    <w:rsid w:val="000B5D29"/>
    <w:rsid w:val="000B5F2A"/>
    <w:rsid w:val="000B5F61"/>
    <w:rsid w:val="000B61E3"/>
    <w:rsid w:val="000B79CF"/>
    <w:rsid w:val="000B7BF5"/>
    <w:rsid w:val="000C0E1A"/>
    <w:rsid w:val="000C18E4"/>
    <w:rsid w:val="000C1B7A"/>
    <w:rsid w:val="000C2899"/>
    <w:rsid w:val="000C3B64"/>
    <w:rsid w:val="000C4B58"/>
    <w:rsid w:val="000C5BC5"/>
    <w:rsid w:val="000D0631"/>
    <w:rsid w:val="000D1A94"/>
    <w:rsid w:val="000D25E2"/>
    <w:rsid w:val="000D2AE1"/>
    <w:rsid w:val="000D3F1D"/>
    <w:rsid w:val="000D43F1"/>
    <w:rsid w:val="000D453D"/>
    <w:rsid w:val="000D58DD"/>
    <w:rsid w:val="000D5DA6"/>
    <w:rsid w:val="000D5E4B"/>
    <w:rsid w:val="000D686F"/>
    <w:rsid w:val="000D687E"/>
    <w:rsid w:val="000D7385"/>
    <w:rsid w:val="000D7AB4"/>
    <w:rsid w:val="000E0068"/>
    <w:rsid w:val="000E04DC"/>
    <w:rsid w:val="000E050D"/>
    <w:rsid w:val="000E0EA3"/>
    <w:rsid w:val="000E3C4D"/>
    <w:rsid w:val="000E3F05"/>
    <w:rsid w:val="000E4201"/>
    <w:rsid w:val="000E55C0"/>
    <w:rsid w:val="000E567F"/>
    <w:rsid w:val="000E6DCE"/>
    <w:rsid w:val="000F0D6B"/>
    <w:rsid w:val="000F22DC"/>
    <w:rsid w:val="000F25F9"/>
    <w:rsid w:val="000F286E"/>
    <w:rsid w:val="000F40A9"/>
    <w:rsid w:val="000F441A"/>
    <w:rsid w:val="000F61E6"/>
    <w:rsid w:val="000F62B4"/>
    <w:rsid w:val="00100AA9"/>
    <w:rsid w:val="0010133B"/>
    <w:rsid w:val="00101420"/>
    <w:rsid w:val="00102E1D"/>
    <w:rsid w:val="001033F5"/>
    <w:rsid w:val="00103C14"/>
    <w:rsid w:val="00104E55"/>
    <w:rsid w:val="00105FDC"/>
    <w:rsid w:val="00106956"/>
    <w:rsid w:val="00106C2B"/>
    <w:rsid w:val="00107126"/>
    <w:rsid w:val="0011104D"/>
    <w:rsid w:val="0011150D"/>
    <w:rsid w:val="00112393"/>
    <w:rsid w:val="001124F8"/>
    <w:rsid w:val="001125AD"/>
    <w:rsid w:val="00113259"/>
    <w:rsid w:val="001134D5"/>
    <w:rsid w:val="00113C3C"/>
    <w:rsid w:val="00114002"/>
    <w:rsid w:val="00114286"/>
    <w:rsid w:val="00115057"/>
    <w:rsid w:val="00115146"/>
    <w:rsid w:val="0011550A"/>
    <w:rsid w:val="001162C0"/>
    <w:rsid w:val="001173EC"/>
    <w:rsid w:val="001206E5"/>
    <w:rsid w:val="001207F9"/>
    <w:rsid w:val="00121FF5"/>
    <w:rsid w:val="00123F52"/>
    <w:rsid w:val="00124971"/>
    <w:rsid w:val="00125FA5"/>
    <w:rsid w:val="00127C76"/>
    <w:rsid w:val="001316BA"/>
    <w:rsid w:val="00136FFF"/>
    <w:rsid w:val="00137139"/>
    <w:rsid w:val="00137244"/>
    <w:rsid w:val="001373C2"/>
    <w:rsid w:val="00137613"/>
    <w:rsid w:val="00137DA4"/>
    <w:rsid w:val="001402EB"/>
    <w:rsid w:val="00140396"/>
    <w:rsid w:val="00140D1B"/>
    <w:rsid w:val="00141959"/>
    <w:rsid w:val="00141BF9"/>
    <w:rsid w:val="001434E8"/>
    <w:rsid w:val="001436C7"/>
    <w:rsid w:val="00143F89"/>
    <w:rsid w:val="00145486"/>
    <w:rsid w:val="00147F8D"/>
    <w:rsid w:val="00150A21"/>
    <w:rsid w:val="0015104F"/>
    <w:rsid w:val="00151B7F"/>
    <w:rsid w:val="00151E3D"/>
    <w:rsid w:val="00153BB1"/>
    <w:rsid w:val="00154021"/>
    <w:rsid w:val="00154320"/>
    <w:rsid w:val="0015462A"/>
    <w:rsid w:val="00154FA2"/>
    <w:rsid w:val="00155479"/>
    <w:rsid w:val="00155722"/>
    <w:rsid w:val="00156DA0"/>
    <w:rsid w:val="001570E5"/>
    <w:rsid w:val="0015715A"/>
    <w:rsid w:val="001578DC"/>
    <w:rsid w:val="00160614"/>
    <w:rsid w:val="00160855"/>
    <w:rsid w:val="00161298"/>
    <w:rsid w:val="00161E2C"/>
    <w:rsid w:val="00162DE9"/>
    <w:rsid w:val="00163421"/>
    <w:rsid w:val="001637BA"/>
    <w:rsid w:val="00164C63"/>
    <w:rsid w:val="00164CBC"/>
    <w:rsid w:val="001660DC"/>
    <w:rsid w:val="0016773A"/>
    <w:rsid w:val="00171CDB"/>
    <w:rsid w:val="00173ECE"/>
    <w:rsid w:val="0017575A"/>
    <w:rsid w:val="0017669D"/>
    <w:rsid w:val="00176726"/>
    <w:rsid w:val="00177615"/>
    <w:rsid w:val="00177ABA"/>
    <w:rsid w:val="00180365"/>
    <w:rsid w:val="0018280C"/>
    <w:rsid w:val="00182E0D"/>
    <w:rsid w:val="00183AD8"/>
    <w:rsid w:val="00183F03"/>
    <w:rsid w:val="001869C0"/>
    <w:rsid w:val="00187424"/>
    <w:rsid w:val="00190152"/>
    <w:rsid w:val="00190558"/>
    <w:rsid w:val="00190D60"/>
    <w:rsid w:val="00190E27"/>
    <w:rsid w:val="001911E4"/>
    <w:rsid w:val="00191AC5"/>
    <w:rsid w:val="00191FB9"/>
    <w:rsid w:val="00192412"/>
    <w:rsid w:val="001949FA"/>
    <w:rsid w:val="001957A9"/>
    <w:rsid w:val="001961EE"/>
    <w:rsid w:val="00197CBE"/>
    <w:rsid w:val="001A0910"/>
    <w:rsid w:val="001A126C"/>
    <w:rsid w:val="001A257C"/>
    <w:rsid w:val="001A3505"/>
    <w:rsid w:val="001A3AC6"/>
    <w:rsid w:val="001A3EF9"/>
    <w:rsid w:val="001A496F"/>
    <w:rsid w:val="001A55DB"/>
    <w:rsid w:val="001A5606"/>
    <w:rsid w:val="001A5C6E"/>
    <w:rsid w:val="001A7320"/>
    <w:rsid w:val="001A77CE"/>
    <w:rsid w:val="001B063C"/>
    <w:rsid w:val="001B1806"/>
    <w:rsid w:val="001B2405"/>
    <w:rsid w:val="001B29B3"/>
    <w:rsid w:val="001B3596"/>
    <w:rsid w:val="001B5365"/>
    <w:rsid w:val="001B58F0"/>
    <w:rsid w:val="001B60B9"/>
    <w:rsid w:val="001B793D"/>
    <w:rsid w:val="001B7A9F"/>
    <w:rsid w:val="001C052D"/>
    <w:rsid w:val="001C0C41"/>
    <w:rsid w:val="001C0CF5"/>
    <w:rsid w:val="001C1181"/>
    <w:rsid w:val="001C1470"/>
    <w:rsid w:val="001C3A21"/>
    <w:rsid w:val="001C507A"/>
    <w:rsid w:val="001C5A80"/>
    <w:rsid w:val="001C64D5"/>
    <w:rsid w:val="001C758F"/>
    <w:rsid w:val="001D1766"/>
    <w:rsid w:val="001D1E07"/>
    <w:rsid w:val="001D28F0"/>
    <w:rsid w:val="001D44CB"/>
    <w:rsid w:val="001D541F"/>
    <w:rsid w:val="001D56A3"/>
    <w:rsid w:val="001D6393"/>
    <w:rsid w:val="001D7037"/>
    <w:rsid w:val="001D77CA"/>
    <w:rsid w:val="001D7822"/>
    <w:rsid w:val="001E332D"/>
    <w:rsid w:val="001E3C8E"/>
    <w:rsid w:val="001E4801"/>
    <w:rsid w:val="001E4CF8"/>
    <w:rsid w:val="001E56A8"/>
    <w:rsid w:val="001E6DE9"/>
    <w:rsid w:val="001E76A1"/>
    <w:rsid w:val="001F0178"/>
    <w:rsid w:val="001F0AD3"/>
    <w:rsid w:val="001F0BFD"/>
    <w:rsid w:val="001F16D1"/>
    <w:rsid w:val="001F3681"/>
    <w:rsid w:val="001F5F02"/>
    <w:rsid w:val="001F67BF"/>
    <w:rsid w:val="001F7D73"/>
    <w:rsid w:val="00200850"/>
    <w:rsid w:val="00200BCC"/>
    <w:rsid w:val="00200DDB"/>
    <w:rsid w:val="0020340A"/>
    <w:rsid w:val="00203598"/>
    <w:rsid w:val="00204B00"/>
    <w:rsid w:val="002053B6"/>
    <w:rsid w:val="00206559"/>
    <w:rsid w:val="002100B9"/>
    <w:rsid w:val="002117DC"/>
    <w:rsid w:val="00211A1E"/>
    <w:rsid w:val="00211FE8"/>
    <w:rsid w:val="002124BC"/>
    <w:rsid w:val="0021487B"/>
    <w:rsid w:val="002177DF"/>
    <w:rsid w:val="00217810"/>
    <w:rsid w:val="0022026B"/>
    <w:rsid w:val="00221A3F"/>
    <w:rsid w:val="002228A2"/>
    <w:rsid w:val="002232C2"/>
    <w:rsid w:val="002262CB"/>
    <w:rsid w:val="00226A70"/>
    <w:rsid w:val="00226D9A"/>
    <w:rsid w:val="0022778A"/>
    <w:rsid w:val="0023128E"/>
    <w:rsid w:val="0023188C"/>
    <w:rsid w:val="00231C0B"/>
    <w:rsid w:val="00231EFF"/>
    <w:rsid w:val="00233DB7"/>
    <w:rsid w:val="00233FDE"/>
    <w:rsid w:val="00235CA3"/>
    <w:rsid w:val="00235E8C"/>
    <w:rsid w:val="00235F70"/>
    <w:rsid w:val="00236CFB"/>
    <w:rsid w:val="002377E4"/>
    <w:rsid w:val="002377F0"/>
    <w:rsid w:val="0024020B"/>
    <w:rsid w:val="0024067C"/>
    <w:rsid w:val="002407F7"/>
    <w:rsid w:val="00241D6D"/>
    <w:rsid w:val="002427E3"/>
    <w:rsid w:val="00244ECE"/>
    <w:rsid w:val="00245BEA"/>
    <w:rsid w:val="00246151"/>
    <w:rsid w:val="00246564"/>
    <w:rsid w:val="00246C8F"/>
    <w:rsid w:val="00247D97"/>
    <w:rsid w:val="0025012A"/>
    <w:rsid w:val="00250EDB"/>
    <w:rsid w:val="002513A4"/>
    <w:rsid w:val="00251ACE"/>
    <w:rsid w:val="00252F65"/>
    <w:rsid w:val="00252FCC"/>
    <w:rsid w:val="002530A5"/>
    <w:rsid w:val="0025378F"/>
    <w:rsid w:val="00253C5E"/>
    <w:rsid w:val="00254AD7"/>
    <w:rsid w:val="00254D5C"/>
    <w:rsid w:val="00256861"/>
    <w:rsid w:val="002568A4"/>
    <w:rsid w:val="00256B8D"/>
    <w:rsid w:val="00257D32"/>
    <w:rsid w:val="002608E3"/>
    <w:rsid w:val="002614C0"/>
    <w:rsid w:val="0026182E"/>
    <w:rsid w:val="002624C4"/>
    <w:rsid w:val="00262716"/>
    <w:rsid w:val="00262ECB"/>
    <w:rsid w:val="002631D2"/>
    <w:rsid w:val="002637D5"/>
    <w:rsid w:val="00264138"/>
    <w:rsid w:val="00265112"/>
    <w:rsid w:val="00265535"/>
    <w:rsid w:val="00266AA2"/>
    <w:rsid w:val="0026758C"/>
    <w:rsid w:val="00267C15"/>
    <w:rsid w:val="002705E0"/>
    <w:rsid w:val="00270EEA"/>
    <w:rsid w:val="002714B2"/>
    <w:rsid w:val="00271BDC"/>
    <w:rsid w:val="00272264"/>
    <w:rsid w:val="002726C4"/>
    <w:rsid w:val="0027567D"/>
    <w:rsid w:val="00276448"/>
    <w:rsid w:val="002772D4"/>
    <w:rsid w:val="00277B96"/>
    <w:rsid w:val="00280262"/>
    <w:rsid w:val="00282836"/>
    <w:rsid w:val="0028446E"/>
    <w:rsid w:val="002849CF"/>
    <w:rsid w:val="00284B26"/>
    <w:rsid w:val="00284E8F"/>
    <w:rsid w:val="002855A8"/>
    <w:rsid w:val="00285E7A"/>
    <w:rsid w:val="00286425"/>
    <w:rsid w:val="002865DF"/>
    <w:rsid w:val="00286D1B"/>
    <w:rsid w:val="00290F5B"/>
    <w:rsid w:val="002923BC"/>
    <w:rsid w:val="002941EE"/>
    <w:rsid w:val="0029589C"/>
    <w:rsid w:val="00295D8D"/>
    <w:rsid w:val="00296AD8"/>
    <w:rsid w:val="00297207"/>
    <w:rsid w:val="0029758F"/>
    <w:rsid w:val="002975F0"/>
    <w:rsid w:val="00297C11"/>
    <w:rsid w:val="00297E77"/>
    <w:rsid w:val="002A099C"/>
    <w:rsid w:val="002A12F9"/>
    <w:rsid w:val="002A1D21"/>
    <w:rsid w:val="002A23D6"/>
    <w:rsid w:val="002A2A95"/>
    <w:rsid w:val="002A2CCA"/>
    <w:rsid w:val="002A39AE"/>
    <w:rsid w:val="002A43B8"/>
    <w:rsid w:val="002A5334"/>
    <w:rsid w:val="002A5DE1"/>
    <w:rsid w:val="002A7E78"/>
    <w:rsid w:val="002B07C2"/>
    <w:rsid w:val="002B112D"/>
    <w:rsid w:val="002B1289"/>
    <w:rsid w:val="002B134E"/>
    <w:rsid w:val="002B1DA4"/>
    <w:rsid w:val="002B2325"/>
    <w:rsid w:val="002B293A"/>
    <w:rsid w:val="002B2C83"/>
    <w:rsid w:val="002B31CB"/>
    <w:rsid w:val="002B5638"/>
    <w:rsid w:val="002C178B"/>
    <w:rsid w:val="002C30A7"/>
    <w:rsid w:val="002C4429"/>
    <w:rsid w:val="002C4604"/>
    <w:rsid w:val="002C464B"/>
    <w:rsid w:val="002C5331"/>
    <w:rsid w:val="002C5A30"/>
    <w:rsid w:val="002C5E39"/>
    <w:rsid w:val="002C697B"/>
    <w:rsid w:val="002D0F11"/>
    <w:rsid w:val="002D246A"/>
    <w:rsid w:val="002D34D4"/>
    <w:rsid w:val="002D34E2"/>
    <w:rsid w:val="002D4306"/>
    <w:rsid w:val="002D6451"/>
    <w:rsid w:val="002D7FBF"/>
    <w:rsid w:val="002E00E9"/>
    <w:rsid w:val="002E04F7"/>
    <w:rsid w:val="002E1070"/>
    <w:rsid w:val="002E16AA"/>
    <w:rsid w:val="002E2E5E"/>
    <w:rsid w:val="002E30C6"/>
    <w:rsid w:val="002E30F9"/>
    <w:rsid w:val="002E61F9"/>
    <w:rsid w:val="002E671D"/>
    <w:rsid w:val="002E69DF"/>
    <w:rsid w:val="002E7423"/>
    <w:rsid w:val="002E75B9"/>
    <w:rsid w:val="002E7920"/>
    <w:rsid w:val="002F2506"/>
    <w:rsid w:val="002F2507"/>
    <w:rsid w:val="002F3F68"/>
    <w:rsid w:val="002F5E6E"/>
    <w:rsid w:val="002F6683"/>
    <w:rsid w:val="002F7CF6"/>
    <w:rsid w:val="002F7FB7"/>
    <w:rsid w:val="00300D51"/>
    <w:rsid w:val="0030105D"/>
    <w:rsid w:val="00302208"/>
    <w:rsid w:val="00302A6A"/>
    <w:rsid w:val="00303B8F"/>
    <w:rsid w:val="00305626"/>
    <w:rsid w:val="003058E0"/>
    <w:rsid w:val="003061D0"/>
    <w:rsid w:val="00306356"/>
    <w:rsid w:val="003069BD"/>
    <w:rsid w:val="00306F02"/>
    <w:rsid w:val="003075AA"/>
    <w:rsid w:val="0030792A"/>
    <w:rsid w:val="00307B69"/>
    <w:rsid w:val="00310989"/>
    <w:rsid w:val="00311A12"/>
    <w:rsid w:val="00312054"/>
    <w:rsid w:val="00314A08"/>
    <w:rsid w:val="00314D50"/>
    <w:rsid w:val="003150ED"/>
    <w:rsid w:val="00315AA1"/>
    <w:rsid w:val="00320E12"/>
    <w:rsid w:val="00321731"/>
    <w:rsid w:val="00321A38"/>
    <w:rsid w:val="00321BD0"/>
    <w:rsid w:val="0032262B"/>
    <w:rsid w:val="0032290F"/>
    <w:rsid w:val="00323EEF"/>
    <w:rsid w:val="003244EC"/>
    <w:rsid w:val="0033028B"/>
    <w:rsid w:val="00331C68"/>
    <w:rsid w:val="00332130"/>
    <w:rsid w:val="00332D0E"/>
    <w:rsid w:val="00333B4F"/>
    <w:rsid w:val="0033443F"/>
    <w:rsid w:val="00334AAF"/>
    <w:rsid w:val="003352E3"/>
    <w:rsid w:val="003378AB"/>
    <w:rsid w:val="003405D2"/>
    <w:rsid w:val="0034087F"/>
    <w:rsid w:val="00340D2B"/>
    <w:rsid w:val="00341C35"/>
    <w:rsid w:val="0034244F"/>
    <w:rsid w:val="00342CD1"/>
    <w:rsid w:val="00343445"/>
    <w:rsid w:val="00343540"/>
    <w:rsid w:val="003436D7"/>
    <w:rsid w:val="00343B80"/>
    <w:rsid w:val="00343CA4"/>
    <w:rsid w:val="00343FFE"/>
    <w:rsid w:val="0034445F"/>
    <w:rsid w:val="00344686"/>
    <w:rsid w:val="00344B66"/>
    <w:rsid w:val="00344D86"/>
    <w:rsid w:val="0034536C"/>
    <w:rsid w:val="0034594F"/>
    <w:rsid w:val="00347122"/>
    <w:rsid w:val="00347222"/>
    <w:rsid w:val="003503FE"/>
    <w:rsid w:val="00351265"/>
    <w:rsid w:val="00351EF8"/>
    <w:rsid w:val="003534E5"/>
    <w:rsid w:val="003542D7"/>
    <w:rsid w:val="003543CF"/>
    <w:rsid w:val="00355BB9"/>
    <w:rsid w:val="003560F4"/>
    <w:rsid w:val="00356746"/>
    <w:rsid w:val="003576AE"/>
    <w:rsid w:val="00357C5A"/>
    <w:rsid w:val="00360299"/>
    <w:rsid w:val="00360EF0"/>
    <w:rsid w:val="00362076"/>
    <w:rsid w:val="003621C3"/>
    <w:rsid w:val="003630D4"/>
    <w:rsid w:val="003653F3"/>
    <w:rsid w:val="00367DF3"/>
    <w:rsid w:val="00371C3D"/>
    <w:rsid w:val="0037283A"/>
    <w:rsid w:val="003729B0"/>
    <w:rsid w:val="00372BDE"/>
    <w:rsid w:val="00373128"/>
    <w:rsid w:val="00373AE2"/>
    <w:rsid w:val="00373DBD"/>
    <w:rsid w:val="0037484A"/>
    <w:rsid w:val="00374975"/>
    <w:rsid w:val="00374C6F"/>
    <w:rsid w:val="0037664D"/>
    <w:rsid w:val="003804BC"/>
    <w:rsid w:val="003805E8"/>
    <w:rsid w:val="0038101A"/>
    <w:rsid w:val="003811F0"/>
    <w:rsid w:val="00381601"/>
    <w:rsid w:val="003816EB"/>
    <w:rsid w:val="00381BB6"/>
    <w:rsid w:val="003831C5"/>
    <w:rsid w:val="0038456D"/>
    <w:rsid w:val="003849A9"/>
    <w:rsid w:val="00384D8E"/>
    <w:rsid w:val="00386F65"/>
    <w:rsid w:val="00387269"/>
    <w:rsid w:val="00387C16"/>
    <w:rsid w:val="0039023A"/>
    <w:rsid w:val="00390581"/>
    <w:rsid w:val="003908D5"/>
    <w:rsid w:val="00391E63"/>
    <w:rsid w:val="00391FB7"/>
    <w:rsid w:val="00392DBB"/>
    <w:rsid w:val="00393CE2"/>
    <w:rsid w:val="003942A9"/>
    <w:rsid w:val="003949F6"/>
    <w:rsid w:val="00397BDF"/>
    <w:rsid w:val="003A18AB"/>
    <w:rsid w:val="003A18E6"/>
    <w:rsid w:val="003A28C4"/>
    <w:rsid w:val="003A2C38"/>
    <w:rsid w:val="003A2CE3"/>
    <w:rsid w:val="003A3EB2"/>
    <w:rsid w:val="003A4EBE"/>
    <w:rsid w:val="003A63F2"/>
    <w:rsid w:val="003A716B"/>
    <w:rsid w:val="003A75A9"/>
    <w:rsid w:val="003A7DC3"/>
    <w:rsid w:val="003B0168"/>
    <w:rsid w:val="003B0515"/>
    <w:rsid w:val="003B09FE"/>
    <w:rsid w:val="003B0BF4"/>
    <w:rsid w:val="003B1A9E"/>
    <w:rsid w:val="003B27ED"/>
    <w:rsid w:val="003B2C61"/>
    <w:rsid w:val="003B37CA"/>
    <w:rsid w:val="003B398F"/>
    <w:rsid w:val="003B3AE3"/>
    <w:rsid w:val="003B42E2"/>
    <w:rsid w:val="003B4988"/>
    <w:rsid w:val="003B4BF2"/>
    <w:rsid w:val="003B70AE"/>
    <w:rsid w:val="003B7202"/>
    <w:rsid w:val="003C0EE1"/>
    <w:rsid w:val="003C1016"/>
    <w:rsid w:val="003C10A7"/>
    <w:rsid w:val="003C1334"/>
    <w:rsid w:val="003C34A7"/>
    <w:rsid w:val="003C353B"/>
    <w:rsid w:val="003C36FA"/>
    <w:rsid w:val="003C3B61"/>
    <w:rsid w:val="003C4145"/>
    <w:rsid w:val="003C52D1"/>
    <w:rsid w:val="003C6FEE"/>
    <w:rsid w:val="003C742D"/>
    <w:rsid w:val="003D01D8"/>
    <w:rsid w:val="003D0665"/>
    <w:rsid w:val="003D13D2"/>
    <w:rsid w:val="003D1B2B"/>
    <w:rsid w:val="003D22E1"/>
    <w:rsid w:val="003D326E"/>
    <w:rsid w:val="003D5654"/>
    <w:rsid w:val="003D5D85"/>
    <w:rsid w:val="003D6D8C"/>
    <w:rsid w:val="003E0702"/>
    <w:rsid w:val="003E0CE6"/>
    <w:rsid w:val="003E0D66"/>
    <w:rsid w:val="003E1E62"/>
    <w:rsid w:val="003E25E2"/>
    <w:rsid w:val="003E3CC6"/>
    <w:rsid w:val="003E4965"/>
    <w:rsid w:val="003E4B87"/>
    <w:rsid w:val="003E60B5"/>
    <w:rsid w:val="003E659F"/>
    <w:rsid w:val="003E71D2"/>
    <w:rsid w:val="003E7730"/>
    <w:rsid w:val="003F0957"/>
    <w:rsid w:val="003F177F"/>
    <w:rsid w:val="003F1D5C"/>
    <w:rsid w:val="003F21E2"/>
    <w:rsid w:val="003F293F"/>
    <w:rsid w:val="003F2C91"/>
    <w:rsid w:val="003F67FB"/>
    <w:rsid w:val="003F68D4"/>
    <w:rsid w:val="00401028"/>
    <w:rsid w:val="00404E35"/>
    <w:rsid w:val="00406E3D"/>
    <w:rsid w:val="00413B85"/>
    <w:rsid w:val="004144EE"/>
    <w:rsid w:val="00414AE0"/>
    <w:rsid w:val="00414E57"/>
    <w:rsid w:val="00415A9F"/>
    <w:rsid w:val="00416592"/>
    <w:rsid w:val="00417588"/>
    <w:rsid w:val="00417780"/>
    <w:rsid w:val="00417DBC"/>
    <w:rsid w:val="00420659"/>
    <w:rsid w:val="0042066B"/>
    <w:rsid w:val="004208F3"/>
    <w:rsid w:val="004216B6"/>
    <w:rsid w:val="00421AC9"/>
    <w:rsid w:val="00421BF9"/>
    <w:rsid w:val="00425661"/>
    <w:rsid w:val="00426242"/>
    <w:rsid w:val="00426CDA"/>
    <w:rsid w:val="00427183"/>
    <w:rsid w:val="00427580"/>
    <w:rsid w:val="00427A14"/>
    <w:rsid w:val="00433559"/>
    <w:rsid w:val="00434984"/>
    <w:rsid w:val="00434B3D"/>
    <w:rsid w:val="0043686D"/>
    <w:rsid w:val="0044088C"/>
    <w:rsid w:val="004409BD"/>
    <w:rsid w:val="004412D4"/>
    <w:rsid w:val="00441A0F"/>
    <w:rsid w:val="00442D45"/>
    <w:rsid w:val="00443A35"/>
    <w:rsid w:val="00443A4D"/>
    <w:rsid w:val="004443E4"/>
    <w:rsid w:val="004453D8"/>
    <w:rsid w:val="00447C46"/>
    <w:rsid w:val="00450A27"/>
    <w:rsid w:val="00452442"/>
    <w:rsid w:val="004527ED"/>
    <w:rsid w:val="004528FB"/>
    <w:rsid w:val="00453FCC"/>
    <w:rsid w:val="0045449E"/>
    <w:rsid w:val="00455EC6"/>
    <w:rsid w:val="004569B2"/>
    <w:rsid w:val="00457B7F"/>
    <w:rsid w:val="0046207B"/>
    <w:rsid w:val="00462182"/>
    <w:rsid w:val="004628E3"/>
    <w:rsid w:val="00462C18"/>
    <w:rsid w:val="00463264"/>
    <w:rsid w:val="004643AF"/>
    <w:rsid w:val="004645DA"/>
    <w:rsid w:val="0046461A"/>
    <w:rsid w:val="0046531B"/>
    <w:rsid w:val="00465B55"/>
    <w:rsid w:val="004675D3"/>
    <w:rsid w:val="00467B2A"/>
    <w:rsid w:val="00467DA7"/>
    <w:rsid w:val="004703ED"/>
    <w:rsid w:val="00471F8D"/>
    <w:rsid w:val="00472232"/>
    <w:rsid w:val="004726B3"/>
    <w:rsid w:val="00472D2D"/>
    <w:rsid w:val="00472EAC"/>
    <w:rsid w:val="00473191"/>
    <w:rsid w:val="00473375"/>
    <w:rsid w:val="004734CC"/>
    <w:rsid w:val="004735BA"/>
    <w:rsid w:val="0047371A"/>
    <w:rsid w:val="00474E7B"/>
    <w:rsid w:val="0047585D"/>
    <w:rsid w:val="00475919"/>
    <w:rsid w:val="004759CB"/>
    <w:rsid w:val="00475D38"/>
    <w:rsid w:val="00476B73"/>
    <w:rsid w:val="00476F87"/>
    <w:rsid w:val="00477B20"/>
    <w:rsid w:val="00477C7D"/>
    <w:rsid w:val="004823CC"/>
    <w:rsid w:val="004827DF"/>
    <w:rsid w:val="00483783"/>
    <w:rsid w:val="00483F7E"/>
    <w:rsid w:val="004841D6"/>
    <w:rsid w:val="0048439E"/>
    <w:rsid w:val="00484FC0"/>
    <w:rsid w:val="00486027"/>
    <w:rsid w:val="0048798B"/>
    <w:rsid w:val="004900E7"/>
    <w:rsid w:val="0049132E"/>
    <w:rsid w:val="00491EC4"/>
    <w:rsid w:val="00493350"/>
    <w:rsid w:val="0049357F"/>
    <w:rsid w:val="00494F38"/>
    <w:rsid w:val="0049627A"/>
    <w:rsid w:val="004A0C4C"/>
    <w:rsid w:val="004A1520"/>
    <w:rsid w:val="004A2888"/>
    <w:rsid w:val="004A39A2"/>
    <w:rsid w:val="004A6A11"/>
    <w:rsid w:val="004A6F71"/>
    <w:rsid w:val="004A72F3"/>
    <w:rsid w:val="004A75CF"/>
    <w:rsid w:val="004A7A50"/>
    <w:rsid w:val="004B0063"/>
    <w:rsid w:val="004B074E"/>
    <w:rsid w:val="004B0FBE"/>
    <w:rsid w:val="004B1393"/>
    <w:rsid w:val="004B1827"/>
    <w:rsid w:val="004B236C"/>
    <w:rsid w:val="004B258D"/>
    <w:rsid w:val="004B33DC"/>
    <w:rsid w:val="004B3C5E"/>
    <w:rsid w:val="004B5A4E"/>
    <w:rsid w:val="004B5DD6"/>
    <w:rsid w:val="004B5F2B"/>
    <w:rsid w:val="004B6766"/>
    <w:rsid w:val="004B7B3B"/>
    <w:rsid w:val="004B7DDB"/>
    <w:rsid w:val="004B7E92"/>
    <w:rsid w:val="004C18E5"/>
    <w:rsid w:val="004C1F77"/>
    <w:rsid w:val="004C4535"/>
    <w:rsid w:val="004C4BB2"/>
    <w:rsid w:val="004C5EAD"/>
    <w:rsid w:val="004C74EF"/>
    <w:rsid w:val="004D0C90"/>
    <w:rsid w:val="004D12C0"/>
    <w:rsid w:val="004D2853"/>
    <w:rsid w:val="004D2DC7"/>
    <w:rsid w:val="004D4B7C"/>
    <w:rsid w:val="004D5114"/>
    <w:rsid w:val="004D52FD"/>
    <w:rsid w:val="004D6764"/>
    <w:rsid w:val="004E0B35"/>
    <w:rsid w:val="004E479C"/>
    <w:rsid w:val="004E4A6B"/>
    <w:rsid w:val="004E5D42"/>
    <w:rsid w:val="004E657B"/>
    <w:rsid w:val="004E72C6"/>
    <w:rsid w:val="004F0A7E"/>
    <w:rsid w:val="004F1995"/>
    <w:rsid w:val="004F24A9"/>
    <w:rsid w:val="004F34A0"/>
    <w:rsid w:val="004F457F"/>
    <w:rsid w:val="004F4C6F"/>
    <w:rsid w:val="004F5118"/>
    <w:rsid w:val="004F58AB"/>
    <w:rsid w:val="004F5A13"/>
    <w:rsid w:val="004F5AC8"/>
    <w:rsid w:val="004F6B9B"/>
    <w:rsid w:val="004F73D4"/>
    <w:rsid w:val="004F7DF7"/>
    <w:rsid w:val="00503206"/>
    <w:rsid w:val="00503761"/>
    <w:rsid w:val="00504DD0"/>
    <w:rsid w:val="00504EFA"/>
    <w:rsid w:val="00506326"/>
    <w:rsid w:val="00507378"/>
    <w:rsid w:val="005102BC"/>
    <w:rsid w:val="00511ABC"/>
    <w:rsid w:val="00512D61"/>
    <w:rsid w:val="00514D8D"/>
    <w:rsid w:val="00515002"/>
    <w:rsid w:val="00517B52"/>
    <w:rsid w:val="0052107E"/>
    <w:rsid w:val="00522D34"/>
    <w:rsid w:val="00523F3C"/>
    <w:rsid w:val="0052438F"/>
    <w:rsid w:val="00525A5B"/>
    <w:rsid w:val="00525CD6"/>
    <w:rsid w:val="00525D22"/>
    <w:rsid w:val="005269A0"/>
    <w:rsid w:val="005303DF"/>
    <w:rsid w:val="005319F2"/>
    <w:rsid w:val="00532102"/>
    <w:rsid w:val="00532E71"/>
    <w:rsid w:val="0053478D"/>
    <w:rsid w:val="00534790"/>
    <w:rsid w:val="00537289"/>
    <w:rsid w:val="00537562"/>
    <w:rsid w:val="00537FBE"/>
    <w:rsid w:val="00540605"/>
    <w:rsid w:val="00542EBA"/>
    <w:rsid w:val="0054359F"/>
    <w:rsid w:val="005437F9"/>
    <w:rsid w:val="00544AEE"/>
    <w:rsid w:val="00544F05"/>
    <w:rsid w:val="00545703"/>
    <w:rsid w:val="0054602B"/>
    <w:rsid w:val="00546DF9"/>
    <w:rsid w:val="00546FB0"/>
    <w:rsid w:val="005476F1"/>
    <w:rsid w:val="00547D3A"/>
    <w:rsid w:val="00550348"/>
    <w:rsid w:val="0055120B"/>
    <w:rsid w:val="0055294D"/>
    <w:rsid w:val="00553A4A"/>
    <w:rsid w:val="0055634A"/>
    <w:rsid w:val="0056055C"/>
    <w:rsid w:val="00560F17"/>
    <w:rsid w:val="00561FC2"/>
    <w:rsid w:val="00562AFE"/>
    <w:rsid w:val="0056341F"/>
    <w:rsid w:val="00563E2A"/>
    <w:rsid w:val="005647B9"/>
    <w:rsid w:val="005649A4"/>
    <w:rsid w:val="00565C19"/>
    <w:rsid w:val="00566AEB"/>
    <w:rsid w:val="00567B7A"/>
    <w:rsid w:val="00570687"/>
    <w:rsid w:val="005710D2"/>
    <w:rsid w:val="00571152"/>
    <w:rsid w:val="00571304"/>
    <w:rsid w:val="00571365"/>
    <w:rsid w:val="0057165A"/>
    <w:rsid w:val="005719B5"/>
    <w:rsid w:val="00573CA6"/>
    <w:rsid w:val="00574481"/>
    <w:rsid w:val="00574FB8"/>
    <w:rsid w:val="00580389"/>
    <w:rsid w:val="0058058C"/>
    <w:rsid w:val="005808F9"/>
    <w:rsid w:val="00580A5A"/>
    <w:rsid w:val="00581031"/>
    <w:rsid w:val="0058492C"/>
    <w:rsid w:val="00584EC9"/>
    <w:rsid w:val="00585AF0"/>
    <w:rsid w:val="005862F8"/>
    <w:rsid w:val="00586631"/>
    <w:rsid w:val="005868C8"/>
    <w:rsid w:val="00586B47"/>
    <w:rsid w:val="00586BD3"/>
    <w:rsid w:val="00587601"/>
    <w:rsid w:val="00587ED2"/>
    <w:rsid w:val="005905CD"/>
    <w:rsid w:val="00591CA0"/>
    <w:rsid w:val="00595198"/>
    <w:rsid w:val="00597120"/>
    <w:rsid w:val="00597498"/>
    <w:rsid w:val="00597548"/>
    <w:rsid w:val="005A159D"/>
    <w:rsid w:val="005A253C"/>
    <w:rsid w:val="005A30DA"/>
    <w:rsid w:val="005A5729"/>
    <w:rsid w:val="005B127E"/>
    <w:rsid w:val="005B294A"/>
    <w:rsid w:val="005B2E7F"/>
    <w:rsid w:val="005B2F15"/>
    <w:rsid w:val="005B3E78"/>
    <w:rsid w:val="005B4F0E"/>
    <w:rsid w:val="005B6A6E"/>
    <w:rsid w:val="005B7B0C"/>
    <w:rsid w:val="005C0022"/>
    <w:rsid w:val="005C04D8"/>
    <w:rsid w:val="005C100C"/>
    <w:rsid w:val="005C1D18"/>
    <w:rsid w:val="005C1D71"/>
    <w:rsid w:val="005C31C6"/>
    <w:rsid w:val="005C3239"/>
    <w:rsid w:val="005C3D24"/>
    <w:rsid w:val="005C41E5"/>
    <w:rsid w:val="005C4600"/>
    <w:rsid w:val="005C4998"/>
    <w:rsid w:val="005C50F7"/>
    <w:rsid w:val="005C5930"/>
    <w:rsid w:val="005C5C0C"/>
    <w:rsid w:val="005C655B"/>
    <w:rsid w:val="005C6BD3"/>
    <w:rsid w:val="005C7211"/>
    <w:rsid w:val="005D07E4"/>
    <w:rsid w:val="005D0B5D"/>
    <w:rsid w:val="005D0DB0"/>
    <w:rsid w:val="005D1174"/>
    <w:rsid w:val="005D2672"/>
    <w:rsid w:val="005D2A51"/>
    <w:rsid w:val="005D2E5E"/>
    <w:rsid w:val="005D51FF"/>
    <w:rsid w:val="005D5A96"/>
    <w:rsid w:val="005D5F3C"/>
    <w:rsid w:val="005D5FB8"/>
    <w:rsid w:val="005E136A"/>
    <w:rsid w:val="005E18A2"/>
    <w:rsid w:val="005E1930"/>
    <w:rsid w:val="005E1B11"/>
    <w:rsid w:val="005E249F"/>
    <w:rsid w:val="005E48D3"/>
    <w:rsid w:val="005E4AF7"/>
    <w:rsid w:val="005E4AFF"/>
    <w:rsid w:val="005E7313"/>
    <w:rsid w:val="005F18C0"/>
    <w:rsid w:val="005F2D1F"/>
    <w:rsid w:val="005F4D4D"/>
    <w:rsid w:val="005F548E"/>
    <w:rsid w:val="005F7BF9"/>
    <w:rsid w:val="00600068"/>
    <w:rsid w:val="006003A6"/>
    <w:rsid w:val="00601390"/>
    <w:rsid w:val="00602434"/>
    <w:rsid w:val="00602DB7"/>
    <w:rsid w:val="00603B14"/>
    <w:rsid w:val="00603BC0"/>
    <w:rsid w:val="00604B15"/>
    <w:rsid w:val="0060519C"/>
    <w:rsid w:val="00605B4E"/>
    <w:rsid w:val="006073BC"/>
    <w:rsid w:val="006103E6"/>
    <w:rsid w:val="006109AD"/>
    <w:rsid w:val="006113B3"/>
    <w:rsid w:val="0061174D"/>
    <w:rsid w:val="006129E6"/>
    <w:rsid w:val="00613FD5"/>
    <w:rsid w:val="00614067"/>
    <w:rsid w:val="006160BA"/>
    <w:rsid w:val="00616513"/>
    <w:rsid w:val="00617404"/>
    <w:rsid w:val="00617FF9"/>
    <w:rsid w:val="00620BA4"/>
    <w:rsid w:val="00620EE5"/>
    <w:rsid w:val="006211B5"/>
    <w:rsid w:val="00622691"/>
    <w:rsid w:val="006226A6"/>
    <w:rsid w:val="00624D86"/>
    <w:rsid w:val="0062677F"/>
    <w:rsid w:val="00626F36"/>
    <w:rsid w:val="00627976"/>
    <w:rsid w:val="00630117"/>
    <w:rsid w:val="00632088"/>
    <w:rsid w:val="00633FFC"/>
    <w:rsid w:val="006349EE"/>
    <w:rsid w:val="00634B20"/>
    <w:rsid w:val="00634C04"/>
    <w:rsid w:val="00635301"/>
    <w:rsid w:val="00636B98"/>
    <w:rsid w:val="00637074"/>
    <w:rsid w:val="00640574"/>
    <w:rsid w:val="00640A41"/>
    <w:rsid w:val="006410C4"/>
    <w:rsid w:val="00641D93"/>
    <w:rsid w:val="00642E86"/>
    <w:rsid w:val="00642F59"/>
    <w:rsid w:val="00643EEA"/>
    <w:rsid w:val="00644D61"/>
    <w:rsid w:val="0064654E"/>
    <w:rsid w:val="0064672C"/>
    <w:rsid w:val="006474D8"/>
    <w:rsid w:val="0065243A"/>
    <w:rsid w:val="0065323C"/>
    <w:rsid w:val="00653691"/>
    <w:rsid w:val="00653FCC"/>
    <w:rsid w:val="00654F4D"/>
    <w:rsid w:val="00655B1E"/>
    <w:rsid w:val="006578F7"/>
    <w:rsid w:val="00660129"/>
    <w:rsid w:val="00661244"/>
    <w:rsid w:val="006619FA"/>
    <w:rsid w:val="006628E6"/>
    <w:rsid w:val="00664558"/>
    <w:rsid w:val="006646F6"/>
    <w:rsid w:val="006647D0"/>
    <w:rsid w:val="006654CE"/>
    <w:rsid w:val="00665C55"/>
    <w:rsid w:val="00665F94"/>
    <w:rsid w:val="006661B0"/>
    <w:rsid w:val="00666B32"/>
    <w:rsid w:val="00666F89"/>
    <w:rsid w:val="00670242"/>
    <w:rsid w:val="00671834"/>
    <w:rsid w:val="00672CBB"/>
    <w:rsid w:val="006747B5"/>
    <w:rsid w:val="006754A5"/>
    <w:rsid w:val="006758A7"/>
    <w:rsid w:val="00676483"/>
    <w:rsid w:val="00676F6A"/>
    <w:rsid w:val="0068065D"/>
    <w:rsid w:val="00682395"/>
    <w:rsid w:val="00682A8E"/>
    <w:rsid w:val="0068462F"/>
    <w:rsid w:val="00684E74"/>
    <w:rsid w:val="00685889"/>
    <w:rsid w:val="00685CDE"/>
    <w:rsid w:val="00685FEB"/>
    <w:rsid w:val="00686733"/>
    <w:rsid w:val="00690245"/>
    <w:rsid w:val="00690F4E"/>
    <w:rsid w:val="006916B0"/>
    <w:rsid w:val="00691985"/>
    <w:rsid w:val="006919A6"/>
    <w:rsid w:val="00691AB2"/>
    <w:rsid w:val="006922F4"/>
    <w:rsid w:val="0069235A"/>
    <w:rsid w:val="0069295E"/>
    <w:rsid w:val="006943A2"/>
    <w:rsid w:val="006951E8"/>
    <w:rsid w:val="0069535F"/>
    <w:rsid w:val="006A1436"/>
    <w:rsid w:val="006A1895"/>
    <w:rsid w:val="006A298A"/>
    <w:rsid w:val="006A3147"/>
    <w:rsid w:val="006A31EC"/>
    <w:rsid w:val="006A3D64"/>
    <w:rsid w:val="006A3E27"/>
    <w:rsid w:val="006A5451"/>
    <w:rsid w:val="006A5851"/>
    <w:rsid w:val="006A61B4"/>
    <w:rsid w:val="006B0393"/>
    <w:rsid w:val="006B06BB"/>
    <w:rsid w:val="006B34C6"/>
    <w:rsid w:val="006B36E0"/>
    <w:rsid w:val="006B3CD7"/>
    <w:rsid w:val="006B53D6"/>
    <w:rsid w:val="006B5610"/>
    <w:rsid w:val="006B6CDE"/>
    <w:rsid w:val="006C12B3"/>
    <w:rsid w:val="006C2E81"/>
    <w:rsid w:val="006C2E8D"/>
    <w:rsid w:val="006C31FE"/>
    <w:rsid w:val="006C4438"/>
    <w:rsid w:val="006C4EB2"/>
    <w:rsid w:val="006C50A7"/>
    <w:rsid w:val="006C608D"/>
    <w:rsid w:val="006C78E9"/>
    <w:rsid w:val="006D2286"/>
    <w:rsid w:val="006D2463"/>
    <w:rsid w:val="006D276A"/>
    <w:rsid w:val="006D29C0"/>
    <w:rsid w:val="006D2DC2"/>
    <w:rsid w:val="006D3E2D"/>
    <w:rsid w:val="006D3FB8"/>
    <w:rsid w:val="006D4D44"/>
    <w:rsid w:val="006D4DAC"/>
    <w:rsid w:val="006D6406"/>
    <w:rsid w:val="006E04FC"/>
    <w:rsid w:val="006E0F6C"/>
    <w:rsid w:val="006E128D"/>
    <w:rsid w:val="006E1F03"/>
    <w:rsid w:val="006E283A"/>
    <w:rsid w:val="006E3976"/>
    <w:rsid w:val="006E3F0C"/>
    <w:rsid w:val="006E4BB5"/>
    <w:rsid w:val="006E5987"/>
    <w:rsid w:val="006E5B37"/>
    <w:rsid w:val="006E6045"/>
    <w:rsid w:val="006E6D40"/>
    <w:rsid w:val="006F0088"/>
    <w:rsid w:val="006F01CC"/>
    <w:rsid w:val="006F19A9"/>
    <w:rsid w:val="006F1B5A"/>
    <w:rsid w:val="006F1BB3"/>
    <w:rsid w:val="006F20B3"/>
    <w:rsid w:val="006F3747"/>
    <w:rsid w:val="006F4063"/>
    <w:rsid w:val="006F4775"/>
    <w:rsid w:val="006F650E"/>
    <w:rsid w:val="006F7C68"/>
    <w:rsid w:val="006F7ED3"/>
    <w:rsid w:val="0070033A"/>
    <w:rsid w:val="00701725"/>
    <w:rsid w:val="00702D73"/>
    <w:rsid w:val="0070407E"/>
    <w:rsid w:val="007048F7"/>
    <w:rsid w:val="0070494A"/>
    <w:rsid w:val="00705BA7"/>
    <w:rsid w:val="0070744B"/>
    <w:rsid w:val="00707FB8"/>
    <w:rsid w:val="00710380"/>
    <w:rsid w:val="00710CAB"/>
    <w:rsid w:val="007118B6"/>
    <w:rsid w:val="00712457"/>
    <w:rsid w:val="00712DA3"/>
    <w:rsid w:val="0071353B"/>
    <w:rsid w:val="00713A5F"/>
    <w:rsid w:val="00713FF2"/>
    <w:rsid w:val="00716E24"/>
    <w:rsid w:val="00717593"/>
    <w:rsid w:val="00720B3B"/>
    <w:rsid w:val="0072177F"/>
    <w:rsid w:val="007223BC"/>
    <w:rsid w:val="007225D1"/>
    <w:rsid w:val="007232A0"/>
    <w:rsid w:val="0072377F"/>
    <w:rsid w:val="007244B8"/>
    <w:rsid w:val="0072562D"/>
    <w:rsid w:val="00726B07"/>
    <w:rsid w:val="00726B56"/>
    <w:rsid w:val="00726E77"/>
    <w:rsid w:val="007278E9"/>
    <w:rsid w:val="00727914"/>
    <w:rsid w:val="007301E1"/>
    <w:rsid w:val="00730349"/>
    <w:rsid w:val="00732173"/>
    <w:rsid w:val="007325E3"/>
    <w:rsid w:val="0073495B"/>
    <w:rsid w:val="00735988"/>
    <w:rsid w:val="00735B81"/>
    <w:rsid w:val="00735C7E"/>
    <w:rsid w:val="00735E0F"/>
    <w:rsid w:val="007369A6"/>
    <w:rsid w:val="0073764B"/>
    <w:rsid w:val="00741A93"/>
    <w:rsid w:val="00741F0C"/>
    <w:rsid w:val="00742D43"/>
    <w:rsid w:val="00743485"/>
    <w:rsid w:val="00745110"/>
    <w:rsid w:val="00745322"/>
    <w:rsid w:val="007457E1"/>
    <w:rsid w:val="00746315"/>
    <w:rsid w:val="0074776B"/>
    <w:rsid w:val="00747779"/>
    <w:rsid w:val="007500C5"/>
    <w:rsid w:val="007517D7"/>
    <w:rsid w:val="00752983"/>
    <w:rsid w:val="00754527"/>
    <w:rsid w:val="00755402"/>
    <w:rsid w:val="00755429"/>
    <w:rsid w:val="007556B9"/>
    <w:rsid w:val="007561C2"/>
    <w:rsid w:val="00756602"/>
    <w:rsid w:val="00756746"/>
    <w:rsid w:val="00757530"/>
    <w:rsid w:val="007578FD"/>
    <w:rsid w:val="00757C97"/>
    <w:rsid w:val="0076042C"/>
    <w:rsid w:val="007604B1"/>
    <w:rsid w:val="007605CF"/>
    <w:rsid w:val="00761291"/>
    <w:rsid w:val="00761FA9"/>
    <w:rsid w:val="00762373"/>
    <w:rsid w:val="007645C5"/>
    <w:rsid w:val="00764A65"/>
    <w:rsid w:val="00767DAF"/>
    <w:rsid w:val="00770D43"/>
    <w:rsid w:val="007713D1"/>
    <w:rsid w:val="007718EF"/>
    <w:rsid w:val="00771B0F"/>
    <w:rsid w:val="00771C90"/>
    <w:rsid w:val="007723E4"/>
    <w:rsid w:val="00772826"/>
    <w:rsid w:val="00772D92"/>
    <w:rsid w:val="007731F6"/>
    <w:rsid w:val="00775B95"/>
    <w:rsid w:val="007765D3"/>
    <w:rsid w:val="007767B3"/>
    <w:rsid w:val="007778C5"/>
    <w:rsid w:val="00780F7F"/>
    <w:rsid w:val="00781725"/>
    <w:rsid w:val="00781E5E"/>
    <w:rsid w:val="00781F30"/>
    <w:rsid w:val="00782030"/>
    <w:rsid w:val="00782085"/>
    <w:rsid w:val="00782BFC"/>
    <w:rsid w:val="0078371C"/>
    <w:rsid w:val="007847B9"/>
    <w:rsid w:val="007867BF"/>
    <w:rsid w:val="007868B1"/>
    <w:rsid w:val="00787654"/>
    <w:rsid w:val="00791093"/>
    <w:rsid w:val="007914F6"/>
    <w:rsid w:val="00791A53"/>
    <w:rsid w:val="00791C45"/>
    <w:rsid w:val="007928B9"/>
    <w:rsid w:val="00793597"/>
    <w:rsid w:val="007937B1"/>
    <w:rsid w:val="00793B2B"/>
    <w:rsid w:val="007945A4"/>
    <w:rsid w:val="00794B51"/>
    <w:rsid w:val="00794FDD"/>
    <w:rsid w:val="007955BC"/>
    <w:rsid w:val="00795732"/>
    <w:rsid w:val="00795C6D"/>
    <w:rsid w:val="00796495"/>
    <w:rsid w:val="00796FD4"/>
    <w:rsid w:val="00797096"/>
    <w:rsid w:val="007978AE"/>
    <w:rsid w:val="007A05B3"/>
    <w:rsid w:val="007A0940"/>
    <w:rsid w:val="007A12CA"/>
    <w:rsid w:val="007A1829"/>
    <w:rsid w:val="007A2627"/>
    <w:rsid w:val="007A3524"/>
    <w:rsid w:val="007A3A93"/>
    <w:rsid w:val="007A405E"/>
    <w:rsid w:val="007A461E"/>
    <w:rsid w:val="007A4C32"/>
    <w:rsid w:val="007A4F6D"/>
    <w:rsid w:val="007A551C"/>
    <w:rsid w:val="007A5B11"/>
    <w:rsid w:val="007B02B6"/>
    <w:rsid w:val="007B0A76"/>
    <w:rsid w:val="007B4D44"/>
    <w:rsid w:val="007B53EA"/>
    <w:rsid w:val="007B56EC"/>
    <w:rsid w:val="007B5DD3"/>
    <w:rsid w:val="007B69B6"/>
    <w:rsid w:val="007B7557"/>
    <w:rsid w:val="007C2542"/>
    <w:rsid w:val="007C2609"/>
    <w:rsid w:val="007C2746"/>
    <w:rsid w:val="007C2A1B"/>
    <w:rsid w:val="007C3CF8"/>
    <w:rsid w:val="007C3FA2"/>
    <w:rsid w:val="007C44F0"/>
    <w:rsid w:val="007C46A0"/>
    <w:rsid w:val="007C5160"/>
    <w:rsid w:val="007C6CD8"/>
    <w:rsid w:val="007C7376"/>
    <w:rsid w:val="007D1825"/>
    <w:rsid w:val="007D26AE"/>
    <w:rsid w:val="007D292A"/>
    <w:rsid w:val="007D3447"/>
    <w:rsid w:val="007D42F7"/>
    <w:rsid w:val="007D6AE0"/>
    <w:rsid w:val="007E0771"/>
    <w:rsid w:val="007E10A1"/>
    <w:rsid w:val="007E2C1E"/>
    <w:rsid w:val="007E6BD5"/>
    <w:rsid w:val="007F0011"/>
    <w:rsid w:val="007F1D8D"/>
    <w:rsid w:val="007F2034"/>
    <w:rsid w:val="007F26B1"/>
    <w:rsid w:val="007F4439"/>
    <w:rsid w:val="007F56D0"/>
    <w:rsid w:val="007F5F9D"/>
    <w:rsid w:val="007F73E8"/>
    <w:rsid w:val="0080051E"/>
    <w:rsid w:val="00803741"/>
    <w:rsid w:val="008047C7"/>
    <w:rsid w:val="00804CEB"/>
    <w:rsid w:val="00804FA5"/>
    <w:rsid w:val="008056A5"/>
    <w:rsid w:val="00805C2F"/>
    <w:rsid w:val="00805C87"/>
    <w:rsid w:val="00805EA4"/>
    <w:rsid w:val="00805F89"/>
    <w:rsid w:val="00806A17"/>
    <w:rsid w:val="00806A27"/>
    <w:rsid w:val="00806BC2"/>
    <w:rsid w:val="00807498"/>
    <w:rsid w:val="0081090A"/>
    <w:rsid w:val="00811159"/>
    <w:rsid w:val="008119D2"/>
    <w:rsid w:val="00812614"/>
    <w:rsid w:val="00812AFE"/>
    <w:rsid w:val="00812C89"/>
    <w:rsid w:val="008141D3"/>
    <w:rsid w:val="00814548"/>
    <w:rsid w:val="00814605"/>
    <w:rsid w:val="008151C5"/>
    <w:rsid w:val="008153D5"/>
    <w:rsid w:val="00815500"/>
    <w:rsid w:val="00815E47"/>
    <w:rsid w:val="00817A42"/>
    <w:rsid w:val="00817F5B"/>
    <w:rsid w:val="0082041B"/>
    <w:rsid w:val="00820DB7"/>
    <w:rsid w:val="008220EF"/>
    <w:rsid w:val="008223FA"/>
    <w:rsid w:val="0082263A"/>
    <w:rsid w:val="008228CF"/>
    <w:rsid w:val="00822FA3"/>
    <w:rsid w:val="00823ABA"/>
    <w:rsid w:val="00823F94"/>
    <w:rsid w:val="00825D53"/>
    <w:rsid w:val="008263C0"/>
    <w:rsid w:val="00827A45"/>
    <w:rsid w:val="008309A0"/>
    <w:rsid w:val="008312F0"/>
    <w:rsid w:val="00831E32"/>
    <w:rsid w:val="008330D0"/>
    <w:rsid w:val="0083359A"/>
    <w:rsid w:val="00833EC3"/>
    <w:rsid w:val="00833FCC"/>
    <w:rsid w:val="0083666F"/>
    <w:rsid w:val="00836A64"/>
    <w:rsid w:val="008376C4"/>
    <w:rsid w:val="00840B26"/>
    <w:rsid w:val="00842636"/>
    <w:rsid w:val="0084448F"/>
    <w:rsid w:val="00844BC1"/>
    <w:rsid w:val="00844BC9"/>
    <w:rsid w:val="0084604C"/>
    <w:rsid w:val="00846EC6"/>
    <w:rsid w:val="00847EDE"/>
    <w:rsid w:val="00850C92"/>
    <w:rsid w:val="008510ED"/>
    <w:rsid w:val="008521A3"/>
    <w:rsid w:val="008522A3"/>
    <w:rsid w:val="008528A7"/>
    <w:rsid w:val="008533F7"/>
    <w:rsid w:val="0085372A"/>
    <w:rsid w:val="00853907"/>
    <w:rsid w:val="0085477A"/>
    <w:rsid w:val="00854DBF"/>
    <w:rsid w:val="0085550E"/>
    <w:rsid w:val="008571E5"/>
    <w:rsid w:val="008607AA"/>
    <w:rsid w:val="008609E2"/>
    <w:rsid w:val="00860D6B"/>
    <w:rsid w:val="00861226"/>
    <w:rsid w:val="008627C8"/>
    <w:rsid w:val="00864D39"/>
    <w:rsid w:val="00865348"/>
    <w:rsid w:val="008656E6"/>
    <w:rsid w:val="00865852"/>
    <w:rsid w:val="00866821"/>
    <w:rsid w:val="008674F9"/>
    <w:rsid w:val="00870CCC"/>
    <w:rsid w:val="00870FC7"/>
    <w:rsid w:val="0087106B"/>
    <w:rsid w:val="00872875"/>
    <w:rsid w:val="0087329F"/>
    <w:rsid w:val="008736B1"/>
    <w:rsid w:val="008737A3"/>
    <w:rsid w:val="00873D26"/>
    <w:rsid w:val="0087463A"/>
    <w:rsid w:val="00876036"/>
    <w:rsid w:val="008769BE"/>
    <w:rsid w:val="00880274"/>
    <w:rsid w:val="00881556"/>
    <w:rsid w:val="0088192C"/>
    <w:rsid w:val="00883A7E"/>
    <w:rsid w:val="00883F3C"/>
    <w:rsid w:val="00884845"/>
    <w:rsid w:val="00885BE7"/>
    <w:rsid w:val="008864D4"/>
    <w:rsid w:val="008866C7"/>
    <w:rsid w:val="0089190A"/>
    <w:rsid w:val="00891BDF"/>
    <w:rsid w:val="00891EF6"/>
    <w:rsid w:val="008928FB"/>
    <w:rsid w:val="008935D6"/>
    <w:rsid w:val="00894B86"/>
    <w:rsid w:val="0089534A"/>
    <w:rsid w:val="00895C76"/>
    <w:rsid w:val="00896387"/>
    <w:rsid w:val="008967B0"/>
    <w:rsid w:val="00896D61"/>
    <w:rsid w:val="008A12C6"/>
    <w:rsid w:val="008A27E2"/>
    <w:rsid w:val="008A298E"/>
    <w:rsid w:val="008A445A"/>
    <w:rsid w:val="008A45E3"/>
    <w:rsid w:val="008A4E5E"/>
    <w:rsid w:val="008A5D0A"/>
    <w:rsid w:val="008A5F08"/>
    <w:rsid w:val="008A6495"/>
    <w:rsid w:val="008A718C"/>
    <w:rsid w:val="008A76CB"/>
    <w:rsid w:val="008A777E"/>
    <w:rsid w:val="008B0745"/>
    <w:rsid w:val="008B1930"/>
    <w:rsid w:val="008B1C18"/>
    <w:rsid w:val="008B2D33"/>
    <w:rsid w:val="008B3018"/>
    <w:rsid w:val="008B4A55"/>
    <w:rsid w:val="008B4C47"/>
    <w:rsid w:val="008B4F48"/>
    <w:rsid w:val="008B6440"/>
    <w:rsid w:val="008B71D5"/>
    <w:rsid w:val="008C05CD"/>
    <w:rsid w:val="008C072C"/>
    <w:rsid w:val="008C12C2"/>
    <w:rsid w:val="008C15B0"/>
    <w:rsid w:val="008C1874"/>
    <w:rsid w:val="008C1A19"/>
    <w:rsid w:val="008C55F3"/>
    <w:rsid w:val="008C6A55"/>
    <w:rsid w:val="008C6D30"/>
    <w:rsid w:val="008D04E9"/>
    <w:rsid w:val="008D0B37"/>
    <w:rsid w:val="008D0CDD"/>
    <w:rsid w:val="008D117E"/>
    <w:rsid w:val="008D199D"/>
    <w:rsid w:val="008D2930"/>
    <w:rsid w:val="008D36D8"/>
    <w:rsid w:val="008D3D6C"/>
    <w:rsid w:val="008D4431"/>
    <w:rsid w:val="008D4BB2"/>
    <w:rsid w:val="008D5173"/>
    <w:rsid w:val="008D6C04"/>
    <w:rsid w:val="008D748E"/>
    <w:rsid w:val="008E0DF1"/>
    <w:rsid w:val="008E1ACC"/>
    <w:rsid w:val="008E2025"/>
    <w:rsid w:val="008E25F0"/>
    <w:rsid w:val="008E2B3F"/>
    <w:rsid w:val="008E2EE8"/>
    <w:rsid w:val="008E39FF"/>
    <w:rsid w:val="008E3C54"/>
    <w:rsid w:val="008E3E69"/>
    <w:rsid w:val="008E562F"/>
    <w:rsid w:val="008E5C8C"/>
    <w:rsid w:val="008E5DCD"/>
    <w:rsid w:val="008E628C"/>
    <w:rsid w:val="008E63A8"/>
    <w:rsid w:val="008E7184"/>
    <w:rsid w:val="008E7768"/>
    <w:rsid w:val="008F025A"/>
    <w:rsid w:val="008F1E38"/>
    <w:rsid w:val="008F2076"/>
    <w:rsid w:val="008F27CC"/>
    <w:rsid w:val="008F297A"/>
    <w:rsid w:val="008F30D6"/>
    <w:rsid w:val="008F39B8"/>
    <w:rsid w:val="008F3EDB"/>
    <w:rsid w:val="008F402A"/>
    <w:rsid w:val="008F43CD"/>
    <w:rsid w:val="008F5E1B"/>
    <w:rsid w:val="008F7F3D"/>
    <w:rsid w:val="00900D75"/>
    <w:rsid w:val="00901BA9"/>
    <w:rsid w:val="009022CB"/>
    <w:rsid w:val="00902571"/>
    <w:rsid w:val="00902792"/>
    <w:rsid w:val="00902D71"/>
    <w:rsid w:val="00903850"/>
    <w:rsid w:val="0090409D"/>
    <w:rsid w:val="00904111"/>
    <w:rsid w:val="00904A3C"/>
    <w:rsid w:val="00904F12"/>
    <w:rsid w:val="00907041"/>
    <w:rsid w:val="0090779E"/>
    <w:rsid w:val="009111F8"/>
    <w:rsid w:val="0091235F"/>
    <w:rsid w:val="00913562"/>
    <w:rsid w:val="0091365E"/>
    <w:rsid w:val="00913F59"/>
    <w:rsid w:val="0091636B"/>
    <w:rsid w:val="00916B77"/>
    <w:rsid w:val="00917239"/>
    <w:rsid w:val="0091797A"/>
    <w:rsid w:val="009203AF"/>
    <w:rsid w:val="00920D0E"/>
    <w:rsid w:val="0092145E"/>
    <w:rsid w:val="00922777"/>
    <w:rsid w:val="0092283F"/>
    <w:rsid w:val="00922FEA"/>
    <w:rsid w:val="009235AF"/>
    <w:rsid w:val="009237CC"/>
    <w:rsid w:val="00924D6D"/>
    <w:rsid w:val="009251C9"/>
    <w:rsid w:val="00925E39"/>
    <w:rsid w:val="00926274"/>
    <w:rsid w:val="009307D9"/>
    <w:rsid w:val="0093121A"/>
    <w:rsid w:val="00931446"/>
    <w:rsid w:val="0093259D"/>
    <w:rsid w:val="0093299B"/>
    <w:rsid w:val="00933245"/>
    <w:rsid w:val="00934158"/>
    <w:rsid w:val="009349A4"/>
    <w:rsid w:val="00934CD4"/>
    <w:rsid w:val="00937833"/>
    <w:rsid w:val="009413EF"/>
    <w:rsid w:val="00941E57"/>
    <w:rsid w:val="0094397A"/>
    <w:rsid w:val="009457FA"/>
    <w:rsid w:val="00947854"/>
    <w:rsid w:val="00947947"/>
    <w:rsid w:val="00950372"/>
    <w:rsid w:val="00950BE0"/>
    <w:rsid w:val="009511CF"/>
    <w:rsid w:val="00953B06"/>
    <w:rsid w:val="00954371"/>
    <w:rsid w:val="009553F1"/>
    <w:rsid w:val="009556FC"/>
    <w:rsid w:val="00955AF3"/>
    <w:rsid w:val="009571E2"/>
    <w:rsid w:val="00957727"/>
    <w:rsid w:val="00961A4B"/>
    <w:rsid w:val="00962C10"/>
    <w:rsid w:val="00963F4B"/>
    <w:rsid w:val="00965B5C"/>
    <w:rsid w:val="0096651F"/>
    <w:rsid w:val="0096723B"/>
    <w:rsid w:val="009675CE"/>
    <w:rsid w:val="009703C8"/>
    <w:rsid w:val="0097042D"/>
    <w:rsid w:val="009704DC"/>
    <w:rsid w:val="00970A74"/>
    <w:rsid w:val="00971A8F"/>
    <w:rsid w:val="00973822"/>
    <w:rsid w:val="00974A71"/>
    <w:rsid w:val="00977854"/>
    <w:rsid w:val="00977E9D"/>
    <w:rsid w:val="00982570"/>
    <w:rsid w:val="009833C2"/>
    <w:rsid w:val="0098341E"/>
    <w:rsid w:val="009835E3"/>
    <w:rsid w:val="009844A5"/>
    <w:rsid w:val="009846DA"/>
    <w:rsid w:val="00984C68"/>
    <w:rsid w:val="00985ED6"/>
    <w:rsid w:val="00986F3F"/>
    <w:rsid w:val="00987DD3"/>
    <w:rsid w:val="00990712"/>
    <w:rsid w:val="00991073"/>
    <w:rsid w:val="0099167B"/>
    <w:rsid w:val="009918DE"/>
    <w:rsid w:val="00992D05"/>
    <w:rsid w:val="009938D2"/>
    <w:rsid w:val="0099428F"/>
    <w:rsid w:val="009967B5"/>
    <w:rsid w:val="009970CD"/>
    <w:rsid w:val="00997EAA"/>
    <w:rsid w:val="00997F90"/>
    <w:rsid w:val="009A362A"/>
    <w:rsid w:val="009A41EB"/>
    <w:rsid w:val="009A560C"/>
    <w:rsid w:val="009B04F5"/>
    <w:rsid w:val="009B072A"/>
    <w:rsid w:val="009B099B"/>
    <w:rsid w:val="009B1A8F"/>
    <w:rsid w:val="009B2675"/>
    <w:rsid w:val="009B270C"/>
    <w:rsid w:val="009B31EC"/>
    <w:rsid w:val="009B37BD"/>
    <w:rsid w:val="009B4438"/>
    <w:rsid w:val="009B5B7C"/>
    <w:rsid w:val="009B635A"/>
    <w:rsid w:val="009B6D74"/>
    <w:rsid w:val="009B7261"/>
    <w:rsid w:val="009B74A3"/>
    <w:rsid w:val="009B762D"/>
    <w:rsid w:val="009B7B63"/>
    <w:rsid w:val="009C1E6E"/>
    <w:rsid w:val="009C2CAE"/>
    <w:rsid w:val="009C38C6"/>
    <w:rsid w:val="009C3C92"/>
    <w:rsid w:val="009C49B8"/>
    <w:rsid w:val="009C7A1B"/>
    <w:rsid w:val="009D063B"/>
    <w:rsid w:val="009D12F0"/>
    <w:rsid w:val="009D14C0"/>
    <w:rsid w:val="009D1EAB"/>
    <w:rsid w:val="009D2275"/>
    <w:rsid w:val="009D2A2D"/>
    <w:rsid w:val="009D2BCF"/>
    <w:rsid w:val="009D44AE"/>
    <w:rsid w:val="009D4A19"/>
    <w:rsid w:val="009E0C7F"/>
    <w:rsid w:val="009E11A4"/>
    <w:rsid w:val="009E1521"/>
    <w:rsid w:val="009E3F3D"/>
    <w:rsid w:val="009E40CE"/>
    <w:rsid w:val="009E59D1"/>
    <w:rsid w:val="009E77B2"/>
    <w:rsid w:val="009F24A8"/>
    <w:rsid w:val="009F2836"/>
    <w:rsid w:val="009F2905"/>
    <w:rsid w:val="009F3DF7"/>
    <w:rsid w:val="009F4D80"/>
    <w:rsid w:val="009F55C6"/>
    <w:rsid w:val="009F57A7"/>
    <w:rsid w:val="009F7560"/>
    <w:rsid w:val="00A01247"/>
    <w:rsid w:val="00A019BB"/>
    <w:rsid w:val="00A02512"/>
    <w:rsid w:val="00A03C29"/>
    <w:rsid w:val="00A04102"/>
    <w:rsid w:val="00A044E3"/>
    <w:rsid w:val="00A05153"/>
    <w:rsid w:val="00A05B97"/>
    <w:rsid w:val="00A06B68"/>
    <w:rsid w:val="00A07703"/>
    <w:rsid w:val="00A1029F"/>
    <w:rsid w:val="00A104D2"/>
    <w:rsid w:val="00A10688"/>
    <w:rsid w:val="00A10F29"/>
    <w:rsid w:val="00A1172B"/>
    <w:rsid w:val="00A12726"/>
    <w:rsid w:val="00A12A60"/>
    <w:rsid w:val="00A12E8A"/>
    <w:rsid w:val="00A141E6"/>
    <w:rsid w:val="00A14E51"/>
    <w:rsid w:val="00A1501B"/>
    <w:rsid w:val="00A15393"/>
    <w:rsid w:val="00A166D3"/>
    <w:rsid w:val="00A17A08"/>
    <w:rsid w:val="00A22796"/>
    <w:rsid w:val="00A22A16"/>
    <w:rsid w:val="00A22CB7"/>
    <w:rsid w:val="00A23FE2"/>
    <w:rsid w:val="00A26A93"/>
    <w:rsid w:val="00A30060"/>
    <w:rsid w:val="00A30D88"/>
    <w:rsid w:val="00A30E03"/>
    <w:rsid w:val="00A30EEE"/>
    <w:rsid w:val="00A30F09"/>
    <w:rsid w:val="00A334DE"/>
    <w:rsid w:val="00A3353B"/>
    <w:rsid w:val="00A33DB8"/>
    <w:rsid w:val="00A34D25"/>
    <w:rsid w:val="00A35E2F"/>
    <w:rsid w:val="00A36B1D"/>
    <w:rsid w:val="00A36DFE"/>
    <w:rsid w:val="00A3753E"/>
    <w:rsid w:val="00A37AF3"/>
    <w:rsid w:val="00A37E16"/>
    <w:rsid w:val="00A40F7C"/>
    <w:rsid w:val="00A40FAE"/>
    <w:rsid w:val="00A41A52"/>
    <w:rsid w:val="00A4261B"/>
    <w:rsid w:val="00A43C1D"/>
    <w:rsid w:val="00A44638"/>
    <w:rsid w:val="00A45715"/>
    <w:rsid w:val="00A457D2"/>
    <w:rsid w:val="00A46C6F"/>
    <w:rsid w:val="00A5031F"/>
    <w:rsid w:val="00A51307"/>
    <w:rsid w:val="00A5167F"/>
    <w:rsid w:val="00A51C4D"/>
    <w:rsid w:val="00A52AA6"/>
    <w:rsid w:val="00A52D9D"/>
    <w:rsid w:val="00A5366C"/>
    <w:rsid w:val="00A536F2"/>
    <w:rsid w:val="00A53C9F"/>
    <w:rsid w:val="00A53ED6"/>
    <w:rsid w:val="00A54AB0"/>
    <w:rsid w:val="00A55700"/>
    <w:rsid w:val="00A56DC2"/>
    <w:rsid w:val="00A571B8"/>
    <w:rsid w:val="00A5744B"/>
    <w:rsid w:val="00A57C79"/>
    <w:rsid w:val="00A61178"/>
    <w:rsid w:val="00A6133E"/>
    <w:rsid w:val="00A61D76"/>
    <w:rsid w:val="00A631E1"/>
    <w:rsid w:val="00A64D8F"/>
    <w:rsid w:val="00A653E0"/>
    <w:rsid w:val="00A6562B"/>
    <w:rsid w:val="00A65FE7"/>
    <w:rsid w:val="00A663C3"/>
    <w:rsid w:val="00A7104A"/>
    <w:rsid w:val="00A71ABC"/>
    <w:rsid w:val="00A727E3"/>
    <w:rsid w:val="00A74B26"/>
    <w:rsid w:val="00A74CAF"/>
    <w:rsid w:val="00A74D73"/>
    <w:rsid w:val="00A7651D"/>
    <w:rsid w:val="00A77C7D"/>
    <w:rsid w:val="00A809CB"/>
    <w:rsid w:val="00A81314"/>
    <w:rsid w:val="00A814A7"/>
    <w:rsid w:val="00A821F1"/>
    <w:rsid w:val="00A82FFD"/>
    <w:rsid w:val="00A83261"/>
    <w:rsid w:val="00A83D6E"/>
    <w:rsid w:val="00A845C4"/>
    <w:rsid w:val="00A845EA"/>
    <w:rsid w:val="00A8696F"/>
    <w:rsid w:val="00A903E0"/>
    <w:rsid w:val="00A9371D"/>
    <w:rsid w:val="00A9404F"/>
    <w:rsid w:val="00A95B55"/>
    <w:rsid w:val="00A96ACC"/>
    <w:rsid w:val="00AA253E"/>
    <w:rsid w:val="00AA2726"/>
    <w:rsid w:val="00AA2C1C"/>
    <w:rsid w:val="00AA56EC"/>
    <w:rsid w:val="00AA590D"/>
    <w:rsid w:val="00AA5AE5"/>
    <w:rsid w:val="00AA6646"/>
    <w:rsid w:val="00AA6AF4"/>
    <w:rsid w:val="00AB1374"/>
    <w:rsid w:val="00AB141C"/>
    <w:rsid w:val="00AB14DC"/>
    <w:rsid w:val="00AB15C0"/>
    <w:rsid w:val="00AB32CB"/>
    <w:rsid w:val="00AB3B3C"/>
    <w:rsid w:val="00AB3B5E"/>
    <w:rsid w:val="00AB4BAE"/>
    <w:rsid w:val="00AB666B"/>
    <w:rsid w:val="00AB6BF1"/>
    <w:rsid w:val="00AB6DD0"/>
    <w:rsid w:val="00AC1075"/>
    <w:rsid w:val="00AC1959"/>
    <w:rsid w:val="00AC2400"/>
    <w:rsid w:val="00AC2D30"/>
    <w:rsid w:val="00AC335A"/>
    <w:rsid w:val="00AC3B4B"/>
    <w:rsid w:val="00AC4590"/>
    <w:rsid w:val="00AC4B5B"/>
    <w:rsid w:val="00AC517C"/>
    <w:rsid w:val="00AC56B7"/>
    <w:rsid w:val="00AC5C08"/>
    <w:rsid w:val="00AC6194"/>
    <w:rsid w:val="00AC641D"/>
    <w:rsid w:val="00AC642F"/>
    <w:rsid w:val="00AC6DC4"/>
    <w:rsid w:val="00AC754D"/>
    <w:rsid w:val="00AC764D"/>
    <w:rsid w:val="00AD06A8"/>
    <w:rsid w:val="00AD09F4"/>
    <w:rsid w:val="00AD0C9F"/>
    <w:rsid w:val="00AD10EA"/>
    <w:rsid w:val="00AD1188"/>
    <w:rsid w:val="00AD1558"/>
    <w:rsid w:val="00AD19F6"/>
    <w:rsid w:val="00AD1A3E"/>
    <w:rsid w:val="00AD2107"/>
    <w:rsid w:val="00AD21C3"/>
    <w:rsid w:val="00AD2CD9"/>
    <w:rsid w:val="00AD3834"/>
    <w:rsid w:val="00AD3CC6"/>
    <w:rsid w:val="00AD4981"/>
    <w:rsid w:val="00AD561E"/>
    <w:rsid w:val="00AD5D9B"/>
    <w:rsid w:val="00AD7571"/>
    <w:rsid w:val="00AD77A8"/>
    <w:rsid w:val="00AD7DDB"/>
    <w:rsid w:val="00AE0029"/>
    <w:rsid w:val="00AE1EB4"/>
    <w:rsid w:val="00AE2B79"/>
    <w:rsid w:val="00AE3C29"/>
    <w:rsid w:val="00AE43CE"/>
    <w:rsid w:val="00AE447E"/>
    <w:rsid w:val="00AE5B16"/>
    <w:rsid w:val="00AE730B"/>
    <w:rsid w:val="00AE7EB4"/>
    <w:rsid w:val="00AF0CB8"/>
    <w:rsid w:val="00AF0ECC"/>
    <w:rsid w:val="00AF2D2F"/>
    <w:rsid w:val="00AF42F2"/>
    <w:rsid w:val="00AF504C"/>
    <w:rsid w:val="00B00510"/>
    <w:rsid w:val="00B00B8D"/>
    <w:rsid w:val="00B01208"/>
    <w:rsid w:val="00B018F1"/>
    <w:rsid w:val="00B0298D"/>
    <w:rsid w:val="00B038D5"/>
    <w:rsid w:val="00B057A2"/>
    <w:rsid w:val="00B06F70"/>
    <w:rsid w:val="00B0768A"/>
    <w:rsid w:val="00B077F8"/>
    <w:rsid w:val="00B10AAC"/>
    <w:rsid w:val="00B11523"/>
    <w:rsid w:val="00B117DE"/>
    <w:rsid w:val="00B126DD"/>
    <w:rsid w:val="00B12E25"/>
    <w:rsid w:val="00B13331"/>
    <w:rsid w:val="00B13F27"/>
    <w:rsid w:val="00B14065"/>
    <w:rsid w:val="00B152B5"/>
    <w:rsid w:val="00B158F1"/>
    <w:rsid w:val="00B21C58"/>
    <w:rsid w:val="00B233EF"/>
    <w:rsid w:val="00B23799"/>
    <w:rsid w:val="00B239B4"/>
    <w:rsid w:val="00B23FDA"/>
    <w:rsid w:val="00B255BD"/>
    <w:rsid w:val="00B31291"/>
    <w:rsid w:val="00B32361"/>
    <w:rsid w:val="00B32D95"/>
    <w:rsid w:val="00B33BAB"/>
    <w:rsid w:val="00B33C59"/>
    <w:rsid w:val="00B33D2F"/>
    <w:rsid w:val="00B36194"/>
    <w:rsid w:val="00B3724C"/>
    <w:rsid w:val="00B37C9A"/>
    <w:rsid w:val="00B37ED1"/>
    <w:rsid w:val="00B40B37"/>
    <w:rsid w:val="00B40E37"/>
    <w:rsid w:val="00B4118C"/>
    <w:rsid w:val="00B4250E"/>
    <w:rsid w:val="00B427EF"/>
    <w:rsid w:val="00B42930"/>
    <w:rsid w:val="00B42C54"/>
    <w:rsid w:val="00B440E2"/>
    <w:rsid w:val="00B443B8"/>
    <w:rsid w:val="00B44640"/>
    <w:rsid w:val="00B45C4C"/>
    <w:rsid w:val="00B45DDC"/>
    <w:rsid w:val="00B47FF9"/>
    <w:rsid w:val="00B523A9"/>
    <w:rsid w:val="00B53976"/>
    <w:rsid w:val="00B53F1A"/>
    <w:rsid w:val="00B54910"/>
    <w:rsid w:val="00B54E74"/>
    <w:rsid w:val="00B552A7"/>
    <w:rsid w:val="00B56349"/>
    <w:rsid w:val="00B56883"/>
    <w:rsid w:val="00B56BC7"/>
    <w:rsid w:val="00B570EE"/>
    <w:rsid w:val="00B576A3"/>
    <w:rsid w:val="00B60784"/>
    <w:rsid w:val="00B609A2"/>
    <w:rsid w:val="00B60ADC"/>
    <w:rsid w:val="00B631EB"/>
    <w:rsid w:val="00B6344A"/>
    <w:rsid w:val="00B644E4"/>
    <w:rsid w:val="00B65D04"/>
    <w:rsid w:val="00B65DFB"/>
    <w:rsid w:val="00B66437"/>
    <w:rsid w:val="00B67315"/>
    <w:rsid w:val="00B67833"/>
    <w:rsid w:val="00B734C1"/>
    <w:rsid w:val="00B7366D"/>
    <w:rsid w:val="00B739EC"/>
    <w:rsid w:val="00B73B79"/>
    <w:rsid w:val="00B74DD2"/>
    <w:rsid w:val="00B7634D"/>
    <w:rsid w:val="00B76A10"/>
    <w:rsid w:val="00B803CB"/>
    <w:rsid w:val="00B815B6"/>
    <w:rsid w:val="00B81F18"/>
    <w:rsid w:val="00B82CC6"/>
    <w:rsid w:val="00B8433C"/>
    <w:rsid w:val="00B849E9"/>
    <w:rsid w:val="00B858EA"/>
    <w:rsid w:val="00B90862"/>
    <w:rsid w:val="00B91344"/>
    <w:rsid w:val="00B918B1"/>
    <w:rsid w:val="00B93DD5"/>
    <w:rsid w:val="00B94734"/>
    <w:rsid w:val="00B94F1E"/>
    <w:rsid w:val="00B969BC"/>
    <w:rsid w:val="00B971DE"/>
    <w:rsid w:val="00BA0159"/>
    <w:rsid w:val="00BA1104"/>
    <w:rsid w:val="00BA24B5"/>
    <w:rsid w:val="00BA275A"/>
    <w:rsid w:val="00BA284E"/>
    <w:rsid w:val="00BA2F5A"/>
    <w:rsid w:val="00BA4204"/>
    <w:rsid w:val="00BA463D"/>
    <w:rsid w:val="00BA494D"/>
    <w:rsid w:val="00BA4BAE"/>
    <w:rsid w:val="00BA5694"/>
    <w:rsid w:val="00BA6038"/>
    <w:rsid w:val="00BA64F8"/>
    <w:rsid w:val="00BA6D56"/>
    <w:rsid w:val="00BB1CC1"/>
    <w:rsid w:val="00BB2C99"/>
    <w:rsid w:val="00BB2FED"/>
    <w:rsid w:val="00BB5183"/>
    <w:rsid w:val="00BB57D8"/>
    <w:rsid w:val="00BB5FE5"/>
    <w:rsid w:val="00BB73E2"/>
    <w:rsid w:val="00BB7493"/>
    <w:rsid w:val="00BC0555"/>
    <w:rsid w:val="00BC0D9C"/>
    <w:rsid w:val="00BC0EB9"/>
    <w:rsid w:val="00BC0F41"/>
    <w:rsid w:val="00BC1652"/>
    <w:rsid w:val="00BC197E"/>
    <w:rsid w:val="00BC24E0"/>
    <w:rsid w:val="00BC2531"/>
    <w:rsid w:val="00BC35FB"/>
    <w:rsid w:val="00BC4823"/>
    <w:rsid w:val="00BC4B8C"/>
    <w:rsid w:val="00BC4CDD"/>
    <w:rsid w:val="00BC68E3"/>
    <w:rsid w:val="00BC77D6"/>
    <w:rsid w:val="00BC7D91"/>
    <w:rsid w:val="00BD0B0C"/>
    <w:rsid w:val="00BD0C9D"/>
    <w:rsid w:val="00BD140D"/>
    <w:rsid w:val="00BD32DF"/>
    <w:rsid w:val="00BD339D"/>
    <w:rsid w:val="00BD64AE"/>
    <w:rsid w:val="00BD6666"/>
    <w:rsid w:val="00BD6982"/>
    <w:rsid w:val="00BD6DF5"/>
    <w:rsid w:val="00BD7382"/>
    <w:rsid w:val="00BD7E6B"/>
    <w:rsid w:val="00BD7F88"/>
    <w:rsid w:val="00BE07F1"/>
    <w:rsid w:val="00BE1180"/>
    <w:rsid w:val="00BE1B42"/>
    <w:rsid w:val="00BE1B5A"/>
    <w:rsid w:val="00BE1CD1"/>
    <w:rsid w:val="00BE20A9"/>
    <w:rsid w:val="00BE236C"/>
    <w:rsid w:val="00BE2779"/>
    <w:rsid w:val="00BE29E6"/>
    <w:rsid w:val="00BE40E4"/>
    <w:rsid w:val="00BE4302"/>
    <w:rsid w:val="00BE4825"/>
    <w:rsid w:val="00BE4CBC"/>
    <w:rsid w:val="00BE768C"/>
    <w:rsid w:val="00BF00D7"/>
    <w:rsid w:val="00BF0291"/>
    <w:rsid w:val="00BF1DF3"/>
    <w:rsid w:val="00BF2010"/>
    <w:rsid w:val="00BF25B3"/>
    <w:rsid w:val="00BF34B1"/>
    <w:rsid w:val="00BF3A40"/>
    <w:rsid w:val="00BF3EDE"/>
    <w:rsid w:val="00BF5DFD"/>
    <w:rsid w:val="00BF6445"/>
    <w:rsid w:val="00BF71B6"/>
    <w:rsid w:val="00BF76A5"/>
    <w:rsid w:val="00BF7AF6"/>
    <w:rsid w:val="00BF7ED0"/>
    <w:rsid w:val="00C01AB2"/>
    <w:rsid w:val="00C03228"/>
    <w:rsid w:val="00C033D3"/>
    <w:rsid w:val="00C05FB3"/>
    <w:rsid w:val="00C06304"/>
    <w:rsid w:val="00C104FB"/>
    <w:rsid w:val="00C10B55"/>
    <w:rsid w:val="00C11024"/>
    <w:rsid w:val="00C11767"/>
    <w:rsid w:val="00C11DF8"/>
    <w:rsid w:val="00C12ABC"/>
    <w:rsid w:val="00C13341"/>
    <w:rsid w:val="00C136D4"/>
    <w:rsid w:val="00C15F3E"/>
    <w:rsid w:val="00C161AF"/>
    <w:rsid w:val="00C16266"/>
    <w:rsid w:val="00C16A0E"/>
    <w:rsid w:val="00C17009"/>
    <w:rsid w:val="00C171EA"/>
    <w:rsid w:val="00C17694"/>
    <w:rsid w:val="00C232A7"/>
    <w:rsid w:val="00C23A23"/>
    <w:rsid w:val="00C248A9"/>
    <w:rsid w:val="00C24CEC"/>
    <w:rsid w:val="00C256F8"/>
    <w:rsid w:val="00C26B50"/>
    <w:rsid w:val="00C27AA9"/>
    <w:rsid w:val="00C303BA"/>
    <w:rsid w:val="00C30E6E"/>
    <w:rsid w:val="00C346D7"/>
    <w:rsid w:val="00C352D9"/>
    <w:rsid w:val="00C35FD0"/>
    <w:rsid w:val="00C36BC5"/>
    <w:rsid w:val="00C36E11"/>
    <w:rsid w:val="00C3721F"/>
    <w:rsid w:val="00C4058F"/>
    <w:rsid w:val="00C4088E"/>
    <w:rsid w:val="00C40D46"/>
    <w:rsid w:val="00C43D51"/>
    <w:rsid w:val="00C47A23"/>
    <w:rsid w:val="00C50053"/>
    <w:rsid w:val="00C51D5D"/>
    <w:rsid w:val="00C538A2"/>
    <w:rsid w:val="00C53DC4"/>
    <w:rsid w:val="00C54D42"/>
    <w:rsid w:val="00C54E7E"/>
    <w:rsid w:val="00C550DA"/>
    <w:rsid w:val="00C57819"/>
    <w:rsid w:val="00C5781E"/>
    <w:rsid w:val="00C57EEF"/>
    <w:rsid w:val="00C600DA"/>
    <w:rsid w:val="00C60DF4"/>
    <w:rsid w:val="00C6130D"/>
    <w:rsid w:val="00C618BE"/>
    <w:rsid w:val="00C633A6"/>
    <w:rsid w:val="00C653F1"/>
    <w:rsid w:val="00C67522"/>
    <w:rsid w:val="00C67B97"/>
    <w:rsid w:val="00C70295"/>
    <w:rsid w:val="00C71620"/>
    <w:rsid w:val="00C71868"/>
    <w:rsid w:val="00C721C0"/>
    <w:rsid w:val="00C73620"/>
    <w:rsid w:val="00C73CB0"/>
    <w:rsid w:val="00C742A7"/>
    <w:rsid w:val="00C759DF"/>
    <w:rsid w:val="00C75B6C"/>
    <w:rsid w:val="00C76947"/>
    <w:rsid w:val="00C77F48"/>
    <w:rsid w:val="00C8114D"/>
    <w:rsid w:val="00C8230B"/>
    <w:rsid w:val="00C82F09"/>
    <w:rsid w:val="00C842FC"/>
    <w:rsid w:val="00C8604F"/>
    <w:rsid w:val="00C8657E"/>
    <w:rsid w:val="00C86798"/>
    <w:rsid w:val="00C86A72"/>
    <w:rsid w:val="00C86D39"/>
    <w:rsid w:val="00C87E42"/>
    <w:rsid w:val="00C9075A"/>
    <w:rsid w:val="00C90A4B"/>
    <w:rsid w:val="00C91A24"/>
    <w:rsid w:val="00C930EE"/>
    <w:rsid w:val="00C9395E"/>
    <w:rsid w:val="00C94360"/>
    <w:rsid w:val="00C944FD"/>
    <w:rsid w:val="00C9502A"/>
    <w:rsid w:val="00C96369"/>
    <w:rsid w:val="00C9672A"/>
    <w:rsid w:val="00C9777A"/>
    <w:rsid w:val="00CA08AE"/>
    <w:rsid w:val="00CA1277"/>
    <w:rsid w:val="00CA2FD8"/>
    <w:rsid w:val="00CA4AA6"/>
    <w:rsid w:val="00CA550C"/>
    <w:rsid w:val="00CA58CF"/>
    <w:rsid w:val="00CA5FA6"/>
    <w:rsid w:val="00CA6362"/>
    <w:rsid w:val="00CA7392"/>
    <w:rsid w:val="00CA76D2"/>
    <w:rsid w:val="00CB1567"/>
    <w:rsid w:val="00CB15B3"/>
    <w:rsid w:val="00CB172D"/>
    <w:rsid w:val="00CB1869"/>
    <w:rsid w:val="00CB2C1A"/>
    <w:rsid w:val="00CB3EC4"/>
    <w:rsid w:val="00CB4B1F"/>
    <w:rsid w:val="00CB696D"/>
    <w:rsid w:val="00CB7AEC"/>
    <w:rsid w:val="00CB7F2C"/>
    <w:rsid w:val="00CB7FDE"/>
    <w:rsid w:val="00CC1FDB"/>
    <w:rsid w:val="00CC3EB6"/>
    <w:rsid w:val="00CC4D00"/>
    <w:rsid w:val="00CD0E46"/>
    <w:rsid w:val="00CD124B"/>
    <w:rsid w:val="00CD18E6"/>
    <w:rsid w:val="00CD2864"/>
    <w:rsid w:val="00CD2A1F"/>
    <w:rsid w:val="00CD3D4E"/>
    <w:rsid w:val="00CD619A"/>
    <w:rsid w:val="00CD6245"/>
    <w:rsid w:val="00CD69D5"/>
    <w:rsid w:val="00CD7271"/>
    <w:rsid w:val="00CE377E"/>
    <w:rsid w:val="00CE58DD"/>
    <w:rsid w:val="00CE623C"/>
    <w:rsid w:val="00CE643C"/>
    <w:rsid w:val="00CE6B5E"/>
    <w:rsid w:val="00CF01ED"/>
    <w:rsid w:val="00CF070E"/>
    <w:rsid w:val="00CF1937"/>
    <w:rsid w:val="00CF1B4E"/>
    <w:rsid w:val="00CF2F9A"/>
    <w:rsid w:val="00CF4F1B"/>
    <w:rsid w:val="00CF50F9"/>
    <w:rsid w:val="00CF5F3A"/>
    <w:rsid w:val="00CF5FC9"/>
    <w:rsid w:val="00CF79DD"/>
    <w:rsid w:val="00CF7F37"/>
    <w:rsid w:val="00D00C99"/>
    <w:rsid w:val="00D02061"/>
    <w:rsid w:val="00D035E5"/>
    <w:rsid w:val="00D03FB3"/>
    <w:rsid w:val="00D0498D"/>
    <w:rsid w:val="00D055C1"/>
    <w:rsid w:val="00D07300"/>
    <w:rsid w:val="00D10085"/>
    <w:rsid w:val="00D1009E"/>
    <w:rsid w:val="00D11AAC"/>
    <w:rsid w:val="00D11C9B"/>
    <w:rsid w:val="00D11F40"/>
    <w:rsid w:val="00D12342"/>
    <w:rsid w:val="00D12473"/>
    <w:rsid w:val="00D130C8"/>
    <w:rsid w:val="00D154C2"/>
    <w:rsid w:val="00D15581"/>
    <w:rsid w:val="00D1609C"/>
    <w:rsid w:val="00D16759"/>
    <w:rsid w:val="00D17A29"/>
    <w:rsid w:val="00D2111A"/>
    <w:rsid w:val="00D22258"/>
    <w:rsid w:val="00D23123"/>
    <w:rsid w:val="00D23982"/>
    <w:rsid w:val="00D247E7"/>
    <w:rsid w:val="00D250C9"/>
    <w:rsid w:val="00D26C10"/>
    <w:rsid w:val="00D30F13"/>
    <w:rsid w:val="00D31CA6"/>
    <w:rsid w:val="00D326F9"/>
    <w:rsid w:val="00D33345"/>
    <w:rsid w:val="00D33A27"/>
    <w:rsid w:val="00D33B05"/>
    <w:rsid w:val="00D35046"/>
    <w:rsid w:val="00D357DA"/>
    <w:rsid w:val="00D35F9C"/>
    <w:rsid w:val="00D37213"/>
    <w:rsid w:val="00D37CA9"/>
    <w:rsid w:val="00D40938"/>
    <w:rsid w:val="00D40C3C"/>
    <w:rsid w:val="00D41E18"/>
    <w:rsid w:val="00D42608"/>
    <w:rsid w:val="00D438A1"/>
    <w:rsid w:val="00D439FF"/>
    <w:rsid w:val="00D43D27"/>
    <w:rsid w:val="00D44A93"/>
    <w:rsid w:val="00D451F1"/>
    <w:rsid w:val="00D45403"/>
    <w:rsid w:val="00D45592"/>
    <w:rsid w:val="00D4584B"/>
    <w:rsid w:val="00D45FA1"/>
    <w:rsid w:val="00D477E1"/>
    <w:rsid w:val="00D51234"/>
    <w:rsid w:val="00D5287B"/>
    <w:rsid w:val="00D53F9E"/>
    <w:rsid w:val="00D544FC"/>
    <w:rsid w:val="00D546FE"/>
    <w:rsid w:val="00D5495A"/>
    <w:rsid w:val="00D54BA4"/>
    <w:rsid w:val="00D55211"/>
    <w:rsid w:val="00D55C29"/>
    <w:rsid w:val="00D55D1C"/>
    <w:rsid w:val="00D5769D"/>
    <w:rsid w:val="00D5786B"/>
    <w:rsid w:val="00D60A1D"/>
    <w:rsid w:val="00D614A7"/>
    <w:rsid w:val="00D6356B"/>
    <w:rsid w:val="00D636F3"/>
    <w:rsid w:val="00D644F5"/>
    <w:rsid w:val="00D65BAC"/>
    <w:rsid w:val="00D65E39"/>
    <w:rsid w:val="00D66B57"/>
    <w:rsid w:val="00D674F9"/>
    <w:rsid w:val="00D70E0F"/>
    <w:rsid w:val="00D7100C"/>
    <w:rsid w:val="00D72626"/>
    <w:rsid w:val="00D72B0A"/>
    <w:rsid w:val="00D7303F"/>
    <w:rsid w:val="00D7446B"/>
    <w:rsid w:val="00D74733"/>
    <w:rsid w:val="00D74EDA"/>
    <w:rsid w:val="00D75922"/>
    <w:rsid w:val="00D76234"/>
    <w:rsid w:val="00D763CF"/>
    <w:rsid w:val="00D76840"/>
    <w:rsid w:val="00D77C88"/>
    <w:rsid w:val="00D80333"/>
    <w:rsid w:val="00D80697"/>
    <w:rsid w:val="00D8117A"/>
    <w:rsid w:val="00D8136C"/>
    <w:rsid w:val="00D813B1"/>
    <w:rsid w:val="00D82B8C"/>
    <w:rsid w:val="00D832E5"/>
    <w:rsid w:val="00D83B04"/>
    <w:rsid w:val="00D8667D"/>
    <w:rsid w:val="00D8684A"/>
    <w:rsid w:val="00D90B29"/>
    <w:rsid w:val="00D911F5"/>
    <w:rsid w:val="00D91ACE"/>
    <w:rsid w:val="00D91ED6"/>
    <w:rsid w:val="00D92702"/>
    <w:rsid w:val="00D92E29"/>
    <w:rsid w:val="00D937B6"/>
    <w:rsid w:val="00D94255"/>
    <w:rsid w:val="00D972DE"/>
    <w:rsid w:val="00DA01FE"/>
    <w:rsid w:val="00DA0454"/>
    <w:rsid w:val="00DA09FB"/>
    <w:rsid w:val="00DA1CE3"/>
    <w:rsid w:val="00DA1E78"/>
    <w:rsid w:val="00DA27AC"/>
    <w:rsid w:val="00DA28B7"/>
    <w:rsid w:val="00DA29E2"/>
    <w:rsid w:val="00DA312C"/>
    <w:rsid w:val="00DA5821"/>
    <w:rsid w:val="00DA7105"/>
    <w:rsid w:val="00DB06C4"/>
    <w:rsid w:val="00DB075F"/>
    <w:rsid w:val="00DB09BB"/>
    <w:rsid w:val="00DB17EF"/>
    <w:rsid w:val="00DB1AD5"/>
    <w:rsid w:val="00DB25E1"/>
    <w:rsid w:val="00DB2943"/>
    <w:rsid w:val="00DB312C"/>
    <w:rsid w:val="00DB3AF2"/>
    <w:rsid w:val="00DB558D"/>
    <w:rsid w:val="00DB5C87"/>
    <w:rsid w:val="00DB6154"/>
    <w:rsid w:val="00DB6EDF"/>
    <w:rsid w:val="00DB7EAB"/>
    <w:rsid w:val="00DC14C4"/>
    <w:rsid w:val="00DC1568"/>
    <w:rsid w:val="00DC31A8"/>
    <w:rsid w:val="00DC34A6"/>
    <w:rsid w:val="00DC3598"/>
    <w:rsid w:val="00DC38B6"/>
    <w:rsid w:val="00DC395D"/>
    <w:rsid w:val="00DC4A85"/>
    <w:rsid w:val="00DC62A0"/>
    <w:rsid w:val="00DC68A8"/>
    <w:rsid w:val="00DC6A7B"/>
    <w:rsid w:val="00DC6E73"/>
    <w:rsid w:val="00DD12A9"/>
    <w:rsid w:val="00DD1BB1"/>
    <w:rsid w:val="00DD2235"/>
    <w:rsid w:val="00DD4C20"/>
    <w:rsid w:val="00DD4E90"/>
    <w:rsid w:val="00DD5CF6"/>
    <w:rsid w:val="00DD756A"/>
    <w:rsid w:val="00DE017D"/>
    <w:rsid w:val="00DE1F58"/>
    <w:rsid w:val="00DE2217"/>
    <w:rsid w:val="00DE39CE"/>
    <w:rsid w:val="00DE3C08"/>
    <w:rsid w:val="00DE439E"/>
    <w:rsid w:val="00DE47B2"/>
    <w:rsid w:val="00DE4E18"/>
    <w:rsid w:val="00DE5158"/>
    <w:rsid w:val="00DE6307"/>
    <w:rsid w:val="00DE73A3"/>
    <w:rsid w:val="00DF0990"/>
    <w:rsid w:val="00DF1ECB"/>
    <w:rsid w:val="00DF402F"/>
    <w:rsid w:val="00E00BDF"/>
    <w:rsid w:val="00E01E52"/>
    <w:rsid w:val="00E04C38"/>
    <w:rsid w:val="00E05337"/>
    <w:rsid w:val="00E059A3"/>
    <w:rsid w:val="00E05C7B"/>
    <w:rsid w:val="00E0635B"/>
    <w:rsid w:val="00E07086"/>
    <w:rsid w:val="00E07B86"/>
    <w:rsid w:val="00E10BEC"/>
    <w:rsid w:val="00E10C28"/>
    <w:rsid w:val="00E11417"/>
    <w:rsid w:val="00E117EC"/>
    <w:rsid w:val="00E11B91"/>
    <w:rsid w:val="00E11BF2"/>
    <w:rsid w:val="00E11F23"/>
    <w:rsid w:val="00E13115"/>
    <w:rsid w:val="00E13EDD"/>
    <w:rsid w:val="00E1403B"/>
    <w:rsid w:val="00E1451C"/>
    <w:rsid w:val="00E14793"/>
    <w:rsid w:val="00E14C45"/>
    <w:rsid w:val="00E1512C"/>
    <w:rsid w:val="00E16499"/>
    <w:rsid w:val="00E17A2B"/>
    <w:rsid w:val="00E17BCD"/>
    <w:rsid w:val="00E17EAF"/>
    <w:rsid w:val="00E2049B"/>
    <w:rsid w:val="00E21482"/>
    <w:rsid w:val="00E21E4A"/>
    <w:rsid w:val="00E220EB"/>
    <w:rsid w:val="00E23359"/>
    <w:rsid w:val="00E23BE5"/>
    <w:rsid w:val="00E24296"/>
    <w:rsid w:val="00E242F9"/>
    <w:rsid w:val="00E25C49"/>
    <w:rsid w:val="00E27732"/>
    <w:rsid w:val="00E27D99"/>
    <w:rsid w:val="00E311DF"/>
    <w:rsid w:val="00E33EE5"/>
    <w:rsid w:val="00E3492C"/>
    <w:rsid w:val="00E37EC1"/>
    <w:rsid w:val="00E40428"/>
    <w:rsid w:val="00E40530"/>
    <w:rsid w:val="00E40AD3"/>
    <w:rsid w:val="00E40C72"/>
    <w:rsid w:val="00E41286"/>
    <w:rsid w:val="00E41631"/>
    <w:rsid w:val="00E427D0"/>
    <w:rsid w:val="00E42ECB"/>
    <w:rsid w:val="00E44414"/>
    <w:rsid w:val="00E44B42"/>
    <w:rsid w:val="00E45003"/>
    <w:rsid w:val="00E4578B"/>
    <w:rsid w:val="00E45EE4"/>
    <w:rsid w:val="00E47DD7"/>
    <w:rsid w:val="00E500BC"/>
    <w:rsid w:val="00E50129"/>
    <w:rsid w:val="00E504F9"/>
    <w:rsid w:val="00E50894"/>
    <w:rsid w:val="00E51616"/>
    <w:rsid w:val="00E516BA"/>
    <w:rsid w:val="00E51CA0"/>
    <w:rsid w:val="00E5549A"/>
    <w:rsid w:val="00E56031"/>
    <w:rsid w:val="00E56318"/>
    <w:rsid w:val="00E568D8"/>
    <w:rsid w:val="00E60283"/>
    <w:rsid w:val="00E609CF"/>
    <w:rsid w:val="00E60E95"/>
    <w:rsid w:val="00E615D9"/>
    <w:rsid w:val="00E61F55"/>
    <w:rsid w:val="00E62A91"/>
    <w:rsid w:val="00E632D0"/>
    <w:rsid w:val="00E638FF"/>
    <w:rsid w:val="00E65F21"/>
    <w:rsid w:val="00E662A2"/>
    <w:rsid w:val="00E6642A"/>
    <w:rsid w:val="00E66605"/>
    <w:rsid w:val="00E67E58"/>
    <w:rsid w:val="00E715C5"/>
    <w:rsid w:val="00E71806"/>
    <w:rsid w:val="00E73D53"/>
    <w:rsid w:val="00E75B1D"/>
    <w:rsid w:val="00E761EB"/>
    <w:rsid w:val="00E762E9"/>
    <w:rsid w:val="00E765C4"/>
    <w:rsid w:val="00E767B2"/>
    <w:rsid w:val="00E77180"/>
    <w:rsid w:val="00E77627"/>
    <w:rsid w:val="00E80B05"/>
    <w:rsid w:val="00E81083"/>
    <w:rsid w:val="00E817CF"/>
    <w:rsid w:val="00E822B8"/>
    <w:rsid w:val="00E82CC1"/>
    <w:rsid w:val="00E83A79"/>
    <w:rsid w:val="00E83D5D"/>
    <w:rsid w:val="00E844B0"/>
    <w:rsid w:val="00E85016"/>
    <w:rsid w:val="00E859A6"/>
    <w:rsid w:val="00E85CD5"/>
    <w:rsid w:val="00E869AD"/>
    <w:rsid w:val="00E878A0"/>
    <w:rsid w:val="00E906D0"/>
    <w:rsid w:val="00E919A5"/>
    <w:rsid w:val="00E92CCF"/>
    <w:rsid w:val="00E92F02"/>
    <w:rsid w:val="00E95AB5"/>
    <w:rsid w:val="00E971B9"/>
    <w:rsid w:val="00EA03D3"/>
    <w:rsid w:val="00EA03DD"/>
    <w:rsid w:val="00EA3623"/>
    <w:rsid w:val="00EA43E8"/>
    <w:rsid w:val="00EA43F0"/>
    <w:rsid w:val="00EA441D"/>
    <w:rsid w:val="00EA4A29"/>
    <w:rsid w:val="00EA599A"/>
    <w:rsid w:val="00EA702D"/>
    <w:rsid w:val="00EA7205"/>
    <w:rsid w:val="00EB0074"/>
    <w:rsid w:val="00EB17F8"/>
    <w:rsid w:val="00EB1CBC"/>
    <w:rsid w:val="00EB30F3"/>
    <w:rsid w:val="00EB5976"/>
    <w:rsid w:val="00EB59DB"/>
    <w:rsid w:val="00EB5FC6"/>
    <w:rsid w:val="00EB6F96"/>
    <w:rsid w:val="00EB78CF"/>
    <w:rsid w:val="00EC0DE9"/>
    <w:rsid w:val="00EC21B2"/>
    <w:rsid w:val="00EC2568"/>
    <w:rsid w:val="00EC326A"/>
    <w:rsid w:val="00EC48D0"/>
    <w:rsid w:val="00EC4C8A"/>
    <w:rsid w:val="00EC571B"/>
    <w:rsid w:val="00EC60B3"/>
    <w:rsid w:val="00EC60D4"/>
    <w:rsid w:val="00ED0C02"/>
    <w:rsid w:val="00ED0D69"/>
    <w:rsid w:val="00ED15D8"/>
    <w:rsid w:val="00ED238F"/>
    <w:rsid w:val="00ED39F1"/>
    <w:rsid w:val="00EE16F2"/>
    <w:rsid w:val="00EE19D2"/>
    <w:rsid w:val="00EE2B46"/>
    <w:rsid w:val="00EE30CA"/>
    <w:rsid w:val="00EE326B"/>
    <w:rsid w:val="00EE331D"/>
    <w:rsid w:val="00EE3CCE"/>
    <w:rsid w:val="00EE3D1D"/>
    <w:rsid w:val="00EE43CA"/>
    <w:rsid w:val="00EE4A9A"/>
    <w:rsid w:val="00EE4E0A"/>
    <w:rsid w:val="00EE5BE9"/>
    <w:rsid w:val="00EE675B"/>
    <w:rsid w:val="00EE6A5A"/>
    <w:rsid w:val="00EF2643"/>
    <w:rsid w:val="00EF27D6"/>
    <w:rsid w:val="00EF4510"/>
    <w:rsid w:val="00EF4771"/>
    <w:rsid w:val="00EF49B0"/>
    <w:rsid w:val="00EF5FDF"/>
    <w:rsid w:val="00EF60E9"/>
    <w:rsid w:val="00EF757E"/>
    <w:rsid w:val="00EF7A6F"/>
    <w:rsid w:val="00EF7BCB"/>
    <w:rsid w:val="00F02E62"/>
    <w:rsid w:val="00F0307F"/>
    <w:rsid w:val="00F0340A"/>
    <w:rsid w:val="00F04A9C"/>
    <w:rsid w:val="00F04B62"/>
    <w:rsid w:val="00F04B9E"/>
    <w:rsid w:val="00F04D4C"/>
    <w:rsid w:val="00F06FDC"/>
    <w:rsid w:val="00F0751C"/>
    <w:rsid w:val="00F10C7B"/>
    <w:rsid w:val="00F1152C"/>
    <w:rsid w:val="00F118A5"/>
    <w:rsid w:val="00F1202D"/>
    <w:rsid w:val="00F140E1"/>
    <w:rsid w:val="00F15265"/>
    <w:rsid w:val="00F1613B"/>
    <w:rsid w:val="00F16187"/>
    <w:rsid w:val="00F162AA"/>
    <w:rsid w:val="00F16A29"/>
    <w:rsid w:val="00F16CB2"/>
    <w:rsid w:val="00F17B70"/>
    <w:rsid w:val="00F17DD3"/>
    <w:rsid w:val="00F203FC"/>
    <w:rsid w:val="00F209B6"/>
    <w:rsid w:val="00F20FE2"/>
    <w:rsid w:val="00F21685"/>
    <w:rsid w:val="00F2199C"/>
    <w:rsid w:val="00F225B1"/>
    <w:rsid w:val="00F23102"/>
    <w:rsid w:val="00F25B16"/>
    <w:rsid w:val="00F27810"/>
    <w:rsid w:val="00F30669"/>
    <w:rsid w:val="00F346DF"/>
    <w:rsid w:val="00F357B7"/>
    <w:rsid w:val="00F35EC7"/>
    <w:rsid w:val="00F36C25"/>
    <w:rsid w:val="00F37171"/>
    <w:rsid w:val="00F37531"/>
    <w:rsid w:val="00F40903"/>
    <w:rsid w:val="00F4199F"/>
    <w:rsid w:val="00F41D6F"/>
    <w:rsid w:val="00F42251"/>
    <w:rsid w:val="00F42DC6"/>
    <w:rsid w:val="00F436EB"/>
    <w:rsid w:val="00F44A42"/>
    <w:rsid w:val="00F45C82"/>
    <w:rsid w:val="00F4608D"/>
    <w:rsid w:val="00F50102"/>
    <w:rsid w:val="00F501BF"/>
    <w:rsid w:val="00F5031A"/>
    <w:rsid w:val="00F5071C"/>
    <w:rsid w:val="00F50B85"/>
    <w:rsid w:val="00F5119F"/>
    <w:rsid w:val="00F528E1"/>
    <w:rsid w:val="00F52B27"/>
    <w:rsid w:val="00F54BEB"/>
    <w:rsid w:val="00F55416"/>
    <w:rsid w:val="00F56463"/>
    <w:rsid w:val="00F57B15"/>
    <w:rsid w:val="00F60359"/>
    <w:rsid w:val="00F608BC"/>
    <w:rsid w:val="00F60ADD"/>
    <w:rsid w:val="00F61B1C"/>
    <w:rsid w:val="00F6202E"/>
    <w:rsid w:val="00F652D8"/>
    <w:rsid w:val="00F65ED4"/>
    <w:rsid w:val="00F66493"/>
    <w:rsid w:val="00F66BB0"/>
    <w:rsid w:val="00F67007"/>
    <w:rsid w:val="00F70048"/>
    <w:rsid w:val="00F704A4"/>
    <w:rsid w:val="00F706AE"/>
    <w:rsid w:val="00F70A37"/>
    <w:rsid w:val="00F7180E"/>
    <w:rsid w:val="00F7227D"/>
    <w:rsid w:val="00F72624"/>
    <w:rsid w:val="00F72B2D"/>
    <w:rsid w:val="00F737DB"/>
    <w:rsid w:val="00F7528D"/>
    <w:rsid w:val="00F7665C"/>
    <w:rsid w:val="00F777F2"/>
    <w:rsid w:val="00F80A66"/>
    <w:rsid w:val="00F80BD6"/>
    <w:rsid w:val="00F81F67"/>
    <w:rsid w:val="00F82630"/>
    <w:rsid w:val="00F83143"/>
    <w:rsid w:val="00F831CB"/>
    <w:rsid w:val="00F83E44"/>
    <w:rsid w:val="00F84013"/>
    <w:rsid w:val="00F840ED"/>
    <w:rsid w:val="00F87251"/>
    <w:rsid w:val="00F87925"/>
    <w:rsid w:val="00F87C10"/>
    <w:rsid w:val="00F904C2"/>
    <w:rsid w:val="00F91925"/>
    <w:rsid w:val="00F93247"/>
    <w:rsid w:val="00F9369A"/>
    <w:rsid w:val="00F944F1"/>
    <w:rsid w:val="00F94F70"/>
    <w:rsid w:val="00F954CD"/>
    <w:rsid w:val="00F96683"/>
    <w:rsid w:val="00F971AF"/>
    <w:rsid w:val="00FA0A18"/>
    <w:rsid w:val="00FA0FB5"/>
    <w:rsid w:val="00FA23A6"/>
    <w:rsid w:val="00FA2A08"/>
    <w:rsid w:val="00FA3272"/>
    <w:rsid w:val="00FA3622"/>
    <w:rsid w:val="00FA3C24"/>
    <w:rsid w:val="00FA53FE"/>
    <w:rsid w:val="00FA5FE2"/>
    <w:rsid w:val="00FA717B"/>
    <w:rsid w:val="00FA7AD1"/>
    <w:rsid w:val="00FB07F4"/>
    <w:rsid w:val="00FB0A6A"/>
    <w:rsid w:val="00FB0AF9"/>
    <w:rsid w:val="00FB15A3"/>
    <w:rsid w:val="00FB3499"/>
    <w:rsid w:val="00FB362C"/>
    <w:rsid w:val="00FB4E10"/>
    <w:rsid w:val="00FB5211"/>
    <w:rsid w:val="00FB522A"/>
    <w:rsid w:val="00FB6FF3"/>
    <w:rsid w:val="00FB779F"/>
    <w:rsid w:val="00FC0CD7"/>
    <w:rsid w:val="00FC0D5A"/>
    <w:rsid w:val="00FC13EE"/>
    <w:rsid w:val="00FC34D7"/>
    <w:rsid w:val="00FC3A08"/>
    <w:rsid w:val="00FC452B"/>
    <w:rsid w:val="00FC4616"/>
    <w:rsid w:val="00FC4D38"/>
    <w:rsid w:val="00FC4DA5"/>
    <w:rsid w:val="00FC5C86"/>
    <w:rsid w:val="00FC63F4"/>
    <w:rsid w:val="00FC6EEE"/>
    <w:rsid w:val="00FC7E14"/>
    <w:rsid w:val="00FD0317"/>
    <w:rsid w:val="00FD1FD3"/>
    <w:rsid w:val="00FD343E"/>
    <w:rsid w:val="00FD4457"/>
    <w:rsid w:val="00FD515A"/>
    <w:rsid w:val="00FD5803"/>
    <w:rsid w:val="00FD5CAC"/>
    <w:rsid w:val="00FD5EEF"/>
    <w:rsid w:val="00FD6E27"/>
    <w:rsid w:val="00FD7FAE"/>
    <w:rsid w:val="00FE0237"/>
    <w:rsid w:val="00FE0FD8"/>
    <w:rsid w:val="00FE193D"/>
    <w:rsid w:val="00FE1F84"/>
    <w:rsid w:val="00FE27DD"/>
    <w:rsid w:val="00FE3849"/>
    <w:rsid w:val="00FE3E0E"/>
    <w:rsid w:val="00FE3FFE"/>
    <w:rsid w:val="00FE4A3F"/>
    <w:rsid w:val="00FE5741"/>
    <w:rsid w:val="00FE59D5"/>
    <w:rsid w:val="00FE5A60"/>
    <w:rsid w:val="00FE5E5D"/>
    <w:rsid w:val="00FE71ED"/>
    <w:rsid w:val="00FE720E"/>
    <w:rsid w:val="00FF0413"/>
    <w:rsid w:val="00FF0946"/>
    <w:rsid w:val="00FF1196"/>
    <w:rsid w:val="00FF146E"/>
    <w:rsid w:val="00FF15D3"/>
    <w:rsid w:val="00FF2D35"/>
    <w:rsid w:val="00FF2E60"/>
    <w:rsid w:val="00FF2F49"/>
    <w:rsid w:val="00FF31DB"/>
    <w:rsid w:val="00FF3947"/>
    <w:rsid w:val="00FF410A"/>
    <w:rsid w:val="00FF4B36"/>
    <w:rsid w:val="00FF56DD"/>
    <w:rsid w:val="00FF5D91"/>
    <w:rsid w:val="00FF6D82"/>
  </w:rsids>
  <m:mathPr>
    <m:mathFont m:val="Cambria Math"/>
    <m:brkBin m:val="before"/>
    <m:brkBinSub m:val="--"/>
    <m:smallFrac/>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2C1A9E26"/>
  <w15:docId w15:val="{085F8D88-63A0-4FD3-9140-16C451D21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Times New Roman"/>
        <w:sz w:val="24"/>
        <w:szCs w:val="24"/>
        <w:lang w:val="en-AU" w:eastAsia="en-AU" w:bidi="ar-SA"/>
      </w:rPr>
    </w:rPrDefault>
    <w:pPrDefault/>
  </w:docDefaults>
  <w:latentStyles w:defLockedState="0" w:defUIPriority="0" w:defSemiHidden="0" w:defUnhideWhenUsed="0" w:defQFormat="0" w:count="375">
    <w:lsdException w:name="heading 1" w:uiPriority="9" w:qFormat="1"/>
    <w:lsdException w:name="heading 2" w:uiPriority="9" w:qFormat="1"/>
    <w:lsdException w:name="heading 3" w:uiPriority="9" w:qFormat="1"/>
    <w:lsdException w:name="heading 4" w:uiPriority="9" w:qFormat="1"/>
    <w:lsdException w:name="heading 5" w:semiHidden="1" w:uiPriority="3" w:unhideWhenUsed="1" w:qFormat="1"/>
    <w:lsdException w:name="heading 6" w:semiHidden="1" w:uiPriority="3" w:unhideWhenUsed="1" w:qFormat="1"/>
    <w:lsdException w:name="heading 7" w:semiHidden="1" w:uiPriority="3" w:unhideWhenUsed="1" w:qFormat="1"/>
    <w:lsdException w:name="heading 8" w:semiHidden="1" w:uiPriority="3" w:unhideWhenUsed="1" w:qFormat="1"/>
    <w:lsdException w:name="heading 9" w:semiHidden="1" w:uiPriority="3"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iPriority="7"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rsid w:val="00B803CB"/>
  </w:style>
  <w:style w:type="paragraph" w:styleId="Heading1">
    <w:name w:val="heading 1"/>
    <w:basedOn w:val="Normal"/>
    <w:next w:val="Normal"/>
    <w:link w:val="Heading1Char"/>
    <w:uiPriority w:val="9"/>
    <w:qFormat/>
    <w:rsid w:val="00484FC0"/>
    <w:pPr>
      <w:keepNext/>
      <w:keepLines/>
      <w:pageBreakBefore/>
      <w:numPr>
        <w:numId w:val="1"/>
      </w:numPr>
      <w:spacing w:after="1120" w:line="216" w:lineRule="auto"/>
      <w:outlineLvl w:val="0"/>
    </w:pPr>
    <w:rPr>
      <w:rFonts w:ascii="Calibri" w:hAnsi="Calibri" w:cs="Calibri"/>
      <w:color w:val="404040"/>
      <w:kern w:val="28"/>
      <w:sz w:val="40"/>
      <w:szCs w:val="22"/>
      <w:lang w:eastAsia="en-US"/>
    </w:rPr>
  </w:style>
  <w:style w:type="paragraph" w:styleId="Heading2">
    <w:name w:val="heading 2"/>
    <w:basedOn w:val="Heading1"/>
    <w:next w:val="Normal"/>
    <w:link w:val="Heading2Char"/>
    <w:uiPriority w:val="9"/>
    <w:qFormat/>
    <w:rsid w:val="00484FC0"/>
    <w:pPr>
      <w:pageBreakBefore w:val="0"/>
      <w:widowControl w:val="0"/>
      <w:numPr>
        <w:ilvl w:val="1"/>
      </w:numPr>
      <w:spacing w:before="280" w:after="120"/>
      <w:outlineLvl w:val="1"/>
    </w:pPr>
    <w:rPr>
      <w:color w:val="4D4D4D"/>
      <w:sz w:val="30"/>
    </w:rPr>
  </w:style>
  <w:style w:type="paragraph" w:styleId="Heading3">
    <w:name w:val="heading 3"/>
    <w:basedOn w:val="Heading2"/>
    <w:next w:val="Normal"/>
    <w:link w:val="Heading3Char"/>
    <w:uiPriority w:val="9"/>
    <w:qFormat/>
    <w:rsid w:val="00484FC0"/>
    <w:pPr>
      <w:numPr>
        <w:ilvl w:val="2"/>
      </w:numPr>
      <w:spacing w:before="200"/>
      <w:outlineLvl w:val="2"/>
    </w:pPr>
    <w:rPr>
      <w:b/>
      <w:sz w:val="26"/>
    </w:rPr>
  </w:style>
  <w:style w:type="paragraph" w:styleId="Heading4">
    <w:name w:val="heading 4"/>
    <w:basedOn w:val="Heading3"/>
    <w:next w:val="Normal"/>
    <w:link w:val="Heading4Char"/>
    <w:uiPriority w:val="9"/>
    <w:qFormat/>
    <w:rsid w:val="00484FC0"/>
    <w:pPr>
      <w:numPr>
        <w:ilvl w:val="3"/>
      </w:numPr>
      <w:spacing w:before="160" w:line="228" w:lineRule="auto"/>
      <w:outlineLvl w:val="3"/>
    </w:pPr>
    <w:rPr>
      <w:sz w:val="22"/>
    </w:rPr>
  </w:style>
  <w:style w:type="paragraph" w:styleId="Heading5">
    <w:name w:val="heading 5"/>
    <w:basedOn w:val="Heading4"/>
    <w:next w:val="Normal"/>
    <w:link w:val="Heading5Char"/>
    <w:uiPriority w:val="3"/>
    <w:qFormat/>
    <w:rsid w:val="00484FC0"/>
    <w:pPr>
      <w:numPr>
        <w:ilvl w:val="4"/>
      </w:numPr>
      <w:outlineLvl w:val="4"/>
    </w:pPr>
    <w:rPr>
      <w:bCs/>
      <w:i/>
      <w:color w:val="404040"/>
    </w:rPr>
  </w:style>
  <w:style w:type="paragraph" w:styleId="Heading6">
    <w:name w:val="heading 6"/>
    <w:basedOn w:val="Heading5"/>
    <w:next w:val="Normal"/>
    <w:link w:val="Heading6Char"/>
    <w:uiPriority w:val="3"/>
    <w:qFormat/>
    <w:rsid w:val="00484FC0"/>
    <w:pPr>
      <w:numPr>
        <w:ilvl w:val="5"/>
      </w:numPr>
      <w:outlineLvl w:val="5"/>
    </w:pPr>
    <w:rPr>
      <w:iCs/>
    </w:rPr>
  </w:style>
  <w:style w:type="paragraph" w:styleId="Heading7">
    <w:name w:val="heading 7"/>
    <w:basedOn w:val="Heading6"/>
    <w:next w:val="Normal"/>
    <w:link w:val="Heading7Char"/>
    <w:uiPriority w:val="3"/>
    <w:qFormat/>
    <w:rsid w:val="00484FC0"/>
    <w:pPr>
      <w:numPr>
        <w:ilvl w:val="6"/>
      </w:numPr>
      <w:outlineLvl w:val="6"/>
    </w:pPr>
    <w:rPr>
      <w:i w:val="0"/>
    </w:rPr>
  </w:style>
  <w:style w:type="paragraph" w:styleId="Heading8">
    <w:name w:val="heading 8"/>
    <w:basedOn w:val="Heading7"/>
    <w:next w:val="Normal"/>
    <w:link w:val="Heading8Char"/>
    <w:uiPriority w:val="3"/>
    <w:qFormat/>
    <w:rsid w:val="00484FC0"/>
    <w:pPr>
      <w:numPr>
        <w:ilvl w:val="7"/>
      </w:numPr>
      <w:outlineLvl w:val="7"/>
    </w:pPr>
    <w:rPr>
      <w:b w:val="0"/>
    </w:rPr>
  </w:style>
  <w:style w:type="paragraph" w:styleId="Heading9">
    <w:name w:val="heading 9"/>
    <w:basedOn w:val="Heading8"/>
    <w:next w:val="Normal"/>
    <w:link w:val="Heading9Char"/>
    <w:uiPriority w:val="3"/>
    <w:qFormat/>
    <w:rsid w:val="00484FC0"/>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4FC0"/>
    <w:rPr>
      <w:rFonts w:ascii="Calibri" w:hAnsi="Calibri" w:cs="Calibri"/>
      <w:color w:val="404040"/>
      <w:kern w:val="28"/>
      <w:sz w:val="40"/>
      <w:szCs w:val="22"/>
      <w:lang w:eastAsia="en-US"/>
    </w:rPr>
  </w:style>
  <w:style w:type="character" w:customStyle="1" w:styleId="Heading2Char">
    <w:name w:val="Heading 2 Char"/>
    <w:basedOn w:val="DefaultParagraphFont"/>
    <w:link w:val="Heading2"/>
    <w:uiPriority w:val="9"/>
    <w:rsid w:val="00484FC0"/>
    <w:rPr>
      <w:rFonts w:ascii="Calibri" w:hAnsi="Calibri" w:cs="Calibri"/>
      <w:color w:val="4D4D4D"/>
      <w:kern w:val="28"/>
      <w:sz w:val="30"/>
      <w:szCs w:val="22"/>
      <w:lang w:eastAsia="en-US"/>
    </w:rPr>
  </w:style>
  <w:style w:type="character" w:customStyle="1" w:styleId="Heading3Char">
    <w:name w:val="Heading 3 Char"/>
    <w:basedOn w:val="DefaultParagraphFont"/>
    <w:link w:val="Heading3"/>
    <w:uiPriority w:val="9"/>
    <w:rsid w:val="00484FC0"/>
    <w:rPr>
      <w:rFonts w:ascii="Calibri" w:hAnsi="Calibri" w:cs="Calibri"/>
      <w:b/>
      <w:color w:val="4D4D4D"/>
      <w:kern w:val="28"/>
      <w:sz w:val="26"/>
      <w:szCs w:val="22"/>
      <w:lang w:eastAsia="en-US"/>
    </w:rPr>
  </w:style>
  <w:style w:type="character" w:customStyle="1" w:styleId="Heading4Char">
    <w:name w:val="Heading 4 Char"/>
    <w:basedOn w:val="DefaultParagraphFont"/>
    <w:link w:val="Heading4"/>
    <w:uiPriority w:val="9"/>
    <w:rsid w:val="00484FC0"/>
    <w:rPr>
      <w:rFonts w:ascii="Calibri" w:hAnsi="Calibri" w:cs="Calibri"/>
      <w:b/>
      <w:color w:val="4D4D4D"/>
      <w:kern w:val="28"/>
      <w:sz w:val="22"/>
      <w:szCs w:val="22"/>
      <w:lang w:eastAsia="en-US"/>
    </w:rPr>
  </w:style>
  <w:style w:type="character" w:customStyle="1" w:styleId="Heading5Char">
    <w:name w:val="Heading 5 Char"/>
    <w:basedOn w:val="DefaultParagraphFont"/>
    <w:link w:val="Heading5"/>
    <w:uiPriority w:val="3"/>
    <w:rsid w:val="00484FC0"/>
    <w:rPr>
      <w:rFonts w:ascii="Calibri" w:hAnsi="Calibri" w:cs="Calibri"/>
      <w:b/>
      <w:bCs/>
      <w:i/>
      <w:color w:val="404040"/>
      <w:kern w:val="28"/>
      <w:sz w:val="22"/>
      <w:szCs w:val="22"/>
      <w:lang w:eastAsia="en-US"/>
    </w:rPr>
  </w:style>
  <w:style w:type="character" w:customStyle="1" w:styleId="Heading6Char">
    <w:name w:val="Heading 6 Char"/>
    <w:basedOn w:val="DefaultParagraphFont"/>
    <w:link w:val="Heading6"/>
    <w:uiPriority w:val="3"/>
    <w:rsid w:val="00484FC0"/>
    <w:rPr>
      <w:rFonts w:ascii="Calibri" w:hAnsi="Calibri" w:cs="Calibri"/>
      <w:b/>
      <w:bCs/>
      <w:i/>
      <w:iCs/>
      <w:color w:val="404040"/>
      <w:kern w:val="28"/>
      <w:sz w:val="22"/>
      <w:szCs w:val="22"/>
      <w:lang w:eastAsia="en-US"/>
    </w:rPr>
  </w:style>
  <w:style w:type="character" w:customStyle="1" w:styleId="Heading7Char">
    <w:name w:val="Heading 7 Char"/>
    <w:basedOn w:val="DefaultParagraphFont"/>
    <w:link w:val="Heading7"/>
    <w:uiPriority w:val="3"/>
    <w:rsid w:val="00484FC0"/>
    <w:rPr>
      <w:rFonts w:ascii="Calibri" w:hAnsi="Calibri" w:cs="Calibri"/>
      <w:b/>
      <w:bCs/>
      <w:iCs/>
      <w:color w:val="404040"/>
      <w:kern w:val="28"/>
      <w:sz w:val="22"/>
      <w:szCs w:val="22"/>
      <w:lang w:eastAsia="en-US"/>
    </w:rPr>
  </w:style>
  <w:style w:type="character" w:customStyle="1" w:styleId="Heading8Char">
    <w:name w:val="Heading 8 Char"/>
    <w:basedOn w:val="DefaultParagraphFont"/>
    <w:link w:val="Heading8"/>
    <w:uiPriority w:val="3"/>
    <w:rsid w:val="00484FC0"/>
    <w:rPr>
      <w:rFonts w:ascii="Calibri" w:hAnsi="Calibri" w:cs="Calibri"/>
      <w:bCs/>
      <w:iCs/>
      <w:color w:val="404040"/>
      <w:kern w:val="28"/>
      <w:sz w:val="22"/>
      <w:szCs w:val="22"/>
      <w:lang w:eastAsia="en-US"/>
    </w:rPr>
  </w:style>
  <w:style w:type="character" w:customStyle="1" w:styleId="Heading9Char">
    <w:name w:val="Heading 9 Char"/>
    <w:basedOn w:val="DefaultParagraphFont"/>
    <w:link w:val="Heading9"/>
    <w:uiPriority w:val="3"/>
    <w:rsid w:val="00484FC0"/>
    <w:rPr>
      <w:rFonts w:ascii="Calibri" w:hAnsi="Calibri" w:cs="Calibri"/>
      <w:bCs/>
      <w:iCs/>
      <w:color w:val="404040"/>
      <w:kern w:val="28"/>
      <w:sz w:val="22"/>
      <w:szCs w:val="22"/>
      <w:lang w:eastAsia="en-US"/>
    </w:rPr>
  </w:style>
  <w:style w:type="paragraph" w:customStyle="1" w:styleId="BodyCopyBlack">
    <w:name w:val="Body Copy Black"/>
    <w:basedOn w:val="Normal"/>
    <w:uiPriority w:val="99"/>
    <w:rsid w:val="00B971DE"/>
    <w:pPr>
      <w:widowControl w:val="0"/>
      <w:tabs>
        <w:tab w:val="left" w:pos="283"/>
        <w:tab w:val="left" w:pos="567"/>
      </w:tabs>
      <w:suppressAutoHyphens/>
      <w:autoSpaceDE w:val="0"/>
      <w:autoSpaceDN w:val="0"/>
      <w:adjustRightInd w:val="0"/>
      <w:spacing w:after="113" w:line="270" w:lineRule="atLeast"/>
      <w:textAlignment w:val="center"/>
    </w:pPr>
    <w:rPr>
      <w:rFonts w:ascii="TradeGothic-CondEighteen" w:hAnsi="TradeGothic-CondEighteen" w:cs="TradeGothic-CondEighteen"/>
      <w:color w:val="000000"/>
      <w:sz w:val="21"/>
      <w:szCs w:val="21"/>
      <w:lang w:val="en-GB"/>
    </w:rPr>
  </w:style>
  <w:style w:type="paragraph" w:customStyle="1" w:styleId="HeadingDBlue">
    <w:name w:val="Heading D Blue"/>
    <w:basedOn w:val="BodyCopyBlack"/>
    <w:uiPriority w:val="99"/>
    <w:rsid w:val="00B971DE"/>
    <w:rPr>
      <w:rFonts w:ascii="TradeGothic-BoldCondTwenty" w:hAnsi="TradeGothic-BoldCondTwenty" w:cs="TradeGothic-BoldCondTwenty"/>
      <w:b/>
      <w:bCs/>
      <w:color w:val="66C1CA"/>
    </w:rPr>
  </w:style>
  <w:style w:type="character" w:customStyle="1" w:styleId="BodyCopyItalicBlack">
    <w:name w:val="Body Copy Italic Black"/>
    <w:uiPriority w:val="99"/>
    <w:rsid w:val="00B971DE"/>
    <w:rPr>
      <w:i/>
      <w:iCs/>
    </w:rPr>
  </w:style>
  <w:style w:type="character" w:styleId="Hyperlink">
    <w:name w:val="Hyperlink"/>
    <w:basedOn w:val="DefaultParagraphFont"/>
    <w:uiPriority w:val="99"/>
    <w:unhideWhenUsed/>
    <w:rsid w:val="00B971DE"/>
    <w:rPr>
      <w:color w:val="0000FF" w:themeColor="hyperlink"/>
      <w:u w:val="single"/>
    </w:rPr>
  </w:style>
  <w:style w:type="paragraph" w:styleId="BalloonText">
    <w:name w:val="Balloon Text"/>
    <w:basedOn w:val="Normal"/>
    <w:link w:val="BalloonTextChar"/>
    <w:uiPriority w:val="99"/>
    <w:semiHidden/>
    <w:unhideWhenUsed/>
    <w:rsid w:val="00231EF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31EFF"/>
    <w:rPr>
      <w:rFonts w:ascii="Lucida Grande" w:hAnsi="Lucida Grande" w:cs="Lucida Grande"/>
      <w:sz w:val="18"/>
      <w:szCs w:val="18"/>
    </w:rPr>
  </w:style>
  <w:style w:type="paragraph" w:styleId="Caption">
    <w:name w:val="caption"/>
    <w:basedOn w:val="Normal"/>
    <w:next w:val="Normal"/>
    <w:link w:val="CaptionChar"/>
    <w:qFormat/>
    <w:rsid w:val="00484FC0"/>
    <w:pPr>
      <w:keepNext/>
      <w:keepLines/>
      <w:tabs>
        <w:tab w:val="left" w:pos="851"/>
      </w:tabs>
      <w:spacing w:before="60" w:after="60" w:line="228" w:lineRule="auto"/>
      <w:ind w:left="794"/>
    </w:pPr>
    <w:rPr>
      <w:rFonts w:ascii="Calibri" w:hAnsi="Calibri" w:cs="Calibri"/>
      <w:b/>
      <w:sz w:val="22"/>
      <w:szCs w:val="22"/>
    </w:rPr>
  </w:style>
  <w:style w:type="character" w:customStyle="1" w:styleId="CaptionChar">
    <w:name w:val="Caption Char"/>
    <w:link w:val="Caption"/>
    <w:rsid w:val="00484FC0"/>
    <w:rPr>
      <w:rFonts w:ascii="Calibri" w:hAnsi="Calibri" w:cs="Calibri"/>
      <w:b/>
      <w:sz w:val="22"/>
      <w:szCs w:val="22"/>
    </w:rPr>
  </w:style>
  <w:style w:type="paragraph" w:styleId="ListNumber">
    <w:name w:val="List Number"/>
    <w:basedOn w:val="Normal"/>
    <w:uiPriority w:val="7"/>
    <w:qFormat/>
    <w:rsid w:val="00484FC0"/>
    <w:pPr>
      <w:numPr>
        <w:numId w:val="2"/>
      </w:numPr>
      <w:spacing w:before="100" w:after="100"/>
      <w:contextualSpacing/>
    </w:pPr>
    <w:rPr>
      <w:rFonts w:ascii="Calibri" w:hAnsi="Calibri" w:cs="Calibri"/>
      <w:sz w:val="22"/>
      <w:szCs w:val="22"/>
    </w:rPr>
  </w:style>
  <w:style w:type="paragraph" w:styleId="Title">
    <w:name w:val="Title"/>
    <w:basedOn w:val="Normal"/>
    <w:link w:val="TitleChar"/>
    <w:uiPriority w:val="10"/>
    <w:qFormat/>
    <w:rsid w:val="00484FC0"/>
    <w:pPr>
      <w:spacing w:after="100" w:line="560" w:lineRule="exact"/>
      <w:ind w:right="3402"/>
    </w:pPr>
    <w:rPr>
      <w:rFonts w:ascii="Calibri" w:hAnsi="Calibri" w:cs="Calibri"/>
      <w:b/>
      <w:color w:val="000000"/>
      <w:sz w:val="60"/>
      <w:szCs w:val="22"/>
    </w:rPr>
  </w:style>
  <w:style w:type="character" w:customStyle="1" w:styleId="TitleChar">
    <w:name w:val="Title Char"/>
    <w:basedOn w:val="DefaultParagraphFont"/>
    <w:link w:val="Title"/>
    <w:uiPriority w:val="10"/>
    <w:rsid w:val="00484FC0"/>
    <w:rPr>
      <w:rFonts w:ascii="Calibri" w:hAnsi="Calibri" w:cs="Calibri"/>
      <w:b/>
      <w:color w:val="000000"/>
      <w:sz w:val="60"/>
      <w:szCs w:val="22"/>
    </w:rPr>
  </w:style>
  <w:style w:type="paragraph" w:styleId="ListContinue">
    <w:name w:val="List Continue"/>
    <w:basedOn w:val="Normal"/>
    <w:uiPriority w:val="8"/>
    <w:qFormat/>
    <w:rsid w:val="00484FC0"/>
    <w:pPr>
      <w:ind w:left="1077"/>
    </w:pPr>
    <w:rPr>
      <w:rFonts w:ascii="Calibri" w:hAnsi="Calibri" w:cs="Calibri"/>
      <w:sz w:val="22"/>
      <w:szCs w:val="22"/>
    </w:rPr>
  </w:style>
  <w:style w:type="paragraph" w:styleId="Subtitle">
    <w:name w:val="Subtitle"/>
    <w:basedOn w:val="Normal"/>
    <w:link w:val="SubtitleChar"/>
    <w:uiPriority w:val="29"/>
    <w:qFormat/>
    <w:rsid w:val="00484FC0"/>
    <w:pPr>
      <w:spacing w:line="440" w:lineRule="exact"/>
    </w:pPr>
    <w:rPr>
      <w:rFonts w:ascii="Calibri" w:hAnsi="Calibri" w:cs="Calibri"/>
      <w:color w:val="000000"/>
      <w:sz w:val="40"/>
    </w:rPr>
  </w:style>
  <w:style w:type="character" w:customStyle="1" w:styleId="SubtitleChar">
    <w:name w:val="Subtitle Char"/>
    <w:basedOn w:val="DefaultParagraphFont"/>
    <w:link w:val="Subtitle"/>
    <w:uiPriority w:val="29"/>
    <w:rsid w:val="00484FC0"/>
    <w:rPr>
      <w:rFonts w:ascii="Calibri" w:hAnsi="Calibri" w:cs="Calibri"/>
      <w:color w:val="000000"/>
      <w:sz w:val="40"/>
      <w:szCs w:val="24"/>
    </w:rPr>
  </w:style>
  <w:style w:type="character" w:styleId="Strong">
    <w:name w:val="Strong"/>
    <w:uiPriority w:val="22"/>
    <w:qFormat/>
    <w:rsid w:val="00484FC0"/>
    <w:rPr>
      <w:b/>
      <w:bCs/>
    </w:rPr>
  </w:style>
  <w:style w:type="character" w:styleId="Emphasis">
    <w:name w:val="Emphasis"/>
    <w:uiPriority w:val="20"/>
    <w:qFormat/>
    <w:rsid w:val="00484FC0"/>
    <w:rPr>
      <w:i/>
      <w:iCs/>
    </w:rPr>
  </w:style>
  <w:style w:type="paragraph" w:styleId="NoSpacing">
    <w:name w:val="No Spacing"/>
    <w:rsid w:val="00484FC0"/>
    <w:pPr>
      <w:widowControl w:val="0"/>
    </w:pPr>
    <w:rPr>
      <w:color w:val="000000"/>
      <w:spacing w:val="-5"/>
      <w:lang w:eastAsia="en-US"/>
    </w:rPr>
  </w:style>
  <w:style w:type="paragraph" w:styleId="ListParagraph">
    <w:name w:val="List Paragraph"/>
    <w:aliases w:val="Bullet points"/>
    <w:basedOn w:val="Normal"/>
    <w:link w:val="ListParagraphChar"/>
    <w:uiPriority w:val="34"/>
    <w:qFormat/>
    <w:rsid w:val="00484FC0"/>
    <w:pPr>
      <w:spacing w:before="100" w:after="100"/>
      <w:ind w:left="720"/>
      <w:contextualSpacing/>
    </w:pPr>
    <w:rPr>
      <w:rFonts w:ascii="Calibri" w:hAnsi="Calibri" w:cs="Calibri"/>
      <w:sz w:val="22"/>
      <w:szCs w:val="22"/>
    </w:rPr>
  </w:style>
  <w:style w:type="character" w:customStyle="1" w:styleId="ListParagraphChar">
    <w:name w:val="List Paragraph Char"/>
    <w:aliases w:val="Bullet points Char"/>
    <w:basedOn w:val="DefaultParagraphFont"/>
    <w:link w:val="ListParagraph"/>
    <w:uiPriority w:val="34"/>
    <w:rsid w:val="00E07B86"/>
    <w:rPr>
      <w:rFonts w:ascii="Calibri" w:hAnsi="Calibri" w:cs="Calibri"/>
      <w:sz w:val="22"/>
      <w:szCs w:val="22"/>
    </w:rPr>
  </w:style>
  <w:style w:type="character" w:styleId="SubtleEmphasis">
    <w:name w:val="Subtle Emphasis"/>
    <w:uiPriority w:val="19"/>
    <w:qFormat/>
    <w:rsid w:val="00484FC0"/>
    <w:rPr>
      <w:i/>
      <w:iCs/>
      <w:color w:val="808080"/>
    </w:rPr>
  </w:style>
  <w:style w:type="character" w:styleId="IntenseEmphasis">
    <w:name w:val="Intense Emphasis"/>
    <w:uiPriority w:val="21"/>
    <w:qFormat/>
    <w:rsid w:val="00484FC0"/>
    <w:rPr>
      <w:b/>
      <w:bCs/>
      <w:i/>
      <w:iCs/>
      <w:color w:val="4F81BD"/>
    </w:rPr>
  </w:style>
  <w:style w:type="character" w:styleId="SubtleReference">
    <w:name w:val="Subtle Reference"/>
    <w:uiPriority w:val="31"/>
    <w:qFormat/>
    <w:rsid w:val="00484FC0"/>
    <w:rPr>
      <w:smallCaps/>
      <w:color w:val="C0504D"/>
      <w:u w:val="single"/>
    </w:rPr>
  </w:style>
  <w:style w:type="character" w:styleId="IntenseReference">
    <w:name w:val="Intense Reference"/>
    <w:uiPriority w:val="32"/>
    <w:qFormat/>
    <w:rsid w:val="00484FC0"/>
    <w:rPr>
      <w:b/>
      <w:bCs/>
      <w:smallCaps/>
      <w:color w:val="C0504D"/>
      <w:spacing w:val="5"/>
      <w:u w:val="single"/>
    </w:rPr>
  </w:style>
  <w:style w:type="character" w:styleId="BookTitle">
    <w:name w:val="Book Title"/>
    <w:uiPriority w:val="33"/>
    <w:qFormat/>
    <w:rsid w:val="00484FC0"/>
    <w:rPr>
      <w:rFonts w:ascii="Calibri" w:hAnsi="Calibri"/>
      <w:b/>
      <w:bCs/>
      <w:smallCaps/>
      <w:spacing w:val="5"/>
    </w:rPr>
  </w:style>
  <w:style w:type="paragraph" w:styleId="TOCHeading">
    <w:name w:val="TOC Heading"/>
    <w:uiPriority w:val="29"/>
    <w:qFormat/>
    <w:rsid w:val="00484FC0"/>
    <w:pPr>
      <w:keepNext/>
      <w:pageBreakBefore/>
      <w:spacing w:after="1200"/>
    </w:pPr>
    <w:rPr>
      <w:rFonts w:ascii="Calibri" w:hAnsi="Calibri" w:cs="Calibri"/>
      <w:color w:val="4C4C4C"/>
      <w:kern w:val="28"/>
      <w:sz w:val="40"/>
      <w:szCs w:val="22"/>
    </w:rPr>
  </w:style>
  <w:style w:type="paragraph" w:customStyle="1" w:styleId="Bullet1">
    <w:name w:val="Bullet 1"/>
    <w:basedOn w:val="Normal"/>
    <w:uiPriority w:val="11"/>
    <w:qFormat/>
    <w:rsid w:val="00484FC0"/>
    <w:pPr>
      <w:numPr>
        <w:numId w:val="3"/>
      </w:numPr>
      <w:spacing w:before="80" w:after="80"/>
    </w:pPr>
    <w:rPr>
      <w:rFonts w:ascii="Calibri" w:hAnsi="Calibri" w:cs="Calibri"/>
      <w:sz w:val="22"/>
      <w:szCs w:val="22"/>
    </w:rPr>
  </w:style>
  <w:style w:type="paragraph" w:customStyle="1" w:styleId="NormalIndentItalics">
    <w:name w:val="Normal Indent Italics"/>
    <w:basedOn w:val="NormalIndent"/>
    <w:uiPriority w:val="13"/>
    <w:qFormat/>
    <w:rsid w:val="00484FC0"/>
    <w:pPr>
      <w:spacing w:before="100" w:after="100" w:line="240" w:lineRule="exact"/>
      <w:ind w:left="1077" w:right="284"/>
    </w:pPr>
    <w:rPr>
      <w:rFonts w:ascii="Calibri" w:hAnsi="Calibri" w:cs="Calibri"/>
      <w:i/>
      <w:sz w:val="22"/>
      <w:szCs w:val="22"/>
    </w:rPr>
  </w:style>
  <w:style w:type="paragraph" w:styleId="NormalIndent">
    <w:name w:val="Normal Indent"/>
    <w:basedOn w:val="Normal"/>
    <w:uiPriority w:val="99"/>
    <w:semiHidden/>
    <w:unhideWhenUsed/>
    <w:rsid w:val="00484FC0"/>
    <w:pPr>
      <w:ind w:left="720"/>
    </w:pPr>
  </w:style>
  <w:style w:type="paragraph" w:customStyle="1" w:styleId="TableBullet">
    <w:name w:val="Table Bullet"/>
    <w:basedOn w:val="Normal"/>
    <w:uiPriority w:val="10"/>
    <w:qFormat/>
    <w:rsid w:val="00A15393"/>
    <w:pPr>
      <w:numPr>
        <w:numId w:val="4"/>
      </w:numPr>
    </w:pPr>
    <w:rPr>
      <w:rFonts w:ascii="Calibri" w:hAnsi="Calibri" w:cs="Calibri"/>
      <w:sz w:val="20"/>
      <w:szCs w:val="22"/>
    </w:rPr>
  </w:style>
  <w:style w:type="paragraph" w:customStyle="1" w:styleId="Spacer">
    <w:name w:val="Spacer"/>
    <w:basedOn w:val="Normal"/>
    <w:uiPriority w:val="13"/>
    <w:semiHidden/>
    <w:unhideWhenUsed/>
    <w:qFormat/>
    <w:rsid w:val="00484FC0"/>
    <w:pPr>
      <w:spacing w:line="120" w:lineRule="atLeast"/>
    </w:pPr>
    <w:rPr>
      <w:rFonts w:ascii="Calibri" w:hAnsi="Calibri" w:cs="Calibri"/>
      <w:sz w:val="12"/>
      <w:szCs w:val="22"/>
    </w:rPr>
  </w:style>
  <w:style w:type="paragraph" w:customStyle="1" w:styleId="Pictwide">
    <w:name w:val="Pict wide"/>
    <w:basedOn w:val="Normal"/>
    <w:next w:val="Normal"/>
    <w:uiPriority w:val="13"/>
    <w:semiHidden/>
    <w:unhideWhenUsed/>
    <w:qFormat/>
    <w:rsid w:val="00484FC0"/>
    <w:pPr>
      <w:widowControl w:val="0"/>
      <w:spacing w:before="160" w:after="320"/>
      <w:ind w:left="794"/>
    </w:pPr>
    <w:rPr>
      <w:rFonts w:ascii="Calibri" w:hAnsi="Calibri" w:cs="Calibri"/>
      <w:szCs w:val="22"/>
    </w:rPr>
  </w:style>
  <w:style w:type="paragraph" w:customStyle="1" w:styleId="TableText">
    <w:name w:val="Table Text"/>
    <w:basedOn w:val="Normal"/>
    <w:link w:val="TableTextChar"/>
    <w:uiPriority w:val="15"/>
    <w:qFormat/>
    <w:rsid w:val="002E30F9"/>
    <w:pPr>
      <w:spacing w:before="20" w:after="20"/>
    </w:pPr>
    <w:rPr>
      <w:rFonts w:ascii="Calibri" w:hAnsi="Calibri" w:cs="Calibri"/>
      <w:sz w:val="20"/>
      <w:szCs w:val="20"/>
    </w:rPr>
  </w:style>
  <w:style w:type="character" w:customStyle="1" w:styleId="TableTextChar">
    <w:name w:val="Table Text Char"/>
    <w:basedOn w:val="DefaultParagraphFont"/>
    <w:link w:val="TableText"/>
    <w:uiPriority w:val="15"/>
    <w:rsid w:val="007955BC"/>
    <w:rPr>
      <w:rFonts w:ascii="Calibri" w:hAnsi="Calibri" w:cs="Calibri"/>
      <w:sz w:val="20"/>
      <w:szCs w:val="20"/>
    </w:rPr>
  </w:style>
  <w:style w:type="paragraph" w:customStyle="1" w:styleId="TableHeader">
    <w:name w:val="Table Header"/>
    <w:basedOn w:val="TableText"/>
    <w:uiPriority w:val="15"/>
    <w:qFormat/>
    <w:rsid w:val="00603BC0"/>
    <w:pPr>
      <w:keepNext/>
      <w:spacing w:before="40" w:after="40"/>
    </w:pPr>
    <w:rPr>
      <w:b/>
      <w:color w:val="FFFFFF" w:themeColor="background1"/>
      <w:sz w:val="24"/>
      <w:szCs w:val="24"/>
    </w:rPr>
  </w:style>
  <w:style w:type="paragraph" w:customStyle="1" w:styleId="Heading1NoNum">
    <w:name w:val="Heading 1 NoNum"/>
    <w:basedOn w:val="Heading1"/>
    <w:next w:val="Normal"/>
    <w:uiPriority w:val="4"/>
    <w:qFormat/>
    <w:rsid w:val="00484FC0"/>
    <w:pPr>
      <w:numPr>
        <w:numId w:val="0"/>
      </w:numPr>
      <w:ind w:left="794"/>
    </w:pPr>
  </w:style>
  <w:style w:type="paragraph" w:customStyle="1" w:styleId="Heading2NoNum">
    <w:name w:val="Heading 2 NoNum"/>
    <w:basedOn w:val="Heading2"/>
    <w:next w:val="Normal"/>
    <w:link w:val="Heading2NoNumChar"/>
    <w:uiPriority w:val="4"/>
    <w:qFormat/>
    <w:rsid w:val="00484FC0"/>
    <w:pPr>
      <w:numPr>
        <w:ilvl w:val="0"/>
        <w:numId w:val="0"/>
      </w:numPr>
      <w:ind w:left="794"/>
    </w:pPr>
  </w:style>
  <w:style w:type="character" w:customStyle="1" w:styleId="Heading2NoNumChar">
    <w:name w:val="Heading 2 NoNum Char"/>
    <w:basedOn w:val="Heading2Char"/>
    <w:link w:val="Heading2NoNum"/>
    <w:uiPriority w:val="4"/>
    <w:rsid w:val="00D6356B"/>
    <w:rPr>
      <w:rFonts w:ascii="Calibri" w:hAnsi="Calibri" w:cs="Calibri"/>
      <w:color w:val="4D4D4D"/>
      <w:kern w:val="28"/>
      <w:sz w:val="30"/>
      <w:szCs w:val="22"/>
      <w:lang w:eastAsia="en-US"/>
    </w:rPr>
  </w:style>
  <w:style w:type="paragraph" w:customStyle="1" w:styleId="Heading3NoNum">
    <w:name w:val="Heading 3 NoNum"/>
    <w:basedOn w:val="Heading3"/>
    <w:next w:val="Normal"/>
    <w:uiPriority w:val="4"/>
    <w:qFormat/>
    <w:rsid w:val="00484FC0"/>
    <w:pPr>
      <w:numPr>
        <w:ilvl w:val="0"/>
        <w:numId w:val="0"/>
      </w:numPr>
      <w:ind w:left="794"/>
    </w:pPr>
  </w:style>
  <w:style w:type="paragraph" w:customStyle="1" w:styleId="Attachment1">
    <w:name w:val="Attachment 1"/>
    <w:next w:val="Normal"/>
    <w:uiPriority w:val="19"/>
    <w:qFormat/>
    <w:rsid w:val="00484FC0"/>
    <w:pPr>
      <w:pageBreakBefore/>
      <w:numPr>
        <w:numId w:val="5"/>
      </w:numPr>
      <w:pBdr>
        <w:bottom w:val="single" w:sz="4" w:space="1" w:color="404040"/>
      </w:pBdr>
      <w:spacing w:before="400" w:after="1200"/>
    </w:pPr>
    <w:rPr>
      <w:rFonts w:ascii="Calibri" w:hAnsi="Calibri" w:cs="Calibri"/>
      <w:color w:val="404040"/>
      <w:kern w:val="28"/>
      <w:sz w:val="40"/>
      <w:szCs w:val="22"/>
      <w:lang w:eastAsia="en-US"/>
    </w:rPr>
  </w:style>
  <w:style w:type="paragraph" w:customStyle="1" w:styleId="Heading4NoNum">
    <w:name w:val="Heading 4 NoNum"/>
    <w:basedOn w:val="Heading4"/>
    <w:uiPriority w:val="4"/>
    <w:qFormat/>
    <w:rsid w:val="00484FC0"/>
    <w:pPr>
      <w:numPr>
        <w:ilvl w:val="0"/>
        <w:numId w:val="0"/>
      </w:numPr>
      <w:ind w:left="794"/>
    </w:pPr>
  </w:style>
  <w:style w:type="paragraph" w:customStyle="1" w:styleId="Normal1">
    <w:name w:val="Normal1"/>
    <w:basedOn w:val="Normal"/>
    <w:link w:val="NormalChar"/>
    <w:qFormat/>
    <w:rsid w:val="00E41631"/>
    <w:pPr>
      <w:spacing w:before="100" w:after="100"/>
      <w:ind w:left="794"/>
    </w:pPr>
    <w:rPr>
      <w:rFonts w:ascii="Calibri" w:hAnsi="Calibri" w:cs="Calibri"/>
      <w:sz w:val="22"/>
      <w:szCs w:val="22"/>
    </w:rPr>
  </w:style>
  <w:style w:type="character" w:customStyle="1" w:styleId="NormalChar">
    <w:name w:val="Normal Char"/>
    <w:basedOn w:val="DefaultParagraphFont"/>
    <w:link w:val="Normal1"/>
    <w:rsid w:val="00E41631"/>
    <w:rPr>
      <w:rFonts w:ascii="Calibri" w:hAnsi="Calibri" w:cs="Calibri"/>
      <w:sz w:val="22"/>
      <w:szCs w:val="22"/>
    </w:rPr>
  </w:style>
  <w:style w:type="paragraph" w:styleId="Header">
    <w:name w:val="header"/>
    <w:basedOn w:val="Normal"/>
    <w:link w:val="HeaderChar"/>
    <w:uiPriority w:val="99"/>
    <w:unhideWhenUsed/>
    <w:rsid w:val="009F4D80"/>
    <w:pPr>
      <w:tabs>
        <w:tab w:val="center" w:pos="4513"/>
        <w:tab w:val="right" w:pos="9026"/>
      </w:tabs>
    </w:pPr>
  </w:style>
  <w:style w:type="character" w:customStyle="1" w:styleId="HeaderChar">
    <w:name w:val="Header Char"/>
    <w:basedOn w:val="DefaultParagraphFont"/>
    <w:link w:val="Header"/>
    <w:uiPriority w:val="99"/>
    <w:rsid w:val="009F4D80"/>
  </w:style>
  <w:style w:type="paragraph" w:styleId="TableofFigures">
    <w:name w:val="table of figures"/>
    <w:basedOn w:val="Normal"/>
    <w:next w:val="Normal"/>
    <w:uiPriority w:val="99"/>
    <w:unhideWhenUsed/>
    <w:rsid w:val="00F50102"/>
    <w:pPr>
      <w:ind w:left="720"/>
    </w:pPr>
    <w:rPr>
      <w:rFonts w:asciiTheme="majorHAnsi" w:hAnsiTheme="majorHAnsi"/>
      <w:sz w:val="20"/>
    </w:rPr>
  </w:style>
  <w:style w:type="paragraph" w:styleId="TOC1">
    <w:name w:val="toc 1"/>
    <w:basedOn w:val="Normal"/>
    <w:next w:val="Normal"/>
    <w:autoRedefine/>
    <w:uiPriority w:val="39"/>
    <w:unhideWhenUsed/>
    <w:rsid w:val="00A61178"/>
    <w:pPr>
      <w:tabs>
        <w:tab w:val="right" w:leader="dot" w:pos="8290"/>
      </w:tabs>
      <w:spacing w:after="100"/>
    </w:pPr>
    <w:rPr>
      <w:rFonts w:asciiTheme="majorHAnsi" w:hAnsiTheme="majorHAnsi"/>
    </w:rPr>
  </w:style>
  <w:style w:type="paragraph" w:styleId="TOC2">
    <w:name w:val="toc 2"/>
    <w:basedOn w:val="Normal"/>
    <w:next w:val="Normal"/>
    <w:autoRedefine/>
    <w:uiPriority w:val="39"/>
    <w:unhideWhenUsed/>
    <w:rsid w:val="00A61178"/>
    <w:pPr>
      <w:spacing w:after="100"/>
      <w:ind w:left="200"/>
    </w:pPr>
    <w:rPr>
      <w:rFonts w:asciiTheme="majorHAnsi" w:hAnsiTheme="majorHAnsi"/>
      <w:sz w:val="20"/>
    </w:rPr>
  </w:style>
  <w:style w:type="paragraph" w:styleId="TOC3">
    <w:name w:val="toc 3"/>
    <w:basedOn w:val="Normal"/>
    <w:next w:val="Normal"/>
    <w:autoRedefine/>
    <w:uiPriority w:val="39"/>
    <w:unhideWhenUsed/>
    <w:rsid w:val="009F4D80"/>
    <w:pPr>
      <w:spacing w:after="100"/>
      <w:ind w:left="400"/>
    </w:pPr>
    <w:rPr>
      <w:rFonts w:asciiTheme="majorHAnsi" w:hAnsiTheme="majorHAnsi"/>
    </w:rPr>
  </w:style>
  <w:style w:type="paragraph" w:styleId="Footer">
    <w:name w:val="footer"/>
    <w:basedOn w:val="Normal"/>
    <w:link w:val="FooterChar"/>
    <w:uiPriority w:val="99"/>
    <w:unhideWhenUsed/>
    <w:rsid w:val="009F4D80"/>
    <w:pPr>
      <w:tabs>
        <w:tab w:val="center" w:pos="4513"/>
        <w:tab w:val="right" w:pos="9026"/>
      </w:tabs>
    </w:pPr>
  </w:style>
  <w:style w:type="character" w:customStyle="1" w:styleId="FooterChar">
    <w:name w:val="Footer Char"/>
    <w:basedOn w:val="DefaultParagraphFont"/>
    <w:link w:val="Footer"/>
    <w:uiPriority w:val="99"/>
    <w:rsid w:val="009F4D80"/>
  </w:style>
  <w:style w:type="character" w:customStyle="1" w:styleId="Italic">
    <w:name w:val="Italic"/>
    <w:uiPriority w:val="99"/>
    <w:rsid w:val="0043686D"/>
    <w:rPr>
      <w:i/>
      <w:iCs/>
    </w:rPr>
  </w:style>
  <w:style w:type="character" w:styleId="CommentReference">
    <w:name w:val="annotation reference"/>
    <w:basedOn w:val="DefaultParagraphFont"/>
    <w:uiPriority w:val="99"/>
    <w:unhideWhenUsed/>
    <w:rsid w:val="005D5A96"/>
    <w:rPr>
      <w:sz w:val="16"/>
      <w:szCs w:val="16"/>
    </w:rPr>
  </w:style>
  <w:style w:type="paragraph" w:styleId="CommentText">
    <w:name w:val="annotation text"/>
    <w:basedOn w:val="Normal"/>
    <w:link w:val="CommentTextChar"/>
    <w:uiPriority w:val="99"/>
    <w:unhideWhenUsed/>
    <w:rsid w:val="005D5A96"/>
  </w:style>
  <w:style w:type="character" w:customStyle="1" w:styleId="CommentTextChar">
    <w:name w:val="Comment Text Char"/>
    <w:basedOn w:val="DefaultParagraphFont"/>
    <w:link w:val="CommentText"/>
    <w:uiPriority w:val="99"/>
    <w:rsid w:val="005D5A96"/>
  </w:style>
  <w:style w:type="paragraph" w:styleId="CommentSubject">
    <w:name w:val="annotation subject"/>
    <w:basedOn w:val="CommentText"/>
    <w:next w:val="CommentText"/>
    <w:link w:val="CommentSubjectChar"/>
    <w:uiPriority w:val="99"/>
    <w:semiHidden/>
    <w:unhideWhenUsed/>
    <w:rsid w:val="005D5A96"/>
    <w:rPr>
      <w:b/>
      <w:bCs/>
    </w:rPr>
  </w:style>
  <w:style w:type="character" w:customStyle="1" w:styleId="CommentSubjectChar">
    <w:name w:val="Comment Subject Char"/>
    <w:basedOn w:val="CommentTextChar"/>
    <w:link w:val="CommentSubject"/>
    <w:uiPriority w:val="99"/>
    <w:semiHidden/>
    <w:rsid w:val="005D5A96"/>
    <w:rPr>
      <w:b/>
      <w:bCs/>
    </w:rPr>
  </w:style>
  <w:style w:type="table" w:styleId="TableGrid">
    <w:name w:val="Table Grid"/>
    <w:basedOn w:val="TableNormal"/>
    <w:rsid w:val="005D5A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D5A96"/>
    <w:pPr>
      <w:spacing w:before="100" w:beforeAutospacing="1" w:after="100" w:afterAutospacing="1"/>
    </w:pPr>
    <w:rPr>
      <w:rFonts w:ascii="Times New Roman" w:hAnsi="Times New Roman"/>
    </w:rPr>
  </w:style>
  <w:style w:type="paragraph" w:customStyle="1" w:styleId="Default">
    <w:name w:val="Default"/>
    <w:rsid w:val="00AD19F6"/>
    <w:pPr>
      <w:autoSpaceDE w:val="0"/>
      <w:autoSpaceDN w:val="0"/>
      <w:adjustRightInd w:val="0"/>
    </w:pPr>
    <w:rPr>
      <w:rFonts w:ascii="Calibri" w:hAnsi="Calibri" w:cs="Calibri"/>
      <w:color w:val="000000"/>
    </w:rPr>
  </w:style>
  <w:style w:type="paragraph" w:styleId="Revision">
    <w:name w:val="Revision"/>
    <w:hidden/>
    <w:uiPriority w:val="99"/>
    <w:semiHidden/>
    <w:rsid w:val="002E16AA"/>
  </w:style>
  <w:style w:type="character" w:customStyle="1" w:styleId="apple-converted-space">
    <w:name w:val="apple-converted-space"/>
    <w:basedOn w:val="DefaultParagraphFont"/>
    <w:rsid w:val="00F57B15"/>
  </w:style>
  <w:style w:type="character" w:customStyle="1" w:styleId="st">
    <w:name w:val="st"/>
    <w:basedOn w:val="DefaultParagraphFont"/>
    <w:rsid w:val="00BC4CDD"/>
  </w:style>
  <w:style w:type="paragraph" w:styleId="FootnoteText">
    <w:name w:val="footnote text"/>
    <w:basedOn w:val="Normal"/>
    <w:link w:val="FootnoteTextChar"/>
    <w:rsid w:val="001869C0"/>
    <w:rPr>
      <w:sz w:val="20"/>
      <w:szCs w:val="20"/>
    </w:rPr>
  </w:style>
  <w:style w:type="character" w:customStyle="1" w:styleId="FootnoteTextChar">
    <w:name w:val="Footnote Text Char"/>
    <w:basedOn w:val="DefaultParagraphFont"/>
    <w:link w:val="FootnoteText"/>
    <w:rsid w:val="001869C0"/>
    <w:rPr>
      <w:sz w:val="20"/>
      <w:szCs w:val="20"/>
    </w:rPr>
  </w:style>
  <w:style w:type="character" w:styleId="FootnoteReference">
    <w:name w:val="footnote reference"/>
    <w:basedOn w:val="DefaultParagraphFont"/>
    <w:rsid w:val="001869C0"/>
    <w:rPr>
      <w:vertAlign w:val="superscript"/>
    </w:rPr>
  </w:style>
  <w:style w:type="paragraph" w:styleId="EndnoteText">
    <w:name w:val="endnote text"/>
    <w:basedOn w:val="Normal"/>
    <w:link w:val="EndnoteTextChar"/>
    <w:rsid w:val="001869C0"/>
    <w:rPr>
      <w:sz w:val="20"/>
      <w:szCs w:val="20"/>
    </w:rPr>
  </w:style>
  <w:style w:type="character" w:customStyle="1" w:styleId="EndnoteTextChar">
    <w:name w:val="Endnote Text Char"/>
    <w:basedOn w:val="DefaultParagraphFont"/>
    <w:link w:val="EndnoteText"/>
    <w:rsid w:val="001869C0"/>
    <w:rPr>
      <w:sz w:val="20"/>
      <w:szCs w:val="20"/>
    </w:rPr>
  </w:style>
  <w:style w:type="character" w:styleId="EndnoteReference">
    <w:name w:val="endnote reference"/>
    <w:basedOn w:val="DefaultParagraphFont"/>
    <w:rsid w:val="001869C0"/>
    <w:rPr>
      <w:vertAlign w:val="superscript"/>
    </w:rPr>
  </w:style>
  <w:style w:type="paragraph" w:customStyle="1" w:styleId="BodyCopy">
    <w:name w:val="Body Copy"/>
    <w:basedOn w:val="Normal"/>
    <w:uiPriority w:val="99"/>
    <w:rsid w:val="00817F5B"/>
    <w:pPr>
      <w:widowControl w:val="0"/>
      <w:tabs>
        <w:tab w:val="left" w:pos="283"/>
        <w:tab w:val="left" w:pos="567"/>
        <w:tab w:val="left" w:pos="850"/>
      </w:tabs>
      <w:suppressAutoHyphens/>
      <w:autoSpaceDE w:val="0"/>
      <w:autoSpaceDN w:val="0"/>
      <w:adjustRightInd w:val="0"/>
      <w:spacing w:after="113" w:line="270" w:lineRule="atLeast"/>
    </w:pPr>
    <w:rPr>
      <w:rFonts w:eastAsiaTheme="minorEastAsia" w:cs="TradeGothic-Light"/>
      <w:color w:val="000000"/>
      <w:spacing w:val="-2"/>
      <w:sz w:val="20"/>
      <w:szCs w:val="20"/>
      <w:lang w:eastAsia="en-US"/>
    </w:rPr>
  </w:style>
  <w:style w:type="character" w:styleId="FollowedHyperlink">
    <w:name w:val="FollowedHyperlink"/>
    <w:basedOn w:val="DefaultParagraphFont"/>
    <w:rsid w:val="009D12F0"/>
    <w:rPr>
      <w:color w:val="800080" w:themeColor="followedHyperlink"/>
      <w:u w:val="single"/>
    </w:rPr>
  </w:style>
  <w:style w:type="character" w:customStyle="1" w:styleId="content">
    <w:name w:val="content"/>
    <w:basedOn w:val="DefaultParagraphFont"/>
    <w:rsid w:val="00E07B86"/>
  </w:style>
  <w:style w:type="paragraph" w:customStyle="1" w:styleId="Bullet2">
    <w:name w:val="Bullet 2"/>
    <w:basedOn w:val="Bullet1"/>
    <w:uiPriority w:val="11"/>
    <w:qFormat/>
    <w:rsid w:val="00E07B86"/>
    <w:pPr>
      <w:numPr>
        <w:numId w:val="0"/>
      </w:numPr>
      <w:tabs>
        <w:tab w:val="num" w:pos="1361"/>
      </w:tabs>
      <w:ind w:left="1361" w:hanging="284"/>
    </w:pPr>
  </w:style>
  <w:style w:type="paragraph" w:customStyle="1" w:styleId="Bullet3">
    <w:name w:val="Bullet 3"/>
    <w:basedOn w:val="Bullet2"/>
    <w:uiPriority w:val="11"/>
    <w:qFormat/>
    <w:rsid w:val="00E07B86"/>
    <w:pPr>
      <w:tabs>
        <w:tab w:val="clear" w:pos="1361"/>
        <w:tab w:val="num" w:pos="1644"/>
      </w:tabs>
      <w:ind w:left="1644" w:hanging="283"/>
    </w:pPr>
  </w:style>
  <w:style w:type="paragraph" w:customStyle="1" w:styleId="DHHSNumberText">
    <w:name w:val="DHHS Number Text"/>
    <w:basedOn w:val="Normal"/>
    <w:uiPriority w:val="99"/>
    <w:rsid w:val="00805F89"/>
    <w:pPr>
      <w:numPr>
        <w:numId w:val="6"/>
      </w:numPr>
      <w:spacing w:after="120" w:line="270" w:lineRule="exact"/>
    </w:pPr>
    <w:rPr>
      <w:rFonts w:ascii="Calibri" w:hAnsi="Calibri"/>
      <w:sz w:val="22"/>
      <w:szCs w:val="20"/>
      <w:lang w:eastAsia="en-US"/>
    </w:rPr>
  </w:style>
  <w:style w:type="paragraph" w:customStyle="1" w:styleId="Subscriptnote">
    <w:name w:val="Subscript note"/>
    <w:basedOn w:val="BodyText3"/>
    <w:link w:val="SubscriptnoteChar"/>
    <w:qFormat/>
    <w:rsid w:val="001D1766"/>
    <w:pPr>
      <w:spacing w:before="40"/>
      <w:ind w:left="720"/>
    </w:pPr>
    <w:rPr>
      <w:sz w:val="20"/>
      <w:szCs w:val="20"/>
    </w:rPr>
  </w:style>
  <w:style w:type="paragraph" w:styleId="BodyText3">
    <w:name w:val="Body Text 3"/>
    <w:basedOn w:val="Normal"/>
    <w:link w:val="BodyText3Char"/>
    <w:rsid w:val="001D1766"/>
    <w:pPr>
      <w:spacing w:after="120"/>
    </w:pPr>
    <w:rPr>
      <w:sz w:val="16"/>
      <w:szCs w:val="16"/>
    </w:rPr>
  </w:style>
  <w:style w:type="character" w:customStyle="1" w:styleId="BodyText3Char">
    <w:name w:val="Body Text 3 Char"/>
    <w:basedOn w:val="DefaultParagraphFont"/>
    <w:link w:val="BodyText3"/>
    <w:rsid w:val="001D1766"/>
    <w:rPr>
      <w:sz w:val="16"/>
      <w:szCs w:val="16"/>
    </w:rPr>
  </w:style>
  <w:style w:type="character" w:customStyle="1" w:styleId="SubscriptnoteChar">
    <w:name w:val="Subscript note Char"/>
    <w:basedOn w:val="Heading2NoNumChar"/>
    <w:link w:val="Subscriptnote"/>
    <w:rsid w:val="001D1766"/>
    <w:rPr>
      <w:rFonts w:ascii="Calibri" w:hAnsi="Calibri" w:cs="Calibri"/>
      <w:color w:val="4D4D4D"/>
      <w:kern w:val="28"/>
      <w:sz w:val="20"/>
      <w:szCs w:val="20"/>
      <w:lang w:eastAsia="en-US"/>
    </w:rPr>
  </w:style>
  <w:style w:type="paragraph" w:customStyle="1" w:styleId="HeadingC">
    <w:name w:val="Heading C"/>
    <w:basedOn w:val="Normal"/>
    <w:uiPriority w:val="99"/>
    <w:rsid w:val="00B233EF"/>
    <w:pPr>
      <w:widowControl w:val="0"/>
      <w:suppressAutoHyphens/>
      <w:autoSpaceDE w:val="0"/>
      <w:autoSpaceDN w:val="0"/>
      <w:adjustRightInd w:val="0"/>
      <w:spacing w:before="113" w:after="170" w:line="280" w:lineRule="atLeast"/>
      <w:ind w:left="794"/>
      <w:textAlignment w:val="center"/>
    </w:pPr>
    <w:rPr>
      <w:rFonts w:ascii="Calibri" w:hAnsi="Calibri" w:cs="VIC-SemiBold"/>
      <w:b/>
      <w:bCs/>
      <w:color w:val="000000"/>
      <w:sz w:val="26"/>
      <w:szCs w:val="26"/>
    </w:rPr>
  </w:style>
  <w:style w:type="character" w:customStyle="1" w:styleId="tgc">
    <w:name w:val="_tgc"/>
    <w:basedOn w:val="DefaultParagraphFont"/>
    <w:rsid w:val="00853907"/>
  </w:style>
  <w:style w:type="paragraph" w:customStyle="1" w:styleId="Sectionintro">
    <w:name w:val="Section intro"/>
    <w:basedOn w:val="Normal1"/>
    <w:link w:val="SectionintroChar"/>
    <w:qFormat/>
    <w:rsid w:val="00853907"/>
    <w:rPr>
      <w:bCs/>
      <w:sz w:val="28"/>
      <w:szCs w:val="28"/>
    </w:rPr>
  </w:style>
  <w:style w:type="character" w:customStyle="1" w:styleId="SectionintroChar">
    <w:name w:val="Section intro Char"/>
    <w:basedOn w:val="NormalChar"/>
    <w:link w:val="Sectionintro"/>
    <w:rsid w:val="00853907"/>
    <w:rPr>
      <w:rFonts w:ascii="Calibri" w:hAnsi="Calibri" w:cs="Calibri"/>
      <w:bCs/>
      <w:sz w:val="28"/>
      <w:szCs w:val="28"/>
    </w:rPr>
  </w:style>
  <w:style w:type="table" w:customStyle="1" w:styleId="PlainTable31">
    <w:name w:val="Plain Table 31"/>
    <w:basedOn w:val="TableNormal"/>
    <w:uiPriority w:val="43"/>
    <w:rsid w:val="00933245"/>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GridTable31">
    <w:name w:val="Grid Table 31"/>
    <w:basedOn w:val="TableNormal"/>
    <w:uiPriority w:val="48"/>
    <w:rsid w:val="00933245"/>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5Dark-Accent41">
    <w:name w:val="Grid Table 5 Dark - Accent 41"/>
    <w:basedOn w:val="TableNormal"/>
    <w:uiPriority w:val="50"/>
    <w:rsid w:val="0093324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customStyle="1" w:styleId="GridTable5Dark-Accent31">
    <w:name w:val="Grid Table 5 Dark - Accent 31"/>
    <w:basedOn w:val="TableNormal"/>
    <w:uiPriority w:val="50"/>
    <w:rsid w:val="00F10C7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customStyle="1" w:styleId="GridTable4-Accent31">
    <w:name w:val="Grid Table 4 - Accent 31"/>
    <w:basedOn w:val="TableNormal"/>
    <w:uiPriority w:val="49"/>
    <w:rsid w:val="00603BC0"/>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character" w:customStyle="1" w:styleId="Mention1">
    <w:name w:val="Mention1"/>
    <w:basedOn w:val="DefaultParagraphFont"/>
    <w:uiPriority w:val="99"/>
    <w:semiHidden/>
    <w:unhideWhenUsed/>
    <w:rsid w:val="006646F6"/>
    <w:rPr>
      <w:color w:val="2B579A"/>
      <w:shd w:val="clear" w:color="auto" w:fill="E6E6E6"/>
    </w:rPr>
  </w:style>
  <w:style w:type="character" w:customStyle="1" w:styleId="UnresolvedMention1">
    <w:name w:val="Unresolved Mention1"/>
    <w:basedOn w:val="DefaultParagraphFont"/>
    <w:uiPriority w:val="99"/>
    <w:semiHidden/>
    <w:unhideWhenUsed/>
    <w:rsid w:val="00E51616"/>
    <w:rPr>
      <w:color w:val="808080"/>
      <w:shd w:val="clear" w:color="auto" w:fill="E6E6E6"/>
    </w:rPr>
  </w:style>
  <w:style w:type="table" w:customStyle="1" w:styleId="GridTable5Dark-Accent32">
    <w:name w:val="Grid Table 5 Dark - Accent 32"/>
    <w:basedOn w:val="TableNormal"/>
    <w:uiPriority w:val="50"/>
    <w:rsid w:val="007955B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paragraph" w:customStyle="1" w:styleId="tasblebullet">
    <w:name w:val="tasble bullet"/>
    <w:basedOn w:val="TableText"/>
    <w:link w:val="tasblebulletChar"/>
    <w:qFormat/>
    <w:rsid w:val="005C3239"/>
    <w:pPr>
      <w:numPr>
        <w:numId w:val="7"/>
      </w:numPr>
      <w:ind w:left="316" w:hanging="283"/>
    </w:pPr>
  </w:style>
  <w:style w:type="character" w:customStyle="1" w:styleId="tasblebulletChar">
    <w:name w:val="tasble bullet Char"/>
    <w:basedOn w:val="TableTextChar"/>
    <w:link w:val="tasblebullet"/>
    <w:rsid w:val="005C3239"/>
    <w:rPr>
      <w:rFonts w:ascii="Calibri" w:hAnsi="Calibri" w:cs="Calibri"/>
      <w:sz w:val="20"/>
      <w:szCs w:val="20"/>
    </w:rPr>
  </w:style>
  <w:style w:type="paragraph" w:customStyle="1" w:styleId="Tablenumbers">
    <w:name w:val="Table numbers"/>
    <w:basedOn w:val="Normal"/>
    <w:link w:val="TablenumbersChar"/>
    <w:qFormat/>
    <w:rsid w:val="007D26AE"/>
    <w:pPr>
      <w:jc w:val="right"/>
    </w:pPr>
    <w:rPr>
      <w:rFonts w:ascii="Calibri" w:hAnsi="Calibri"/>
      <w:color w:val="000000"/>
      <w:sz w:val="20"/>
      <w:szCs w:val="20"/>
    </w:rPr>
  </w:style>
  <w:style w:type="character" w:customStyle="1" w:styleId="TablenumbersChar">
    <w:name w:val="Table numbers Char"/>
    <w:basedOn w:val="DefaultParagraphFont"/>
    <w:link w:val="Tablenumbers"/>
    <w:rsid w:val="007D26AE"/>
    <w:rPr>
      <w:rFonts w:ascii="Calibri" w:hAnsi="Calibri"/>
      <w:color w:val="000000"/>
      <w:sz w:val="20"/>
      <w:szCs w:val="20"/>
    </w:rPr>
  </w:style>
  <w:style w:type="table" w:customStyle="1" w:styleId="TableGridLight1">
    <w:name w:val="Table Grid Light1"/>
    <w:basedOn w:val="TableNormal"/>
    <w:rsid w:val="0000017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extbox">
    <w:name w:val="text box"/>
    <w:basedOn w:val="Normal1"/>
    <w:link w:val="textboxChar"/>
    <w:qFormat/>
    <w:rsid w:val="000C3B64"/>
    <w:pPr>
      <w:ind w:left="0"/>
    </w:pPr>
    <w:rPr>
      <w:sz w:val="21"/>
      <w:szCs w:val="21"/>
    </w:rPr>
  </w:style>
  <w:style w:type="character" w:customStyle="1" w:styleId="textboxChar">
    <w:name w:val="text box Char"/>
    <w:basedOn w:val="DefaultParagraphFont"/>
    <w:link w:val="textbox"/>
    <w:rsid w:val="000C3B64"/>
    <w:rPr>
      <w:rFonts w:ascii="Calibri" w:hAnsi="Calibri" w:cs="Calibri"/>
      <w:sz w:val="21"/>
      <w:szCs w:val="21"/>
    </w:rPr>
  </w:style>
  <w:style w:type="table" w:customStyle="1" w:styleId="PlainTable21">
    <w:name w:val="Plain Table 21"/>
    <w:basedOn w:val="TableNormal"/>
    <w:rsid w:val="00C9672A"/>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UnresolvedMention2">
    <w:name w:val="Unresolved Mention2"/>
    <w:basedOn w:val="DefaultParagraphFont"/>
    <w:uiPriority w:val="99"/>
    <w:semiHidden/>
    <w:unhideWhenUsed/>
    <w:rsid w:val="002E2E5E"/>
    <w:rPr>
      <w:color w:val="808080"/>
      <w:shd w:val="clear" w:color="auto" w:fill="E6E6E6"/>
    </w:rPr>
  </w:style>
  <w:style w:type="character" w:customStyle="1" w:styleId="UnresolvedMention3">
    <w:name w:val="Unresolved Mention3"/>
    <w:basedOn w:val="DefaultParagraphFont"/>
    <w:uiPriority w:val="99"/>
    <w:semiHidden/>
    <w:unhideWhenUsed/>
    <w:rsid w:val="00B45C4C"/>
    <w:rPr>
      <w:color w:val="808080"/>
      <w:shd w:val="clear" w:color="auto" w:fill="E6E6E6"/>
    </w:rPr>
  </w:style>
  <w:style w:type="paragraph" w:customStyle="1" w:styleId="FigureHeading">
    <w:name w:val="Figure Heading"/>
    <w:basedOn w:val="Heading4"/>
    <w:next w:val="Normal"/>
    <w:rsid w:val="00BC2531"/>
    <w:pPr>
      <w:keepLines w:val="0"/>
      <w:widowControl/>
      <w:numPr>
        <w:numId w:val="9"/>
      </w:numPr>
      <w:spacing w:before="280" w:after="80" w:line="240" w:lineRule="auto"/>
    </w:pPr>
    <w:rPr>
      <w:rFonts w:ascii="Corbel" w:eastAsia="Times" w:hAnsi="Corbel" w:cs="Times New Roman"/>
      <w:bCs/>
      <w:i/>
      <w:caps/>
      <w:color w:val="DD5D2B"/>
      <w:kern w:val="0"/>
      <w:sz w:val="18"/>
      <w:szCs w:val="18"/>
      <w:lang w:val="en-US"/>
    </w:rPr>
  </w:style>
  <w:style w:type="paragraph" w:customStyle="1" w:styleId="PulloutHeadingC">
    <w:name w:val="Pullout Heading C"/>
    <w:basedOn w:val="Normal"/>
    <w:qFormat/>
    <w:rsid w:val="00BC2531"/>
    <w:pPr>
      <w:spacing w:after="240"/>
    </w:pPr>
    <w:rPr>
      <w:rFonts w:eastAsiaTheme="minorEastAsia" w:cstheme="minorBidi"/>
      <w:b/>
      <w:bCs/>
      <w:caps/>
      <w:lang w:val="en-US" w:eastAsia="en-US"/>
    </w:rPr>
  </w:style>
  <w:style w:type="table" w:customStyle="1" w:styleId="PlainTable11">
    <w:name w:val="Plain Table 11"/>
    <w:basedOn w:val="TableNormal"/>
    <w:rsid w:val="003058E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Table21">
    <w:name w:val="Grid Table 21"/>
    <w:basedOn w:val="TableNormal"/>
    <w:rsid w:val="003058E0"/>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1">
    <w:name w:val="List Table 31"/>
    <w:basedOn w:val="TableNormal"/>
    <w:uiPriority w:val="48"/>
    <w:rsid w:val="00491EC4"/>
    <w:rPr>
      <w:rFonts w:ascii="Calibri" w:eastAsia="Calibri" w:hAnsi="Calibri"/>
      <w:sz w:val="22"/>
      <w:szCs w:val="22"/>
      <w:lang w:eastAsia="en-US"/>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character" w:customStyle="1" w:styleId="ilfuvd">
    <w:name w:val="ilfuvd"/>
    <w:basedOn w:val="DefaultParagraphFont"/>
    <w:rsid w:val="00477B20"/>
  </w:style>
  <w:style w:type="paragraph" w:styleId="BodyTextIndent">
    <w:name w:val="Body Text Indent"/>
    <w:basedOn w:val="Normal"/>
    <w:link w:val="BodyTextIndentChar"/>
    <w:semiHidden/>
    <w:unhideWhenUsed/>
    <w:rsid w:val="005E4AF7"/>
    <w:pPr>
      <w:spacing w:after="120"/>
      <w:ind w:left="283"/>
    </w:pPr>
  </w:style>
  <w:style w:type="character" w:customStyle="1" w:styleId="BodyTextIndentChar">
    <w:name w:val="Body Text Indent Char"/>
    <w:basedOn w:val="DefaultParagraphFont"/>
    <w:link w:val="BodyTextIndent"/>
    <w:semiHidden/>
    <w:rsid w:val="005E4AF7"/>
  </w:style>
  <w:style w:type="paragraph" w:styleId="BodyTextFirstIndent2">
    <w:name w:val="Body Text First Indent 2"/>
    <w:basedOn w:val="BodyTextIndent"/>
    <w:link w:val="BodyTextFirstIndent2Char"/>
    <w:semiHidden/>
    <w:unhideWhenUsed/>
    <w:rsid w:val="005E4AF7"/>
    <w:pPr>
      <w:spacing w:after="0"/>
      <w:ind w:left="360" w:firstLine="360"/>
    </w:pPr>
  </w:style>
  <w:style w:type="character" w:customStyle="1" w:styleId="BodyTextFirstIndent2Char">
    <w:name w:val="Body Text First Indent 2 Char"/>
    <w:basedOn w:val="BodyTextIndentChar"/>
    <w:link w:val="BodyTextFirstIndent2"/>
    <w:semiHidden/>
    <w:rsid w:val="005E4AF7"/>
  </w:style>
  <w:style w:type="paragraph" w:customStyle="1" w:styleId="Tablenote">
    <w:name w:val="Table note"/>
    <w:basedOn w:val="Normal1"/>
    <w:link w:val="TablenoteChar"/>
    <w:rsid w:val="00D30F13"/>
    <w:rPr>
      <w:sz w:val="20"/>
      <w:szCs w:val="20"/>
    </w:rPr>
  </w:style>
  <w:style w:type="character" w:customStyle="1" w:styleId="TablenoteChar">
    <w:name w:val="Table note Char"/>
    <w:basedOn w:val="NormalChar"/>
    <w:link w:val="Tablenote"/>
    <w:rsid w:val="00D30F13"/>
    <w:rPr>
      <w:rFonts w:ascii="Calibri" w:hAnsi="Calibri" w:cs="Calibri"/>
      <w:sz w:val="20"/>
      <w:szCs w:val="20"/>
    </w:rPr>
  </w:style>
  <w:style w:type="paragraph" w:customStyle="1" w:styleId="tablenote0">
    <w:name w:val="table note"/>
    <w:basedOn w:val="Tablenotes"/>
    <w:link w:val="tablenoteChar0"/>
    <w:rsid w:val="005B2E7F"/>
  </w:style>
  <w:style w:type="paragraph" w:customStyle="1" w:styleId="Tablenotes">
    <w:name w:val="Table notes"/>
    <w:basedOn w:val="Normal"/>
    <w:link w:val="TablenotesChar"/>
    <w:qFormat/>
    <w:rsid w:val="005B2E7F"/>
    <w:pPr>
      <w:spacing w:before="20"/>
      <w:ind w:left="284" w:hanging="284"/>
      <w:contextualSpacing/>
    </w:pPr>
    <w:rPr>
      <w:rFonts w:ascii="Calibri" w:eastAsia="Calibri" w:hAnsi="Calibri"/>
      <w:spacing w:val="-2"/>
      <w:sz w:val="16"/>
      <w:szCs w:val="16"/>
      <w:lang w:eastAsia="en-US"/>
    </w:rPr>
  </w:style>
  <w:style w:type="character" w:customStyle="1" w:styleId="TablenotesChar">
    <w:name w:val="Table notes Char"/>
    <w:basedOn w:val="DefaultParagraphFont"/>
    <w:link w:val="Tablenotes"/>
    <w:rsid w:val="005B2E7F"/>
    <w:rPr>
      <w:rFonts w:ascii="Calibri" w:eastAsia="Calibri" w:hAnsi="Calibri"/>
      <w:spacing w:val="-2"/>
      <w:sz w:val="16"/>
      <w:szCs w:val="16"/>
      <w:lang w:eastAsia="en-US"/>
    </w:rPr>
  </w:style>
  <w:style w:type="character" w:customStyle="1" w:styleId="tablenoteChar0">
    <w:name w:val="table note Char"/>
    <w:basedOn w:val="NormalChar"/>
    <w:link w:val="tablenote0"/>
    <w:rsid w:val="005B2E7F"/>
    <w:rPr>
      <w:rFonts w:ascii="Calibri" w:eastAsia="Calibri" w:hAnsi="Calibri" w:cs="Calibri"/>
      <w:spacing w:val="-2"/>
      <w:sz w:val="16"/>
      <w:szCs w:val="16"/>
      <w:lang w:eastAsia="en-US"/>
    </w:rPr>
  </w:style>
  <w:style w:type="character" w:customStyle="1" w:styleId="s1">
    <w:name w:val="s1"/>
    <w:basedOn w:val="DefaultParagraphFont"/>
    <w:rsid w:val="000C3B64"/>
  </w:style>
  <w:style w:type="character" w:customStyle="1" w:styleId="UnresolvedMention4">
    <w:name w:val="Unresolved Mention4"/>
    <w:basedOn w:val="DefaultParagraphFont"/>
    <w:uiPriority w:val="99"/>
    <w:semiHidden/>
    <w:unhideWhenUsed/>
    <w:rsid w:val="006A3D64"/>
    <w:rPr>
      <w:color w:val="605E5C"/>
      <w:shd w:val="clear" w:color="auto" w:fill="E1DFDD"/>
    </w:rPr>
  </w:style>
  <w:style w:type="character" w:styleId="UnresolvedMention">
    <w:name w:val="Unresolved Mention"/>
    <w:basedOn w:val="DefaultParagraphFont"/>
    <w:uiPriority w:val="99"/>
    <w:semiHidden/>
    <w:unhideWhenUsed/>
    <w:rsid w:val="00E40C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153314">
      <w:bodyDiv w:val="1"/>
      <w:marLeft w:val="0"/>
      <w:marRight w:val="0"/>
      <w:marTop w:val="0"/>
      <w:marBottom w:val="0"/>
      <w:divBdr>
        <w:top w:val="none" w:sz="0" w:space="0" w:color="auto"/>
        <w:left w:val="none" w:sz="0" w:space="0" w:color="auto"/>
        <w:bottom w:val="none" w:sz="0" w:space="0" w:color="auto"/>
        <w:right w:val="none" w:sz="0" w:space="0" w:color="auto"/>
      </w:divBdr>
    </w:div>
    <w:div w:id="65299305">
      <w:bodyDiv w:val="1"/>
      <w:marLeft w:val="0"/>
      <w:marRight w:val="0"/>
      <w:marTop w:val="0"/>
      <w:marBottom w:val="0"/>
      <w:divBdr>
        <w:top w:val="none" w:sz="0" w:space="0" w:color="auto"/>
        <w:left w:val="none" w:sz="0" w:space="0" w:color="auto"/>
        <w:bottom w:val="none" w:sz="0" w:space="0" w:color="auto"/>
        <w:right w:val="none" w:sz="0" w:space="0" w:color="auto"/>
      </w:divBdr>
    </w:div>
    <w:div w:id="94134886">
      <w:bodyDiv w:val="1"/>
      <w:marLeft w:val="0"/>
      <w:marRight w:val="0"/>
      <w:marTop w:val="0"/>
      <w:marBottom w:val="0"/>
      <w:divBdr>
        <w:top w:val="none" w:sz="0" w:space="0" w:color="auto"/>
        <w:left w:val="none" w:sz="0" w:space="0" w:color="auto"/>
        <w:bottom w:val="none" w:sz="0" w:space="0" w:color="auto"/>
        <w:right w:val="none" w:sz="0" w:space="0" w:color="auto"/>
      </w:divBdr>
    </w:div>
    <w:div w:id="97062189">
      <w:bodyDiv w:val="1"/>
      <w:marLeft w:val="0"/>
      <w:marRight w:val="0"/>
      <w:marTop w:val="0"/>
      <w:marBottom w:val="0"/>
      <w:divBdr>
        <w:top w:val="none" w:sz="0" w:space="0" w:color="auto"/>
        <w:left w:val="none" w:sz="0" w:space="0" w:color="auto"/>
        <w:bottom w:val="none" w:sz="0" w:space="0" w:color="auto"/>
        <w:right w:val="none" w:sz="0" w:space="0" w:color="auto"/>
      </w:divBdr>
    </w:div>
    <w:div w:id="103156842">
      <w:bodyDiv w:val="1"/>
      <w:marLeft w:val="0"/>
      <w:marRight w:val="0"/>
      <w:marTop w:val="0"/>
      <w:marBottom w:val="0"/>
      <w:divBdr>
        <w:top w:val="none" w:sz="0" w:space="0" w:color="auto"/>
        <w:left w:val="none" w:sz="0" w:space="0" w:color="auto"/>
        <w:bottom w:val="none" w:sz="0" w:space="0" w:color="auto"/>
        <w:right w:val="none" w:sz="0" w:space="0" w:color="auto"/>
      </w:divBdr>
    </w:div>
    <w:div w:id="119229600">
      <w:bodyDiv w:val="1"/>
      <w:marLeft w:val="0"/>
      <w:marRight w:val="0"/>
      <w:marTop w:val="0"/>
      <w:marBottom w:val="0"/>
      <w:divBdr>
        <w:top w:val="none" w:sz="0" w:space="0" w:color="auto"/>
        <w:left w:val="none" w:sz="0" w:space="0" w:color="auto"/>
        <w:bottom w:val="none" w:sz="0" w:space="0" w:color="auto"/>
        <w:right w:val="none" w:sz="0" w:space="0" w:color="auto"/>
      </w:divBdr>
    </w:div>
    <w:div w:id="154885721">
      <w:bodyDiv w:val="1"/>
      <w:marLeft w:val="0"/>
      <w:marRight w:val="0"/>
      <w:marTop w:val="0"/>
      <w:marBottom w:val="0"/>
      <w:divBdr>
        <w:top w:val="none" w:sz="0" w:space="0" w:color="auto"/>
        <w:left w:val="none" w:sz="0" w:space="0" w:color="auto"/>
        <w:bottom w:val="none" w:sz="0" w:space="0" w:color="auto"/>
        <w:right w:val="none" w:sz="0" w:space="0" w:color="auto"/>
      </w:divBdr>
    </w:div>
    <w:div w:id="160199089">
      <w:bodyDiv w:val="1"/>
      <w:marLeft w:val="0"/>
      <w:marRight w:val="0"/>
      <w:marTop w:val="0"/>
      <w:marBottom w:val="0"/>
      <w:divBdr>
        <w:top w:val="none" w:sz="0" w:space="0" w:color="auto"/>
        <w:left w:val="none" w:sz="0" w:space="0" w:color="auto"/>
        <w:bottom w:val="none" w:sz="0" w:space="0" w:color="auto"/>
        <w:right w:val="none" w:sz="0" w:space="0" w:color="auto"/>
      </w:divBdr>
    </w:div>
    <w:div w:id="169637893">
      <w:bodyDiv w:val="1"/>
      <w:marLeft w:val="0"/>
      <w:marRight w:val="0"/>
      <w:marTop w:val="0"/>
      <w:marBottom w:val="0"/>
      <w:divBdr>
        <w:top w:val="none" w:sz="0" w:space="0" w:color="auto"/>
        <w:left w:val="none" w:sz="0" w:space="0" w:color="auto"/>
        <w:bottom w:val="none" w:sz="0" w:space="0" w:color="auto"/>
        <w:right w:val="none" w:sz="0" w:space="0" w:color="auto"/>
      </w:divBdr>
    </w:div>
    <w:div w:id="176576165">
      <w:bodyDiv w:val="1"/>
      <w:marLeft w:val="0"/>
      <w:marRight w:val="0"/>
      <w:marTop w:val="0"/>
      <w:marBottom w:val="0"/>
      <w:divBdr>
        <w:top w:val="none" w:sz="0" w:space="0" w:color="auto"/>
        <w:left w:val="none" w:sz="0" w:space="0" w:color="auto"/>
        <w:bottom w:val="none" w:sz="0" w:space="0" w:color="auto"/>
        <w:right w:val="none" w:sz="0" w:space="0" w:color="auto"/>
      </w:divBdr>
    </w:div>
    <w:div w:id="220604501">
      <w:bodyDiv w:val="1"/>
      <w:marLeft w:val="0"/>
      <w:marRight w:val="0"/>
      <w:marTop w:val="0"/>
      <w:marBottom w:val="0"/>
      <w:divBdr>
        <w:top w:val="none" w:sz="0" w:space="0" w:color="auto"/>
        <w:left w:val="none" w:sz="0" w:space="0" w:color="auto"/>
        <w:bottom w:val="none" w:sz="0" w:space="0" w:color="auto"/>
        <w:right w:val="none" w:sz="0" w:space="0" w:color="auto"/>
      </w:divBdr>
    </w:div>
    <w:div w:id="226574453">
      <w:bodyDiv w:val="1"/>
      <w:marLeft w:val="0"/>
      <w:marRight w:val="0"/>
      <w:marTop w:val="0"/>
      <w:marBottom w:val="0"/>
      <w:divBdr>
        <w:top w:val="none" w:sz="0" w:space="0" w:color="auto"/>
        <w:left w:val="none" w:sz="0" w:space="0" w:color="auto"/>
        <w:bottom w:val="none" w:sz="0" w:space="0" w:color="auto"/>
        <w:right w:val="none" w:sz="0" w:space="0" w:color="auto"/>
      </w:divBdr>
    </w:div>
    <w:div w:id="226918337">
      <w:bodyDiv w:val="1"/>
      <w:marLeft w:val="0"/>
      <w:marRight w:val="0"/>
      <w:marTop w:val="0"/>
      <w:marBottom w:val="0"/>
      <w:divBdr>
        <w:top w:val="none" w:sz="0" w:space="0" w:color="auto"/>
        <w:left w:val="none" w:sz="0" w:space="0" w:color="auto"/>
        <w:bottom w:val="none" w:sz="0" w:space="0" w:color="auto"/>
        <w:right w:val="none" w:sz="0" w:space="0" w:color="auto"/>
      </w:divBdr>
    </w:div>
    <w:div w:id="311836064">
      <w:bodyDiv w:val="1"/>
      <w:marLeft w:val="0"/>
      <w:marRight w:val="0"/>
      <w:marTop w:val="0"/>
      <w:marBottom w:val="0"/>
      <w:divBdr>
        <w:top w:val="none" w:sz="0" w:space="0" w:color="auto"/>
        <w:left w:val="none" w:sz="0" w:space="0" w:color="auto"/>
        <w:bottom w:val="none" w:sz="0" w:space="0" w:color="auto"/>
        <w:right w:val="none" w:sz="0" w:space="0" w:color="auto"/>
      </w:divBdr>
    </w:div>
    <w:div w:id="318002563">
      <w:bodyDiv w:val="1"/>
      <w:marLeft w:val="0"/>
      <w:marRight w:val="0"/>
      <w:marTop w:val="0"/>
      <w:marBottom w:val="0"/>
      <w:divBdr>
        <w:top w:val="none" w:sz="0" w:space="0" w:color="auto"/>
        <w:left w:val="none" w:sz="0" w:space="0" w:color="auto"/>
        <w:bottom w:val="none" w:sz="0" w:space="0" w:color="auto"/>
        <w:right w:val="none" w:sz="0" w:space="0" w:color="auto"/>
      </w:divBdr>
    </w:div>
    <w:div w:id="385642601">
      <w:bodyDiv w:val="1"/>
      <w:marLeft w:val="0"/>
      <w:marRight w:val="0"/>
      <w:marTop w:val="0"/>
      <w:marBottom w:val="0"/>
      <w:divBdr>
        <w:top w:val="none" w:sz="0" w:space="0" w:color="auto"/>
        <w:left w:val="none" w:sz="0" w:space="0" w:color="auto"/>
        <w:bottom w:val="none" w:sz="0" w:space="0" w:color="auto"/>
        <w:right w:val="none" w:sz="0" w:space="0" w:color="auto"/>
      </w:divBdr>
    </w:div>
    <w:div w:id="389309600">
      <w:bodyDiv w:val="1"/>
      <w:marLeft w:val="0"/>
      <w:marRight w:val="0"/>
      <w:marTop w:val="0"/>
      <w:marBottom w:val="0"/>
      <w:divBdr>
        <w:top w:val="none" w:sz="0" w:space="0" w:color="auto"/>
        <w:left w:val="none" w:sz="0" w:space="0" w:color="auto"/>
        <w:bottom w:val="none" w:sz="0" w:space="0" w:color="auto"/>
        <w:right w:val="none" w:sz="0" w:space="0" w:color="auto"/>
      </w:divBdr>
    </w:div>
    <w:div w:id="394209048">
      <w:bodyDiv w:val="1"/>
      <w:marLeft w:val="0"/>
      <w:marRight w:val="0"/>
      <w:marTop w:val="0"/>
      <w:marBottom w:val="0"/>
      <w:divBdr>
        <w:top w:val="none" w:sz="0" w:space="0" w:color="auto"/>
        <w:left w:val="none" w:sz="0" w:space="0" w:color="auto"/>
        <w:bottom w:val="none" w:sz="0" w:space="0" w:color="auto"/>
        <w:right w:val="none" w:sz="0" w:space="0" w:color="auto"/>
      </w:divBdr>
    </w:div>
    <w:div w:id="421225385">
      <w:bodyDiv w:val="1"/>
      <w:marLeft w:val="0"/>
      <w:marRight w:val="0"/>
      <w:marTop w:val="0"/>
      <w:marBottom w:val="0"/>
      <w:divBdr>
        <w:top w:val="none" w:sz="0" w:space="0" w:color="auto"/>
        <w:left w:val="none" w:sz="0" w:space="0" w:color="auto"/>
        <w:bottom w:val="none" w:sz="0" w:space="0" w:color="auto"/>
        <w:right w:val="none" w:sz="0" w:space="0" w:color="auto"/>
      </w:divBdr>
    </w:div>
    <w:div w:id="432676659">
      <w:bodyDiv w:val="1"/>
      <w:marLeft w:val="0"/>
      <w:marRight w:val="0"/>
      <w:marTop w:val="0"/>
      <w:marBottom w:val="0"/>
      <w:divBdr>
        <w:top w:val="none" w:sz="0" w:space="0" w:color="auto"/>
        <w:left w:val="none" w:sz="0" w:space="0" w:color="auto"/>
        <w:bottom w:val="none" w:sz="0" w:space="0" w:color="auto"/>
        <w:right w:val="none" w:sz="0" w:space="0" w:color="auto"/>
      </w:divBdr>
    </w:div>
    <w:div w:id="439953399">
      <w:bodyDiv w:val="1"/>
      <w:marLeft w:val="0"/>
      <w:marRight w:val="0"/>
      <w:marTop w:val="0"/>
      <w:marBottom w:val="0"/>
      <w:divBdr>
        <w:top w:val="none" w:sz="0" w:space="0" w:color="auto"/>
        <w:left w:val="none" w:sz="0" w:space="0" w:color="auto"/>
        <w:bottom w:val="none" w:sz="0" w:space="0" w:color="auto"/>
        <w:right w:val="none" w:sz="0" w:space="0" w:color="auto"/>
      </w:divBdr>
    </w:div>
    <w:div w:id="454493747">
      <w:bodyDiv w:val="1"/>
      <w:marLeft w:val="0"/>
      <w:marRight w:val="0"/>
      <w:marTop w:val="0"/>
      <w:marBottom w:val="0"/>
      <w:divBdr>
        <w:top w:val="none" w:sz="0" w:space="0" w:color="auto"/>
        <w:left w:val="none" w:sz="0" w:space="0" w:color="auto"/>
        <w:bottom w:val="none" w:sz="0" w:space="0" w:color="auto"/>
        <w:right w:val="none" w:sz="0" w:space="0" w:color="auto"/>
      </w:divBdr>
    </w:div>
    <w:div w:id="477652110">
      <w:bodyDiv w:val="1"/>
      <w:marLeft w:val="0"/>
      <w:marRight w:val="0"/>
      <w:marTop w:val="0"/>
      <w:marBottom w:val="0"/>
      <w:divBdr>
        <w:top w:val="none" w:sz="0" w:space="0" w:color="auto"/>
        <w:left w:val="none" w:sz="0" w:space="0" w:color="auto"/>
        <w:bottom w:val="none" w:sz="0" w:space="0" w:color="auto"/>
        <w:right w:val="none" w:sz="0" w:space="0" w:color="auto"/>
      </w:divBdr>
    </w:div>
    <w:div w:id="501044471">
      <w:bodyDiv w:val="1"/>
      <w:marLeft w:val="0"/>
      <w:marRight w:val="0"/>
      <w:marTop w:val="0"/>
      <w:marBottom w:val="0"/>
      <w:divBdr>
        <w:top w:val="none" w:sz="0" w:space="0" w:color="auto"/>
        <w:left w:val="none" w:sz="0" w:space="0" w:color="auto"/>
        <w:bottom w:val="none" w:sz="0" w:space="0" w:color="auto"/>
        <w:right w:val="none" w:sz="0" w:space="0" w:color="auto"/>
      </w:divBdr>
    </w:div>
    <w:div w:id="506485775">
      <w:bodyDiv w:val="1"/>
      <w:marLeft w:val="0"/>
      <w:marRight w:val="0"/>
      <w:marTop w:val="0"/>
      <w:marBottom w:val="0"/>
      <w:divBdr>
        <w:top w:val="none" w:sz="0" w:space="0" w:color="auto"/>
        <w:left w:val="none" w:sz="0" w:space="0" w:color="auto"/>
        <w:bottom w:val="none" w:sz="0" w:space="0" w:color="auto"/>
        <w:right w:val="none" w:sz="0" w:space="0" w:color="auto"/>
      </w:divBdr>
    </w:div>
    <w:div w:id="520120846">
      <w:bodyDiv w:val="1"/>
      <w:marLeft w:val="0"/>
      <w:marRight w:val="0"/>
      <w:marTop w:val="0"/>
      <w:marBottom w:val="0"/>
      <w:divBdr>
        <w:top w:val="none" w:sz="0" w:space="0" w:color="auto"/>
        <w:left w:val="none" w:sz="0" w:space="0" w:color="auto"/>
        <w:bottom w:val="none" w:sz="0" w:space="0" w:color="auto"/>
        <w:right w:val="none" w:sz="0" w:space="0" w:color="auto"/>
      </w:divBdr>
    </w:div>
    <w:div w:id="527837708">
      <w:bodyDiv w:val="1"/>
      <w:marLeft w:val="0"/>
      <w:marRight w:val="0"/>
      <w:marTop w:val="0"/>
      <w:marBottom w:val="0"/>
      <w:divBdr>
        <w:top w:val="none" w:sz="0" w:space="0" w:color="auto"/>
        <w:left w:val="none" w:sz="0" w:space="0" w:color="auto"/>
        <w:bottom w:val="none" w:sz="0" w:space="0" w:color="auto"/>
        <w:right w:val="none" w:sz="0" w:space="0" w:color="auto"/>
      </w:divBdr>
    </w:div>
    <w:div w:id="546140386">
      <w:bodyDiv w:val="1"/>
      <w:marLeft w:val="0"/>
      <w:marRight w:val="0"/>
      <w:marTop w:val="0"/>
      <w:marBottom w:val="0"/>
      <w:divBdr>
        <w:top w:val="none" w:sz="0" w:space="0" w:color="auto"/>
        <w:left w:val="none" w:sz="0" w:space="0" w:color="auto"/>
        <w:bottom w:val="none" w:sz="0" w:space="0" w:color="auto"/>
        <w:right w:val="none" w:sz="0" w:space="0" w:color="auto"/>
      </w:divBdr>
    </w:div>
    <w:div w:id="569656554">
      <w:bodyDiv w:val="1"/>
      <w:marLeft w:val="0"/>
      <w:marRight w:val="0"/>
      <w:marTop w:val="0"/>
      <w:marBottom w:val="0"/>
      <w:divBdr>
        <w:top w:val="none" w:sz="0" w:space="0" w:color="auto"/>
        <w:left w:val="none" w:sz="0" w:space="0" w:color="auto"/>
        <w:bottom w:val="none" w:sz="0" w:space="0" w:color="auto"/>
        <w:right w:val="none" w:sz="0" w:space="0" w:color="auto"/>
      </w:divBdr>
    </w:div>
    <w:div w:id="621420535">
      <w:bodyDiv w:val="1"/>
      <w:marLeft w:val="0"/>
      <w:marRight w:val="0"/>
      <w:marTop w:val="0"/>
      <w:marBottom w:val="0"/>
      <w:divBdr>
        <w:top w:val="none" w:sz="0" w:space="0" w:color="auto"/>
        <w:left w:val="none" w:sz="0" w:space="0" w:color="auto"/>
        <w:bottom w:val="none" w:sz="0" w:space="0" w:color="auto"/>
        <w:right w:val="none" w:sz="0" w:space="0" w:color="auto"/>
      </w:divBdr>
    </w:div>
    <w:div w:id="632364739">
      <w:bodyDiv w:val="1"/>
      <w:marLeft w:val="0"/>
      <w:marRight w:val="0"/>
      <w:marTop w:val="0"/>
      <w:marBottom w:val="0"/>
      <w:divBdr>
        <w:top w:val="none" w:sz="0" w:space="0" w:color="auto"/>
        <w:left w:val="none" w:sz="0" w:space="0" w:color="auto"/>
        <w:bottom w:val="none" w:sz="0" w:space="0" w:color="auto"/>
        <w:right w:val="none" w:sz="0" w:space="0" w:color="auto"/>
      </w:divBdr>
    </w:div>
    <w:div w:id="637954705">
      <w:bodyDiv w:val="1"/>
      <w:marLeft w:val="0"/>
      <w:marRight w:val="0"/>
      <w:marTop w:val="0"/>
      <w:marBottom w:val="0"/>
      <w:divBdr>
        <w:top w:val="none" w:sz="0" w:space="0" w:color="auto"/>
        <w:left w:val="none" w:sz="0" w:space="0" w:color="auto"/>
        <w:bottom w:val="none" w:sz="0" w:space="0" w:color="auto"/>
        <w:right w:val="none" w:sz="0" w:space="0" w:color="auto"/>
      </w:divBdr>
    </w:div>
    <w:div w:id="638925827">
      <w:bodyDiv w:val="1"/>
      <w:marLeft w:val="0"/>
      <w:marRight w:val="0"/>
      <w:marTop w:val="0"/>
      <w:marBottom w:val="0"/>
      <w:divBdr>
        <w:top w:val="none" w:sz="0" w:space="0" w:color="auto"/>
        <w:left w:val="none" w:sz="0" w:space="0" w:color="auto"/>
        <w:bottom w:val="none" w:sz="0" w:space="0" w:color="auto"/>
        <w:right w:val="none" w:sz="0" w:space="0" w:color="auto"/>
      </w:divBdr>
    </w:div>
    <w:div w:id="670721391">
      <w:bodyDiv w:val="1"/>
      <w:marLeft w:val="0"/>
      <w:marRight w:val="0"/>
      <w:marTop w:val="0"/>
      <w:marBottom w:val="0"/>
      <w:divBdr>
        <w:top w:val="none" w:sz="0" w:space="0" w:color="auto"/>
        <w:left w:val="none" w:sz="0" w:space="0" w:color="auto"/>
        <w:bottom w:val="none" w:sz="0" w:space="0" w:color="auto"/>
        <w:right w:val="none" w:sz="0" w:space="0" w:color="auto"/>
      </w:divBdr>
    </w:div>
    <w:div w:id="744305047">
      <w:bodyDiv w:val="1"/>
      <w:marLeft w:val="0"/>
      <w:marRight w:val="0"/>
      <w:marTop w:val="0"/>
      <w:marBottom w:val="0"/>
      <w:divBdr>
        <w:top w:val="none" w:sz="0" w:space="0" w:color="auto"/>
        <w:left w:val="none" w:sz="0" w:space="0" w:color="auto"/>
        <w:bottom w:val="none" w:sz="0" w:space="0" w:color="auto"/>
        <w:right w:val="none" w:sz="0" w:space="0" w:color="auto"/>
      </w:divBdr>
    </w:div>
    <w:div w:id="748424517">
      <w:bodyDiv w:val="1"/>
      <w:marLeft w:val="0"/>
      <w:marRight w:val="0"/>
      <w:marTop w:val="0"/>
      <w:marBottom w:val="0"/>
      <w:divBdr>
        <w:top w:val="none" w:sz="0" w:space="0" w:color="auto"/>
        <w:left w:val="none" w:sz="0" w:space="0" w:color="auto"/>
        <w:bottom w:val="none" w:sz="0" w:space="0" w:color="auto"/>
        <w:right w:val="none" w:sz="0" w:space="0" w:color="auto"/>
      </w:divBdr>
      <w:divsChild>
        <w:div w:id="1968730074">
          <w:marLeft w:val="547"/>
          <w:marRight w:val="0"/>
          <w:marTop w:val="0"/>
          <w:marBottom w:val="0"/>
          <w:divBdr>
            <w:top w:val="none" w:sz="0" w:space="0" w:color="auto"/>
            <w:left w:val="none" w:sz="0" w:space="0" w:color="auto"/>
            <w:bottom w:val="none" w:sz="0" w:space="0" w:color="auto"/>
            <w:right w:val="none" w:sz="0" w:space="0" w:color="auto"/>
          </w:divBdr>
        </w:div>
      </w:divsChild>
    </w:div>
    <w:div w:id="762071379">
      <w:bodyDiv w:val="1"/>
      <w:marLeft w:val="0"/>
      <w:marRight w:val="0"/>
      <w:marTop w:val="0"/>
      <w:marBottom w:val="0"/>
      <w:divBdr>
        <w:top w:val="none" w:sz="0" w:space="0" w:color="auto"/>
        <w:left w:val="none" w:sz="0" w:space="0" w:color="auto"/>
        <w:bottom w:val="none" w:sz="0" w:space="0" w:color="auto"/>
        <w:right w:val="none" w:sz="0" w:space="0" w:color="auto"/>
      </w:divBdr>
    </w:div>
    <w:div w:id="784999617">
      <w:bodyDiv w:val="1"/>
      <w:marLeft w:val="0"/>
      <w:marRight w:val="0"/>
      <w:marTop w:val="0"/>
      <w:marBottom w:val="0"/>
      <w:divBdr>
        <w:top w:val="none" w:sz="0" w:space="0" w:color="auto"/>
        <w:left w:val="none" w:sz="0" w:space="0" w:color="auto"/>
        <w:bottom w:val="none" w:sz="0" w:space="0" w:color="auto"/>
        <w:right w:val="none" w:sz="0" w:space="0" w:color="auto"/>
      </w:divBdr>
    </w:div>
    <w:div w:id="793065306">
      <w:bodyDiv w:val="1"/>
      <w:marLeft w:val="0"/>
      <w:marRight w:val="0"/>
      <w:marTop w:val="0"/>
      <w:marBottom w:val="0"/>
      <w:divBdr>
        <w:top w:val="none" w:sz="0" w:space="0" w:color="auto"/>
        <w:left w:val="none" w:sz="0" w:space="0" w:color="auto"/>
        <w:bottom w:val="none" w:sz="0" w:space="0" w:color="auto"/>
        <w:right w:val="none" w:sz="0" w:space="0" w:color="auto"/>
      </w:divBdr>
    </w:div>
    <w:div w:id="797726401">
      <w:bodyDiv w:val="1"/>
      <w:marLeft w:val="0"/>
      <w:marRight w:val="0"/>
      <w:marTop w:val="0"/>
      <w:marBottom w:val="0"/>
      <w:divBdr>
        <w:top w:val="none" w:sz="0" w:space="0" w:color="auto"/>
        <w:left w:val="none" w:sz="0" w:space="0" w:color="auto"/>
        <w:bottom w:val="none" w:sz="0" w:space="0" w:color="auto"/>
        <w:right w:val="none" w:sz="0" w:space="0" w:color="auto"/>
      </w:divBdr>
    </w:div>
    <w:div w:id="819462561">
      <w:bodyDiv w:val="1"/>
      <w:marLeft w:val="0"/>
      <w:marRight w:val="0"/>
      <w:marTop w:val="0"/>
      <w:marBottom w:val="0"/>
      <w:divBdr>
        <w:top w:val="none" w:sz="0" w:space="0" w:color="auto"/>
        <w:left w:val="none" w:sz="0" w:space="0" w:color="auto"/>
        <w:bottom w:val="none" w:sz="0" w:space="0" w:color="auto"/>
        <w:right w:val="none" w:sz="0" w:space="0" w:color="auto"/>
      </w:divBdr>
    </w:div>
    <w:div w:id="834757827">
      <w:bodyDiv w:val="1"/>
      <w:marLeft w:val="0"/>
      <w:marRight w:val="0"/>
      <w:marTop w:val="0"/>
      <w:marBottom w:val="0"/>
      <w:divBdr>
        <w:top w:val="none" w:sz="0" w:space="0" w:color="auto"/>
        <w:left w:val="none" w:sz="0" w:space="0" w:color="auto"/>
        <w:bottom w:val="none" w:sz="0" w:space="0" w:color="auto"/>
        <w:right w:val="none" w:sz="0" w:space="0" w:color="auto"/>
      </w:divBdr>
    </w:div>
    <w:div w:id="835653963">
      <w:bodyDiv w:val="1"/>
      <w:marLeft w:val="0"/>
      <w:marRight w:val="0"/>
      <w:marTop w:val="0"/>
      <w:marBottom w:val="0"/>
      <w:divBdr>
        <w:top w:val="none" w:sz="0" w:space="0" w:color="auto"/>
        <w:left w:val="none" w:sz="0" w:space="0" w:color="auto"/>
        <w:bottom w:val="none" w:sz="0" w:space="0" w:color="auto"/>
        <w:right w:val="none" w:sz="0" w:space="0" w:color="auto"/>
      </w:divBdr>
    </w:div>
    <w:div w:id="846478639">
      <w:bodyDiv w:val="1"/>
      <w:marLeft w:val="0"/>
      <w:marRight w:val="0"/>
      <w:marTop w:val="0"/>
      <w:marBottom w:val="0"/>
      <w:divBdr>
        <w:top w:val="none" w:sz="0" w:space="0" w:color="auto"/>
        <w:left w:val="none" w:sz="0" w:space="0" w:color="auto"/>
        <w:bottom w:val="none" w:sz="0" w:space="0" w:color="auto"/>
        <w:right w:val="none" w:sz="0" w:space="0" w:color="auto"/>
      </w:divBdr>
    </w:div>
    <w:div w:id="857700620">
      <w:bodyDiv w:val="1"/>
      <w:marLeft w:val="0"/>
      <w:marRight w:val="0"/>
      <w:marTop w:val="0"/>
      <w:marBottom w:val="0"/>
      <w:divBdr>
        <w:top w:val="none" w:sz="0" w:space="0" w:color="auto"/>
        <w:left w:val="none" w:sz="0" w:space="0" w:color="auto"/>
        <w:bottom w:val="none" w:sz="0" w:space="0" w:color="auto"/>
        <w:right w:val="none" w:sz="0" w:space="0" w:color="auto"/>
      </w:divBdr>
    </w:div>
    <w:div w:id="906185090">
      <w:bodyDiv w:val="1"/>
      <w:marLeft w:val="0"/>
      <w:marRight w:val="0"/>
      <w:marTop w:val="0"/>
      <w:marBottom w:val="0"/>
      <w:divBdr>
        <w:top w:val="none" w:sz="0" w:space="0" w:color="auto"/>
        <w:left w:val="none" w:sz="0" w:space="0" w:color="auto"/>
        <w:bottom w:val="none" w:sz="0" w:space="0" w:color="auto"/>
        <w:right w:val="none" w:sz="0" w:space="0" w:color="auto"/>
      </w:divBdr>
    </w:div>
    <w:div w:id="934554843">
      <w:bodyDiv w:val="1"/>
      <w:marLeft w:val="0"/>
      <w:marRight w:val="0"/>
      <w:marTop w:val="0"/>
      <w:marBottom w:val="0"/>
      <w:divBdr>
        <w:top w:val="none" w:sz="0" w:space="0" w:color="auto"/>
        <w:left w:val="none" w:sz="0" w:space="0" w:color="auto"/>
        <w:bottom w:val="none" w:sz="0" w:space="0" w:color="auto"/>
        <w:right w:val="none" w:sz="0" w:space="0" w:color="auto"/>
      </w:divBdr>
    </w:div>
    <w:div w:id="936524872">
      <w:bodyDiv w:val="1"/>
      <w:marLeft w:val="0"/>
      <w:marRight w:val="0"/>
      <w:marTop w:val="0"/>
      <w:marBottom w:val="0"/>
      <w:divBdr>
        <w:top w:val="none" w:sz="0" w:space="0" w:color="auto"/>
        <w:left w:val="none" w:sz="0" w:space="0" w:color="auto"/>
        <w:bottom w:val="none" w:sz="0" w:space="0" w:color="auto"/>
        <w:right w:val="none" w:sz="0" w:space="0" w:color="auto"/>
      </w:divBdr>
    </w:div>
    <w:div w:id="983586256">
      <w:bodyDiv w:val="1"/>
      <w:marLeft w:val="0"/>
      <w:marRight w:val="0"/>
      <w:marTop w:val="0"/>
      <w:marBottom w:val="0"/>
      <w:divBdr>
        <w:top w:val="none" w:sz="0" w:space="0" w:color="auto"/>
        <w:left w:val="none" w:sz="0" w:space="0" w:color="auto"/>
        <w:bottom w:val="none" w:sz="0" w:space="0" w:color="auto"/>
        <w:right w:val="none" w:sz="0" w:space="0" w:color="auto"/>
      </w:divBdr>
    </w:div>
    <w:div w:id="1020012000">
      <w:bodyDiv w:val="1"/>
      <w:marLeft w:val="0"/>
      <w:marRight w:val="0"/>
      <w:marTop w:val="0"/>
      <w:marBottom w:val="0"/>
      <w:divBdr>
        <w:top w:val="none" w:sz="0" w:space="0" w:color="auto"/>
        <w:left w:val="none" w:sz="0" w:space="0" w:color="auto"/>
        <w:bottom w:val="none" w:sz="0" w:space="0" w:color="auto"/>
        <w:right w:val="none" w:sz="0" w:space="0" w:color="auto"/>
      </w:divBdr>
    </w:div>
    <w:div w:id="1030302079">
      <w:bodyDiv w:val="1"/>
      <w:marLeft w:val="0"/>
      <w:marRight w:val="0"/>
      <w:marTop w:val="0"/>
      <w:marBottom w:val="0"/>
      <w:divBdr>
        <w:top w:val="none" w:sz="0" w:space="0" w:color="auto"/>
        <w:left w:val="none" w:sz="0" w:space="0" w:color="auto"/>
        <w:bottom w:val="none" w:sz="0" w:space="0" w:color="auto"/>
        <w:right w:val="none" w:sz="0" w:space="0" w:color="auto"/>
      </w:divBdr>
    </w:div>
    <w:div w:id="1044596544">
      <w:bodyDiv w:val="1"/>
      <w:marLeft w:val="0"/>
      <w:marRight w:val="0"/>
      <w:marTop w:val="0"/>
      <w:marBottom w:val="0"/>
      <w:divBdr>
        <w:top w:val="none" w:sz="0" w:space="0" w:color="auto"/>
        <w:left w:val="none" w:sz="0" w:space="0" w:color="auto"/>
        <w:bottom w:val="none" w:sz="0" w:space="0" w:color="auto"/>
        <w:right w:val="none" w:sz="0" w:space="0" w:color="auto"/>
      </w:divBdr>
    </w:div>
    <w:div w:id="1060397552">
      <w:bodyDiv w:val="1"/>
      <w:marLeft w:val="0"/>
      <w:marRight w:val="0"/>
      <w:marTop w:val="0"/>
      <w:marBottom w:val="0"/>
      <w:divBdr>
        <w:top w:val="none" w:sz="0" w:space="0" w:color="auto"/>
        <w:left w:val="none" w:sz="0" w:space="0" w:color="auto"/>
        <w:bottom w:val="none" w:sz="0" w:space="0" w:color="auto"/>
        <w:right w:val="none" w:sz="0" w:space="0" w:color="auto"/>
      </w:divBdr>
    </w:div>
    <w:div w:id="1079210738">
      <w:bodyDiv w:val="1"/>
      <w:marLeft w:val="0"/>
      <w:marRight w:val="0"/>
      <w:marTop w:val="0"/>
      <w:marBottom w:val="0"/>
      <w:divBdr>
        <w:top w:val="none" w:sz="0" w:space="0" w:color="auto"/>
        <w:left w:val="none" w:sz="0" w:space="0" w:color="auto"/>
        <w:bottom w:val="none" w:sz="0" w:space="0" w:color="auto"/>
        <w:right w:val="none" w:sz="0" w:space="0" w:color="auto"/>
      </w:divBdr>
    </w:div>
    <w:div w:id="1092319454">
      <w:bodyDiv w:val="1"/>
      <w:marLeft w:val="0"/>
      <w:marRight w:val="0"/>
      <w:marTop w:val="0"/>
      <w:marBottom w:val="0"/>
      <w:divBdr>
        <w:top w:val="none" w:sz="0" w:space="0" w:color="auto"/>
        <w:left w:val="none" w:sz="0" w:space="0" w:color="auto"/>
        <w:bottom w:val="none" w:sz="0" w:space="0" w:color="auto"/>
        <w:right w:val="none" w:sz="0" w:space="0" w:color="auto"/>
      </w:divBdr>
    </w:div>
    <w:div w:id="1097597295">
      <w:bodyDiv w:val="1"/>
      <w:marLeft w:val="0"/>
      <w:marRight w:val="0"/>
      <w:marTop w:val="0"/>
      <w:marBottom w:val="0"/>
      <w:divBdr>
        <w:top w:val="none" w:sz="0" w:space="0" w:color="auto"/>
        <w:left w:val="none" w:sz="0" w:space="0" w:color="auto"/>
        <w:bottom w:val="none" w:sz="0" w:space="0" w:color="auto"/>
        <w:right w:val="none" w:sz="0" w:space="0" w:color="auto"/>
      </w:divBdr>
    </w:div>
    <w:div w:id="1114209455">
      <w:bodyDiv w:val="1"/>
      <w:marLeft w:val="0"/>
      <w:marRight w:val="0"/>
      <w:marTop w:val="0"/>
      <w:marBottom w:val="0"/>
      <w:divBdr>
        <w:top w:val="none" w:sz="0" w:space="0" w:color="auto"/>
        <w:left w:val="none" w:sz="0" w:space="0" w:color="auto"/>
        <w:bottom w:val="none" w:sz="0" w:space="0" w:color="auto"/>
        <w:right w:val="none" w:sz="0" w:space="0" w:color="auto"/>
      </w:divBdr>
    </w:div>
    <w:div w:id="1130365812">
      <w:bodyDiv w:val="1"/>
      <w:marLeft w:val="0"/>
      <w:marRight w:val="0"/>
      <w:marTop w:val="0"/>
      <w:marBottom w:val="0"/>
      <w:divBdr>
        <w:top w:val="none" w:sz="0" w:space="0" w:color="auto"/>
        <w:left w:val="none" w:sz="0" w:space="0" w:color="auto"/>
        <w:bottom w:val="none" w:sz="0" w:space="0" w:color="auto"/>
        <w:right w:val="none" w:sz="0" w:space="0" w:color="auto"/>
      </w:divBdr>
    </w:div>
    <w:div w:id="1134059496">
      <w:bodyDiv w:val="1"/>
      <w:marLeft w:val="0"/>
      <w:marRight w:val="0"/>
      <w:marTop w:val="0"/>
      <w:marBottom w:val="0"/>
      <w:divBdr>
        <w:top w:val="none" w:sz="0" w:space="0" w:color="auto"/>
        <w:left w:val="none" w:sz="0" w:space="0" w:color="auto"/>
        <w:bottom w:val="none" w:sz="0" w:space="0" w:color="auto"/>
        <w:right w:val="none" w:sz="0" w:space="0" w:color="auto"/>
      </w:divBdr>
    </w:div>
    <w:div w:id="1136610247">
      <w:bodyDiv w:val="1"/>
      <w:marLeft w:val="0"/>
      <w:marRight w:val="0"/>
      <w:marTop w:val="0"/>
      <w:marBottom w:val="0"/>
      <w:divBdr>
        <w:top w:val="none" w:sz="0" w:space="0" w:color="auto"/>
        <w:left w:val="none" w:sz="0" w:space="0" w:color="auto"/>
        <w:bottom w:val="none" w:sz="0" w:space="0" w:color="auto"/>
        <w:right w:val="none" w:sz="0" w:space="0" w:color="auto"/>
      </w:divBdr>
    </w:div>
    <w:div w:id="1141339608">
      <w:bodyDiv w:val="1"/>
      <w:marLeft w:val="0"/>
      <w:marRight w:val="0"/>
      <w:marTop w:val="0"/>
      <w:marBottom w:val="0"/>
      <w:divBdr>
        <w:top w:val="none" w:sz="0" w:space="0" w:color="auto"/>
        <w:left w:val="none" w:sz="0" w:space="0" w:color="auto"/>
        <w:bottom w:val="none" w:sz="0" w:space="0" w:color="auto"/>
        <w:right w:val="none" w:sz="0" w:space="0" w:color="auto"/>
      </w:divBdr>
    </w:div>
    <w:div w:id="1144926893">
      <w:bodyDiv w:val="1"/>
      <w:marLeft w:val="0"/>
      <w:marRight w:val="0"/>
      <w:marTop w:val="0"/>
      <w:marBottom w:val="0"/>
      <w:divBdr>
        <w:top w:val="none" w:sz="0" w:space="0" w:color="auto"/>
        <w:left w:val="none" w:sz="0" w:space="0" w:color="auto"/>
        <w:bottom w:val="none" w:sz="0" w:space="0" w:color="auto"/>
        <w:right w:val="none" w:sz="0" w:space="0" w:color="auto"/>
      </w:divBdr>
    </w:div>
    <w:div w:id="1165897365">
      <w:bodyDiv w:val="1"/>
      <w:marLeft w:val="0"/>
      <w:marRight w:val="0"/>
      <w:marTop w:val="0"/>
      <w:marBottom w:val="0"/>
      <w:divBdr>
        <w:top w:val="none" w:sz="0" w:space="0" w:color="auto"/>
        <w:left w:val="none" w:sz="0" w:space="0" w:color="auto"/>
        <w:bottom w:val="none" w:sz="0" w:space="0" w:color="auto"/>
        <w:right w:val="none" w:sz="0" w:space="0" w:color="auto"/>
      </w:divBdr>
    </w:div>
    <w:div w:id="1167358684">
      <w:bodyDiv w:val="1"/>
      <w:marLeft w:val="0"/>
      <w:marRight w:val="0"/>
      <w:marTop w:val="0"/>
      <w:marBottom w:val="0"/>
      <w:divBdr>
        <w:top w:val="none" w:sz="0" w:space="0" w:color="auto"/>
        <w:left w:val="none" w:sz="0" w:space="0" w:color="auto"/>
        <w:bottom w:val="none" w:sz="0" w:space="0" w:color="auto"/>
        <w:right w:val="none" w:sz="0" w:space="0" w:color="auto"/>
      </w:divBdr>
    </w:div>
    <w:div w:id="1233353535">
      <w:bodyDiv w:val="1"/>
      <w:marLeft w:val="0"/>
      <w:marRight w:val="0"/>
      <w:marTop w:val="0"/>
      <w:marBottom w:val="0"/>
      <w:divBdr>
        <w:top w:val="none" w:sz="0" w:space="0" w:color="auto"/>
        <w:left w:val="none" w:sz="0" w:space="0" w:color="auto"/>
        <w:bottom w:val="none" w:sz="0" w:space="0" w:color="auto"/>
        <w:right w:val="none" w:sz="0" w:space="0" w:color="auto"/>
      </w:divBdr>
    </w:div>
    <w:div w:id="1241403580">
      <w:bodyDiv w:val="1"/>
      <w:marLeft w:val="0"/>
      <w:marRight w:val="0"/>
      <w:marTop w:val="0"/>
      <w:marBottom w:val="0"/>
      <w:divBdr>
        <w:top w:val="none" w:sz="0" w:space="0" w:color="auto"/>
        <w:left w:val="none" w:sz="0" w:space="0" w:color="auto"/>
        <w:bottom w:val="none" w:sz="0" w:space="0" w:color="auto"/>
        <w:right w:val="none" w:sz="0" w:space="0" w:color="auto"/>
      </w:divBdr>
    </w:div>
    <w:div w:id="1241718834">
      <w:bodyDiv w:val="1"/>
      <w:marLeft w:val="0"/>
      <w:marRight w:val="0"/>
      <w:marTop w:val="0"/>
      <w:marBottom w:val="0"/>
      <w:divBdr>
        <w:top w:val="none" w:sz="0" w:space="0" w:color="auto"/>
        <w:left w:val="none" w:sz="0" w:space="0" w:color="auto"/>
        <w:bottom w:val="none" w:sz="0" w:space="0" w:color="auto"/>
        <w:right w:val="none" w:sz="0" w:space="0" w:color="auto"/>
      </w:divBdr>
    </w:div>
    <w:div w:id="1249264903">
      <w:bodyDiv w:val="1"/>
      <w:marLeft w:val="0"/>
      <w:marRight w:val="0"/>
      <w:marTop w:val="0"/>
      <w:marBottom w:val="0"/>
      <w:divBdr>
        <w:top w:val="none" w:sz="0" w:space="0" w:color="auto"/>
        <w:left w:val="none" w:sz="0" w:space="0" w:color="auto"/>
        <w:bottom w:val="none" w:sz="0" w:space="0" w:color="auto"/>
        <w:right w:val="none" w:sz="0" w:space="0" w:color="auto"/>
      </w:divBdr>
    </w:div>
    <w:div w:id="1251694095">
      <w:bodyDiv w:val="1"/>
      <w:marLeft w:val="0"/>
      <w:marRight w:val="0"/>
      <w:marTop w:val="0"/>
      <w:marBottom w:val="0"/>
      <w:divBdr>
        <w:top w:val="none" w:sz="0" w:space="0" w:color="auto"/>
        <w:left w:val="none" w:sz="0" w:space="0" w:color="auto"/>
        <w:bottom w:val="none" w:sz="0" w:space="0" w:color="auto"/>
        <w:right w:val="none" w:sz="0" w:space="0" w:color="auto"/>
      </w:divBdr>
    </w:div>
    <w:div w:id="1253201253">
      <w:bodyDiv w:val="1"/>
      <w:marLeft w:val="0"/>
      <w:marRight w:val="0"/>
      <w:marTop w:val="0"/>
      <w:marBottom w:val="0"/>
      <w:divBdr>
        <w:top w:val="none" w:sz="0" w:space="0" w:color="auto"/>
        <w:left w:val="none" w:sz="0" w:space="0" w:color="auto"/>
        <w:bottom w:val="none" w:sz="0" w:space="0" w:color="auto"/>
        <w:right w:val="none" w:sz="0" w:space="0" w:color="auto"/>
      </w:divBdr>
    </w:div>
    <w:div w:id="1254701265">
      <w:bodyDiv w:val="1"/>
      <w:marLeft w:val="0"/>
      <w:marRight w:val="0"/>
      <w:marTop w:val="0"/>
      <w:marBottom w:val="0"/>
      <w:divBdr>
        <w:top w:val="none" w:sz="0" w:space="0" w:color="auto"/>
        <w:left w:val="none" w:sz="0" w:space="0" w:color="auto"/>
        <w:bottom w:val="none" w:sz="0" w:space="0" w:color="auto"/>
        <w:right w:val="none" w:sz="0" w:space="0" w:color="auto"/>
      </w:divBdr>
    </w:div>
    <w:div w:id="1276249826">
      <w:bodyDiv w:val="1"/>
      <w:marLeft w:val="0"/>
      <w:marRight w:val="0"/>
      <w:marTop w:val="0"/>
      <w:marBottom w:val="0"/>
      <w:divBdr>
        <w:top w:val="none" w:sz="0" w:space="0" w:color="auto"/>
        <w:left w:val="none" w:sz="0" w:space="0" w:color="auto"/>
        <w:bottom w:val="none" w:sz="0" w:space="0" w:color="auto"/>
        <w:right w:val="none" w:sz="0" w:space="0" w:color="auto"/>
      </w:divBdr>
    </w:div>
    <w:div w:id="1281760927">
      <w:bodyDiv w:val="1"/>
      <w:marLeft w:val="0"/>
      <w:marRight w:val="0"/>
      <w:marTop w:val="0"/>
      <w:marBottom w:val="0"/>
      <w:divBdr>
        <w:top w:val="none" w:sz="0" w:space="0" w:color="auto"/>
        <w:left w:val="none" w:sz="0" w:space="0" w:color="auto"/>
        <w:bottom w:val="none" w:sz="0" w:space="0" w:color="auto"/>
        <w:right w:val="none" w:sz="0" w:space="0" w:color="auto"/>
      </w:divBdr>
    </w:div>
    <w:div w:id="1348097109">
      <w:bodyDiv w:val="1"/>
      <w:marLeft w:val="0"/>
      <w:marRight w:val="0"/>
      <w:marTop w:val="0"/>
      <w:marBottom w:val="0"/>
      <w:divBdr>
        <w:top w:val="none" w:sz="0" w:space="0" w:color="auto"/>
        <w:left w:val="none" w:sz="0" w:space="0" w:color="auto"/>
        <w:bottom w:val="none" w:sz="0" w:space="0" w:color="auto"/>
        <w:right w:val="none" w:sz="0" w:space="0" w:color="auto"/>
      </w:divBdr>
    </w:div>
    <w:div w:id="1349984665">
      <w:bodyDiv w:val="1"/>
      <w:marLeft w:val="0"/>
      <w:marRight w:val="0"/>
      <w:marTop w:val="0"/>
      <w:marBottom w:val="0"/>
      <w:divBdr>
        <w:top w:val="none" w:sz="0" w:space="0" w:color="auto"/>
        <w:left w:val="none" w:sz="0" w:space="0" w:color="auto"/>
        <w:bottom w:val="none" w:sz="0" w:space="0" w:color="auto"/>
        <w:right w:val="none" w:sz="0" w:space="0" w:color="auto"/>
      </w:divBdr>
      <w:divsChild>
        <w:div w:id="476383925">
          <w:marLeft w:val="547"/>
          <w:marRight w:val="0"/>
          <w:marTop w:val="0"/>
          <w:marBottom w:val="0"/>
          <w:divBdr>
            <w:top w:val="none" w:sz="0" w:space="0" w:color="auto"/>
            <w:left w:val="none" w:sz="0" w:space="0" w:color="auto"/>
            <w:bottom w:val="none" w:sz="0" w:space="0" w:color="auto"/>
            <w:right w:val="none" w:sz="0" w:space="0" w:color="auto"/>
          </w:divBdr>
        </w:div>
      </w:divsChild>
    </w:div>
    <w:div w:id="1364863603">
      <w:bodyDiv w:val="1"/>
      <w:marLeft w:val="0"/>
      <w:marRight w:val="0"/>
      <w:marTop w:val="0"/>
      <w:marBottom w:val="0"/>
      <w:divBdr>
        <w:top w:val="none" w:sz="0" w:space="0" w:color="auto"/>
        <w:left w:val="none" w:sz="0" w:space="0" w:color="auto"/>
        <w:bottom w:val="none" w:sz="0" w:space="0" w:color="auto"/>
        <w:right w:val="none" w:sz="0" w:space="0" w:color="auto"/>
      </w:divBdr>
    </w:div>
    <w:div w:id="1379165465">
      <w:bodyDiv w:val="1"/>
      <w:marLeft w:val="0"/>
      <w:marRight w:val="0"/>
      <w:marTop w:val="0"/>
      <w:marBottom w:val="0"/>
      <w:divBdr>
        <w:top w:val="none" w:sz="0" w:space="0" w:color="auto"/>
        <w:left w:val="none" w:sz="0" w:space="0" w:color="auto"/>
        <w:bottom w:val="none" w:sz="0" w:space="0" w:color="auto"/>
        <w:right w:val="none" w:sz="0" w:space="0" w:color="auto"/>
      </w:divBdr>
    </w:div>
    <w:div w:id="1388335768">
      <w:bodyDiv w:val="1"/>
      <w:marLeft w:val="0"/>
      <w:marRight w:val="0"/>
      <w:marTop w:val="0"/>
      <w:marBottom w:val="0"/>
      <w:divBdr>
        <w:top w:val="none" w:sz="0" w:space="0" w:color="auto"/>
        <w:left w:val="none" w:sz="0" w:space="0" w:color="auto"/>
        <w:bottom w:val="none" w:sz="0" w:space="0" w:color="auto"/>
        <w:right w:val="none" w:sz="0" w:space="0" w:color="auto"/>
      </w:divBdr>
    </w:div>
    <w:div w:id="1403214673">
      <w:bodyDiv w:val="1"/>
      <w:marLeft w:val="0"/>
      <w:marRight w:val="0"/>
      <w:marTop w:val="0"/>
      <w:marBottom w:val="0"/>
      <w:divBdr>
        <w:top w:val="none" w:sz="0" w:space="0" w:color="auto"/>
        <w:left w:val="none" w:sz="0" w:space="0" w:color="auto"/>
        <w:bottom w:val="none" w:sz="0" w:space="0" w:color="auto"/>
        <w:right w:val="none" w:sz="0" w:space="0" w:color="auto"/>
      </w:divBdr>
    </w:div>
    <w:div w:id="1411731964">
      <w:bodyDiv w:val="1"/>
      <w:marLeft w:val="0"/>
      <w:marRight w:val="0"/>
      <w:marTop w:val="0"/>
      <w:marBottom w:val="0"/>
      <w:divBdr>
        <w:top w:val="none" w:sz="0" w:space="0" w:color="auto"/>
        <w:left w:val="none" w:sz="0" w:space="0" w:color="auto"/>
        <w:bottom w:val="none" w:sz="0" w:space="0" w:color="auto"/>
        <w:right w:val="none" w:sz="0" w:space="0" w:color="auto"/>
      </w:divBdr>
    </w:div>
    <w:div w:id="1444572579">
      <w:bodyDiv w:val="1"/>
      <w:marLeft w:val="0"/>
      <w:marRight w:val="0"/>
      <w:marTop w:val="0"/>
      <w:marBottom w:val="0"/>
      <w:divBdr>
        <w:top w:val="none" w:sz="0" w:space="0" w:color="auto"/>
        <w:left w:val="none" w:sz="0" w:space="0" w:color="auto"/>
        <w:bottom w:val="none" w:sz="0" w:space="0" w:color="auto"/>
        <w:right w:val="none" w:sz="0" w:space="0" w:color="auto"/>
      </w:divBdr>
    </w:div>
    <w:div w:id="1450663301">
      <w:bodyDiv w:val="1"/>
      <w:marLeft w:val="0"/>
      <w:marRight w:val="0"/>
      <w:marTop w:val="0"/>
      <w:marBottom w:val="0"/>
      <w:divBdr>
        <w:top w:val="none" w:sz="0" w:space="0" w:color="auto"/>
        <w:left w:val="none" w:sz="0" w:space="0" w:color="auto"/>
        <w:bottom w:val="none" w:sz="0" w:space="0" w:color="auto"/>
        <w:right w:val="none" w:sz="0" w:space="0" w:color="auto"/>
      </w:divBdr>
    </w:div>
    <w:div w:id="1477721604">
      <w:bodyDiv w:val="1"/>
      <w:marLeft w:val="0"/>
      <w:marRight w:val="0"/>
      <w:marTop w:val="0"/>
      <w:marBottom w:val="0"/>
      <w:divBdr>
        <w:top w:val="none" w:sz="0" w:space="0" w:color="auto"/>
        <w:left w:val="none" w:sz="0" w:space="0" w:color="auto"/>
        <w:bottom w:val="none" w:sz="0" w:space="0" w:color="auto"/>
        <w:right w:val="none" w:sz="0" w:space="0" w:color="auto"/>
      </w:divBdr>
    </w:div>
    <w:div w:id="1506819159">
      <w:bodyDiv w:val="1"/>
      <w:marLeft w:val="0"/>
      <w:marRight w:val="0"/>
      <w:marTop w:val="0"/>
      <w:marBottom w:val="0"/>
      <w:divBdr>
        <w:top w:val="none" w:sz="0" w:space="0" w:color="auto"/>
        <w:left w:val="none" w:sz="0" w:space="0" w:color="auto"/>
        <w:bottom w:val="none" w:sz="0" w:space="0" w:color="auto"/>
        <w:right w:val="none" w:sz="0" w:space="0" w:color="auto"/>
      </w:divBdr>
    </w:div>
    <w:div w:id="1510413002">
      <w:bodyDiv w:val="1"/>
      <w:marLeft w:val="0"/>
      <w:marRight w:val="0"/>
      <w:marTop w:val="0"/>
      <w:marBottom w:val="0"/>
      <w:divBdr>
        <w:top w:val="none" w:sz="0" w:space="0" w:color="auto"/>
        <w:left w:val="none" w:sz="0" w:space="0" w:color="auto"/>
        <w:bottom w:val="none" w:sz="0" w:space="0" w:color="auto"/>
        <w:right w:val="none" w:sz="0" w:space="0" w:color="auto"/>
      </w:divBdr>
    </w:div>
    <w:div w:id="1511068561">
      <w:bodyDiv w:val="1"/>
      <w:marLeft w:val="0"/>
      <w:marRight w:val="0"/>
      <w:marTop w:val="0"/>
      <w:marBottom w:val="0"/>
      <w:divBdr>
        <w:top w:val="none" w:sz="0" w:space="0" w:color="auto"/>
        <w:left w:val="none" w:sz="0" w:space="0" w:color="auto"/>
        <w:bottom w:val="none" w:sz="0" w:space="0" w:color="auto"/>
        <w:right w:val="none" w:sz="0" w:space="0" w:color="auto"/>
      </w:divBdr>
    </w:div>
    <w:div w:id="1519655983">
      <w:bodyDiv w:val="1"/>
      <w:marLeft w:val="0"/>
      <w:marRight w:val="0"/>
      <w:marTop w:val="0"/>
      <w:marBottom w:val="0"/>
      <w:divBdr>
        <w:top w:val="none" w:sz="0" w:space="0" w:color="auto"/>
        <w:left w:val="none" w:sz="0" w:space="0" w:color="auto"/>
        <w:bottom w:val="none" w:sz="0" w:space="0" w:color="auto"/>
        <w:right w:val="none" w:sz="0" w:space="0" w:color="auto"/>
      </w:divBdr>
    </w:div>
    <w:div w:id="1540245775">
      <w:bodyDiv w:val="1"/>
      <w:marLeft w:val="0"/>
      <w:marRight w:val="0"/>
      <w:marTop w:val="0"/>
      <w:marBottom w:val="0"/>
      <w:divBdr>
        <w:top w:val="none" w:sz="0" w:space="0" w:color="auto"/>
        <w:left w:val="none" w:sz="0" w:space="0" w:color="auto"/>
        <w:bottom w:val="none" w:sz="0" w:space="0" w:color="auto"/>
        <w:right w:val="none" w:sz="0" w:space="0" w:color="auto"/>
      </w:divBdr>
    </w:div>
    <w:div w:id="1553230566">
      <w:bodyDiv w:val="1"/>
      <w:marLeft w:val="0"/>
      <w:marRight w:val="0"/>
      <w:marTop w:val="0"/>
      <w:marBottom w:val="0"/>
      <w:divBdr>
        <w:top w:val="none" w:sz="0" w:space="0" w:color="auto"/>
        <w:left w:val="none" w:sz="0" w:space="0" w:color="auto"/>
        <w:bottom w:val="none" w:sz="0" w:space="0" w:color="auto"/>
        <w:right w:val="none" w:sz="0" w:space="0" w:color="auto"/>
      </w:divBdr>
    </w:div>
    <w:div w:id="1560824379">
      <w:bodyDiv w:val="1"/>
      <w:marLeft w:val="0"/>
      <w:marRight w:val="0"/>
      <w:marTop w:val="0"/>
      <w:marBottom w:val="0"/>
      <w:divBdr>
        <w:top w:val="none" w:sz="0" w:space="0" w:color="auto"/>
        <w:left w:val="none" w:sz="0" w:space="0" w:color="auto"/>
        <w:bottom w:val="none" w:sz="0" w:space="0" w:color="auto"/>
        <w:right w:val="none" w:sz="0" w:space="0" w:color="auto"/>
      </w:divBdr>
    </w:div>
    <w:div w:id="1576280945">
      <w:bodyDiv w:val="1"/>
      <w:marLeft w:val="0"/>
      <w:marRight w:val="0"/>
      <w:marTop w:val="0"/>
      <w:marBottom w:val="0"/>
      <w:divBdr>
        <w:top w:val="none" w:sz="0" w:space="0" w:color="auto"/>
        <w:left w:val="none" w:sz="0" w:space="0" w:color="auto"/>
        <w:bottom w:val="none" w:sz="0" w:space="0" w:color="auto"/>
        <w:right w:val="none" w:sz="0" w:space="0" w:color="auto"/>
      </w:divBdr>
    </w:div>
    <w:div w:id="1633514309">
      <w:bodyDiv w:val="1"/>
      <w:marLeft w:val="0"/>
      <w:marRight w:val="0"/>
      <w:marTop w:val="0"/>
      <w:marBottom w:val="0"/>
      <w:divBdr>
        <w:top w:val="none" w:sz="0" w:space="0" w:color="auto"/>
        <w:left w:val="none" w:sz="0" w:space="0" w:color="auto"/>
        <w:bottom w:val="none" w:sz="0" w:space="0" w:color="auto"/>
        <w:right w:val="none" w:sz="0" w:space="0" w:color="auto"/>
      </w:divBdr>
      <w:divsChild>
        <w:div w:id="1151678851">
          <w:marLeft w:val="547"/>
          <w:marRight w:val="0"/>
          <w:marTop w:val="0"/>
          <w:marBottom w:val="0"/>
          <w:divBdr>
            <w:top w:val="none" w:sz="0" w:space="0" w:color="auto"/>
            <w:left w:val="none" w:sz="0" w:space="0" w:color="auto"/>
            <w:bottom w:val="none" w:sz="0" w:space="0" w:color="auto"/>
            <w:right w:val="none" w:sz="0" w:space="0" w:color="auto"/>
          </w:divBdr>
        </w:div>
      </w:divsChild>
    </w:div>
    <w:div w:id="1634948823">
      <w:bodyDiv w:val="1"/>
      <w:marLeft w:val="0"/>
      <w:marRight w:val="0"/>
      <w:marTop w:val="0"/>
      <w:marBottom w:val="0"/>
      <w:divBdr>
        <w:top w:val="none" w:sz="0" w:space="0" w:color="auto"/>
        <w:left w:val="none" w:sz="0" w:space="0" w:color="auto"/>
        <w:bottom w:val="none" w:sz="0" w:space="0" w:color="auto"/>
        <w:right w:val="none" w:sz="0" w:space="0" w:color="auto"/>
      </w:divBdr>
    </w:div>
    <w:div w:id="1641498882">
      <w:bodyDiv w:val="1"/>
      <w:marLeft w:val="0"/>
      <w:marRight w:val="0"/>
      <w:marTop w:val="0"/>
      <w:marBottom w:val="0"/>
      <w:divBdr>
        <w:top w:val="none" w:sz="0" w:space="0" w:color="auto"/>
        <w:left w:val="none" w:sz="0" w:space="0" w:color="auto"/>
        <w:bottom w:val="none" w:sz="0" w:space="0" w:color="auto"/>
        <w:right w:val="none" w:sz="0" w:space="0" w:color="auto"/>
      </w:divBdr>
    </w:div>
    <w:div w:id="1644962069">
      <w:bodyDiv w:val="1"/>
      <w:marLeft w:val="0"/>
      <w:marRight w:val="0"/>
      <w:marTop w:val="0"/>
      <w:marBottom w:val="0"/>
      <w:divBdr>
        <w:top w:val="none" w:sz="0" w:space="0" w:color="auto"/>
        <w:left w:val="none" w:sz="0" w:space="0" w:color="auto"/>
        <w:bottom w:val="none" w:sz="0" w:space="0" w:color="auto"/>
        <w:right w:val="none" w:sz="0" w:space="0" w:color="auto"/>
      </w:divBdr>
    </w:div>
    <w:div w:id="1654217119">
      <w:bodyDiv w:val="1"/>
      <w:marLeft w:val="0"/>
      <w:marRight w:val="0"/>
      <w:marTop w:val="0"/>
      <w:marBottom w:val="0"/>
      <w:divBdr>
        <w:top w:val="none" w:sz="0" w:space="0" w:color="auto"/>
        <w:left w:val="none" w:sz="0" w:space="0" w:color="auto"/>
        <w:bottom w:val="none" w:sz="0" w:space="0" w:color="auto"/>
        <w:right w:val="none" w:sz="0" w:space="0" w:color="auto"/>
      </w:divBdr>
      <w:divsChild>
        <w:div w:id="2093157673">
          <w:marLeft w:val="547"/>
          <w:marRight w:val="0"/>
          <w:marTop w:val="0"/>
          <w:marBottom w:val="0"/>
          <w:divBdr>
            <w:top w:val="none" w:sz="0" w:space="0" w:color="auto"/>
            <w:left w:val="none" w:sz="0" w:space="0" w:color="auto"/>
            <w:bottom w:val="none" w:sz="0" w:space="0" w:color="auto"/>
            <w:right w:val="none" w:sz="0" w:space="0" w:color="auto"/>
          </w:divBdr>
        </w:div>
      </w:divsChild>
    </w:div>
    <w:div w:id="1672417226">
      <w:bodyDiv w:val="1"/>
      <w:marLeft w:val="0"/>
      <w:marRight w:val="0"/>
      <w:marTop w:val="0"/>
      <w:marBottom w:val="0"/>
      <w:divBdr>
        <w:top w:val="none" w:sz="0" w:space="0" w:color="auto"/>
        <w:left w:val="none" w:sz="0" w:space="0" w:color="auto"/>
        <w:bottom w:val="none" w:sz="0" w:space="0" w:color="auto"/>
        <w:right w:val="none" w:sz="0" w:space="0" w:color="auto"/>
      </w:divBdr>
    </w:div>
    <w:div w:id="1682047854">
      <w:bodyDiv w:val="1"/>
      <w:marLeft w:val="0"/>
      <w:marRight w:val="0"/>
      <w:marTop w:val="0"/>
      <w:marBottom w:val="0"/>
      <w:divBdr>
        <w:top w:val="none" w:sz="0" w:space="0" w:color="auto"/>
        <w:left w:val="none" w:sz="0" w:space="0" w:color="auto"/>
        <w:bottom w:val="none" w:sz="0" w:space="0" w:color="auto"/>
        <w:right w:val="none" w:sz="0" w:space="0" w:color="auto"/>
      </w:divBdr>
    </w:div>
    <w:div w:id="1711342179">
      <w:bodyDiv w:val="1"/>
      <w:marLeft w:val="0"/>
      <w:marRight w:val="0"/>
      <w:marTop w:val="0"/>
      <w:marBottom w:val="0"/>
      <w:divBdr>
        <w:top w:val="none" w:sz="0" w:space="0" w:color="auto"/>
        <w:left w:val="none" w:sz="0" w:space="0" w:color="auto"/>
        <w:bottom w:val="none" w:sz="0" w:space="0" w:color="auto"/>
        <w:right w:val="none" w:sz="0" w:space="0" w:color="auto"/>
      </w:divBdr>
    </w:div>
    <w:div w:id="1746485616">
      <w:bodyDiv w:val="1"/>
      <w:marLeft w:val="0"/>
      <w:marRight w:val="0"/>
      <w:marTop w:val="0"/>
      <w:marBottom w:val="0"/>
      <w:divBdr>
        <w:top w:val="none" w:sz="0" w:space="0" w:color="auto"/>
        <w:left w:val="none" w:sz="0" w:space="0" w:color="auto"/>
        <w:bottom w:val="none" w:sz="0" w:space="0" w:color="auto"/>
        <w:right w:val="none" w:sz="0" w:space="0" w:color="auto"/>
      </w:divBdr>
    </w:div>
    <w:div w:id="1760759970">
      <w:bodyDiv w:val="1"/>
      <w:marLeft w:val="0"/>
      <w:marRight w:val="0"/>
      <w:marTop w:val="0"/>
      <w:marBottom w:val="0"/>
      <w:divBdr>
        <w:top w:val="none" w:sz="0" w:space="0" w:color="auto"/>
        <w:left w:val="none" w:sz="0" w:space="0" w:color="auto"/>
        <w:bottom w:val="none" w:sz="0" w:space="0" w:color="auto"/>
        <w:right w:val="none" w:sz="0" w:space="0" w:color="auto"/>
      </w:divBdr>
    </w:div>
    <w:div w:id="1815296215">
      <w:bodyDiv w:val="1"/>
      <w:marLeft w:val="0"/>
      <w:marRight w:val="0"/>
      <w:marTop w:val="0"/>
      <w:marBottom w:val="0"/>
      <w:divBdr>
        <w:top w:val="none" w:sz="0" w:space="0" w:color="auto"/>
        <w:left w:val="none" w:sz="0" w:space="0" w:color="auto"/>
        <w:bottom w:val="none" w:sz="0" w:space="0" w:color="auto"/>
        <w:right w:val="none" w:sz="0" w:space="0" w:color="auto"/>
      </w:divBdr>
    </w:div>
    <w:div w:id="1867407712">
      <w:bodyDiv w:val="1"/>
      <w:marLeft w:val="0"/>
      <w:marRight w:val="0"/>
      <w:marTop w:val="0"/>
      <w:marBottom w:val="0"/>
      <w:divBdr>
        <w:top w:val="none" w:sz="0" w:space="0" w:color="auto"/>
        <w:left w:val="none" w:sz="0" w:space="0" w:color="auto"/>
        <w:bottom w:val="none" w:sz="0" w:space="0" w:color="auto"/>
        <w:right w:val="none" w:sz="0" w:space="0" w:color="auto"/>
      </w:divBdr>
    </w:div>
    <w:div w:id="1875313018">
      <w:bodyDiv w:val="1"/>
      <w:marLeft w:val="0"/>
      <w:marRight w:val="0"/>
      <w:marTop w:val="0"/>
      <w:marBottom w:val="0"/>
      <w:divBdr>
        <w:top w:val="none" w:sz="0" w:space="0" w:color="auto"/>
        <w:left w:val="none" w:sz="0" w:space="0" w:color="auto"/>
        <w:bottom w:val="none" w:sz="0" w:space="0" w:color="auto"/>
        <w:right w:val="none" w:sz="0" w:space="0" w:color="auto"/>
      </w:divBdr>
    </w:div>
    <w:div w:id="1881433866">
      <w:bodyDiv w:val="1"/>
      <w:marLeft w:val="0"/>
      <w:marRight w:val="0"/>
      <w:marTop w:val="0"/>
      <w:marBottom w:val="0"/>
      <w:divBdr>
        <w:top w:val="none" w:sz="0" w:space="0" w:color="auto"/>
        <w:left w:val="none" w:sz="0" w:space="0" w:color="auto"/>
        <w:bottom w:val="none" w:sz="0" w:space="0" w:color="auto"/>
        <w:right w:val="none" w:sz="0" w:space="0" w:color="auto"/>
      </w:divBdr>
    </w:div>
    <w:div w:id="1891110927">
      <w:bodyDiv w:val="1"/>
      <w:marLeft w:val="0"/>
      <w:marRight w:val="0"/>
      <w:marTop w:val="0"/>
      <w:marBottom w:val="0"/>
      <w:divBdr>
        <w:top w:val="none" w:sz="0" w:space="0" w:color="auto"/>
        <w:left w:val="none" w:sz="0" w:space="0" w:color="auto"/>
        <w:bottom w:val="none" w:sz="0" w:space="0" w:color="auto"/>
        <w:right w:val="none" w:sz="0" w:space="0" w:color="auto"/>
      </w:divBdr>
    </w:div>
    <w:div w:id="1907377020">
      <w:bodyDiv w:val="1"/>
      <w:marLeft w:val="0"/>
      <w:marRight w:val="0"/>
      <w:marTop w:val="0"/>
      <w:marBottom w:val="0"/>
      <w:divBdr>
        <w:top w:val="none" w:sz="0" w:space="0" w:color="auto"/>
        <w:left w:val="none" w:sz="0" w:space="0" w:color="auto"/>
        <w:bottom w:val="none" w:sz="0" w:space="0" w:color="auto"/>
        <w:right w:val="none" w:sz="0" w:space="0" w:color="auto"/>
      </w:divBdr>
      <w:divsChild>
        <w:div w:id="969483706">
          <w:marLeft w:val="0"/>
          <w:marRight w:val="0"/>
          <w:marTop w:val="0"/>
          <w:marBottom w:val="0"/>
          <w:divBdr>
            <w:top w:val="none" w:sz="0" w:space="0" w:color="auto"/>
            <w:left w:val="none" w:sz="0" w:space="0" w:color="auto"/>
            <w:bottom w:val="none" w:sz="0" w:space="0" w:color="auto"/>
            <w:right w:val="none" w:sz="0" w:space="0" w:color="auto"/>
          </w:divBdr>
        </w:div>
        <w:div w:id="1777365800">
          <w:marLeft w:val="0"/>
          <w:marRight w:val="0"/>
          <w:marTop w:val="0"/>
          <w:marBottom w:val="0"/>
          <w:divBdr>
            <w:top w:val="none" w:sz="0" w:space="0" w:color="auto"/>
            <w:left w:val="none" w:sz="0" w:space="0" w:color="auto"/>
            <w:bottom w:val="none" w:sz="0" w:space="0" w:color="auto"/>
            <w:right w:val="none" w:sz="0" w:space="0" w:color="auto"/>
          </w:divBdr>
        </w:div>
      </w:divsChild>
    </w:div>
    <w:div w:id="1914588240">
      <w:bodyDiv w:val="1"/>
      <w:marLeft w:val="0"/>
      <w:marRight w:val="0"/>
      <w:marTop w:val="0"/>
      <w:marBottom w:val="0"/>
      <w:divBdr>
        <w:top w:val="none" w:sz="0" w:space="0" w:color="auto"/>
        <w:left w:val="none" w:sz="0" w:space="0" w:color="auto"/>
        <w:bottom w:val="none" w:sz="0" w:space="0" w:color="auto"/>
        <w:right w:val="none" w:sz="0" w:space="0" w:color="auto"/>
      </w:divBdr>
    </w:div>
    <w:div w:id="1960600690">
      <w:bodyDiv w:val="1"/>
      <w:marLeft w:val="0"/>
      <w:marRight w:val="0"/>
      <w:marTop w:val="0"/>
      <w:marBottom w:val="0"/>
      <w:divBdr>
        <w:top w:val="none" w:sz="0" w:space="0" w:color="auto"/>
        <w:left w:val="none" w:sz="0" w:space="0" w:color="auto"/>
        <w:bottom w:val="none" w:sz="0" w:space="0" w:color="auto"/>
        <w:right w:val="none" w:sz="0" w:space="0" w:color="auto"/>
      </w:divBdr>
    </w:div>
    <w:div w:id="1986742331">
      <w:bodyDiv w:val="1"/>
      <w:marLeft w:val="0"/>
      <w:marRight w:val="0"/>
      <w:marTop w:val="0"/>
      <w:marBottom w:val="0"/>
      <w:divBdr>
        <w:top w:val="none" w:sz="0" w:space="0" w:color="auto"/>
        <w:left w:val="none" w:sz="0" w:space="0" w:color="auto"/>
        <w:bottom w:val="none" w:sz="0" w:space="0" w:color="auto"/>
        <w:right w:val="none" w:sz="0" w:space="0" w:color="auto"/>
      </w:divBdr>
    </w:div>
    <w:div w:id="1987971614">
      <w:bodyDiv w:val="1"/>
      <w:marLeft w:val="0"/>
      <w:marRight w:val="0"/>
      <w:marTop w:val="0"/>
      <w:marBottom w:val="0"/>
      <w:divBdr>
        <w:top w:val="none" w:sz="0" w:space="0" w:color="auto"/>
        <w:left w:val="none" w:sz="0" w:space="0" w:color="auto"/>
        <w:bottom w:val="none" w:sz="0" w:space="0" w:color="auto"/>
        <w:right w:val="none" w:sz="0" w:space="0" w:color="auto"/>
      </w:divBdr>
    </w:div>
    <w:div w:id="2011564446">
      <w:bodyDiv w:val="1"/>
      <w:marLeft w:val="0"/>
      <w:marRight w:val="0"/>
      <w:marTop w:val="0"/>
      <w:marBottom w:val="0"/>
      <w:divBdr>
        <w:top w:val="none" w:sz="0" w:space="0" w:color="auto"/>
        <w:left w:val="none" w:sz="0" w:space="0" w:color="auto"/>
        <w:bottom w:val="none" w:sz="0" w:space="0" w:color="auto"/>
        <w:right w:val="none" w:sz="0" w:space="0" w:color="auto"/>
      </w:divBdr>
    </w:div>
    <w:div w:id="2054385751">
      <w:bodyDiv w:val="1"/>
      <w:marLeft w:val="0"/>
      <w:marRight w:val="0"/>
      <w:marTop w:val="0"/>
      <w:marBottom w:val="0"/>
      <w:divBdr>
        <w:top w:val="none" w:sz="0" w:space="0" w:color="auto"/>
        <w:left w:val="none" w:sz="0" w:space="0" w:color="auto"/>
        <w:bottom w:val="none" w:sz="0" w:space="0" w:color="auto"/>
        <w:right w:val="none" w:sz="0" w:space="0" w:color="auto"/>
      </w:divBdr>
    </w:div>
    <w:div w:id="2089958126">
      <w:bodyDiv w:val="1"/>
      <w:marLeft w:val="0"/>
      <w:marRight w:val="0"/>
      <w:marTop w:val="0"/>
      <w:marBottom w:val="0"/>
      <w:divBdr>
        <w:top w:val="none" w:sz="0" w:space="0" w:color="auto"/>
        <w:left w:val="none" w:sz="0" w:space="0" w:color="auto"/>
        <w:bottom w:val="none" w:sz="0" w:space="0" w:color="auto"/>
        <w:right w:val="none" w:sz="0" w:space="0" w:color="auto"/>
      </w:divBdr>
    </w:div>
    <w:div w:id="2125466817">
      <w:bodyDiv w:val="1"/>
      <w:marLeft w:val="0"/>
      <w:marRight w:val="0"/>
      <w:marTop w:val="0"/>
      <w:marBottom w:val="0"/>
      <w:divBdr>
        <w:top w:val="none" w:sz="0" w:space="0" w:color="auto"/>
        <w:left w:val="none" w:sz="0" w:space="0" w:color="auto"/>
        <w:bottom w:val="none" w:sz="0" w:space="0" w:color="auto"/>
        <w:right w:val="none" w:sz="0" w:space="0" w:color="auto"/>
      </w:divBdr>
    </w:div>
    <w:div w:id="21430380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gpb@dtf.vic.gov.au" TargetMode="External"/><Relationship Id="rId13" Type="http://schemas.openxmlformats.org/officeDocument/2006/relationships/header" Target="header1.xml"/><Relationship Id="rId18" Type="http://schemas.openxmlformats.org/officeDocument/2006/relationships/hyperlink" Target="https://www.dtf.vic.gov.au/financial-management-government/standing-directions-minister-finance-2016" TargetMode="External"/><Relationship Id="rId26" Type="http://schemas.openxmlformats.org/officeDocument/2006/relationships/chart" Target="charts/chart4.xml"/><Relationship Id="rId3" Type="http://schemas.openxmlformats.org/officeDocument/2006/relationships/styles" Target="styles.xml"/><Relationship Id="rId21" Type="http://schemas.openxmlformats.org/officeDocument/2006/relationships/hyperlink" Target="http://www.procurement.vic.gov.au/About-the-VGPB/Scope-of-Policies" TargetMode="External"/><Relationship Id="rId34" Type="http://schemas.openxmlformats.org/officeDocument/2006/relationships/diagramColors" Target="diagrams/colors1.xml"/><Relationship Id="rId7" Type="http://schemas.openxmlformats.org/officeDocument/2006/relationships/endnotes" Target="endnotes.xml"/><Relationship Id="rId12" Type="http://schemas.openxmlformats.org/officeDocument/2006/relationships/hyperlink" Target="mailto:IPpolicy@dtf.vic.gov.au" TargetMode="External"/><Relationship Id="rId17" Type="http://schemas.openxmlformats.org/officeDocument/2006/relationships/hyperlink" Target="http://www.procurement.vic.gov.au/about-the-VGPB" TargetMode="External"/><Relationship Id="rId25" Type="http://schemas.openxmlformats.org/officeDocument/2006/relationships/chart" Target="charts/chart3.xml"/><Relationship Id="rId33" Type="http://schemas.openxmlformats.org/officeDocument/2006/relationships/diagramQuickStyle" Target="diagrams/quickStyle1.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procurement.vic.gov.au/about-the-VGPB" TargetMode="External"/><Relationship Id="rId20" Type="http://schemas.openxmlformats.org/officeDocument/2006/relationships/hyperlink" Target="http://www.procurement.vic.gov.au/Suppliers/Supplier-Code-of-Conduct" TargetMode="External"/><Relationship Id="rId29"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24" Type="http://schemas.openxmlformats.org/officeDocument/2006/relationships/chart" Target="charts/chart2.xml"/><Relationship Id="rId32" Type="http://schemas.openxmlformats.org/officeDocument/2006/relationships/diagramLayout" Target="diagrams/layout1.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chart" Target="charts/chart1.xml"/><Relationship Id="rId28" Type="http://schemas.openxmlformats.org/officeDocument/2006/relationships/chart" Target="charts/chart6.xml"/><Relationship Id="rId36" Type="http://schemas.openxmlformats.org/officeDocument/2006/relationships/hyperlink" Target="http://www.procurement.vic.gov.au/About-the-VGPB/Glossary" TargetMode="External"/><Relationship Id="rId10" Type="http://schemas.openxmlformats.org/officeDocument/2006/relationships/hyperlink" Target="http://www.procurement.vic.gov.au/" TargetMode="External"/><Relationship Id="rId19" Type="http://schemas.openxmlformats.org/officeDocument/2006/relationships/hyperlink" Target="http://www.buyingfor.vic.gov.au/social-procurement-framework" TargetMode="External"/><Relationship Id="rId31" Type="http://schemas.openxmlformats.org/officeDocument/2006/relationships/diagramData" Target="diagrams/data1.xml"/><Relationship Id="rId4" Type="http://schemas.openxmlformats.org/officeDocument/2006/relationships/settings" Target="settings.xml"/><Relationship Id="rId9" Type="http://schemas.openxmlformats.org/officeDocument/2006/relationships/hyperlink" Target="http://www.procurement.vic.gov.au" TargetMode="External"/><Relationship Id="rId14" Type="http://schemas.openxmlformats.org/officeDocument/2006/relationships/footer" Target="footer1.xml"/><Relationship Id="rId22" Type="http://schemas.openxmlformats.org/officeDocument/2006/relationships/hyperlink" Target="http://www.procurement.vic.gov.au/About-the-VGPB/Scope-of-Policies" TargetMode="External"/><Relationship Id="rId27" Type="http://schemas.openxmlformats.org/officeDocument/2006/relationships/chart" Target="charts/chart5.xml"/><Relationship Id="rId30" Type="http://schemas.openxmlformats.org/officeDocument/2006/relationships/image" Target="media/image3.png"/><Relationship Id="rId35" Type="http://schemas.microsoft.com/office/2007/relationships/diagramDrawing" Target="diagrams/drawing1.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keeli\Dropbox\Work\VGPB%20Annual%20Report%202017-18\ASR\SPCs%20v0.1.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keeli\Dropbox\Work\VGPB%20Annual%20Report%202017-18\ASR\SPCs%20v0.1.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keeli\Dropbox\Work\VGPB%20Annual%20Report%202017-18\ASR\Copy%20of%20Copy%20of%20ASR%202018%20Data%20Collector%20v3.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keeli\Dropbox\Work\VGPB%20Annual%20Report%202017-18\ASR\Copy%20of%20Copy%20of%20ASR%202018%20Data%20Collector%20v3.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keeli\Dropbox\Work\VGPB%20Annual%20Report%202017-18\ASR\SPCs%20v0.1.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keeli\Dropbox\Work\VGPB%20Annual%20Report%202017-18\ASR\Copy%20of%20Copy%20of%20ASR%202018%20Data%20Collector%20v3.xlsx" TargetMode="External"/><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AU" sz="1100">
                <a:latin typeface="+mj-lt"/>
              </a:rPr>
              <a:t>NUMBER OF CONTRACT APPROVALS</a:t>
            </a:r>
          </a:p>
        </c:rich>
      </c:tx>
      <c:layout>
        <c:manualLayout>
          <c:xMode val="edge"/>
          <c:yMode val="edge"/>
          <c:x val="0"/>
          <c:y val="2.7777777777777801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stacked"/>
        <c:varyColors val="0"/>
        <c:ser>
          <c:idx val="0"/>
          <c:order val="0"/>
          <c:tx>
            <c:strRef>
              <c:f>Sheet1!$C$45</c:f>
              <c:strCache>
                <c:ptCount val="1"/>
                <c:pt idx="0">
                  <c:v>One-off supplies</c:v>
                </c:pt>
              </c:strCache>
            </c:strRef>
          </c:tx>
          <c:spPr>
            <a:solidFill>
              <a:schemeClr val="dk1">
                <a:tint val="88500"/>
              </a:schemeClr>
            </a:solidFill>
            <a:ln>
              <a:noFill/>
            </a:ln>
            <a:effectLst/>
          </c:spPr>
          <c:invertIfNegative val="0"/>
          <c:cat>
            <c:strRef>
              <c:f>Sheet1!$D$44:$G$44</c:f>
              <c:strCache>
                <c:ptCount val="4"/>
                <c:pt idx="0">
                  <c:v>2014–15</c:v>
                </c:pt>
                <c:pt idx="1">
                  <c:v>2015–16</c:v>
                </c:pt>
                <c:pt idx="2">
                  <c:v>2016–17</c:v>
                </c:pt>
                <c:pt idx="3">
                  <c:v>2017–18</c:v>
                </c:pt>
              </c:strCache>
            </c:strRef>
          </c:cat>
          <c:val>
            <c:numRef>
              <c:f>Sheet1!$D$45:$G$45</c:f>
              <c:numCache>
                <c:formatCode>General</c:formatCode>
                <c:ptCount val="4"/>
                <c:pt idx="0">
                  <c:v>630</c:v>
                </c:pt>
                <c:pt idx="1">
                  <c:v>743</c:v>
                </c:pt>
                <c:pt idx="2">
                  <c:v>952</c:v>
                </c:pt>
                <c:pt idx="3">
                  <c:v>1152</c:v>
                </c:pt>
              </c:numCache>
            </c:numRef>
          </c:val>
          <c:extLst>
            <c:ext xmlns:c16="http://schemas.microsoft.com/office/drawing/2014/chart" uri="{C3380CC4-5D6E-409C-BE32-E72D297353CC}">
              <c16:uniqueId val="{00000000-BEF1-4545-8F19-71735A2DE4C0}"/>
            </c:ext>
          </c:extLst>
        </c:ser>
        <c:ser>
          <c:idx val="1"/>
          <c:order val="1"/>
          <c:tx>
            <c:strRef>
              <c:f>Sheet1!$C$46</c:f>
              <c:strCache>
                <c:ptCount val="1"/>
                <c:pt idx="0">
                  <c:v>SEPCs</c:v>
                </c:pt>
              </c:strCache>
            </c:strRef>
          </c:tx>
          <c:spPr>
            <a:solidFill>
              <a:schemeClr val="dk1">
                <a:tint val="55000"/>
              </a:schemeClr>
            </a:solidFill>
            <a:ln>
              <a:noFill/>
            </a:ln>
            <a:effectLst/>
          </c:spPr>
          <c:invertIfNegative val="0"/>
          <c:cat>
            <c:strRef>
              <c:f>Sheet1!$D$44:$G$44</c:f>
              <c:strCache>
                <c:ptCount val="4"/>
                <c:pt idx="0">
                  <c:v>2014–15</c:v>
                </c:pt>
                <c:pt idx="1">
                  <c:v>2015–16</c:v>
                </c:pt>
                <c:pt idx="2">
                  <c:v>2016–17</c:v>
                </c:pt>
                <c:pt idx="3">
                  <c:v>2017–18</c:v>
                </c:pt>
              </c:strCache>
            </c:strRef>
          </c:cat>
          <c:val>
            <c:numRef>
              <c:f>Sheet1!$D$46:$G$46</c:f>
              <c:numCache>
                <c:formatCode>General</c:formatCode>
                <c:ptCount val="4"/>
                <c:pt idx="0">
                  <c:v>37</c:v>
                </c:pt>
                <c:pt idx="1">
                  <c:v>37</c:v>
                </c:pt>
                <c:pt idx="2">
                  <c:v>45</c:v>
                </c:pt>
                <c:pt idx="3">
                  <c:v>36</c:v>
                </c:pt>
              </c:numCache>
            </c:numRef>
          </c:val>
          <c:extLst>
            <c:ext xmlns:c16="http://schemas.microsoft.com/office/drawing/2014/chart" uri="{C3380CC4-5D6E-409C-BE32-E72D297353CC}">
              <c16:uniqueId val="{00000001-BEF1-4545-8F19-71735A2DE4C0}"/>
            </c:ext>
          </c:extLst>
        </c:ser>
        <c:ser>
          <c:idx val="2"/>
          <c:order val="2"/>
          <c:tx>
            <c:strRef>
              <c:f>Sheet1!$C$47</c:f>
              <c:strCache>
                <c:ptCount val="1"/>
                <c:pt idx="0">
                  <c:v>SPCs</c:v>
                </c:pt>
              </c:strCache>
            </c:strRef>
          </c:tx>
          <c:spPr>
            <a:solidFill>
              <a:schemeClr val="dk1">
                <a:tint val="75000"/>
              </a:schemeClr>
            </a:solidFill>
            <a:ln>
              <a:noFill/>
            </a:ln>
            <a:effectLst/>
          </c:spPr>
          <c:invertIfNegative val="0"/>
          <c:cat>
            <c:strRef>
              <c:f>Sheet1!$D$44:$G$44</c:f>
              <c:strCache>
                <c:ptCount val="4"/>
                <c:pt idx="0">
                  <c:v>2014–15</c:v>
                </c:pt>
                <c:pt idx="1">
                  <c:v>2015–16</c:v>
                </c:pt>
                <c:pt idx="2">
                  <c:v>2016–17</c:v>
                </c:pt>
                <c:pt idx="3">
                  <c:v>2017–18</c:v>
                </c:pt>
              </c:strCache>
            </c:strRef>
          </c:cat>
          <c:val>
            <c:numRef>
              <c:f>Sheet1!$D$47:$G$47</c:f>
              <c:numCache>
                <c:formatCode>General</c:formatCode>
                <c:ptCount val="4"/>
                <c:pt idx="0">
                  <c:v>6</c:v>
                </c:pt>
                <c:pt idx="1">
                  <c:v>10</c:v>
                </c:pt>
                <c:pt idx="2">
                  <c:v>8</c:v>
                </c:pt>
                <c:pt idx="3">
                  <c:v>9</c:v>
                </c:pt>
              </c:numCache>
            </c:numRef>
          </c:val>
          <c:extLst>
            <c:ext xmlns:c16="http://schemas.microsoft.com/office/drawing/2014/chart" uri="{C3380CC4-5D6E-409C-BE32-E72D297353CC}">
              <c16:uniqueId val="{00000002-BEF1-4545-8F19-71735A2DE4C0}"/>
            </c:ext>
          </c:extLst>
        </c:ser>
        <c:dLbls>
          <c:showLegendKey val="0"/>
          <c:showVal val="0"/>
          <c:showCatName val="0"/>
          <c:showSerName val="0"/>
          <c:showPercent val="0"/>
          <c:showBubbleSize val="0"/>
        </c:dLbls>
        <c:gapWidth val="150"/>
        <c:overlap val="100"/>
        <c:axId val="2109477896"/>
        <c:axId val="2110317016"/>
      </c:barChart>
      <c:catAx>
        <c:axId val="210947789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10317016"/>
        <c:crosses val="autoZero"/>
        <c:auto val="1"/>
        <c:lblAlgn val="ctr"/>
        <c:lblOffset val="100"/>
        <c:noMultiLvlLbl val="0"/>
      </c:catAx>
      <c:valAx>
        <c:axId val="2110317016"/>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0947789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AU" sz="1100">
                <a:latin typeface="+mj-lt"/>
              </a:rPr>
              <a:t>VALUE OF CONTRACT APPROVALS ($ MILLION)</a:t>
            </a:r>
          </a:p>
        </c:rich>
      </c:tx>
      <c:layout>
        <c:manualLayout>
          <c:xMode val="edge"/>
          <c:yMode val="edge"/>
          <c:x val="3.1862745098039214E-2"/>
          <c:y val="3.5927649618877511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stacked"/>
        <c:varyColors val="0"/>
        <c:ser>
          <c:idx val="0"/>
          <c:order val="0"/>
          <c:tx>
            <c:strRef>
              <c:f>Sheet1!$C$38</c:f>
              <c:strCache>
                <c:ptCount val="1"/>
                <c:pt idx="0">
                  <c:v>One-off supplies</c:v>
                </c:pt>
              </c:strCache>
            </c:strRef>
          </c:tx>
          <c:spPr>
            <a:solidFill>
              <a:schemeClr val="dk1">
                <a:tint val="88500"/>
              </a:schemeClr>
            </a:solidFill>
            <a:ln>
              <a:noFill/>
            </a:ln>
            <a:effectLst/>
          </c:spPr>
          <c:invertIfNegative val="0"/>
          <c:cat>
            <c:strRef>
              <c:f>Sheet1!$D$37:$G$37</c:f>
              <c:strCache>
                <c:ptCount val="4"/>
                <c:pt idx="0">
                  <c:v>2014–15</c:v>
                </c:pt>
                <c:pt idx="1">
                  <c:v>2015–16</c:v>
                </c:pt>
                <c:pt idx="2">
                  <c:v>2016–17</c:v>
                </c:pt>
                <c:pt idx="3">
                  <c:v>2017–18</c:v>
                </c:pt>
              </c:strCache>
            </c:strRef>
          </c:cat>
          <c:val>
            <c:numRef>
              <c:f>Sheet1!$D$38:$G$38</c:f>
              <c:numCache>
                <c:formatCode>General</c:formatCode>
                <c:ptCount val="4"/>
                <c:pt idx="0">
                  <c:v>692.3</c:v>
                </c:pt>
                <c:pt idx="1">
                  <c:v>915.5</c:v>
                </c:pt>
                <c:pt idx="2">
                  <c:v>1137.7</c:v>
                </c:pt>
                <c:pt idx="3">
                  <c:v>1515.8</c:v>
                </c:pt>
              </c:numCache>
            </c:numRef>
          </c:val>
          <c:extLst>
            <c:ext xmlns:c16="http://schemas.microsoft.com/office/drawing/2014/chart" uri="{C3380CC4-5D6E-409C-BE32-E72D297353CC}">
              <c16:uniqueId val="{00000000-3356-40CA-B480-22B98E79B8DD}"/>
            </c:ext>
          </c:extLst>
        </c:ser>
        <c:ser>
          <c:idx val="1"/>
          <c:order val="1"/>
          <c:tx>
            <c:strRef>
              <c:f>Sheet1!$C$39</c:f>
              <c:strCache>
                <c:ptCount val="1"/>
                <c:pt idx="0">
                  <c:v>SEPCs</c:v>
                </c:pt>
              </c:strCache>
            </c:strRef>
          </c:tx>
          <c:spPr>
            <a:solidFill>
              <a:schemeClr val="dk1">
                <a:tint val="55000"/>
              </a:schemeClr>
            </a:solidFill>
            <a:ln>
              <a:noFill/>
            </a:ln>
            <a:effectLst/>
          </c:spPr>
          <c:invertIfNegative val="0"/>
          <c:cat>
            <c:strRef>
              <c:f>Sheet1!$D$37:$G$37</c:f>
              <c:strCache>
                <c:ptCount val="4"/>
                <c:pt idx="0">
                  <c:v>2014–15</c:v>
                </c:pt>
                <c:pt idx="1">
                  <c:v>2015–16</c:v>
                </c:pt>
                <c:pt idx="2">
                  <c:v>2016–17</c:v>
                </c:pt>
                <c:pt idx="3">
                  <c:v>2017–18</c:v>
                </c:pt>
              </c:strCache>
            </c:strRef>
          </c:cat>
          <c:val>
            <c:numRef>
              <c:f>Sheet1!$D$39:$G$39</c:f>
              <c:numCache>
                <c:formatCode>General</c:formatCode>
                <c:ptCount val="4"/>
                <c:pt idx="0">
                  <c:v>270.89999999999998</c:v>
                </c:pt>
                <c:pt idx="1">
                  <c:v>778.8</c:v>
                </c:pt>
                <c:pt idx="2">
                  <c:v>537.20000000000005</c:v>
                </c:pt>
                <c:pt idx="3">
                  <c:v>254.2</c:v>
                </c:pt>
              </c:numCache>
            </c:numRef>
          </c:val>
          <c:extLst>
            <c:ext xmlns:c16="http://schemas.microsoft.com/office/drawing/2014/chart" uri="{C3380CC4-5D6E-409C-BE32-E72D297353CC}">
              <c16:uniqueId val="{00000001-3356-40CA-B480-22B98E79B8DD}"/>
            </c:ext>
          </c:extLst>
        </c:ser>
        <c:ser>
          <c:idx val="2"/>
          <c:order val="2"/>
          <c:tx>
            <c:strRef>
              <c:f>Sheet1!$C$40</c:f>
              <c:strCache>
                <c:ptCount val="1"/>
                <c:pt idx="0">
                  <c:v>SPCs</c:v>
                </c:pt>
              </c:strCache>
            </c:strRef>
          </c:tx>
          <c:spPr>
            <a:solidFill>
              <a:schemeClr val="dk1">
                <a:tint val="75000"/>
              </a:schemeClr>
            </a:solidFill>
            <a:ln>
              <a:noFill/>
            </a:ln>
            <a:effectLst/>
          </c:spPr>
          <c:invertIfNegative val="0"/>
          <c:cat>
            <c:strRef>
              <c:f>Sheet1!$D$37:$G$37</c:f>
              <c:strCache>
                <c:ptCount val="4"/>
                <c:pt idx="0">
                  <c:v>2014–15</c:v>
                </c:pt>
                <c:pt idx="1">
                  <c:v>2015–16</c:v>
                </c:pt>
                <c:pt idx="2">
                  <c:v>2016–17</c:v>
                </c:pt>
                <c:pt idx="3">
                  <c:v>2017–18</c:v>
                </c:pt>
              </c:strCache>
            </c:strRef>
          </c:cat>
          <c:val>
            <c:numRef>
              <c:f>Sheet1!$D$40:$G$40</c:f>
              <c:numCache>
                <c:formatCode>General</c:formatCode>
                <c:ptCount val="4"/>
                <c:pt idx="0">
                  <c:v>658.6</c:v>
                </c:pt>
                <c:pt idx="1">
                  <c:v>720.6</c:v>
                </c:pt>
                <c:pt idx="2">
                  <c:v>408.8</c:v>
                </c:pt>
                <c:pt idx="3">
                  <c:v>1241.2</c:v>
                </c:pt>
              </c:numCache>
            </c:numRef>
          </c:val>
          <c:extLst>
            <c:ext xmlns:c16="http://schemas.microsoft.com/office/drawing/2014/chart" uri="{C3380CC4-5D6E-409C-BE32-E72D297353CC}">
              <c16:uniqueId val="{00000002-3356-40CA-B480-22B98E79B8DD}"/>
            </c:ext>
          </c:extLst>
        </c:ser>
        <c:dLbls>
          <c:showLegendKey val="0"/>
          <c:showVal val="0"/>
          <c:showCatName val="0"/>
          <c:showSerName val="0"/>
          <c:showPercent val="0"/>
          <c:showBubbleSize val="0"/>
        </c:dLbls>
        <c:gapWidth val="150"/>
        <c:overlap val="100"/>
        <c:axId val="2110407608"/>
        <c:axId val="2110411304"/>
      </c:barChart>
      <c:catAx>
        <c:axId val="211040760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10411304"/>
        <c:crosses val="autoZero"/>
        <c:auto val="1"/>
        <c:lblAlgn val="ctr"/>
        <c:lblOffset val="100"/>
        <c:noMultiLvlLbl val="0"/>
      </c:catAx>
      <c:valAx>
        <c:axId val="2110411304"/>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1040760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doughnutChart>
        <c:varyColors val="1"/>
        <c:ser>
          <c:idx val="0"/>
          <c:order val="0"/>
          <c:dPt>
            <c:idx val="0"/>
            <c:bubble3D val="0"/>
            <c:spPr>
              <a:solidFill>
                <a:schemeClr val="dk1">
                  <a:tint val="88500"/>
                </a:schemeClr>
              </a:solidFill>
              <a:ln w="19050">
                <a:solidFill>
                  <a:schemeClr val="lt1"/>
                </a:solidFill>
              </a:ln>
              <a:effectLst/>
            </c:spPr>
            <c:extLst>
              <c:ext xmlns:c16="http://schemas.microsoft.com/office/drawing/2014/chart" uri="{C3380CC4-5D6E-409C-BE32-E72D297353CC}">
                <c16:uniqueId val="{00000001-45B5-41AE-9A4A-2A37F6E5A86F}"/>
              </c:ext>
            </c:extLst>
          </c:dPt>
          <c:dPt>
            <c:idx val="1"/>
            <c:bubble3D val="0"/>
            <c:spPr>
              <a:solidFill>
                <a:schemeClr val="dk1">
                  <a:tint val="55000"/>
                </a:schemeClr>
              </a:solidFill>
              <a:ln w="19050">
                <a:solidFill>
                  <a:schemeClr val="lt1"/>
                </a:solidFill>
              </a:ln>
              <a:effectLst/>
            </c:spPr>
            <c:extLst>
              <c:ext xmlns:c16="http://schemas.microsoft.com/office/drawing/2014/chart" uri="{C3380CC4-5D6E-409C-BE32-E72D297353CC}">
                <c16:uniqueId val="{00000003-45B5-41AE-9A4A-2A37F6E5A86F}"/>
              </c:ext>
            </c:extLst>
          </c:dPt>
          <c:dPt>
            <c:idx val="2"/>
            <c:bubble3D val="0"/>
            <c:spPr>
              <a:solidFill>
                <a:schemeClr val="dk1">
                  <a:tint val="75000"/>
                </a:schemeClr>
              </a:solidFill>
              <a:ln w="19050">
                <a:solidFill>
                  <a:schemeClr val="lt1"/>
                </a:solidFill>
              </a:ln>
              <a:effectLst/>
            </c:spPr>
            <c:extLst>
              <c:ext xmlns:c16="http://schemas.microsoft.com/office/drawing/2014/chart" uri="{C3380CC4-5D6E-409C-BE32-E72D297353CC}">
                <c16:uniqueId val="{00000005-45B5-41AE-9A4A-2A37F6E5A86F}"/>
              </c:ext>
            </c:extLst>
          </c:dPt>
          <c:dPt>
            <c:idx val="3"/>
            <c:bubble3D val="0"/>
            <c:spPr>
              <a:solidFill>
                <a:schemeClr val="dk1">
                  <a:tint val="98500"/>
                </a:schemeClr>
              </a:solidFill>
              <a:ln w="19050">
                <a:solidFill>
                  <a:schemeClr val="lt1"/>
                </a:solidFill>
              </a:ln>
              <a:effectLst/>
            </c:spPr>
            <c:extLst>
              <c:ext xmlns:c16="http://schemas.microsoft.com/office/drawing/2014/chart" uri="{C3380CC4-5D6E-409C-BE32-E72D297353CC}">
                <c16:uniqueId val="{00000007-45B5-41AE-9A4A-2A37F6E5A86F}"/>
              </c:ext>
            </c:extLst>
          </c:dPt>
          <c:cat>
            <c:strRef>
              <c:f>Aggregated!$H$112:$H$115</c:f>
              <c:strCache>
                <c:ptCount val="4"/>
                <c:pt idx="0">
                  <c:v>Transactional</c:v>
                </c:pt>
                <c:pt idx="1">
                  <c:v>Leveraged</c:v>
                </c:pt>
                <c:pt idx="2">
                  <c:v>Focused</c:v>
                </c:pt>
                <c:pt idx="3">
                  <c:v>Strategic</c:v>
                </c:pt>
              </c:strCache>
            </c:strRef>
          </c:cat>
          <c:val>
            <c:numRef>
              <c:f>Aggregated!$I$112:$I$115</c:f>
              <c:numCache>
                <c:formatCode>0.0</c:formatCode>
                <c:ptCount val="4"/>
                <c:pt idx="0">
                  <c:v>48.287385129490389</c:v>
                </c:pt>
                <c:pt idx="1">
                  <c:v>26.399331662489555</c:v>
                </c:pt>
                <c:pt idx="2">
                  <c:v>11.027568922305765</c:v>
                </c:pt>
                <c:pt idx="3">
                  <c:v>14.285714285714285</c:v>
                </c:pt>
              </c:numCache>
            </c:numRef>
          </c:val>
          <c:extLst>
            <c:ext xmlns:c16="http://schemas.microsoft.com/office/drawing/2014/chart" uri="{C3380CC4-5D6E-409C-BE32-E72D297353CC}">
              <c16:uniqueId val="{00000008-45B5-41AE-9A4A-2A37F6E5A86F}"/>
            </c:ext>
          </c:extLst>
        </c:ser>
        <c:dLbls>
          <c:showLegendKey val="0"/>
          <c:showVal val="0"/>
          <c:showCatName val="0"/>
          <c:showSerName val="0"/>
          <c:showPercent val="0"/>
          <c:showBubbleSize val="0"/>
          <c:showLeaderLines val="1"/>
        </c:dLbls>
        <c:firstSliceAng val="0"/>
        <c:holeSize val="75"/>
      </c:doughnut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doughnutChart>
        <c:varyColors val="1"/>
        <c:ser>
          <c:idx val="0"/>
          <c:order val="0"/>
          <c:dPt>
            <c:idx val="0"/>
            <c:bubble3D val="0"/>
            <c:spPr>
              <a:solidFill>
                <a:schemeClr val="dk1">
                  <a:tint val="88500"/>
                </a:schemeClr>
              </a:solidFill>
              <a:ln w="19050">
                <a:solidFill>
                  <a:schemeClr val="lt1"/>
                </a:solidFill>
              </a:ln>
              <a:effectLst/>
            </c:spPr>
            <c:extLst>
              <c:ext xmlns:c16="http://schemas.microsoft.com/office/drawing/2014/chart" uri="{C3380CC4-5D6E-409C-BE32-E72D297353CC}">
                <c16:uniqueId val="{00000001-8DE6-48EC-8CE5-C1C1ADB68ACA}"/>
              </c:ext>
            </c:extLst>
          </c:dPt>
          <c:dPt>
            <c:idx val="1"/>
            <c:bubble3D val="0"/>
            <c:spPr>
              <a:solidFill>
                <a:schemeClr val="dk1">
                  <a:tint val="55000"/>
                </a:schemeClr>
              </a:solidFill>
              <a:ln w="19050">
                <a:solidFill>
                  <a:schemeClr val="lt1"/>
                </a:solidFill>
              </a:ln>
              <a:effectLst/>
            </c:spPr>
            <c:extLst>
              <c:ext xmlns:c16="http://schemas.microsoft.com/office/drawing/2014/chart" uri="{C3380CC4-5D6E-409C-BE32-E72D297353CC}">
                <c16:uniqueId val="{00000003-8DE6-48EC-8CE5-C1C1ADB68ACA}"/>
              </c:ext>
            </c:extLst>
          </c:dPt>
          <c:dPt>
            <c:idx val="2"/>
            <c:bubble3D val="0"/>
            <c:spPr>
              <a:solidFill>
                <a:schemeClr val="dk1">
                  <a:tint val="75000"/>
                </a:schemeClr>
              </a:solidFill>
              <a:ln w="19050">
                <a:solidFill>
                  <a:schemeClr val="lt1"/>
                </a:solidFill>
              </a:ln>
              <a:effectLst/>
            </c:spPr>
            <c:extLst>
              <c:ext xmlns:c16="http://schemas.microsoft.com/office/drawing/2014/chart" uri="{C3380CC4-5D6E-409C-BE32-E72D297353CC}">
                <c16:uniqueId val="{00000005-8DE6-48EC-8CE5-C1C1ADB68ACA}"/>
              </c:ext>
            </c:extLst>
          </c:dPt>
          <c:dPt>
            <c:idx val="3"/>
            <c:bubble3D val="0"/>
            <c:spPr>
              <a:solidFill>
                <a:schemeClr val="dk1">
                  <a:tint val="98500"/>
                </a:schemeClr>
              </a:solidFill>
              <a:ln w="19050">
                <a:solidFill>
                  <a:schemeClr val="lt1"/>
                </a:solidFill>
              </a:ln>
              <a:effectLst/>
            </c:spPr>
            <c:extLst>
              <c:ext xmlns:c16="http://schemas.microsoft.com/office/drawing/2014/chart" uri="{C3380CC4-5D6E-409C-BE32-E72D297353CC}">
                <c16:uniqueId val="{00000007-8DE6-48EC-8CE5-C1C1ADB68ACA}"/>
              </c:ext>
            </c:extLst>
          </c:dPt>
          <c:cat>
            <c:strRef>
              <c:f>Aggregated!$H$112:$H$115</c:f>
              <c:strCache>
                <c:ptCount val="4"/>
                <c:pt idx="0">
                  <c:v>Transactional</c:v>
                </c:pt>
                <c:pt idx="1">
                  <c:v>Leveraged</c:v>
                </c:pt>
                <c:pt idx="2">
                  <c:v>Focused</c:v>
                </c:pt>
                <c:pt idx="3">
                  <c:v>Strategic</c:v>
                </c:pt>
              </c:strCache>
            </c:strRef>
          </c:cat>
          <c:val>
            <c:numRef>
              <c:f>Aggregated!$J$112:$J$115</c:f>
              <c:numCache>
                <c:formatCode>0.0</c:formatCode>
                <c:ptCount val="4"/>
                <c:pt idx="0">
                  <c:v>22.413073532699002</c:v>
                </c:pt>
                <c:pt idx="1">
                  <c:v>17.54126162274833</c:v>
                </c:pt>
                <c:pt idx="2">
                  <c:v>23.26802042795266</c:v>
                </c:pt>
                <c:pt idx="3">
                  <c:v>36.777644416600012</c:v>
                </c:pt>
              </c:numCache>
            </c:numRef>
          </c:val>
          <c:extLst>
            <c:ext xmlns:c16="http://schemas.microsoft.com/office/drawing/2014/chart" uri="{C3380CC4-5D6E-409C-BE32-E72D297353CC}">
              <c16:uniqueId val="{00000008-8DE6-48EC-8CE5-C1C1ADB68ACA}"/>
            </c:ext>
          </c:extLst>
        </c:ser>
        <c:dLbls>
          <c:showLegendKey val="0"/>
          <c:showVal val="0"/>
          <c:showCatName val="0"/>
          <c:showSerName val="0"/>
          <c:showPercent val="0"/>
          <c:showBubbleSize val="0"/>
          <c:showLeaderLines val="1"/>
        </c:dLbls>
        <c:firstSliceAng val="0"/>
        <c:holeSize val="75"/>
      </c:doughnut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r>
              <a:rPr lang="en-AU" sz="1100">
                <a:latin typeface="+mj-lt"/>
              </a:rPr>
              <a:t>Contract approvals by complexity (number)</a:t>
            </a:r>
          </a:p>
        </c:rich>
      </c:tx>
      <c:layout>
        <c:manualLayout>
          <c:xMode val="edge"/>
          <c:yMode val="edge"/>
          <c:x val="3.6707295149750102E-2"/>
          <c:y val="4.2207881909498202E-2"/>
        </c:manualLayout>
      </c:layout>
      <c:overlay val="0"/>
      <c:spPr>
        <a:noFill/>
        <a:ln>
          <a:noFill/>
        </a:ln>
        <a:effectLst/>
      </c:spPr>
      <c:txPr>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stacked"/>
        <c:varyColors val="0"/>
        <c:ser>
          <c:idx val="0"/>
          <c:order val="0"/>
          <c:tx>
            <c:strRef>
              <c:f>Sheet1!$C$18</c:f>
              <c:strCache>
                <c:ptCount val="1"/>
                <c:pt idx="0">
                  <c:v>Transactional</c:v>
                </c:pt>
              </c:strCache>
            </c:strRef>
          </c:tx>
          <c:spPr>
            <a:solidFill>
              <a:schemeClr val="dk1">
                <a:tint val="885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Sheet1!$D$17:$F$17</c:f>
              <c:strCache>
                <c:ptCount val="3"/>
                <c:pt idx="0">
                  <c:v>2015–16</c:v>
                </c:pt>
                <c:pt idx="1">
                  <c:v>2016–17</c:v>
                </c:pt>
                <c:pt idx="2">
                  <c:v>2017–18</c:v>
                </c:pt>
              </c:strCache>
            </c:strRef>
          </c:cat>
          <c:val>
            <c:numRef>
              <c:f>Sheet1!$D$18:$F$18</c:f>
              <c:numCache>
                <c:formatCode>General</c:formatCode>
                <c:ptCount val="3"/>
                <c:pt idx="0">
                  <c:v>241</c:v>
                </c:pt>
                <c:pt idx="1">
                  <c:v>463</c:v>
                </c:pt>
                <c:pt idx="2">
                  <c:v>578</c:v>
                </c:pt>
              </c:numCache>
            </c:numRef>
          </c:val>
          <c:extLst>
            <c:ext xmlns:c16="http://schemas.microsoft.com/office/drawing/2014/chart" uri="{C3380CC4-5D6E-409C-BE32-E72D297353CC}">
              <c16:uniqueId val="{00000000-F0EA-4265-92B7-ABBC0567C690}"/>
            </c:ext>
          </c:extLst>
        </c:ser>
        <c:ser>
          <c:idx val="1"/>
          <c:order val="1"/>
          <c:tx>
            <c:strRef>
              <c:f>Sheet1!$C$19</c:f>
              <c:strCache>
                <c:ptCount val="1"/>
                <c:pt idx="0">
                  <c:v>Leveraged</c:v>
                </c:pt>
              </c:strCache>
            </c:strRef>
          </c:tx>
          <c:spPr>
            <a:solidFill>
              <a:schemeClr val="dk1">
                <a:tint val="5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Sheet1!$D$17:$F$17</c:f>
              <c:strCache>
                <c:ptCount val="3"/>
                <c:pt idx="0">
                  <c:v>2015–16</c:v>
                </c:pt>
                <c:pt idx="1">
                  <c:v>2016–17</c:v>
                </c:pt>
                <c:pt idx="2">
                  <c:v>2017–18</c:v>
                </c:pt>
              </c:strCache>
            </c:strRef>
          </c:cat>
          <c:val>
            <c:numRef>
              <c:f>Sheet1!$D$19:$F$19</c:f>
              <c:numCache>
                <c:formatCode>General</c:formatCode>
                <c:ptCount val="3"/>
                <c:pt idx="0">
                  <c:v>312</c:v>
                </c:pt>
                <c:pt idx="1">
                  <c:v>245</c:v>
                </c:pt>
                <c:pt idx="2">
                  <c:v>316</c:v>
                </c:pt>
              </c:numCache>
            </c:numRef>
          </c:val>
          <c:extLst>
            <c:ext xmlns:c16="http://schemas.microsoft.com/office/drawing/2014/chart" uri="{C3380CC4-5D6E-409C-BE32-E72D297353CC}">
              <c16:uniqueId val="{00000001-F0EA-4265-92B7-ABBC0567C690}"/>
            </c:ext>
          </c:extLst>
        </c:ser>
        <c:ser>
          <c:idx val="2"/>
          <c:order val="2"/>
          <c:tx>
            <c:strRef>
              <c:f>Sheet1!$C$20</c:f>
              <c:strCache>
                <c:ptCount val="1"/>
                <c:pt idx="0">
                  <c:v>Focused</c:v>
                </c:pt>
              </c:strCache>
            </c:strRef>
          </c:tx>
          <c:spPr>
            <a:solidFill>
              <a:schemeClr val="dk1">
                <a:tint val="7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Sheet1!$D$17:$F$17</c:f>
              <c:strCache>
                <c:ptCount val="3"/>
                <c:pt idx="0">
                  <c:v>2015–16</c:v>
                </c:pt>
                <c:pt idx="1">
                  <c:v>2016–17</c:v>
                </c:pt>
                <c:pt idx="2">
                  <c:v>2017–18</c:v>
                </c:pt>
              </c:strCache>
            </c:strRef>
          </c:cat>
          <c:val>
            <c:numRef>
              <c:f>Sheet1!$D$20:$F$20</c:f>
              <c:numCache>
                <c:formatCode>General</c:formatCode>
                <c:ptCount val="3"/>
                <c:pt idx="0">
                  <c:v>135</c:v>
                </c:pt>
                <c:pt idx="1">
                  <c:v>125</c:v>
                </c:pt>
                <c:pt idx="2">
                  <c:v>132</c:v>
                </c:pt>
              </c:numCache>
            </c:numRef>
          </c:val>
          <c:extLst>
            <c:ext xmlns:c16="http://schemas.microsoft.com/office/drawing/2014/chart" uri="{C3380CC4-5D6E-409C-BE32-E72D297353CC}">
              <c16:uniqueId val="{00000002-F0EA-4265-92B7-ABBC0567C690}"/>
            </c:ext>
          </c:extLst>
        </c:ser>
        <c:ser>
          <c:idx val="3"/>
          <c:order val="3"/>
          <c:tx>
            <c:strRef>
              <c:f>Sheet1!$C$21</c:f>
              <c:strCache>
                <c:ptCount val="1"/>
                <c:pt idx="0">
                  <c:v>Strategic </c:v>
                </c:pt>
              </c:strCache>
            </c:strRef>
          </c:tx>
          <c:spPr>
            <a:solidFill>
              <a:schemeClr val="dk1">
                <a:tint val="985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Sheet1!$D$17:$F$17</c:f>
              <c:strCache>
                <c:ptCount val="3"/>
                <c:pt idx="0">
                  <c:v>2015–16</c:v>
                </c:pt>
                <c:pt idx="1">
                  <c:v>2016–17</c:v>
                </c:pt>
                <c:pt idx="2">
                  <c:v>2017–18</c:v>
                </c:pt>
              </c:strCache>
            </c:strRef>
          </c:cat>
          <c:val>
            <c:numRef>
              <c:f>Sheet1!$D$21:$F$21</c:f>
              <c:numCache>
                <c:formatCode>General</c:formatCode>
                <c:ptCount val="3"/>
                <c:pt idx="0">
                  <c:v>102</c:v>
                </c:pt>
                <c:pt idx="1">
                  <c:v>172</c:v>
                </c:pt>
                <c:pt idx="2">
                  <c:v>171</c:v>
                </c:pt>
              </c:numCache>
            </c:numRef>
          </c:val>
          <c:extLst>
            <c:ext xmlns:c16="http://schemas.microsoft.com/office/drawing/2014/chart" uri="{C3380CC4-5D6E-409C-BE32-E72D297353CC}">
              <c16:uniqueId val="{00000003-F0EA-4265-92B7-ABBC0567C690}"/>
            </c:ext>
          </c:extLst>
        </c:ser>
        <c:dLbls>
          <c:dLblPos val="ctr"/>
          <c:showLegendKey val="0"/>
          <c:showVal val="1"/>
          <c:showCatName val="0"/>
          <c:showSerName val="0"/>
          <c:showPercent val="0"/>
          <c:showBubbleSize val="0"/>
        </c:dLbls>
        <c:gapWidth val="79"/>
        <c:overlap val="100"/>
        <c:axId val="2055643704"/>
        <c:axId val="2055647832"/>
      </c:barChart>
      <c:catAx>
        <c:axId val="205564370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en-US"/>
          </a:p>
        </c:txPr>
        <c:crossAx val="2055647832"/>
        <c:crosses val="autoZero"/>
        <c:auto val="1"/>
        <c:lblAlgn val="ctr"/>
        <c:lblOffset val="100"/>
        <c:noMultiLvlLbl val="0"/>
      </c:catAx>
      <c:valAx>
        <c:axId val="2055647832"/>
        <c:scaling>
          <c:orientation val="minMax"/>
        </c:scaling>
        <c:delete val="1"/>
        <c:axPos val="b"/>
        <c:numFmt formatCode="General" sourceLinked="1"/>
        <c:majorTickMark val="none"/>
        <c:minorTickMark val="none"/>
        <c:tickLblPos val="nextTo"/>
        <c:crossAx val="2055643704"/>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600" b="1" i="0" u="none" strike="noStrike" kern="1200" cap="all" spc="120" normalizeH="0" baseline="0">
                <a:solidFill>
                  <a:sysClr val="windowText" lastClr="000000">
                    <a:lumMod val="65000"/>
                    <a:lumOff val="35000"/>
                  </a:sysClr>
                </a:solidFill>
                <a:latin typeface="+mn-lt"/>
                <a:ea typeface="+mn-ea"/>
                <a:cs typeface="+mn-cs"/>
              </a:defRPr>
            </a:pPr>
            <a:r>
              <a:rPr lang="en-AU" sz="1100" b="1" i="0" cap="all" baseline="0">
                <a:effectLst/>
                <a:latin typeface="+mj-lt"/>
              </a:rPr>
              <a:t>Contract approvals by complexity (value $ MILLION)</a:t>
            </a:r>
            <a:endParaRPr lang="en-AU" sz="1100">
              <a:effectLst/>
              <a:latin typeface="+mj-lt"/>
            </a:endParaRPr>
          </a:p>
        </c:rich>
      </c:tx>
      <c:layout>
        <c:manualLayout>
          <c:xMode val="edge"/>
          <c:yMode val="edge"/>
          <c:x val="1.9962993476587292E-2"/>
          <c:y val="3.2520129899016863E-2"/>
        </c:manualLayout>
      </c:layout>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600" b="1" i="0" u="none" strike="noStrike" kern="1200" cap="all" spc="120" normalizeH="0" baseline="0">
              <a:solidFill>
                <a:sysClr val="windowText" lastClr="000000">
                  <a:lumMod val="65000"/>
                  <a:lumOff val="35000"/>
                </a:sysClr>
              </a:solidFill>
              <a:latin typeface="+mn-lt"/>
              <a:ea typeface="+mn-ea"/>
              <a:cs typeface="+mn-cs"/>
            </a:defRPr>
          </a:pPr>
          <a:endParaRPr lang="en-US"/>
        </a:p>
      </c:txPr>
    </c:title>
    <c:autoTitleDeleted val="0"/>
    <c:plotArea>
      <c:layout/>
      <c:barChart>
        <c:barDir val="bar"/>
        <c:grouping val="stacked"/>
        <c:varyColors val="0"/>
        <c:ser>
          <c:idx val="0"/>
          <c:order val="0"/>
          <c:tx>
            <c:strRef>
              <c:f>Sheet1!$C$63</c:f>
              <c:strCache>
                <c:ptCount val="1"/>
                <c:pt idx="0">
                  <c:v>Transactional</c:v>
                </c:pt>
              </c:strCache>
            </c:strRef>
          </c:tx>
          <c:spPr>
            <a:solidFill>
              <a:schemeClr val="dk1">
                <a:tint val="885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Sheet1!$B$64:$B$66</c:f>
              <c:strCache>
                <c:ptCount val="3"/>
                <c:pt idx="0">
                  <c:v>2015–16</c:v>
                </c:pt>
                <c:pt idx="1">
                  <c:v>2016–17</c:v>
                </c:pt>
                <c:pt idx="2">
                  <c:v>2017–18</c:v>
                </c:pt>
              </c:strCache>
            </c:strRef>
          </c:cat>
          <c:val>
            <c:numRef>
              <c:f>Sheet1!$C$64:$C$66</c:f>
              <c:numCache>
                <c:formatCode>General</c:formatCode>
                <c:ptCount val="3"/>
                <c:pt idx="0">
                  <c:v>275.2</c:v>
                </c:pt>
                <c:pt idx="1">
                  <c:v>246.2</c:v>
                </c:pt>
                <c:pt idx="2">
                  <c:v>674.9</c:v>
                </c:pt>
              </c:numCache>
            </c:numRef>
          </c:val>
          <c:extLst>
            <c:ext xmlns:c16="http://schemas.microsoft.com/office/drawing/2014/chart" uri="{C3380CC4-5D6E-409C-BE32-E72D297353CC}">
              <c16:uniqueId val="{00000000-D987-4ADD-B963-4EF09B799F31}"/>
            </c:ext>
          </c:extLst>
        </c:ser>
        <c:ser>
          <c:idx val="1"/>
          <c:order val="1"/>
          <c:tx>
            <c:strRef>
              <c:f>Sheet1!$D$63</c:f>
              <c:strCache>
                <c:ptCount val="1"/>
                <c:pt idx="0">
                  <c:v>Leveraged</c:v>
                </c:pt>
              </c:strCache>
            </c:strRef>
          </c:tx>
          <c:spPr>
            <a:solidFill>
              <a:schemeClr val="dk1">
                <a:tint val="5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Sheet1!$B$64:$B$66</c:f>
              <c:strCache>
                <c:ptCount val="3"/>
                <c:pt idx="0">
                  <c:v>2015–16</c:v>
                </c:pt>
                <c:pt idx="1">
                  <c:v>2016–17</c:v>
                </c:pt>
                <c:pt idx="2">
                  <c:v>2017–18</c:v>
                </c:pt>
              </c:strCache>
            </c:strRef>
          </c:cat>
          <c:val>
            <c:numRef>
              <c:f>Sheet1!$D$64:$D$66</c:f>
              <c:numCache>
                <c:formatCode>General</c:formatCode>
                <c:ptCount val="3"/>
                <c:pt idx="0">
                  <c:v>1164.9000000000001</c:v>
                </c:pt>
                <c:pt idx="1">
                  <c:v>530.9</c:v>
                </c:pt>
                <c:pt idx="2">
                  <c:v>528.20000000000005</c:v>
                </c:pt>
              </c:numCache>
            </c:numRef>
          </c:val>
          <c:extLst>
            <c:ext xmlns:c16="http://schemas.microsoft.com/office/drawing/2014/chart" uri="{C3380CC4-5D6E-409C-BE32-E72D297353CC}">
              <c16:uniqueId val="{00000001-D987-4ADD-B963-4EF09B799F31}"/>
            </c:ext>
          </c:extLst>
        </c:ser>
        <c:ser>
          <c:idx val="2"/>
          <c:order val="2"/>
          <c:tx>
            <c:strRef>
              <c:f>Sheet1!$E$63</c:f>
              <c:strCache>
                <c:ptCount val="1"/>
                <c:pt idx="0">
                  <c:v>Focused</c:v>
                </c:pt>
              </c:strCache>
            </c:strRef>
          </c:tx>
          <c:spPr>
            <a:solidFill>
              <a:schemeClr val="dk1">
                <a:tint val="7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Sheet1!$B$64:$B$66</c:f>
              <c:strCache>
                <c:ptCount val="3"/>
                <c:pt idx="0">
                  <c:v>2015–16</c:v>
                </c:pt>
                <c:pt idx="1">
                  <c:v>2016–17</c:v>
                </c:pt>
                <c:pt idx="2">
                  <c:v>2017–18</c:v>
                </c:pt>
              </c:strCache>
            </c:strRef>
          </c:cat>
          <c:val>
            <c:numRef>
              <c:f>Sheet1!$E$64:$E$66</c:f>
              <c:numCache>
                <c:formatCode>General</c:formatCode>
                <c:ptCount val="3"/>
                <c:pt idx="0">
                  <c:v>126.8</c:v>
                </c:pt>
                <c:pt idx="1">
                  <c:v>119.8</c:v>
                </c:pt>
                <c:pt idx="2">
                  <c:v>700.7</c:v>
                </c:pt>
              </c:numCache>
            </c:numRef>
          </c:val>
          <c:extLst>
            <c:ext xmlns:c16="http://schemas.microsoft.com/office/drawing/2014/chart" uri="{C3380CC4-5D6E-409C-BE32-E72D297353CC}">
              <c16:uniqueId val="{00000002-D987-4ADD-B963-4EF09B799F31}"/>
            </c:ext>
          </c:extLst>
        </c:ser>
        <c:ser>
          <c:idx val="3"/>
          <c:order val="3"/>
          <c:tx>
            <c:strRef>
              <c:f>Sheet1!$F$63</c:f>
              <c:strCache>
                <c:ptCount val="1"/>
                <c:pt idx="0">
                  <c:v>Strategic </c:v>
                </c:pt>
              </c:strCache>
            </c:strRef>
          </c:tx>
          <c:spPr>
            <a:solidFill>
              <a:schemeClr val="dk1">
                <a:tint val="98500"/>
              </a:schemeClr>
            </a:solidFill>
            <a:ln>
              <a:noFill/>
            </a:ln>
            <a:effectLst/>
          </c:spPr>
          <c:invertIfNegative val="0"/>
          <c:dLbls>
            <c:dLbl>
              <c:idx val="0"/>
              <c:tx>
                <c:rich>
                  <a:bodyPr/>
                  <a:lstStyle/>
                  <a:p>
                    <a:fld id="{4FA33E11-DCE7-42E8-B62C-6AB35CAECDA4}" type="VALUE">
                      <a:rPr lang="en-US"/>
                      <a:pPr/>
                      <a:t>[VALUE]</a:t>
                    </a:fld>
                    <a:r>
                      <a:rPr lang="en-US"/>
                      <a:t>.0</a:t>
                    </a:r>
                  </a:p>
                </c:rich>
              </c:tx>
              <c:dLblPos val="ct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D987-4ADD-B963-4EF09B799F31}"/>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Sheet1!$B$64:$B$66</c:f>
              <c:strCache>
                <c:ptCount val="3"/>
                <c:pt idx="0">
                  <c:v>2015–16</c:v>
                </c:pt>
                <c:pt idx="1">
                  <c:v>2016–17</c:v>
                </c:pt>
                <c:pt idx="2">
                  <c:v>2017–18</c:v>
                </c:pt>
              </c:strCache>
            </c:strRef>
          </c:cat>
          <c:val>
            <c:numRef>
              <c:f>Sheet1!$F$64:$F$66</c:f>
              <c:numCache>
                <c:formatCode>General</c:formatCode>
                <c:ptCount val="3"/>
                <c:pt idx="0">
                  <c:v>848</c:v>
                </c:pt>
                <c:pt idx="1">
                  <c:v>1186.8</c:v>
                </c:pt>
                <c:pt idx="2">
                  <c:v>1107.5</c:v>
                </c:pt>
              </c:numCache>
            </c:numRef>
          </c:val>
          <c:extLst>
            <c:ext xmlns:c16="http://schemas.microsoft.com/office/drawing/2014/chart" uri="{C3380CC4-5D6E-409C-BE32-E72D297353CC}">
              <c16:uniqueId val="{00000003-D987-4ADD-B963-4EF09B799F31}"/>
            </c:ext>
          </c:extLst>
        </c:ser>
        <c:dLbls>
          <c:dLblPos val="ctr"/>
          <c:showLegendKey val="0"/>
          <c:showVal val="1"/>
          <c:showCatName val="0"/>
          <c:showSerName val="0"/>
          <c:showPercent val="0"/>
          <c:showBubbleSize val="0"/>
        </c:dLbls>
        <c:gapWidth val="79"/>
        <c:overlap val="100"/>
        <c:axId val="2109485464"/>
        <c:axId val="2109489384"/>
      </c:barChart>
      <c:catAx>
        <c:axId val="21094854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en-US"/>
          </a:p>
        </c:txPr>
        <c:crossAx val="2109489384"/>
        <c:crosses val="autoZero"/>
        <c:auto val="1"/>
        <c:lblAlgn val="ctr"/>
        <c:lblOffset val="100"/>
        <c:noMultiLvlLbl val="0"/>
      </c:catAx>
      <c:valAx>
        <c:axId val="2109489384"/>
        <c:scaling>
          <c:orientation val="minMax"/>
        </c:scaling>
        <c:delete val="1"/>
        <c:axPos val="b"/>
        <c:numFmt formatCode="General" sourceLinked="1"/>
        <c:majorTickMark val="none"/>
        <c:minorTickMark val="none"/>
        <c:tickLblPos val="nextTo"/>
        <c:crossAx val="2109485464"/>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2.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3.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4.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5.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6.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98">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6.xml><?xml version="1.0" encoding="utf-8"?>
<cs:chartStyle xmlns:cs="http://schemas.microsoft.com/office/drawing/2012/chartStyle" xmlns:a="http://schemas.openxmlformats.org/drawingml/2006/main" id="298">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FE063E2-8BC0-41C6-8005-1288CDD71064}" type="doc">
      <dgm:prSet loTypeId="urn:microsoft.com/office/officeart/2005/8/layout/radial6" loCatId="cycle" qsTypeId="urn:microsoft.com/office/officeart/2005/8/quickstyle/simple5" qsCatId="simple" csTypeId="urn:microsoft.com/office/officeart/2005/8/colors/accent0_1" csCatId="mainScheme" phldr="1"/>
      <dgm:spPr/>
      <dgm:t>
        <a:bodyPr/>
        <a:lstStyle/>
        <a:p>
          <a:endParaRPr lang="en-AU"/>
        </a:p>
      </dgm:t>
    </dgm:pt>
    <dgm:pt modelId="{2CE73E87-5194-4D3D-9D9A-58642A5F4A48}">
      <dgm:prSet phldrT="[Text]"/>
      <dgm:spPr/>
      <dgm:t>
        <a:bodyPr/>
        <a:lstStyle/>
        <a:p>
          <a:r>
            <a:rPr lang="en-AU">
              <a:latin typeface="+mj-lt"/>
            </a:rPr>
            <a:t>Monitoring compliance</a:t>
          </a:r>
        </a:p>
      </dgm:t>
    </dgm:pt>
    <dgm:pt modelId="{715B7F7C-F5B5-429C-AE53-A8E4BA91BBEF}" type="parTrans" cxnId="{BF90ED24-4CBB-4650-B63D-5874FC57BB8D}">
      <dgm:prSet/>
      <dgm:spPr/>
      <dgm:t>
        <a:bodyPr/>
        <a:lstStyle/>
        <a:p>
          <a:endParaRPr lang="en-AU"/>
        </a:p>
      </dgm:t>
    </dgm:pt>
    <dgm:pt modelId="{42E915C3-FFCF-450B-9188-1568CFB192AE}" type="sibTrans" cxnId="{BF90ED24-4CBB-4650-B63D-5874FC57BB8D}">
      <dgm:prSet/>
      <dgm:spPr/>
      <dgm:t>
        <a:bodyPr/>
        <a:lstStyle/>
        <a:p>
          <a:endParaRPr lang="en-AU"/>
        </a:p>
      </dgm:t>
    </dgm:pt>
    <dgm:pt modelId="{E1F4601A-6398-4FE5-8A5A-E8D6569F0495}">
      <dgm:prSet phldrT="[Text]" custT="1"/>
      <dgm:spPr/>
      <dgm:t>
        <a:bodyPr/>
        <a:lstStyle/>
        <a:p>
          <a:r>
            <a:rPr lang="en-AU" sz="900">
              <a:latin typeface="+mj-lt"/>
            </a:rPr>
            <a:t>Annual supply reports</a:t>
          </a:r>
        </a:p>
      </dgm:t>
    </dgm:pt>
    <dgm:pt modelId="{D986833E-658B-431E-BF5C-6E7329B92313}" type="parTrans" cxnId="{99F99220-7523-4A9D-A0DF-2541C5E6506D}">
      <dgm:prSet/>
      <dgm:spPr/>
      <dgm:t>
        <a:bodyPr/>
        <a:lstStyle/>
        <a:p>
          <a:endParaRPr lang="en-AU"/>
        </a:p>
      </dgm:t>
    </dgm:pt>
    <dgm:pt modelId="{68BD6887-B815-4B7C-9A2B-5C3D583AAB9D}" type="sibTrans" cxnId="{99F99220-7523-4A9D-A0DF-2541C5E6506D}">
      <dgm:prSet/>
      <dgm:spPr/>
      <dgm:t>
        <a:bodyPr/>
        <a:lstStyle/>
        <a:p>
          <a:endParaRPr lang="en-AU">
            <a:latin typeface="+mj-lt"/>
          </a:endParaRPr>
        </a:p>
      </dgm:t>
    </dgm:pt>
    <dgm:pt modelId="{71168BCE-37CE-4032-AAE8-60CD2ED6BD32}">
      <dgm:prSet phldrT="[Text]"/>
      <dgm:spPr/>
      <dgm:t>
        <a:bodyPr/>
        <a:lstStyle/>
        <a:p>
          <a:r>
            <a:rPr lang="en-AU">
              <a:latin typeface="+mj-lt"/>
            </a:rPr>
            <a:t>Performance measures</a:t>
          </a:r>
        </a:p>
      </dgm:t>
    </dgm:pt>
    <dgm:pt modelId="{D4A8DE8F-0B48-47EA-882D-78B754B8192F}" type="parTrans" cxnId="{B9EECC24-8205-41FE-9DA5-6AF98E8E3CD8}">
      <dgm:prSet/>
      <dgm:spPr/>
      <dgm:t>
        <a:bodyPr/>
        <a:lstStyle/>
        <a:p>
          <a:endParaRPr lang="en-AU"/>
        </a:p>
      </dgm:t>
    </dgm:pt>
    <dgm:pt modelId="{6A28F0C5-C803-4464-94F4-F15361CB13C8}" type="sibTrans" cxnId="{B9EECC24-8205-41FE-9DA5-6AF98E8E3CD8}">
      <dgm:prSet/>
      <dgm:spPr/>
      <dgm:t>
        <a:bodyPr/>
        <a:lstStyle/>
        <a:p>
          <a:endParaRPr lang="en-AU">
            <a:latin typeface="+mj-lt"/>
          </a:endParaRPr>
        </a:p>
      </dgm:t>
    </dgm:pt>
    <dgm:pt modelId="{D2D9F0D5-E90B-497F-91DE-3441A97853E9}">
      <dgm:prSet phldrT="[Text]"/>
      <dgm:spPr/>
      <dgm:t>
        <a:bodyPr/>
        <a:lstStyle/>
        <a:p>
          <a:r>
            <a:rPr lang="en-AU">
              <a:latin typeface="+mj-lt"/>
            </a:rPr>
            <a:t>Audits</a:t>
          </a:r>
        </a:p>
      </dgm:t>
    </dgm:pt>
    <dgm:pt modelId="{B3097DF4-A30D-4F14-B3E9-38DD6E790CDB}" type="parTrans" cxnId="{07CBCF31-ED83-432A-B55B-E238FC7BD870}">
      <dgm:prSet/>
      <dgm:spPr/>
      <dgm:t>
        <a:bodyPr/>
        <a:lstStyle/>
        <a:p>
          <a:endParaRPr lang="en-AU"/>
        </a:p>
      </dgm:t>
    </dgm:pt>
    <dgm:pt modelId="{A62E427A-A6E0-49DF-BC99-8C41B85EB897}" type="sibTrans" cxnId="{07CBCF31-ED83-432A-B55B-E238FC7BD870}">
      <dgm:prSet/>
      <dgm:spPr/>
      <dgm:t>
        <a:bodyPr/>
        <a:lstStyle/>
        <a:p>
          <a:endParaRPr lang="en-AU">
            <a:latin typeface="+mj-lt"/>
          </a:endParaRPr>
        </a:p>
      </dgm:t>
    </dgm:pt>
    <dgm:pt modelId="{33C79A5E-FD77-4FBB-8331-F7BE569469A2}">
      <dgm:prSet phldrT="[Text]"/>
      <dgm:spPr/>
      <dgm:t>
        <a:bodyPr/>
        <a:lstStyle/>
        <a:p>
          <a:r>
            <a:rPr lang="en-AU">
              <a:latin typeface="+mj-lt"/>
            </a:rPr>
            <a:t>Engagement </a:t>
          </a:r>
        </a:p>
      </dgm:t>
    </dgm:pt>
    <dgm:pt modelId="{14C1C580-687F-4A99-9537-6DB3936A6815}" type="parTrans" cxnId="{2AE11159-1B10-465C-94CC-8C8D8D43739B}">
      <dgm:prSet/>
      <dgm:spPr/>
      <dgm:t>
        <a:bodyPr/>
        <a:lstStyle/>
        <a:p>
          <a:endParaRPr lang="en-AU"/>
        </a:p>
      </dgm:t>
    </dgm:pt>
    <dgm:pt modelId="{68254921-0B8F-44B1-A083-F5475FF795CB}" type="sibTrans" cxnId="{2AE11159-1B10-465C-94CC-8C8D8D43739B}">
      <dgm:prSet/>
      <dgm:spPr/>
      <dgm:t>
        <a:bodyPr/>
        <a:lstStyle/>
        <a:p>
          <a:endParaRPr lang="en-AU">
            <a:latin typeface="+mj-lt"/>
          </a:endParaRPr>
        </a:p>
      </dgm:t>
    </dgm:pt>
    <dgm:pt modelId="{0637361E-4777-4021-B0A8-BD76572BBE81}">
      <dgm:prSet phldrT="[Text]"/>
      <dgm:spPr/>
      <dgm:t>
        <a:bodyPr/>
        <a:lstStyle/>
        <a:p>
          <a:r>
            <a:rPr lang="en-AU">
              <a:latin typeface="+mj-lt"/>
            </a:rPr>
            <a:t>Complaints</a:t>
          </a:r>
        </a:p>
      </dgm:t>
    </dgm:pt>
    <dgm:pt modelId="{D8853F43-7412-4BF2-AF69-B69C97752CC6}" type="parTrans" cxnId="{3DF59248-23F5-4E24-8AD0-2C386BEA3388}">
      <dgm:prSet/>
      <dgm:spPr/>
      <dgm:t>
        <a:bodyPr/>
        <a:lstStyle/>
        <a:p>
          <a:endParaRPr lang="en-AU"/>
        </a:p>
      </dgm:t>
    </dgm:pt>
    <dgm:pt modelId="{DEC96865-C903-4D7E-AD68-1E9BDC600531}" type="sibTrans" cxnId="{3DF59248-23F5-4E24-8AD0-2C386BEA3388}">
      <dgm:prSet/>
      <dgm:spPr/>
      <dgm:t>
        <a:bodyPr/>
        <a:lstStyle/>
        <a:p>
          <a:endParaRPr lang="en-AU">
            <a:latin typeface="+mj-lt"/>
          </a:endParaRPr>
        </a:p>
      </dgm:t>
    </dgm:pt>
    <dgm:pt modelId="{B5C8E6A1-83E5-47CB-AA16-A1D61E417C4A}">
      <dgm:prSet phldrT="[Text]" custT="1"/>
      <dgm:spPr/>
      <dgm:t>
        <a:bodyPr/>
        <a:lstStyle/>
        <a:p>
          <a:r>
            <a:rPr lang="en-AU" sz="850">
              <a:latin typeface="+mj-lt"/>
            </a:rPr>
            <a:t>Procurement activity plans</a:t>
          </a:r>
        </a:p>
      </dgm:t>
    </dgm:pt>
    <dgm:pt modelId="{9DD4A27A-7622-4ACF-8EF6-DFC750E0CBA3}" type="parTrans" cxnId="{0A429E71-08C6-4EF9-9BE2-52C2AB04E0C7}">
      <dgm:prSet/>
      <dgm:spPr/>
      <dgm:t>
        <a:bodyPr/>
        <a:lstStyle/>
        <a:p>
          <a:endParaRPr lang="en-AU"/>
        </a:p>
      </dgm:t>
    </dgm:pt>
    <dgm:pt modelId="{A83CC472-2980-4A5F-8FA1-74F45CFDBF9C}" type="sibTrans" cxnId="{0A429E71-08C6-4EF9-9BE2-52C2AB04E0C7}">
      <dgm:prSet/>
      <dgm:spPr/>
      <dgm:t>
        <a:bodyPr/>
        <a:lstStyle/>
        <a:p>
          <a:endParaRPr lang="en-AU">
            <a:latin typeface="+mj-lt"/>
          </a:endParaRPr>
        </a:p>
      </dgm:t>
    </dgm:pt>
    <dgm:pt modelId="{6304C0F3-C4C3-41C5-B351-A04344540A9C}" type="pres">
      <dgm:prSet presAssocID="{CFE063E2-8BC0-41C6-8005-1288CDD71064}" presName="Name0" presStyleCnt="0">
        <dgm:presLayoutVars>
          <dgm:chMax val="1"/>
          <dgm:dir/>
          <dgm:animLvl val="ctr"/>
          <dgm:resizeHandles val="exact"/>
        </dgm:presLayoutVars>
      </dgm:prSet>
      <dgm:spPr/>
    </dgm:pt>
    <dgm:pt modelId="{09A9E4B0-D0BD-439A-9089-229C8EF476DE}" type="pres">
      <dgm:prSet presAssocID="{2CE73E87-5194-4D3D-9D9A-58642A5F4A48}" presName="centerShape" presStyleLbl="node0" presStyleIdx="0" presStyleCnt="1"/>
      <dgm:spPr/>
    </dgm:pt>
    <dgm:pt modelId="{7E3C90E1-5BEB-4EA0-8879-13FDF7C30418}" type="pres">
      <dgm:prSet presAssocID="{E1F4601A-6398-4FE5-8A5A-E8D6569F0495}" presName="node" presStyleLbl="node1" presStyleIdx="0" presStyleCnt="6">
        <dgm:presLayoutVars>
          <dgm:bulletEnabled val="1"/>
        </dgm:presLayoutVars>
      </dgm:prSet>
      <dgm:spPr/>
    </dgm:pt>
    <dgm:pt modelId="{E064C3EB-F44B-4073-B51B-B007D8CC59A2}" type="pres">
      <dgm:prSet presAssocID="{E1F4601A-6398-4FE5-8A5A-E8D6569F0495}" presName="dummy" presStyleCnt="0"/>
      <dgm:spPr/>
    </dgm:pt>
    <dgm:pt modelId="{31C3211B-3341-429B-8EE9-DDD6E6AD7191}" type="pres">
      <dgm:prSet presAssocID="{68BD6887-B815-4B7C-9A2B-5C3D583AAB9D}" presName="sibTrans" presStyleLbl="sibTrans2D1" presStyleIdx="0" presStyleCnt="6"/>
      <dgm:spPr/>
    </dgm:pt>
    <dgm:pt modelId="{283F29CF-69B3-4481-B417-959B6D8F014C}" type="pres">
      <dgm:prSet presAssocID="{71168BCE-37CE-4032-AAE8-60CD2ED6BD32}" presName="node" presStyleLbl="node1" presStyleIdx="1" presStyleCnt="6">
        <dgm:presLayoutVars>
          <dgm:bulletEnabled val="1"/>
        </dgm:presLayoutVars>
      </dgm:prSet>
      <dgm:spPr/>
    </dgm:pt>
    <dgm:pt modelId="{28C47EE1-2E3C-4063-902E-898B5DF7AD43}" type="pres">
      <dgm:prSet presAssocID="{71168BCE-37CE-4032-AAE8-60CD2ED6BD32}" presName="dummy" presStyleCnt="0"/>
      <dgm:spPr/>
    </dgm:pt>
    <dgm:pt modelId="{61127F12-A01A-4DA5-B8E4-CC8C1502571F}" type="pres">
      <dgm:prSet presAssocID="{6A28F0C5-C803-4464-94F4-F15361CB13C8}" presName="sibTrans" presStyleLbl="sibTrans2D1" presStyleIdx="1" presStyleCnt="6"/>
      <dgm:spPr/>
    </dgm:pt>
    <dgm:pt modelId="{78F79DF4-2867-474A-8D74-7CF9BCA32FEA}" type="pres">
      <dgm:prSet presAssocID="{D2D9F0D5-E90B-497F-91DE-3441A97853E9}" presName="node" presStyleLbl="node1" presStyleIdx="2" presStyleCnt="6">
        <dgm:presLayoutVars>
          <dgm:bulletEnabled val="1"/>
        </dgm:presLayoutVars>
      </dgm:prSet>
      <dgm:spPr/>
    </dgm:pt>
    <dgm:pt modelId="{24069F24-D12F-477E-9A85-66D5DA5D905A}" type="pres">
      <dgm:prSet presAssocID="{D2D9F0D5-E90B-497F-91DE-3441A97853E9}" presName="dummy" presStyleCnt="0"/>
      <dgm:spPr/>
    </dgm:pt>
    <dgm:pt modelId="{6DC92C8F-7228-481C-AB84-A8795A250A06}" type="pres">
      <dgm:prSet presAssocID="{A62E427A-A6E0-49DF-BC99-8C41B85EB897}" presName="sibTrans" presStyleLbl="sibTrans2D1" presStyleIdx="2" presStyleCnt="6"/>
      <dgm:spPr/>
    </dgm:pt>
    <dgm:pt modelId="{16FD4360-7A51-4701-8E40-EF036C27EDCF}" type="pres">
      <dgm:prSet presAssocID="{33C79A5E-FD77-4FBB-8331-F7BE569469A2}" presName="node" presStyleLbl="node1" presStyleIdx="3" presStyleCnt="6">
        <dgm:presLayoutVars>
          <dgm:bulletEnabled val="1"/>
        </dgm:presLayoutVars>
      </dgm:prSet>
      <dgm:spPr/>
    </dgm:pt>
    <dgm:pt modelId="{1BEEB2A1-9C48-434B-ACE8-4E0485EBF435}" type="pres">
      <dgm:prSet presAssocID="{33C79A5E-FD77-4FBB-8331-F7BE569469A2}" presName="dummy" presStyleCnt="0"/>
      <dgm:spPr/>
    </dgm:pt>
    <dgm:pt modelId="{A7D75679-0D0E-44D8-84AD-BFF81EF730E9}" type="pres">
      <dgm:prSet presAssocID="{68254921-0B8F-44B1-A083-F5475FF795CB}" presName="sibTrans" presStyleLbl="sibTrans2D1" presStyleIdx="3" presStyleCnt="6"/>
      <dgm:spPr/>
    </dgm:pt>
    <dgm:pt modelId="{28788DED-A33D-48D3-B18E-5DC5D33C655E}" type="pres">
      <dgm:prSet presAssocID="{0637361E-4777-4021-B0A8-BD76572BBE81}" presName="node" presStyleLbl="node1" presStyleIdx="4" presStyleCnt="6">
        <dgm:presLayoutVars>
          <dgm:bulletEnabled val="1"/>
        </dgm:presLayoutVars>
      </dgm:prSet>
      <dgm:spPr/>
    </dgm:pt>
    <dgm:pt modelId="{48D1F00F-C235-4F22-91AF-490340603F1F}" type="pres">
      <dgm:prSet presAssocID="{0637361E-4777-4021-B0A8-BD76572BBE81}" presName="dummy" presStyleCnt="0"/>
      <dgm:spPr/>
    </dgm:pt>
    <dgm:pt modelId="{F51C54C1-859D-4789-B624-5483C3FC02F2}" type="pres">
      <dgm:prSet presAssocID="{DEC96865-C903-4D7E-AD68-1E9BDC600531}" presName="sibTrans" presStyleLbl="sibTrans2D1" presStyleIdx="4" presStyleCnt="6"/>
      <dgm:spPr/>
    </dgm:pt>
    <dgm:pt modelId="{3206EA48-F917-4BE9-8832-7FEB6B95499B}" type="pres">
      <dgm:prSet presAssocID="{B5C8E6A1-83E5-47CB-AA16-A1D61E417C4A}" presName="node" presStyleLbl="node1" presStyleIdx="5" presStyleCnt="6">
        <dgm:presLayoutVars>
          <dgm:bulletEnabled val="1"/>
        </dgm:presLayoutVars>
      </dgm:prSet>
      <dgm:spPr/>
    </dgm:pt>
    <dgm:pt modelId="{E37000C2-1ACB-4551-9216-D789B9B21E76}" type="pres">
      <dgm:prSet presAssocID="{B5C8E6A1-83E5-47CB-AA16-A1D61E417C4A}" presName="dummy" presStyleCnt="0"/>
      <dgm:spPr/>
    </dgm:pt>
    <dgm:pt modelId="{A2AB7210-F2B5-415C-83FD-2B781786667A}" type="pres">
      <dgm:prSet presAssocID="{A83CC472-2980-4A5F-8FA1-74F45CFDBF9C}" presName="sibTrans" presStyleLbl="sibTrans2D1" presStyleIdx="5" presStyleCnt="6"/>
      <dgm:spPr/>
    </dgm:pt>
  </dgm:ptLst>
  <dgm:cxnLst>
    <dgm:cxn modelId="{99F99220-7523-4A9D-A0DF-2541C5E6506D}" srcId="{2CE73E87-5194-4D3D-9D9A-58642A5F4A48}" destId="{E1F4601A-6398-4FE5-8A5A-E8D6569F0495}" srcOrd="0" destOrd="0" parTransId="{D986833E-658B-431E-BF5C-6E7329B92313}" sibTransId="{68BD6887-B815-4B7C-9A2B-5C3D583AAB9D}"/>
    <dgm:cxn modelId="{B9EECC24-8205-41FE-9DA5-6AF98E8E3CD8}" srcId="{2CE73E87-5194-4D3D-9D9A-58642A5F4A48}" destId="{71168BCE-37CE-4032-AAE8-60CD2ED6BD32}" srcOrd="1" destOrd="0" parTransId="{D4A8DE8F-0B48-47EA-882D-78B754B8192F}" sibTransId="{6A28F0C5-C803-4464-94F4-F15361CB13C8}"/>
    <dgm:cxn modelId="{BF90ED24-4CBB-4650-B63D-5874FC57BB8D}" srcId="{CFE063E2-8BC0-41C6-8005-1288CDD71064}" destId="{2CE73E87-5194-4D3D-9D9A-58642A5F4A48}" srcOrd="0" destOrd="0" parTransId="{715B7F7C-F5B5-429C-AE53-A8E4BA91BBEF}" sibTransId="{42E915C3-FFCF-450B-9188-1568CFB192AE}"/>
    <dgm:cxn modelId="{18335F2B-8888-47B4-93A3-A1AB806C247B}" type="presOf" srcId="{D2D9F0D5-E90B-497F-91DE-3441A97853E9}" destId="{78F79DF4-2867-474A-8D74-7CF9BCA32FEA}" srcOrd="0" destOrd="0" presId="urn:microsoft.com/office/officeart/2005/8/layout/radial6"/>
    <dgm:cxn modelId="{07CBCF31-ED83-432A-B55B-E238FC7BD870}" srcId="{2CE73E87-5194-4D3D-9D9A-58642A5F4A48}" destId="{D2D9F0D5-E90B-497F-91DE-3441A97853E9}" srcOrd="2" destOrd="0" parTransId="{B3097DF4-A30D-4F14-B3E9-38DD6E790CDB}" sibTransId="{A62E427A-A6E0-49DF-BC99-8C41B85EB897}"/>
    <dgm:cxn modelId="{A08B7B33-F6FD-4AA0-AC3B-0F3A4D8361A8}" type="presOf" srcId="{A83CC472-2980-4A5F-8FA1-74F45CFDBF9C}" destId="{A2AB7210-F2B5-415C-83FD-2B781786667A}" srcOrd="0" destOrd="0" presId="urn:microsoft.com/office/officeart/2005/8/layout/radial6"/>
    <dgm:cxn modelId="{9B586D65-FAB4-48F2-9C3E-CABF53D551D9}" type="presOf" srcId="{E1F4601A-6398-4FE5-8A5A-E8D6569F0495}" destId="{7E3C90E1-5BEB-4EA0-8879-13FDF7C30418}" srcOrd="0" destOrd="0" presId="urn:microsoft.com/office/officeart/2005/8/layout/radial6"/>
    <dgm:cxn modelId="{3DF59248-23F5-4E24-8AD0-2C386BEA3388}" srcId="{2CE73E87-5194-4D3D-9D9A-58642A5F4A48}" destId="{0637361E-4777-4021-B0A8-BD76572BBE81}" srcOrd="4" destOrd="0" parTransId="{D8853F43-7412-4BF2-AF69-B69C97752CC6}" sibTransId="{DEC96865-C903-4D7E-AD68-1E9BDC600531}"/>
    <dgm:cxn modelId="{A88DF84C-70E1-472E-9489-5C5A4A504BB8}" type="presOf" srcId="{33C79A5E-FD77-4FBB-8331-F7BE569469A2}" destId="{16FD4360-7A51-4701-8E40-EF036C27EDCF}" srcOrd="0" destOrd="0" presId="urn:microsoft.com/office/officeart/2005/8/layout/radial6"/>
    <dgm:cxn modelId="{0A429E71-08C6-4EF9-9BE2-52C2AB04E0C7}" srcId="{2CE73E87-5194-4D3D-9D9A-58642A5F4A48}" destId="{B5C8E6A1-83E5-47CB-AA16-A1D61E417C4A}" srcOrd="5" destOrd="0" parTransId="{9DD4A27A-7622-4ACF-8EF6-DFC750E0CBA3}" sibTransId="{A83CC472-2980-4A5F-8FA1-74F45CFDBF9C}"/>
    <dgm:cxn modelId="{4F8EF073-8196-4514-AB97-0E18777E0A50}" type="presOf" srcId="{68254921-0B8F-44B1-A083-F5475FF795CB}" destId="{A7D75679-0D0E-44D8-84AD-BFF81EF730E9}" srcOrd="0" destOrd="0" presId="urn:microsoft.com/office/officeart/2005/8/layout/radial6"/>
    <dgm:cxn modelId="{2AE11159-1B10-465C-94CC-8C8D8D43739B}" srcId="{2CE73E87-5194-4D3D-9D9A-58642A5F4A48}" destId="{33C79A5E-FD77-4FBB-8331-F7BE569469A2}" srcOrd="3" destOrd="0" parTransId="{14C1C580-687F-4A99-9537-6DB3936A6815}" sibTransId="{68254921-0B8F-44B1-A083-F5475FF795CB}"/>
    <dgm:cxn modelId="{AC16E1A4-E961-4E10-9DEF-3CFFCF6266B6}" type="presOf" srcId="{DEC96865-C903-4D7E-AD68-1E9BDC600531}" destId="{F51C54C1-859D-4789-B624-5483C3FC02F2}" srcOrd="0" destOrd="0" presId="urn:microsoft.com/office/officeart/2005/8/layout/radial6"/>
    <dgm:cxn modelId="{E123AAA5-8782-4ABB-A77D-AF7374CE3F0A}" type="presOf" srcId="{71168BCE-37CE-4032-AAE8-60CD2ED6BD32}" destId="{283F29CF-69B3-4481-B417-959B6D8F014C}" srcOrd="0" destOrd="0" presId="urn:microsoft.com/office/officeart/2005/8/layout/radial6"/>
    <dgm:cxn modelId="{717F28A9-13CA-4229-8687-003523904ABA}" type="presOf" srcId="{CFE063E2-8BC0-41C6-8005-1288CDD71064}" destId="{6304C0F3-C4C3-41C5-B351-A04344540A9C}" srcOrd="0" destOrd="0" presId="urn:microsoft.com/office/officeart/2005/8/layout/radial6"/>
    <dgm:cxn modelId="{80CCA7BE-D905-4938-9A35-0B2227A2A9B5}" type="presOf" srcId="{0637361E-4777-4021-B0A8-BD76572BBE81}" destId="{28788DED-A33D-48D3-B18E-5DC5D33C655E}" srcOrd="0" destOrd="0" presId="urn:microsoft.com/office/officeart/2005/8/layout/radial6"/>
    <dgm:cxn modelId="{780F00E7-5DD2-4E69-8394-FFA87CF793E6}" type="presOf" srcId="{68BD6887-B815-4B7C-9A2B-5C3D583AAB9D}" destId="{31C3211B-3341-429B-8EE9-DDD6E6AD7191}" srcOrd="0" destOrd="0" presId="urn:microsoft.com/office/officeart/2005/8/layout/radial6"/>
    <dgm:cxn modelId="{2295A4C7-818F-4DFA-896B-7F4095823E56}" type="presOf" srcId="{A62E427A-A6E0-49DF-BC99-8C41B85EB897}" destId="{6DC92C8F-7228-481C-AB84-A8795A250A06}" srcOrd="0" destOrd="0" presId="urn:microsoft.com/office/officeart/2005/8/layout/radial6"/>
    <dgm:cxn modelId="{57C487CA-EA73-423F-97A0-DCFFC830F4C2}" type="presOf" srcId="{2CE73E87-5194-4D3D-9D9A-58642A5F4A48}" destId="{09A9E4B0-D0BD-439A-9089-229C8EF476DE}" srcOrd="0" destOrd="0" presId="urn:microsoft.com/office/officeart/2005/8/layout/radial6"/>
    <dgm:cxn modelId="{E02D17F6-D00F-49E8-B3A4-53BD3400FA44}" type="presOf" srcId="{6A28F0C5-C803-4464-94F4-F15361CB13C8}" destId="{61127F12-A01A-4DA5-B8E4-CC8C1502571F}" srcOrd="0" destOrd="0" presId="urn:microsoft.com/office/officeart/2005/8/layout/radial6"/>
    <dgm:cxn modelId="{311C6DFF-C18F-4F01-B2B6-726A408D64A2}" type="presOf" srcId="{B5C8E6A1-83E5-47CB-AA16-A1D61E417C4A}" destId="{3206EA48-F917-4BE9-8832-7FEB6B95499B}" srcOrd="0" destOrd="0" presId="urn:microsoft.com/office/officeart/2005/8/layout/radial6"/>
    <dgm:cxn modelId="{23A044E4-EE2B-4BCA-9F85-C4D5778D129C}" type="presParOf" srcId="{6304C0F3-C4C3-41C5-B351-A04344540A9C}" destId="{09A9E4B0-D0BD-439A-9089-229C8EF476DE}" srcOrd="0" destOrd="0" presId="urn:microsoft.com/office/officeart/2005/8/layout/radial6"/>
    <dgm:cxn modelId="{81439C91-BC1C-41A6-A3EB-944CCDDDCA56}" type="presParOf" srcId="{6304C0F3-C4C3-41C5-B351-A04344540A9C}" destId="{7E3C90E1-5BEB-4EA0-8879-13FDF7C30418}" srcOrd="1" destOrd="0" presId="urn:microsoft.com/office/officeart/2005/8/layout/radial6"/>
    <dgm:cxn modelId="{80D6C3F5-CF79-4598-B9FF-7D75A4C57BF9}" type="presParOf" srcId="{6304C0F3-C4C3-41C5-B351-A04344540A9C}" destId="{E064C3EB-F44B-4073-B51B-B007D8CC59A2}" srcOrd="2" destOrd="0" presId="urn:microsoft.com/office/officeart/2005/8/layout/radial6"/>
    <dgm:cxn modelId="{0C5D9F0D-5E96-47E5-9557-C450DE05F180}" type="presParOf" srcId="{6304C0F3-C4C3-41C5-B351-A04344540A9C}" destId="{31C3211B-3341-429B-8EE9-DDD6E6AD7191}" srcOrd="3" destOrd="0" presId="urn:microsoft.com/office/officeart/2005/8/layout/radial6"/>
    <dgm:cxn modelId="{9405AF08-3C82-4FA7-B595-55841C46AF3E}" type="presParOf" srcId="{6304C0F3-C4C3-41C5-B351-A04344540A9C}" destId="{283F29CF-69B3-4481-B417-959B6D8F014C}" srcOrd="4" destOrd="0" presId="urn:microsoft.com/office/officeart/2005/8/layout/radial6"/>
    <dgm:cxn modelId="{499FC728-6469-49A6-9664-B1566595772D}" type="presParOf" srcId="{6304C0F3-C4C3-41C5-B351-A04344540A9C}" destId="{28C47EE1-2E3C-4063-902E-898B5DF7AD43}" srcOrd="5" destOrd="0" presId="urn:microsoft.com/office/officeart/2005/8/layout/radial6"/>
    <dgm:cxn modelId="{C69F8D88-F9FB-4ABD-8677-E4A866AB818D}" type="presParOf" srcId="{6304C0F3-C4C3-41C5-B351-A04344540A9C}" destId="{61127F12-A01A-4DA5-B8E4-CC8C1502571F}" srcOrd="6" destOrd="0" presId="urn:microsoft.com/office/officeart/2005/8/layout/radial6"/>
    <dgm:cxn modelId="{44914C6B-6C00-45A5-BF80-8F675CF8BBFF}" type="presParOf" srcId="{6304C0F3-C4C3-41C5-B351-A04344540A9C}" destId="{78F79DF4-2867-474A-8D74-7CF9BCA32FEA}" srcOrd="7" destOrd="0" presId="urn:microsoft.com/office/officeart/2005/8/layout/radial6"/>
    <dgm:cxn modelId="{9EEF2C59-43F1-4D49-82C2-550EE30A6F27}" type="presParOf" srcId="{6304C0F3-C4C3-41C5-B351-A04344540A9C}" destId="{24069F24-D12F-477E-9A85-66D5DA5D905A}" srcOrd="8" destOrd="0" presId="urn:microsoft.com/office/officeart/2005/8/layout/radial6"/>
    <dgm:cxn modelId="{D01131BD-6AA3-4B16-9B94-31ADB9B3C19F}" type="presParOf" srcId="{6304C0F3-C4C3-41C5-B351-A04344540A9C}" destId="{6DC92C8F-7228-481C-AB84-A8795A250A06}" srcOrd="9" destOrd="0" presId="urn:microsoft.com/office/officeart/2005/8/layout/radial6"/>
    <dgm:cxn modelId="{707F5D84-AE12-4EAD-B7EF-F7644018C250}" type="presParOf" srcId="{6304C0F3-C4C3-41C5-B351-A04344540A9C}" destId="{16FD4360-7A51-4701-8E40-EF036C27EDCF}" srcOrd="10" destOrd="0" presId="urn:microsoft.com/office/officeart/2005/8/layout/radial6"/>
    <dgm:cxn modelId="{95841DF2-D1DD-4DD7-BEE3-7948E88F2C94}" type="presParOf" srcId="{6304C0F3-C4C3-41C5-B351-A04344540A9C}" destId="{1BEEB2A1-9C48-434B-ACE8-4E0485EBF435}" srcOrd="11" destOrd="0" presId="urn:microsoft.com/office/officeart/2005/8/layout/radial6"/>
    <dgm:cxn modelId="{2EB97049-BCFC-46AC-A898-EBA0D0E92354}" type="presParOf" srcId="{6304C0F3-C4C3-41C5-B351-A04344540A9C}" destId="{A7D75679-0D0E-44D8-84AD-BFF81EF730E9}" srcOrd="12" destOrd="0" presId="urn:microsoft.com/office/officeart/2005/8/layout/radial6"/>
    <dgm:cxn modelId="{6833F4FA-0B57-4474-B1A3-1924DC3F5ECA}" type="presParOf" srcId="{6304C0F3-C4C3-41C5-B351-A04344540A9C}" destId="{28788DED-A33D-48D3-B18E-5DC5D33C655E}" srcOrd="13" destOrd="0" presId="urn:microsoft.com/office/officeart/2005/8/layout/radial6"/>
    <dgm:cxn modelId="{6AE4EB62-986F-44BB-AB3E-6AFCACB99013}" type="presParOf" srcId="{6304C0F3-C4C3-41C5-B351-A04344540A9C}" destId="{48D1F00F-C235-4F22-91AF-490340603F1F}" srcOrd="14" destOrd="0" presId="urn:microsoft.com/office/officeart/2005/8/layout/radial6"/>
    <dgm:cxn modelId="{EABE7499-C743-406E-A411-ADCE6240C0F1}" type="presParOf" srcId="{6304C0F3-C4C3-41C5-B351-A04344540A9C}" destId="{F51C54C1-859D-4789-B624-5483C3FC02F2}" srcOrd="15" destOrd="0" presId="urn:microsoft.com/office/officeart/2005/8/layout/radial6"/>
    <dgm:cxn modelId="{2A9B11BB-C7F0-4BC1-B277-7863613A3911}" type="presParOf" srcId="{6304C0F3-C4C3-41C5-B351-A04344540A9C}" destId="{3206EA48-F917-4BE9-8832-7FEB6B95499B}" srcOrd="16" destOrd="0" presId="urn:microsoft.com/office/officeart/2005/8/layout/radial6"/>
    <dgm:cxn modelId="{AB0E9F7A-434F-44E9-A970-600CD85500EF}" type="presParOf" srcId="{6304C0F3-C4C3-41C5-B351-A04344540A9C}" destId="{E37000C2-1ACB-4551-9216-D789B9B21E76}" srcOrd="17" destOrd="0" presId="urn:microsoft.com/office/officeart/2005/8/layout/radial6"/>
    <dgm:cxn modelId="{0921C077-C2DB-4C65-8FF3-A32E6C3067E4}" type="presParOf" srcId="{6304C0F3-C4C3-41C5-B351-A04344540A9C}" destId="{A2AB7210-F2B5-415C-83FD-2B781786667A}" srcOrd="18" destOrd="0" presId="urn:microsoft.com/office/officeart/2005/8/layout/radial6"/>
  </dgm:cxnLst>
  <dgm:bg/>
  <dgm:whole/>
  <dgm:extLst>
    <a:ext uri="http://schemas.microsoft.com/office/drawing/2008/diagram">
      <dsp:dataModelExt xmlns:dsp="http://schemas.microsoft.com/office/drawing/2008/diagram" relId="rId3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2AB7210-F2B5-415C-83FD-2B781786667A}">
      <dsp:nvSpPr>
        <dsp:cNvPr id="0" name=""/>
        <dsp:cNvSpPr/>
      </dsp:nvSpPr>
      <dsp:spPr>
        <a:xfrm>
          <a:off x="1839413" y="429713"/>
          <a:ext cx="2941048" cy="2941048"/>
        </a:xfrm>
        <a:prstGeom prst="blockArc">
          <a:avLst>
            <a:gd name="adj1" fmla="val 12600000"/>
            <a:gd name="adj2" fmla="val 16200000"/>
            <a:gd name="adj3" fmla="val 4520"/>
          </a:avLst>
        </a:prstGeom>
        <a:gradFill rotWithShape="0">
          <a:gsLst>
            <a:gs pos="0">
              <a:schemeClr val="dk1">
                <a:tint val="60000"/>
                <a:hueOff val="0"/>
                <a:satOff val="0"/>
                <a:lumOff val="0"/>
                <a:alphaOff val="0"/>
                <a:tint val="100000"/>
                <a:shade val="100000"/>
                <a:satMod val="130000"/>
              </a:schemeClr>
            </a:gs>
            <a:gs pos="100000">
              <a:schemeClr val="dk1">
                <a:tint val="60000"/>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sp>
    <dsp:sp modelId="{F51C54C1-859D-4789-B624-5483C3FC02F2}">
      <dsp:nvSpPr>
        <dsp:cNvPr id="0" name=""/>
        <dsp:cNvSpPr/>
      </dsp:nvSpPr>
      <dsp:spPr>
        <a:xfrm>
          <a:off x="1839413" y="429713"/>
          <a:ext cx="2941048" cy="2941048"/>
        </a:xfrm>
        <a:prstGeom prst="blockArc">
          <a:avLst>
            <a:gd name="adj1" fmla="val 9000000"/>
            <a:gd name="adj2" fmla="val 12600000"/>
            <a:gd name="adj3" fmla="val 4520"/>
          </a:avLst>
        </a:prstGeom>
        <a:gradFill rotWithShape="0">
          <a:gsLst>
            <a:gs pos="0">
              <a:schemeClr val="dk1">
                <a:tint val="60000"/>
                <a:hueOff val="0"/>
                <a:satOff val="0"/>
                <a:lumOff val="0"/>
                <a:alphaOff val="0"/>
                <a:tint val="100000"/>
                <a:shade val="100000"/>
                <a:satMod val="130000"/>
              </a:schemeClr>
            </a:gs>
            <a:gs pos="100000">
              <a:schemeClr val="dk1">
                <a:tint val="60000"/>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sp>
    <dsp:sp modelId="{A7D75679-0D0E-44D8-84AD-BFF81EF730E9}">
      <dsp:nvSpPr>
        <dsp:cNvPr id="0" name=""/>
        <dsp:cNvSpPr/>
      </dsp:nvSpPr>
      <dsp:spPr>
        <a:xfrm>
          <a:off x="1839413" y="429713"/>
          <a:ext cx="2941048" cy="2941048"/>
        </a:xfrm>
        <a:prstGeom prst="blockArc">
          <a:avLst>
            <a:gd name="adj1" fmla="val 5400000"/>
            <a:gd name="adj2" fmla="val 9000000"/>
            <a:gd name="adj3" fmla="val 4520"/>
          </a:avLst>
        </a:prstGeom>
        <a:gradFill rotWithShape="0">
          <a:gsLst>
            <a:gs pos="0">
              <a:schemeClr val="dk1">
                <a:tint val="60000"/>
                <a:hueOff val="0"/>
                <a:satOff val="0"/>
                <a:lumOff val="0"/>
                <a:alphaOff val="0"/>
                <a:tint val="100000"/>
                <a:shade val="100000"/>
                <a:satMod val="130000"/>
              </a:schemeClr>
            </a:gs>
            <a:gs pos="100000">
              <a:schemeClr val="dk1">
                <a:tint val="60000"/>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sp>
    <dsp:sp modelId="{6DC92C8F-7228-481C-AB84-A8795A250A06}">
      <dsp:nvSpPr>
        <dsp:cNvPr id="0" name=""/>
        <dsp:cNvSpPr/>
      </dsp:nvSpPr>
      <dsp:spPr>
        <a:xfrm>
          <a:off x="1839413" y="429713"/>
          <a:ext cx="2941048" cy="2941048"/>
        </a:xfrm>
        <a:prstGeom prst="blockArc">
          <a:avLst>
            <a:gd name="adj1" fmla="val 1800000"/>
            <a:gd name="adj2" fmla="val 5400000"/>
            <a:gd name="adj3" fmla="val 4520"/>
          </a:avLst>
        </a:prstGeom>
        <a:gradFill rotWithShape="0">
          <a:gsLst>
            <a:gs pos="0">
              <a:schemeClr val="dk1">
                <a:tint val="60000"/>
                <a:hueOff val="0"/>
                <a:satOff val="0"/>
                <a:lumOff val="0"/>
                <a:alphaOff val="0"/>
                <a:tint val="100000"/>
                <a:shade val="100000"/>
                <a:satMod val="130000"/>
              </a:schemeClr>
            </a:gs>
            <a:gs pos="100000">
              <a:schemeClr val="dk1">
                <a:tint val="60000"/>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sp>
    <dsp:sp modelId="{61127F12-A01A-4DA5-B8E4-CC8C1502571F}">
      <dsp:nvSpPr>
        <dsp:cNvPr id="0" name=""/>
        <dsp:cNvSpPr/>
      </dsp:nvSpPr>
      <dsp:spPr>
        <a:xfrm>
          <a:off x="1839413" y="429713"/>
          <a:ext cx="2941048" cy="2941048"/>
        </a:xfrm>
        <a:prstGeom prst="blockArc">
          <a:avLst>
            <a:gd name="adj1" fmla="val 19800000"/>
            <a:gd name="adj2" fmla="val 1800000"/>
            <a:gd name="adj3" fmla="val 4520"/>
          </a:avLst>
        </a:prstGeom>
        <a:gradFill rotWithShape="0">
          <a:gsLst>
            <a:gs pos="0">
              <a:schemeClr val="dk1">
                <a:tint val="60000"/>
                <a:hueOff val="0"/>
                <a:satOff val="0"/>
                <a:lumOff val="0"/>
                <a:alphaOff val="0"/>
                <a:tint val="100000"/>
                <a:shade val="100000"/>
                <a:satMod val="130000"/>
              </a:schemeClr>
            </a:gs>
            <a:gs pos="100000">
              <a:schemeClr val="dk1">
                <a:tint val="60000"/>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sp>
    <dsp:sp modelId="{31C3211B-3341-429B-8EE9-DDD6E6AD7191}">
      <dsp:nvSpPr>
        <dsp:cNvPr id="0" name=""/>
        <dsp:cNvSpPr/>
      </dsp:nvSpPr>
      <dsp:spPr>
        <a:xfrm>
          <a:off x="1839413" y="429713"/>
          <a:ext cx="2941048" cy="2941048"/>
        </a:xfrm>
        <a:prstGeom prst="blockArc">
          <a:avLst>
            <a:gd name="adj1" fmla="val 16200000"/>
            <a:gd name="adj2" fmla="val 19800000"/>
            <a:gd name="adj3" fmla="val 4520"/>
          </a:avLst>
        </a:prstGeom>
        <a:gradFill rotWithShape="0">
          <a:gsLst>
            <a:gs pos="0">
              <a:schemeClr val="dk1">
                <a:tint val="60000"/>
                <a:hueOff val="0"/>
                <a:satOff val="0"/>
                <a:lumOff val="0"/>
                <a:alphaOff val="0"/>
                <a:tint val="100000"/>
                <a:shade val="100000"/>
                <a:satMod val="130000"/>
              </a:schemeClr>
            </a:gs>
            <a:gs pos="100000">
              <a:schemeClr val="dk1">
                <a:tint val="60000"/>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sp>
    <dsp:sp modelId="{09A9E4B0-D0BD-439A-9089-229C8EF476DE}">
      <dsp:nvSpPr>
        <dsp:cNvPr id="0" name=""/>
        <dsp:cNvSpPr/>
      </dsp:nvSpPr>
      <dsp:spPr>
        <a:xfrm>
          <a:off x="2650535" y="1240835"/>
          <a:ext cx="1318803" cy="1318803"/>
        </a:xfrm>
        <a:prstGeom prst="ellipse">
          <a:avLst/>
        </a:prstGeom>
        <a:gradFill rotWithShape="0">
          <a:gsLst>
            <a:gs pos="0">
              <a:schemeClr val="lt1">
                <a:hueOff val="0"/>
                <a:satOff val="0"/>
                <a:lumOff val="0"/>
                <a:alphaOff val="0"/>
                <a:tint val="100000"/>
                <a:shade val="100000"/>
                <a:satMod val="130000"/>
              </a:schemeClr>
            </a:gs>
            <a:gs pos="100000">
              <a:schemeClr val="l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666750">
            <a:lnSpc>
              <a:spcPct val="90000"/>
            </a:lnSpc>
            <a:spcBef>
              <a:spcPct val="0"/>
            </a:spcBef>
            <a:spcAft>
              <a:spcPct val="35000"/>
            </a:spcAft>
            <a:buNone/>
          </a:pPr>
          <a:r>
            <a:rPr lang="en-AU" sz="1500" kern="1200">
              <a:latin typeface="+mj-lt"/>
            </a:rPr>
            <a:t>Monitoring compliance</a:t>
          </a:r>
        </a:p>
      </dsp:txBody>
      <dsp:txXfrm>
        <a:off x="2843669" y="1433969"/>
        <a:ext cx="932535" cy="932535"/>
      </dsp:txXfrm>
    </dsp:sp>
    <dsp:sp modelId="{7E3C90E1-5BEB-4EA0-8879-13FDF7C30418}">
      <dsp:nvSpPr>
        <dsp:cNvPr id="0" name=""/>
        <dsp:cNvSpPr/>
      </dsp:nvSpPr>
      <dsp:spPr>
        <a:xfrm>
          <a:off x="2848356" y="1365"/>
          <a:ext cx="923162" cy="923162"/>
        </a:xfrm>
        <a:prstGeom prst="ellipse">
          <a:avLst/>
        </a:prstGeom>
        <a:gradFill rotWithShape="0">
          <a:gsLst>
            <a:gs pos="0">
              <a:schemeClr val="lt1">
                <a:hueOff val="0"/>
                <a:satOff val="0"/>
                <a:lumOff val="0"/>
                <a:alphaOff val="0"/>
                <a:tint val="100000"/>
                <a:shade val="100000"/>
                <a:satMod val="130000"/>
              </a:schemeClr>
            </a:gs>
            <a:gs pos="100000">
              <a:schemeClr val="l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en-AU" sz="900" kern="1200">
              <a:latin typeface="+mj-lt"/>
            </a:rPr>
            <a:t>Annual supply reports</a:t>
          </a:r>
        </a:p>
      </dsp:txBody>
      <dsp:txXfrm>
        <a:off x="2983550" y="136559"/>
        <a:ext cx="652774" cy="652774"/>
      </dsp:txXfrm>
    </dsp:sp>
    <dsp:sp modelId="{283F29CF-69B3-4481-B417-959B6D8F014C}">
      <dsp:nvSpPr>
        <dsp:cNvPr id="0" name=""/>
        <dsp:cNvSpPr/>
      </dsp:nvSpPr>
      <dsp:spPr>
        <a:xfrm>
          <a:off x="4093086" y="720011"/>
          <a:ext cx="923162" cy="923162"/>
        </a:xfrm>
        <a:prstGeom prst="ellipse">
          <a:avLst/>
        </a:prstGeom>
        <a:gradFill rotWithShape="0">
          <a:gsLst>
            <a:gs pos="0">
              <a:schemeClr val="lt1">
                <a:hueOff val="0"/>
                <a:satOff val="0"/>
                <a:lumOff val="0"/>
                <a:alphaOff val="0"/>
                <a:tint val="100000"/>
                <a:shade val="100000"/>
                <a:satMod val="130000"/>
              </a:schemeClr>
            </a:gs>
            <a:gs pos="100000">
              <a:schemeClr val="l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en-AU" sz="900" kern="1200">
              <a:latin typeface="+mj-lt"/>
            </a:rPr>
            <a:t>Performance measures</a:t>
          </a:r>
        </a:p>
      </dsp:txBody>
      <dsp:txXfrm>
        <a:off x="4228280" y="855205"/>
        <a:ext cx="652774" cy="652774"/>
      </dsp:txXfrm>
    </dsp:sp>
    <dsp:sp modelId="{78F79DF4-2867-474A-8D74-7CF9BCA32FEA}">
      <dsp:nvSpPr>
        <dsp:cNvPr id="0" name=""/>
        <dsp:cNvSpPr/>
      </dsp:nvSpPr>
      <dsp:spPr>
        <a:xfrm>
          <a:off x="4093086" y="2157301"/>
          <a:ext cx="923162" cy="923162"/>
        </a:xfrm>
        <a:prstGeom prst="ellipse">
          <a:avLst/>
        </a:prstGeom>
        <a:gradFill rotWithShape="0">
          <a:gsLst>
            <a:gs pos="0">
              <a:schemeClr val="lt1">
                <a:hueOff val="0"/>
                <a:satOff val="0"/>
                <a:lumOff val="0"/>
                <a:alphaOff val="0"/>
                <a:tint val="100000"/>
                <a:shade val="100000"/>
                <a:satMod val="130000"/>
              </a:schemeClr>
            </a:gs>
            <a:gs pos="100000">
              <a:schemeClr val="l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en-AU" sz="900" kern="1200">
              <a:latin typeface="+mj-lt"/>
            </a:rPr>
            <a:t>Audits</a:t>
          </a:r>
        </a:p>
      </dsp:txBody>
      <dsp:txXfrm>
        <a:off x="4228280" y="2292495"/>
        <a:ext cx="652774" cy="652774"/>
      </dsp:txXfrm>
    </dsp:sp>
    <dsp:sp modelId="{16FD4360-7A51-4701-8E40-EF036C27EDCF}">
      <dsp:nvSpPr>
        <dsp:cNvPr id="0" name=""/>
        <dsp:cNvSpPr/>
      </dsp:nvSpPr>
      <dsp:spPr>
        <a:xfrm>
          <a:off x="2848356" y="2875946"/>
          <a:ext cx="923162" cy="923162"/>
        </a:xfrm>
        <a:prstGeom prst="ellipse">
          <a:avLst/>
        </a:prstGeom>
        <a:gradFill rotWithShape="0">
          <a:gsLst>
            <a:gs pos="0">
              <a:schemeClr val="lt1">
                <a:hueOff val="0"/>
                <a:satOff val="0"/>
                <a:lumOff val="0"/>
                <a:alphaOff val="0"/>
                <a:tint val="100000"/>
                <a:shade val="100000"/>
                <a:satMod val="130000"/>
              </a:schemeClr>
            </a:gs>
            <a:gs pos="100000">
              <a:schemeClr val="l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en-AU" sz="900" kern="1200">
              <a:latin typeface="+mj-lt"/>
            </a:rPr>
            <a:t>Engagement </a:t>
          </a:r>
        </a:p>
      </dsp:txBody>
      <dsp:txXfrm>
        <a:off x="2983550" y="3011140"/>
        <a:ext cx="652774" cy="652774"/>
      </dsp:txXfrm>
    </dsp:sp>
    <dsp:sp modelId="{28788DED-A33D-48D3-B18E-5DC5D33C655E}">
      <dsp:nvSpPr>
        <dsp:cNvPr id="0" name=""/>
        <dsp:cNvSpPr/>
      </dsp:nvSpPr>
      <dsp:spPr>
        <a:xfrm>
          <a:off x="1603626" y="2157301"/>
          <a:ext cx="923162" cy="923162"/>
        </a:xfrm>
        <a:prstGeom prst="ellipse">
          <a:avLst/>
        </a:prstGeom>
        <a:gradFill rotWithShape="0">
          <a:gsLst>
            <a:gs pos="0">
              <a:schemeClr val="lt1">
                <a:hueOff val="0"/>
                <a:satOff val="0"/>
                <a:lumOff val="0"/>
                <a:alphaOff val="0"/>
                <a:tint val="100000"/>
                <a:shade val="100000"/>
                <a:satMod val="130000"/>
              </a:schemeClr>
            </a:gs>
            <a:gs pos="100000">
              <a:schemeClr val="l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en-AU" sz="900" kern="1200">
              <a:latin typeface="+mj-lt"/>
            </a:rPr>
            <a:t>Complaints</a:t>
          </a:r>
        </a:p>
      </dsp:txBody>
      <dsp:txXfrm>
        <a:off x="1738820" y="2292495"/>
        <a:ext cx="652774" cy="652774"/>
      </dsp:txXfrm>
    </dsp:sp>
    <dsp:sp modelId="{3206EA48-F917-4BE9-8832-7FEB6B95499B}">
      <dsp:nvSpPr>
        <dsp:cNvPr id="0" name=""/>
        <dsp:cNvSpPr/>
      </dsp:nvSpPr>
      <dsp:spPr>
        <a:xfrm>
          <a:off x="1603626" y="720011"/>
          <a:ext cx="923162" cy="923162"/>
        </a:xfrm>
        <a:prstGeom prst="ellipse">
          <a:avLst/>
        </a:prstGeom>
        <a:gradFill rotWithShape="0">
          <a:gsLst>
            <a:gs pos="0">
              <a:schemeClr val="lt1">
                <a:hueOff val="0"/>
                <a:satOff val="0"/>
                <a:lumOff val="0"/>
                <a:alphaOff val="0"/>
                <a:tint val="100000"/>
                <a:shade val="100000"/>
                <a:satMod val="130000"/>
              </a:schemeClr>
            </a:gs>
            <a:gs pos="100000">
              <a:schemeClr val="l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377825">
            <a:lnSpc>
              <a:spcPct val="90000"/>
            </a:lnSpc>
            <a:spcBef>
              <a:spcPct val="0"/>
            </a:spcBef>
            <a:spcAft>
              <a:spcPct val="35000"/>
            </a:spcAft>
            <a:buNone/>
          </a:pPr>
          <a:r>
            <a:rPr lang="en-AU" sz="850" kern="1200">
              <a:latin typeface="+mj-lt"/>
            </a:rPr>
            <a:t>Procurement activity plans</a:t>
          </a:r>
        </a:p>
      </dsp:txBody>
      <dsp:txXfrm>
        <a:off x="1738820" y="855205"/>
        <a:ext cx="652774" cy="652774"/>
      </dsp:txXfrm>
    </dsp:sp>
  </dsp:spTree>
</dsp:drawing>
</file>

<file path=word/diagrams/layout1.xml><?xml version="1.0" encoding="utf-8"?>
<dgm:layoutDef xmlns:dgm="http://schemas.openxmlformats.org/drawingml/2006/diagram" xmlns:a="http://schemas.openxmlformats.org/drawingml/2006/main" uniqueId="urn:microsoft.com/office/officeart/2005/8/layout/radial6">
  <dgm:title val=""/>
  <dgm:desc val=""/>
  <dgm:catLst>
    <dgm:cat type="cycle" pri="9000"/>
    <dgm:cat type="relationship" pri="2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choose name="Name3">
          <dgm:if name="Name4" axis="ch ch" ptType="node node" st="1 1" cnt="1 0" func="cnt" op="lte" val="1">
            <dgm:alg type="cycle">
              <dgm:param type="stAng" val="90"/>
              <dgm:param type="spanAng" val="360"/>
              <dgm:param type="ctrShpMap" val="fNode"/>
            </dgm:alg>
          </dgm:if>
          <dgm:else name="Name5">
            <dgm:alg type="cycle">
              <dgm:param type="stAng" val="0"/>
              <dgm:param type="spanAng" val="360"/>
              <dgm:param type="ctrShpMap" val="fNode"/>
            </dgm:alg>
          </dgm:else>
        </dgm:choose>
      </dgm:if>
      <dgm:else name="Name6">
        <dgm:choose name="Name7">
          <dgm:if name="Name8" axis="ch ch" ptType="node node" st="1 1" cnt="1 0" func="cnt" op="lte" val="1">
            <dgm:alg type="cycle">
              <dgm:param type="stAng" val="-90"/>
              <dgm:param type="spanAng" val="360"/>
              <dgm:param type="ctrShpMap" val="fNode"/>
            </dgm:alg>
          </dgm:if>
          <dgm:else name="Name9">
            <dgm:alg type="cycle">
              <dgm:param type="stAng" val="0"/>
              <dgm:param type="spanAng" val="-360"/>
              <dgm:param type="ctrShpMap" val="fNode"/>
            </dgm:alg>
          </dgm:else>
        </dgm:choose>
      </dgm:else>
    </dgm:choose>
    <dgm:shape xmlns:r="http://schemas.openxmlformats.org/officeDocument/2006/relationships" r:blip="">
      <dgm:adjLst/>
    </dgm:shape>
    <dgm:presOf/>
    <dgm:choose name="Name10">
      <dgm:if name="Name11" func="var" arg="dir" op="equ" val="norm">
        <dgm:choose name="Name12">
          <dgm:if name="Name13"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des" forName="oneNode" refType="primFontSz" refFor="ch" refForName="centerShape" op="lte" fact="0.95"/>
              <dgm:constr type="diam" for="ch" forName="singleconn" refType="diam" op="equ" fact="-1"/>
              <dgm:constr type="h" for="ch" forName="singleconn" refType="w" refFor="ch" refForName="oneComp" fact="0.24"/>
              <dgm:constr type="w" for="ch" forName="dummya" refType="w" refFor="ch" refForName="oneComp" op="equ"/>
              <dgm:constr type="w" for="ch" forName="dummyb" refType="w" refFor="ch" refForName="oneComp" op="equ"/>
              <dgm:constr type="w" for="ch" forName="dummyc" refType="w" refFor="ch" refForName="oneComp" op="equ"/>
            </dgm:constrLst>
          </dgm:if>
          <dgm:else name="Name14">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forName="sibTrans" refType="diam" op="equ"/>
              <dgm:constr type="h" for="ch" forName="sibTrans" refType="w" refFor="ch" refForName="node" fact="0.24"/>
              <dgm:constr type="w" for="ch" forName="dummy" val="1"/>
            </dgm:constrLst>
          </dgm:else>
        </dgm:choose>
      </dgm:if>
      <dgm:else name="Name15">
        <dgm:choose name="Name16">
          <dgm:if name="Name17"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ch" forName="oneNode" refType="primFontSz" refFor="ch" refForName="centerShape" op="lte" fact="0.95"/>
              <dgm:constr type="diam" for="ch" forName="singleconn" refType="diam"/>
              <dgm:constr type="h" for="ch" forName="singleconn" refType="w" refFor="ch" refForName="oneComp" fact="0.24"/>
              <dgm:constr type="diam" for="ch" refType="diam" op="equ"/>
              <dgm:constr type="w" for="ch" forName="dummya" refType="w" refFor="ch" refForName="oneComp" op="equ"/>
              <dgm:constr type="w" for="ch" forName="dummyb" refType="w" refFor="ch" refForName="oneComp" op="equ"/>
              <dgm:constr type="w" for="ch" forName="dummyc" refType="w" refFor="ch" refForName="oneComp" op="equ"/>
            </dgm:constrLst>
          </dgm:if>
          <dgm:else name="Name18">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ptType="sibTrans" refType="diam" fact="-1"/>
              <dgm:constr type="h" for="ch" forName="sibTrans" refType="w" refFor="ch" refForName="node" fact="0.24"/>
              <dgm:constr type="diam" for="ch" refType="diam" op="equ" fact="-1"/>
              <dgm:constr type="w" for="ch" forName="dummy" val="1"/>
            </dgm:constrLst>
          </dgm:else>
        </dgm:choose>
      </dgm:else>
    </dgm:choose>
    <dgm:ruleLst>
      <dgm:rule type="diam" val="INF" fact="NaN" max="NaN"/>
    </dgm:ruleLst>
    <dgm:forEach name="Name19"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20" axis="ch">
        <dgm:forEach name="Name21" axis="self" ptType="node">
          <dgm:choose name="Name22">
            <dgm:if name="Name23" axis="par ch" ptType="node node" func="cnt" op="gt" val="1">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dummy">
                <dgm:alg type="sp"/>
                <dgm:shape xmlns:r="http://schemas.openxmlformats.org/officeDocument/2006/relationships" r:blip="">
                  <dgm:adjLst/>
                </dgm:shape>
                <dgm:presOf/>
                <dgm:constrLst>
                  <dgm:constr type="h" refType="w"/>
                </dgm:constrLst>
                <dgm:ruleLst/>
              </dgm:layoutNode>
              <dgm:forEach name="sibTransForEach" axis="followSib" ptType="sibTrans" hideLastTrans="0" cnt="1">
                <dgm:layoutNode name="sibTrans" styleLbl="sibTrans2D1">
                  <dgm:alg type="conn">
                    <dgm:param type="connRout" val="curve"/>
                    <dgm:param type="begPts" val="ctr"/>
                    <dgm:param type="endPts" val="ctr"/>
                    <dgm:param type="begSty" val="noArr"/>
                    <dgm:param type="endSty" val="noArr"/>
                    <dgm:param type="dstNode" val="node"/>
                  </dgm:alg>
                  <dgm:shape xmlns:r="http://schemas.openxmlformats.org/officeDocument/2006/relationships" type="conn" r:blip="" zOrderOff="-999">
                    <dgm:adjLst/>
                  </dgm:shape>
                  <dgm:presOf axis="self"/>
                  <dgm:constrLst>
                    <dgm:constr type="begPad"/>
                    <dgm:constr type="endPad"/>
                  </dgm:constrLst>
                  <dgm:ruleLst/>
                </dgm:layoutNode>
              </dgm:forEach>
            </dgm:if>
            <dgm:if name="Name24" axis="par ch" ptType="node node" func="cnt" op="equ" val="1">
              <dgm:layoutNode name="oneComp">
                <dgm:alg type="composite">
                  <dgm:param type="ar" val="1"/>
                </dgm:alg>
                <dgm:shape xmlns:r="http://schemas.openxmlformats.org/officeDocument/2006/relationships" r:blip="">
                  <dgm:adjLst/>
                </dgm:shape>
                <dgm:presOf/>
                <dgm:constrLst>
                  <dgm:constr type="h" refType="w"/>
                  <dgm:constr type="l" for="ch" forName="dummyConnPt" refType="w" fact="0.5"/>
                  <dgm:constr type="t" for="ch" forName="dummyConnPt" refType="w" fact="0.5"/>
                  <dgm:constr type="l" for="ch" forName="oneNode"/>
                  <dgm:constr type="t" for="ch" forName="oneNode"/>
                  <dgm:constr type="h" for="ch" forName="oneNode" refType="h"/>
                  <dgm:constr type="w" for="ch" forName="oneNode" refType="w"/>
                </dgm:constrLst>
                <dgm:ruleLst/>
                <dgm:layoutNode name="dummyConnPt" styleLbl="node1">
                  <dgm:alg type="sp"/>
                  <dgm:shape xmlns:r="http://schemas.openxmlformats.org/officeDocument/2006/relationships" r:blip="">
                    <dgm:adjLst/>
                  </dgm:shape>
                  <dgm:presOf/>
                  <dgm:constrLst>
                    <dgm:constr type="w" val="1"/>
                    <dgm:constr type="h" val="1"/>
                  </dgm:constrLst>
                  <dgm:ruleLst/>
                </dgm:layoutNode>
                <dgm:layoutNode name="on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dgm:layoutNode name="dummya">
                <dgm:alg type="sp"/>
                <dgm:shape xmlns:r="http://schemas.openxmlformats.org/officeDocument/2006/relationships" r:blip="">
                  <dgm:adjLst/>
                </dgm:shape>
                <dgm:presOf/>
                <dgm:constrLst>
                  <dgm:constr type="h" refType="w"/>
                </dgm:constrLst>
                <dgm:ruleLst/>
              </dgm:layoutNode>
              <dgm:layoutNode name="dummyb">
                <dgm:alg type="sp"/>
                <dgm:shape xmlns:r="http://schemas.openxmlformats.org/officeDocument/2006/relationships" r:blip="">
                  <dgm:adjLst/>
                </dgm:shape>
                <dgm:presOf/>
                <dgm:constrLst>
                  <dgm:constr type="h" refType="w"/>
                </dgm:constrLst>
                <dgm:ruleLst/>
              </dgm:layoutNode>
              <dgm:layoutNode name="dummyc">
                <dgm:alg type="sp"/>
                <dgm:shape xmlns:r="http://schemas.openxmlformats.org/officeDocument/2006/relationships" r:blip="">
                  <dgm:adjLst/>
                </dgm:shape>
                <dgm:presOf/>
                <dgm:constrLst>
                  <dgm:constr type="h" refType="w"/>
                </dgm:constrLst>
                <dgm:ruleLst/>
              </dgm:layoutNode>
              <dgm:forEach name="sibTransForEach1" axis="followSib" ptType="sibTrans" hideLastTrans="0" cnt="1">
                <dgm:layoutNode name="singleconn" styleLbl="sibTrans2D1">
                  <dgm:alg type="conn">
                    <dgm:param type="connRout" val="longCurve"/>
                    <dgm:param type="begPts" val="bCtr"/>
                    <dgm:param type="endPts" val="tCtr"/>
                    <dgm:param type="begSty" val="noArr"/>
                    <dgm:param type="endSty" val="noArr"/>
                    <dgm:param type="srcNode" val="dummyConnPt"/>
                    <dgm:param type="dstNode" val="dummyConnPt"/>
                  </dgm:alg>
                  <dgm:shape xmlns:r="http://schemas.openxmlformats.org/officeDocument/2006/relationships" type="conn" r:blip="" zOrderOff="-999">
                    <dgm:adjLst/>
                  </dgm:shape>
                  <dgm:presOf axis="self"/>
                  <dgm:constrLst>
                    <dgm:constr type="begPad"/>
                    <dgm:constr type="endPad"/>
                  </dgm:constrLst>
                  <dgm:ruleLst/>
                </dgm:layoutNode>
              </dgm:forEach>
            </dgm:if>
            <dgm:else name="Name25"/>
          </dgm:choos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EAAFEBD-02B2-4FBE-9DAB-758B4CDF5B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82</Pages>
  <Words>25518</Words>
  <Characters>145458</Characters>
  <Application>Microsoft Office Word</Application>
  <DocSecurity>0</DocSecurity>
  <PresentationFormat/>
  <Lines>1212</Lines>
  <Paragraphs>341</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170635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Vanessa Coles (DTF)</dc:creator>
  <cp:keywords/>
  <dc:description/>
  <cp:lastModifiedBy>Vanessa Coles (DTF)</cp:lastModifiedBy>
  <cp:revision>2</cp:revision>
  <cp:lastPrinted>2018-08-09T23:11:00Z</cp:lastPrinted>
  <dcterms:created xsi:type="dcterms:W3CDTF">2018-09-20T00:19:00Z</dcterms:created>
  <dcterms:modified xsi:type="dcterms:W3CDTF">2018-09-20T00:19:00Z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
  </property>
  <property fmtid="{D5CDD505-2E9C-101B-9397-08002B2CF9AE}" pid="3" name="PSPFClassification">
    <vt:lpwstr/>
  </property>
</Properties>
</file>