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D1758" w14:textId="66B1CBF6" w:rsidR="00A3245D" w:rsidRPr="003D1EF9" w:rsidRDefault="00A3245D" w:rsidP="003D1EF9">
      <w:pPr>
        <w:pStyle w:val="Heading1"/>
        <w:rPr>
          <w:color w:val="7030A0"/>
          <w:sz w:val="32"/>
          <w:szCs w:val="32"/>
        </w:rPr>
      </w:pPr>
      <w:r w:rsidRPr="003D1EF9">
        <w:rPr>
          <w:color w:val="7030A0"/>
          <w:sz w:val="32"/>
          <w:szCs w:val="32"/>
        </w:rPr>
        <w:t xml:space="preserve">Model social procurement evaluation matrix – procurement valued </w:t>
      </w:r>
      <w:r w:rsidR="00EB03FB" w:rsidRPr="003D1EF9">
        <w:rPr>
          <w:color w:val="7030A0"/>
          <w:sz w:val="32"/>
          <w:szCs w:val="32"/>
        </w:rPr>
        <w:t xml:space="preserve">below </w:t>
      </w:r>
      <w:r w:rsidRPr="003D1EF9">
        <w:rPr>
          <w:color w:val="7030A0"/>
          <w:sz w:val="32"/>
          <w:szCs w:val="32"/>
        </w:rPr>
        <w:t xml:space="preserve">$1 million </w:t>
      </w:r>
      <w:r w:rsidR="00EB03FB" w:rsidRPr="003D1EF9">
        <w:rPr>
          <w:color w:val="7030A0"/>
          <w:sz w:val="32"/>
          <w:szCs w:val="32"/>
        </w:rPr>
        <w:t>(</w:t>
      </w:r>
      <w:r w:rsidRPr="003D1EF9">
        <w:rPr>
          <w:color w:val="7030A0"/>
          <w:sz w:val="32"/>
          <w:szCs w:val="32"/>
        </w:rPr>
        <w:t>regional</w:t>
      </w:r>
      <w:r w:rsidR="00EB03FB" w:rsidRPr="003D1EF9">
        <w:rPr>
          <w:color w:val="7030A0"/>
          <w:sz w:val="32"/>
          <w:szCs w:val="32"/>
        </w:rPr>
        <w:t>)</w:t>
      </w:r>
      <w:r w:rsidRPr="003D1EF9">
        <w:rPr>
          <w:color w:val="7030A0"/>
          <w:sz w:val="32"/>
          <w:szCs w:val="32"/>
        </w:rPr>
        <w:t xml:space="preserve"> </w:t>
      </w:r>
      <w:r w:rsidR="00EB03FB" w:rsidRPr="003D1EF9">
        <w:rPr>
          <w:color w:val="7030A0"/>
          <w:sz w:val="32"/>
          <w:szCs w:val="32"/>
        </w:rPr>
        <w:t xml:space="preserve">or </w:t>
      </w:r>
      <w:r w:rsidRPr="003D1EF9">
        <w:rPr>
          <w:color w:val="7030A0"/>
          <w:sz w:val="32"/>
          <w:szCs w:val="32"/>
        </w:rPr>
        <w:t xml:space="preserve">$3 million </w:t>
      </w:r>
      <w:r w:rsidR="00EB03FB" w:rsidRPr="003D1EF9">
        <w:rPr>
          <w:color w:val="7030A0"/>
          <w:sz w:val="32"/>
          <w:szCs w:val="32"/>
        </w:rPr>
        <w:t>(</w:t>
      </w:r>
      <w:r w:rsidRPr="003D1EF9">
        <w:rPr>
          <w:color w:val="7030A0"/>
          <w:sz w:val="32"/>
          <w:szCs w:val="32"/>
        </w:rPr>
        <w:t xml:space="preserve">metro or </w:t>
      </w:r>
      <w:r w:rsidR="00EB03FB" w:rsidRPr="003D1EF9">
        <w:rPr>
          <w:color w:val="7030A0"/>
          <w:sz w:val="32"/>
          <w:szCs w:val="32"/>
        </w:rPr>
        <w:t>S</w:t>
      </w:r>
      <w:r w:rsidRPr="003D1EF9">
        <w:rPr>
          <w:color w:val="7030A0"/>
          <w:sz w:val="32"/>
          <w:szCs w:val="32"/>
        </w:rPr>
        <w:t>tate-wide</w:t>
      </w:r>
      <w:r w:rsidR="00EB03FB" w:rsidRPr="003D1EF9">
        <w:rPr>
          <w:color w:val="7030A0"/>
          <w:sz w:val="32"/>
          <w:szCs w:val="32"/>
        </w:rPr>
        <w:t>)</w:t>
      </w:r>
      <w:r w:rsidRPr="003D1EF9">
        <w:rPr>
          <w:color w:val="7030A0"/>
          <w:sz w:val="32"/>
          <w:szCs w:val="32"/>
        </w:rPr>
        <w:t xml:space="preserve"> (exclusive of GST)</w:t>
      </w:r>
    </w:p>
    <w:p w14:paraId="227A50FD" w14:textId="36465E75" w:rsidR="00A3245D" w:rsidRPr="003D1CF6" w:rsidRDefault="00A3245D" w:rsidP="003D1CF6">
      <w:pPr>
        <w:pStyle w:val="Tablechartdiagramheading"/>
        <w:keepNext w:val="0"/>
        <w:rPr>
          <w:b w:val="0"/>
          <w:sz w:val="22"/>
          <w:szCs w:val="22"/>
        </w:rPr>
      </w:pPr>
      <w:r w:rsidRPr="003D1CF6">
        <w:rPr>
          <w:b w:val="0"/>
          <w:sz w:val="22"/>
          <w:szCs w:val="22"/>
        </w:rPr>
        <w:t xml:space="preserve">The following table provides a summary of evaluation criteria, weighting and scoring for each Social Procurement Framework objective, based on the examples approaches in the tools </w:t>
      </w:r>
      <w:r w:rsidRPr="003D1CF6">
        <w:rPr>
          <w:rFonts w:cstheme="minorHAnsi"/>
          <w:sz w:val="22"/>
          <w:szCs w:val="22"/>
        </w:rPr>
        <w:t xml:space="preserve">Application of Social Procurement Framework weighting (example) </w:t>
      </w:r>
      <w:r w:rsidRPr="003D1CF6">
        <w:rPr>
          <w:rFonts w:cstheme="minorHAnsi"/>
          <w:b w:val="0"/>
          <w:sz w:val="22"/>
          <w:szCs w:val="22"/>
        </w:rPr>
        <w:t>and</w:t>
      </w:r>
      <w:r w:rsidRPr="003D1CF6">
        <w:rPr>
          <w:rFonts w:cstheme="minorHAnsi"/>
          <w:sz w:val="22"/>
          <w:szCs w:val="22"/>
        </w:rPr>
        <w:t xml:space="preserve"> Scoring against Social Procurement Framework evaluation criteria (example)</w:t>
      </w:r>
      <w:r w:rsidRPr="003D1CF6">
        <w:rPr>
          <w:b w:val="0"/>
          <w:sz w:val="22"/>
          <w:szCs w:val="22"/>
        </w:rPr>
        <w:t>.</w:t>
      </w:r>
    </w:p>
    <w:p w14:paraId="2F6B6962" w14:textId="4C8842DF" w:rsidR="00A3245D" w:rsidRPr="003D1CF6" w:rsidRDefault="00A3245D" w:rsidP="003D1CF6">
      <w:pPr>
        <w:pStyle w:val="Tablechartdiagramheading"/>
        <w:keepNext w:val="0"/>
        <w:rPr>
          <w:b w:val="0"/>
          <w:sz w:val="22"/>
          <w:szCs w:val="22"/>
        </w:rPr>
      </w:pPr>
      <w:r w:rsidRPr="003D1CF6">
        <w:rPr>
          <w:b w:val="0"/>
          <w:sz w:val="22"/>
          <w:szCs w:val="22"/>
        </w:rPr>
        <w:t>This example approach is not prescriptive – it is up to the government buyer to determine the most appropriate approach based on the circumstances of the individual procurement activity.</w:t>
      </w:r>
    </w:p>
    <w:p w14:paraId="652D2650" w14:textId="77777777" w:rsidR="00A3245D" w:rsidRPr="003D1EF9" w:rsidRDefault="00A3245D" w:rsidP="003D1EF9">
      <w:pPr>
        <w:pStyle w:val="Heading2"/>
        <w:rPr>
          <w:rFonts w:eastAsia="Times New Roman"/>
          <w:color w:val="7030A0"/>
          <w:szCs w:val="28"/>
        </w:rPr>
      </w:pPr>
      <w:r w:rsidRPr="003D1EF9">
        <w:rPr>
          <w:rFonts w:eastAsia="Times New Roman"/>
          <w:color w:val="7030A0"/>
          <w:szCs w:val="28"/>
        </w:rPr>
        <w:t>Key focus area: Supplier attributes</w:t>
      </w:r>
    </w:p>
    <w:p w14:paraId="1023B8D6" w14:textId="768632CC" w:rsidR="00A3245D" w:rsidRPr="003D1CF6" w:rsidRDefault="00A3245D" w:rsidP="00A3245D">
      <w:pPr>
        <w:rPr>
          <w:sz w:val="22"/>
          <w:szCs w:val="22"/>
        </w:rPr>
      </w:pPr>
      <w:r w:rsidRPr="003D1CF6">
        <w:rPr>
          <w:sz w:val="22"/>
          <w:szCs w:val="22"/>
        </w:rPr>
        <w:t>Note: Weighted score for social procurement component will form part of total score available for all components of the evaluation matrix</w:t>
      </w:r>
    </w:p>
    <w:tbl>
      <w:tblPr>
        <w:tblStyle w:val="DTFtexttable"/>
        <w:tblW w:w="14516" w:type="dxa"/>
        <w:tblLayout w:type="fixed"/>
        <w:tblLook w:val="0620" w:firstRow="1" w:lastRow="0" w:firstColumn="0" w:lastColumn="0" w:noHBand="1" w:noVBand="1"/>
      </w:tblPr>
      <w:tblGrid>
        <w:gridCol w:w="1758"/>
        <w:gridCol w:w="2127"/>
        <w:gridCol w:w="708"/>
        <w:gridCol w:w="6521"/>
        <w:gridCol w:w="1559"/>
        <w:gridCol w:w="1843"/>
      </w:tblGrid>
      <w:tr w:rsidR="003D1CF6" w:rsidRPr="003D1CF6" w14:paraId="24224B62" w14:textId="77777777" w:rsidTr="003D1CF6">
        <w:trPr>
          <w:cnfStyle w:val="100000000000" w:firstRow="1" w:lastRow="0" w:firstColumn="0" w:lastColumn="0" w:oddVBand="0" w:evenVBand="0" w:oddHBand="0" w:evenHBand="0" w:firstRowFirstColumn="0" w:firstRowLastColumn="0" w:lastRowFirstColumn="0" w:lastRowLastColumn="0"/>
          <w:trHeight w:val="139"/>
          <w:tblHeader/>
        </w:trPr>
        <w:tc>
          <w:tcPr>
            <w:tcW w:w="1758" w:type="dxa"/>
            <w:tcBorders>
              <w:top w:val="single" w:sz="4" w:space="0" w:color="auto"/>
              <w:bottom w:val="single" w:sz="4" w:space="0" w:color="auto"/>
            </w:tcBorders>
            <w:shd w:val="clear" w:color="auto" w:fill="auto"/>
          </w:tcPr>
          <w:p w14:paraId="4576A130" w14:textId="77777777" w:rsidR="00A3245D" w:rsidRPr="003D1CF6" w:rsidRDefault="00A3245D" w:rsidP="000532C9">
            <w:pPr>
              <w:rPr>
                <w:color w:val="auto"/>
              </w:rPr>
            </w:pPr>
            <w:r w:rsidRPr="003D1CF6">
              <w:rPr>
                <w:color w:val="auto"/>
              </w:rPr>
              <w:t>Objective / Strategy</w:t>
            </w:r>
          </w:p>
        </w:tc>
        <w:tc>
          <w:tcPr>
            <w:tcW w:w="2127" w:type="dxa"/>
            <w:tcBorders>
              <w:top w:val="single" w:sz="4" w:space="0" w:color="auto"/>
              <w:bottom w:val="single" w:sz="4" w:space="0" w:color="auto"/>
            </w:tcBorders>
            <w:shd w:val="clear" w:color="auto" w:fill="auto"/>
          </w:tcPr>
          <w:p w14:paraId="73129829" w14:textId="77777777" w:rsidR="00A3245D" w:rsidRPr="003D1CF6" w:rsidRDefault="00A3245D" w:rsidP="000532C9">
            <w:pPr>
              <w:rPr>
                <w:color w:val="auto"/>
              </w:rPr>
            </w:pPr>
            <w:r w:rsidRPr="003D1CF6">
              <w:rPr>
                <w:color w:val="auto"/>
              </w:rPr>
              <w:t>Comment</w:t>
            </w:r>
          </w:p>
        </w:tc>
        <w:tc>
          <w:tcPr>
            <w:tcW w:w="708" w:type="dxa"/>
            <w:tcBorders>
              <w:top w:val="single" w:sz="4" w:space="0" w:color="auto"/>
              <w:bottom w:val="single" w:sz="4" w:space="0" w:color="auto"/>
            </w:tcBorders>
            <w:shd w:val="clear" w:color="auto" w:fill="auto"/>
          </w:tcPr>
          <w:p w14:paraId="2B64420D" w14:textId="77777777" w:rsidR="00A3245D" w:rsidRPr="003D1CF6" w:rsidRDefault="00A3245D" w:rsidP="000532C9">
            <w:pPr>
              <w:rPr>
                <w:color w:val="auto"/>
              </w:rPr>
            </w:pPr>
            <w:r w:rsidRPr="003D1CF6">
              <w:rPr>
                <w:color w:val="auto"/>
              </w:rPr>
              <w:t>Score</w:t>
            </w:r>
          </w:p>
        </w:tc>
        <w:tc>
          <w:tcPr>
            <w:tcW w:w="6521" w:type="dxa"/>
            <w:tcBorders>
              <w:top w:val="single" w:sz="4" w:space="0" w:color="auto"/>
              <w:bottom w:val="single" w:sz="4" w:space="0" w:color="auto"/>
            </w:tcBorders>
            <w:shd w:val="clear" w:color="auto" w:fill="auto"/>
          </w:tcPr>
          <w:p w14:paraId="4046A897" w14:textId="77777777" w:rsidR="00A3245D" w:rsidRPr="003D1CF6" w:rsidRDefault="00A3245D" w:rsidP="000532C9">
            <w:pPr>
              <w:rPr>
                <w:color w:val="auto"/>
              </w:rPr>
            </w:pPr>
            <w:r w:rsidRPr="003D1CF6">
              <w:rPr>
                <w:color w:val="auto"/>
              </w:rPr>
              <w:t>Scoring</w:t>
            </w:r>
          </w:p>
        </w:tc>
        <w:tc>
          <w:tcPr>
            <w:tcW w:w="1559" w:type="dxa"/>
            <w:tcBorders>
              <w:top w:val="single" w:sz="4" w:space="0" w:color="auto"/>
              <w:bottom w:val="single" w:sz="4" w:space="0" w:color="auto"/>
            </w:tcBorders>
            <w:shd w:val="clear" w:color="auto" w:fill="auto"/>
          </w:tcPr>
          <w:p w14:paraId="71BE87B6" w14:textId="77777777" w:rsidR="00A3245D" w:rsidRPr="003D1CF6" w:rsidRDefault="00A3245D" w:rsidP="000532C9">
            <w:pPr>
              <w:rPr>
                <w:color w:val="auto"/>
              </w:rPr>
            </w:pPr>
            <w:r w:rsidRPr="003D1CF6">
              <w:rPr>
                <w:color w:val="auto"/>
              </w:rPr>
              <w:t>Weighting</w:t>
            </w:r>
          </w:p>
        </w:tc>
        <w:tc>
          <w:tcPr>
            <w:tcW w:w="1843" w:type="dxa"/>
            <w:tcBorders>
              <w:top w:val="single" w:sz="4" w:space="0" w:color="auto"/>
              <w:bottom w:val="single" w:sz="4" w:space="0" w:color="auto"/>
            </w:tcBorders>
            <w:shd w:val="clear" w:color="auto" w:fill="auto"/>
          </w:tcPr>
          <w:p w14:paraId="35694FAC" w14:textId="77777777" w:rsidR="00A3245D" w:rsidRPr="003D1CF6" w:rsidRDefault="00A3245D" w:rsidP="000532C9">
            <w:pPr>
              <w:rPr>
                <w:color w:val="auto"/>
              </w:rPr>
            </w:pPr>
            <w:r w:rsidRPr="003D1CF6">
              <w:rPr>
                <w:color w:val="auto"/>
              </w:rPr>
              <w:t>Weighted score</w:t>
            </w:r>
          </w:p>
        </w:tc>
      </w:tr>
      <w:tr w:rsidR="00A3245D" w14:paraId="6928A1CF" w14:textId="77777777" w:rsidTr="003D1CF6">
        <w:trPr>
          <w:trHeight w:val="1211"/>
        </w:trPr>
        <w:tc>
          <w:tcPr>
            <w:tcW w:w="0" w:type="dxa"/>
            <w:tcBorders>
              <w:top w:val="single" w:sz="4" w:space="0" w:color="auto"/>
              <w:bottom w:val="single" w:sz="4" w:space="0" w:color="auto"/>
            </w:tcBorders>
          </w:tcPr>
          <w:p w14:paraId="52B2B688" w14:textId="77777777" w:rsidR="00A3245D" w:rsidRPr="007A370D" w:rsidRDefault="00A3245D" w:rsidP="000532C9">
            <w:pPr>
              <w:rPr>
                <w:b/>
              </w:rPr>
            </w:pPr>
            <w:r w:rsidRPr="007A370D">
              <w:rPr>
                <w:b/>
              </w:rPr>
              <w:t>Sustainable Victorian social enterprise and Aboriginal business sectors</w:t>
            </w:r>
          </w:p>
          <w:p w14:paraId="2D1167A2" w14:textId="4DEA93BA" w:rsidR="00E95FA2" w:rsidRPr="00E95FA2" w:rsidRDefault="00A3245D" w:rsidP="00E95FA2">
            <w:r>
              <w:t>Purchasing from Victorian social enterprise, ADE or Aboriginal business</w:t>
            </w:r>
          </w:p>
        </w:tc>
        <w:tc>
          <w:tcPr>
            <w:tcW w:w="0" w:type="dxa"/>
            <w:tcBorders>
              <w:top w:val="single" w:sz="4" w:space="0" w:color="auto"/>
              <w:bottom w:val="single" w:sz="4" w:space="0" w:color="auto"/>
            </w:tcBorders>
          </w:tcPr>
          <w:p w14:paraId="49E97BC8" w14:textId="77777777" w:rsidR="00A3245D" w:rsidRDefault="00A3245D" w:rsidP="000532C9">
            <w:r>
              <w:t>Invitation to supply</w:t>
            </w:r>
            <w:r w:rsidRPr="007A370D">
              <w:t xml:space="preserve"> may </w:t>
            </w:r>
            <w:r>
              <w:t xml:space="preserve">enable </w:t>
            </w:r>
            <w:r w:rsidRPr="007A370D">
              <w:t xml:space="preserve">procurement from any of three eligible types of social benefit suppliers or </w:t>
            </w:r>
            <w:r>
              <w:t>limit to procurement from specific type(s) of social benefit supplier</w:t>
            </w:r>
          </w:p>
          <w:p w14:paraId="0FC17EBB" w14:textId="7BCCB8B5" w:rsidR="00D33D36" w:rsidRPr="00D33D36" w:rsidRDefault="00D33D36" w:rsidP="00D33D36"/>
        </w:tc>
        <w:tc>
          <w:tcPr>
            <w:tcW w:w="0" w:type="dxa"/>
            <w:tcBorders>
              <w:top w:val="single" w:sz="4" w:space="0" w:color="auto"/>
              <w:bottom w:val="single" w:sz="4" w:space="0" w:color="auto"/>
            </w:tcBorders>
          </w:tcPr>
          <w:p w14:paraId="0D278D59" w14:textId="131A169D" w:rsidR="00240179" w:rsidRPr="00240179" w:rsidRDefault="00A3245D" w:rsidP="00240179">
            <w:r>
              <w:t>0–10</w:t>
            </w:r>
            <w:bookmarkStart w:id="0" w:name="_GoBack"/>
            <w:bookmarkEnd w:id="0"/>
          </w:p>
        </w:tc>
        <w:tc>
          <w:tcPr>
            <w:tcW w:w="0" w:type="dxa"/>
            <w:tcBorders>
              <w:top w:val="single" w:sz="4" w:space="0" w:color="auto"/>
              <w:bottom w:val="single" w:sz="4" w:space="0" w:color="auto"/>
            </w:tcBorders>
          </w:tcPr>
          <w:p w14:paraId="416658C3" w14:textId="77777777" w:rsidR="00A3245D" w:rsidRDefault="00A3245D" w:rsidP="000532C9">
            <w:r>
              <w:t>If the direct approach to social procurement is used and the responding supplier complies with any specific type(s) of social benefit supplier, then score as 10. If so, then the other criterion is not required to be assessed.</w:t>
            </w:r>
          </w:p>
          <w:p w14:paraId="0E680AFB" w14:textId="77777777" w:rsidR="00A3245D" w:rsidRDefault="00A3245D" w:rsidP="000532C9">
            <w:r>
              <w:t xml:space="preserve">If the direct approach to social procurement is not used or a social benefit supplier is involved but is not a required type of social benefit supplier, then score as 0. </w:t>
            </w:r>
          </w:p>
        </w:tc>
        <w:tc>
          <w:tcPr>
            <w:tcW w:w="0" w:type="dxa"/>
            <w:tcBorders>
              <w:top w:val="single" w:sz="4" w:space="0" w:color="auto"/>
              <w:bottom w:val="single" w:sz="4" w:space="0" w:color="auto"/>
            </w:tcBorders>
          </w:tcPr>
          <w:p w14:paraId="487A065E" w14:textId="77777777" w:rsidR="00A3245D" w:rsidRDefault="00A3245D" w:rsidP="000532C9">
            <w:r>
              <w:t>100%</w:t>
            </w:r>
          </w:p>
        </w:tc>
        <w:tc>
          <w:tcPr>
            <w:tcW w:w="0" w:type="dxa"/>
            <w:tcBorders>
              <w:top w:val="single" w:sz="4" w:space="0" w:color="auto"/>
              <w:bottom w:val="single" w:sz="4" w:space="0" w:color="auto"/>
            </w:tcBorders>
          </w:tcPr>
          <w:p w14:paraId="0C530D0F" w14:textId="77777777" w:rsidR="00A3245D" w:rsidRDefault="00A3245D" w:rsidP="000532C9">
            <w:r>
              <w:t>0–10</w:t>
            </w:r>
          </w:p>
        </w:tc>
      </w:tr>
      <w:tr w:rsidR="00A3245D" w14:paraId="3AA1FF00" w14:textId="77777777" w:rsidTr="003D1CF6">
        <w:trPr>
          <w:trHeight w:val="1211"/>
        </w:trPr>
        <w:tc>
          <w:tcPr>
            <w:tcW w:w="1758" w:type="dxa"/>
            <w:tcBorders>
              <w:top w:val="single" w:sz="4" w:space="0" w:color="auto"/>
              <w:bottom w:val="single" w:sz="4" w:space="0" w:color="auto"/>
            </w:tcBorders>
          </w:tcPr>
          <w:p w14:paraId="56D4663A" w14:textId="77777777" w:rsidR="00A3245D" w:rsidRPr="00680E84" w:rsidRDefault="00A3245D" w:rsidP="000532C9">
            <w:pPr>
              <w:rPr>
                <w:b/>
              </w:rPr>
            </w:pPr>
            <w:r w:rsidRPr="00680E84">
              <w:rPr>
                <w:b/>
              </w:rPr>
              <w:lastRenderedPageBreak/>
              <w:t xml:space="preserve">Sustainable Victorian social enterprise and Aboriginal business sectors </w:t>
            </w:r>
          </w:p>
          <w:p w14:paraId="2D62ABB8" w14:textId="77777777" w:rsidR="00A3245D" w:rsidRPr="006A7FE7" w:rsidRDefault="00A3245D" w:rsidP="000532C9">
            <w:pPr>
              <w:rPr>
                <w:b/>
              </w:rPr>
            </w:pPr>
            <w:r>
              <w:t>Purchasing from mainstream supplier that involves Victorian social enterprise, ADE or Aboriginal business through the supply chain</w:t>
            </w:r>
          </w:p>
        </w:tc>
        <w:tc>
          <w:tcPr>
            <w:tcW w:w="2127" w:type="dxa"/>
            <w:tcBorders>
              <w:top w:val="single" w:sz="4" w:space="0" w:color="auto"/>
              <w:bottom w:val="single" w:sz="4" w:space="0" w:color="auto"/>
            </w:tcBorders>
          </w:tcPr>
          <w:p w14:paraId="3D6273DB" w14:textId="77777777" w:rsidR="00A3245D" w:rsidRPr="007A370D" w:rsidRDefault="00A3245D" w:rsidP="000532C9">
            <w:r>
              <w:t>Invitation to supply</w:t>
            </w:r>
            <w:r w:rsidRPr="007A370D">
              <w:t xml:space="preserve"> may </w:t>
            </w:r>
            <w:r>
              <w:t xml:space="preserve">enable </w:t>
            </w:r>
            <w:r w:rsidRPr="007A370D">
              <w:t xml:space="preserve">procurement from any of three eligible types of social benefit suppliers or </w:t>
            </w:r>
            <w:r>
              <w:t>limit to procurement from specific type(s) of social benefit supplier</w:t>
            </w:r>
          </w:p>
        </w:tc>
        <w:tc>
          <w:tcPr>
            <w:tcW w:w="708" w:type="dxa"/>
            <w:tcBorders>
              <w:top w:val="single" w:sz="4" w:space="0" w:color="auto"/>
              <w:bottom w:val="single" w:sz="4" w:space="0" w:color="auto"/>
            </w:tcBorders>
          </w:tcPr>
          <w:p w14:paraId="05037360" w14:textId="77777777" w:rsidR="00A3245D" w:rsidRDefault="00A3245D" w:rsidP="000532C9">
            <w:r>
              <w:t>0–10</w:t>
            </w:r>
          </w:p>
        </w:tc>
        <w:tc>
          <w:tcPr>
            <w:tcW w:w="6521" w:type="dxa"/>
            <w:tcBorders>
              <w:top w:val="single" w:sz="4" w:space="0" w:color="auto"/>
              <w:bottom w:val="single" w:sz="4" w:space="0" w:color="auto"/>
            </w:tcBorders>
          </w:tcPr>
          <w:p w14:paraId="706DE30B" w14:textId="77777777" w:rsidR="00A3245D" w:rsidRDefault="00A3245D" w:rsidP="000532C9">
            <w:r>
              <w:t>If the indirect approach to social procurement is used and the responding supplier complies with requirement to involve any specific type(s) of social benefit supplier (and any minimum percentage of the procurement activity to be allocated to a social benefit supplier has been met), then score as 10.</w:t>
            </w:r>
          </w:p>
          <w:p w14:paraId="42AC0D8A" w14:textId="77777777" w:rsidR="00A3245D" w:rsidRDefault="00A3245D" w:rsidP="000532C9">
            <w:r>
              <w:t>If the indirect approach to social procurement is not used, or an indirect approach is used but the responding supplier failed to meet any minimum percentage of the procurement activity to be allocated to a social benefit supplier, or a social benefit supplier is involved but is not a required type of social benefit supplier, then score as 0.</w:t>
            </w:r>
          </w:p>
        </w:tc>
        <w:tc>
          <w:tcPr>
            <w:tcW w:w="1559" w:type="dxa"/>
            <w:tcBorders>
              <w:top w:val="single" w:sz="4" w:space="0" w:color="auto"/>
              <w:bottom w:val="single" w:sz="4" w:space="0" w:color="auto"/>
            </w:tcBorders>
          </w:tcPr>
          <w:p w14:paraId="5D903A60" w14:textId="77777777" w:rsidR="00A3245D" w:rsidRDefault="00A3245D" w:rsidP="000532C9">
            <w:r>
              <w:t>100%</w:t>
            </w:r>
          </w:p>
        </w:tc>
        <w:tc>
          <w:tcPr>
            <w:tcW w:w="1843" w:type="dxa"/>
            <w:tcBorders>
              <w:top w:val="single" w:sz="4" w:space="0" w:color="auto"/>
              <w:bottom w:val="single" w:sz="4" w:space="0" w:color="auto"/>
            </w:tcBorders>
          </w:tcPr>
          <w:p w14:paraId="011C6D84" w14:textId="77777777" w:rsidR="00A3245D" w:rsidRDefault="00A3245D" w:rsidP="000532C9">
            <w:r>
              <w:t>0–10</w:t>
            </w:r>
          </w:p>
        </w:tc>
      </w:tr>
    </w:tbl>
    <w:p w14:paraId="5A59906E" w14:textId="24FA827D" w:rsidR="0098715D" w:rsidRDefault="0098715D" w:rsidP="00C84D2E">
      <w:pPr>
        <w:spacing w:after="120" w:line="240" w:lineRule="auto"/>
      </w:pPr>
    </w:p>
    <w:sectPr w:rsidR="0098715D" w:rsidSect="00E95FA2">
      <w:headerReference w:type="even" r:id="rId8"/>
      <w:headerReference w:type="default" r:id="rId9"/>
      <w:footerReference w:type="even" r:id="rId10"/>
      <w:footerReference w:type="default" r:id="rId11"/>
      <w:headerReference w:type="first" r:id="rId12"/>
      <w:footerReference w:type="first" r:id="rId13"/>
      <w:pgSz w:w="16838" w:h="11906" w:orient="landscape"/>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8E0401" w14:textId="77777777" w:rsidR="00FE2D07" w:rsidRDefault="00FE2D07" w:rsidP="00C84D2E">
      <w:pPr>
        <w:spacing w:before="0" w:after="0" w:line="240" w:lineRule="auto"/>
      </w:pPr>
      <w:r>
        <w:separator/>
      </w:r>
    </w:p>
  </w:endnote>
  <w:endnote w:type="continuationSeparator" w:id="0">
    <w:p w14:paraId="29E7C9C3" w14:textId="77777777" w:rsidR="00FE2D07" w:rsidRDefault="00FE2D07" w:rsidP="00C84D2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36769" w14:textId="77777777" w:rsidR="00240179" w:rsidRDefault="00240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C3F19" w14:textId="184ABB8E" w:rsidR="00E95FA2" w:rsidRDefault="00240179" w:rsidP="00E95FA2">
    <w:pPr>
      <w:pStyle w:val="Footer"/>
      <w:tabs>
        <w:tab w:val="clear" w:pos="4513"/>
        <w:tab w:val="clear" w:pos="9026"/>
        <w:tab w:val="center" w:pos="7797"/>
        <w:tab w:val="right" w:pos="13892"/>
      </w:tabs>
    </w:pPr>
    <w:r>
      <w:rPr>
        <w:noProof/>
      </w:rPr>
      <mc:AlternateContent>
        <mc:Choice Requires="wps">
          <w:drawing>
            <wp:anchor distT="0" distB="0" distL="114300" distR="114300" simplePos="0" relativeHeight="251659264" behindDoc="0" locked="0" layoutInCell="0" allowOverlap="1" wp14:anchorId="0609EC63" wp14:editId="3914155B">
              <wp:simplePos x="0" y="0"/>
              <wp:positionH relativeFrom="page">
                <wp:posOffset>0</wp:posOffset>
              </wp:positionH>
              <wp:positionV relativeFrom="page">
                <wp:posOffset>7103110</wp:posOffset>
              </wp:positionV>
              <wp:extent cx="10692130" cy="266700"/>
              <wp:effectExtent l="0" t="0" r="0" b="0"/>
              <wp:wrapNone/>
              <wp:docPr id="1" name="MSIPCM9f214d70964ece29893d26be" descr="{&quot;HashCode&quot;:-1267603503,&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12EA34" w14:textId="68994296" w:rsidR="00240179" w:rsidRPr="00240179" w:rsidRDefault="00240179" w:rsidP="00240179">
                          <w:pPr>
                            <w:spacing w:before="0" w:after="0"/>
                            <w:rPr>
                              <w:rFonts w:ascii="Calibri" w:hAnsi="Calibri" w:cs="Calibri"/>
                              <w:color w:val="000000"/>
                              <w:sz w:val="22"/>
                            </w:rPr>
                          </w:pPr>
                          <w:r w:rsidRPr="00240179">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09EC63" id="_x0000_t202" coordsize="21600,21600" o:spt="202" path="m,l,21600r21600,l21600,xe">
              <v:stroke joinstyle="miter"/>
              <v:path gradientshapeok="t" o:connecttype="rect"/>
            </v:shapetype>
            <v:shape id="MSIPCM9f214d70964ece29893d26be" o:spid="_x0000_s1026" type="#_x0000_t202" alt="{&quot;HashCode&quot;:-1267603503,&quot;Height&quot;:595.0,&quot;Width&quot;:841.0,&quot;Placement&quot;:&quot;Footer&quot;,&quot;Index&quot;:&quot;Primary&quot;,&quot;Section&quot;:1,&quot;Top&quot;:0.0,&quot;Left&quot;:0.0}" style="position:absolute;margin-left:0;margin-top:559.3pt;width:841.9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" o:allowincell="f" filled="f" stroked="f" strokeweight=".5pt">
              <v:fill o:detectmouseclick="t"/>
              <v:textbox inset="20pt,0,,0">
                <w:txbxContent>
                  <w:p w14:paraId="2312EA34" w14:textId="68994296" w:rsidR="00240179" w:rsidRPr="00240179" w:rsidRDefault="00240179" w:rsidP="00240179">
                    <w:pPr>
                      <w:spacing w:before="0" w:after="0"/>
                      <w:rPr>
                        <w:rFonts w:ascii="Calibri" w:hAnsi="Calibri" w:cs="Calibri"/>
                        <w:color w:val="000000"/>
                        <w:sz w:val="22"/>
                      </w:rPr>
                    </w:pPr>
                    <w:r w:rsidRPr="00240179">
                      <w:rPr>
                        <w:rFonts w:ascii="Calibri" w:hAnsi="Calibri" w:cs="Calibri"/>
                        <w:color w:val="000000"/>
                        <w:sz w:val="22"/>
                      </w:rPr>
                      <w:t>OFFICIAL</w:t>
                    </w:r>
                  </w:p>
                </w:txbxContent>
              </v:textbox>
              <w10:wrap anchorx="page" anchory="page"/>
            </v:shape>
          </w:pict>
        </mc:Fallback>
      </mc:AlternateContent>
    </w:r>
    <w:r w:rsidR="00E95FA2">
      <w:t>Model social procurement evaluation matrix</w:t>
    </w:r>
    <w:r w:rsidR="00E95FA2">
      <w:br/>
      <w:t>procurement valued below $1 million (regional) or $3 million (metro or State wide)</w:t>
    </w:r>
    <w:r w:rsidR="00E95FA2">
      <w:tab/>
    </w:r>
    <w:sdt>
      <w:sdtPr>
        <w:id w:val="-2026619730"/>
        <w:docPartObj>
          <w:docPartGallery w:val="Page Numbers (Top of Page)"/>
          <w:docPartUnique/>
        </w:docPartObj>
      </w:sdtPr>
      <w:sdtEndPr/>
      <w:sdtContent>
        <w:r w:rsidR="00E95FA2">
          <w:tab/>
          <w:t xml:space="preserve">Page </w:t>
        </w:r>
        <w:r w:rsidR="00E95FA2">
          <w:rPr>
            <w:b/>
            <w:bCs/>
            <w:sz w:val="24"/>
            <w:szCs w:val="24"/>
          </w:rPr>
          <w:fldChar w:fldCharType="begin"/>
        </w:r>
        <w:r w:rsidR="00E95FA2">
          <w:rPr>
            <w:b/>
            <w:bCs/>
          </w:rPr>
          <w:instrText xml:space="preserve"> PAGE </w:instrText>
        </w:r>
        <w:r w:rsidR="00E95FA2">
          <w:rPr>
            <w:b/>
            <w:bCs/>
            <w:sz w:val="24"/>
            <w:szCs w:val="24"/>
          </w:rPr>
          <w:fldChar w:fldCharType="separate"/>
        </w:r>
        <w:r w:rsidR="00E95FA2">
          <w:rPr>
            <w:b/>
            <w:bCs/>
            <w:sz w:val="24"/>
            <w:szCs w:val="24"/>
          </w:rPr>
          <w:t>1</w:t>
        </w:r>
        <w:r w:rsidR="00E95FA2">
          <w:rPr>
            <w:b/>
            <w:bCs/>
            <w:sz w:val="24"/>
            <w:szCs w:val="24"/>
          </w:rPr>
          <w:fldChar w:fldCharType="end"/>
        </w:r>
        <w:r w:rsidR="00E95FA2">
          <w:t xml:space="preserve"> of </w:t>
        </w:r>
        <w:r w:rsidR="00E95FA2">
          <w:rPr>
            <w:b/>
            <w:bCs/>
            <w:sz w:val="24"/>
            <w:szCs w:val="24"/>
          </w:rPr>
          <w:fldChar w:fldCharType="begin"/>
        </w:r>
        <w:r w:rsidR="00E95FA2">
          <w:rPr>
            <w:b/>
            <w:bCs/>
          </w:rPr>
          <w:instrText xml:space="preserve"> NUMPAGES  </w:instrText>
        </w:r>
        <w:r w:rsidR="00E95FA2">
          <w:rPr>
            <w:b/>
            <w:bCs/>
            <w:sz w:val="24"/>
            <w:szCs w:val="24"/>
          </w:rPr>
          <w:fldChar w:fldCharType="separate"/>
        </w:r>
        <w:r w:rsidR="00E95FA2">
          <w:rPr>
            <w:b/>
            <w:bCs/>
            <w:sz w:val="24"/>
            <w:szCs w:val="24"/>
          </w:rPr>
          <w:t>4</w:t>
        </w:r>
        <w:r w:rsidR="00E95FA2">
          <w:rPr>
            <w:b/>
            <w:bCs/>
            <w:sz w:val="24"/>
            <w:szCs w:val="24"/>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A53AD" w14:textId="77777777" w:rsidR="00240179" w:rsidRDefault="00240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91E85B" w14:textId="77777777" w:rsidR="00FE2D07" w:rsidRDefault="00FE2D07" w:rsidP="00C84D2E">
      <w:pPr>
        <w:spacing w:before="0" w:after="0" w:line="240" w:lineRule="auto"/>
      </w:pPr>
      <w:r>
        <w:separator/>
      </w:r>
    </w:p>
  </w:footnote>
  <w:footnote w:type="continuationSeparator" w:id="0">
    <w:p w14:paraId="0A9E1050" w14:textId="77777777" w:rsidR="00FE2D07" w:rsidRDefault="00FE2D07" w:rsidP="00C84D2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2CF67" w14:textId="77777777" w:rsidR="00240179" w:rsidRDefault="00240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732B9" w14:textId="03AA075B" w:rsidR="00E95FA2" w:rsidRDefault="00E95FA2" w:rsidP="00E95FA2">
    <w:pPr>
      <w:pStyle w:val="Header"/>
      <w:jc w:val="right"/>
    </w:pPr>
    <w:r>
      <w:t>Department of Treasury and Finance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735FB" w14:textId="77777777" w:rsidR="00240179" w:rsidRDefault="00240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0FFD"/>
    <w:multiLevelType w:val="hybridMultilevel"/>
    <w:tmpl w:val="12D49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F42166"/>
    <w:multiLevelType w:val="hybridMultilevel"/>
    <w:tmpl w:val="DC1482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FD16A4"/>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3" w15:restartNumberingAfterBreak="0">
    <w:nsid w:val="1B4B3A43"/>
    <w:multiLevelType w:val="hybridMultilevel"/>
    <w:tmpl w:val="AF34D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B3B311C"/>
    <w:multiLevelType w:val="hybridMultilevel"/>
    <w:tmpl w:val="78D4C0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603D88"/>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6" w15:restartNumberingAfterBreak="0">
    <w:nsid w:val="34D22A3F"/>
    <w:multiLevelType w:val="multilevel"/>
    <w:tmpl w:val="1E1EB83C"/>
    <w:lvl w:ilvl="0">
      <w:start w:val="1"/>
      <w:numFmt w:val="none"/>
      <w:pStyle w:val="LDStandard1"/>
      <w:suff w:val="nothing"/>
      <w:lvlText w:val=""/>
      <w:lvlJc w:val="left"/>
      <w:pPr>
        <w:ind w:left="0" w:firstLine="0"/>
      </w:pPr>
    </w:lvl>
    <w:lvl w:ilvl="1">
      <w:start w:val="1"/>
      <w:numFmt w:val="decimal"/>
      <w:pStyle w:val="LDStandard2"/>
      <w:lvlText w:val="%2."/>
      <w:lvlJc w:val="left"/>
      <w:pPr>
        <w:tabs>
          <w:tab w:val="num" w:pos="851"/>
        </w:tabs>
        <w:ind w:left="851" w:hanging="851"/>
      </w:pPr>
      <w:rPr>
        <w:rFonts w:ascii="Arial" w:eastAsiaTheme="minorHAnsi" w:hAnsi="Arial" w:cs="Arial" w:hint="default"/>
      </w:rPr>
    </w:lvl>
    <w:lvl w:ilvl="2">
      <w:start w:val="1"/>
      <w:numFmt w:val="decimal"/>
      <w:pStyle w:val="LDStandard3"/>
      <w:lvlText w:val="%2.%3"/>
      <w:lvlJc w:val="left"/>
      <w:pPr>
        <w:tabs>
          <w:tab w:val="num" w:pos="851"/>
        </w:tabs>
        <w:ind w:left="851" w:hanging="851"/>
      </w:pPr>
    </w:lvl>
    <w:lvl w:ilvl="3">
      <w:start w:val="1"/>
      <w:numFmt w:val="lowerLetter"/>
      <w:pStyle w:val="LDStandard4"/>
      <w:lvlText w:val="(%4)"/>
      <w:lvlJc w:val="left"/>
      <w:pPr>
        <w:tabs>
          <w:tab w:val="num" w:pos="1701"/>
        </w:tabs>
        <w:ind w:left="1701" w:hanging="850"/>
      </w:pPr>
    </w:lvl>
    <w:lvl w:ilvl="4">
      <w:start w:val="1"/>
      <w:numFmt w:val="lowerRoman"/>
      <w:pStyle w:val="LDStandard5"/>
      <w:lvlText w:val="(%5)"/>
      <w:lvlJc w:val="left"/>
      <w:pPr>
        <w:tabs>
          <w:tab w:val="num" w:pos="2552"/>
        </w:tabs>
        <w:ind w:left="2552" w:hanging="851"/>
      </w:pPr>
    </w:lvl>
    <w:lvl w:ilvl="5">
      <w:start w:val="1"/>
      <w:numFmt w:val="upperLetter"/>
      <w:pStyle w:val="LDStandard6"/>
      <w:lvlText w:val="(%6)"/>
      <w:lvlJc w:val="left"/>
      <w:pPr>
        <w:tabs>
          <w:tab w:val="num" w:pos="3402"/>
        </w:tabs>
        <w:ind w:left="3402" w:hanging="850"/>
      </w:pPr>
    </w:lvl>
    <w:lvl w:ilvl="6">
      <w:start w:val="1"/>
      <w:numFmt w:val="upperRoman"/>
      <w:pStyle w:val="LDStandard7"/>
      <w:lvlText w:val="(%7)"/>
      <w:lvlJc w:val="left"/>
      <w:pPr>
        <w:tabs>
          <w:tab w:val="num" w:pos="4253"/>
        </w:tabs>
        <w:ind w:left="4253" w:hanging="851"/>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46D3A6A"/>
    <w:multiLevelType w:val="multilevel"/>
    <w:tmpl w:val="EEB652DA"/>
    <w:lvl w:ilvl="0">
      <w:start w:val="1"/>
      <w:numFmt w:val="bullet"/>
      <w:pStyle w:val="Bullet1"/>
      <w:lvlText w:val=""/>
      <w:lvlJc w:val="left"/>
      <w:pPr>
        <w:tabs>
          <w:tab w:val="num" w:pos="360"/>
        </w:tabs>
        <w:ind w:left="360" w:hanging="360"/>
      </w:pPr>
      <w:rPr>
        <w:rFonts w:ascii="Symbol" w:hAnsi="Symbol" w:hint="default"/>
        <w:b w:val="0"/>
        <w:i w:val="0"/>
        <w:vanish w:val="0"/>
        <w:color w:val="auto"/>
        <w:sz w:val="22"/>
      </w:rPr>
    </w:lvl>
    <w:lvl w:ilvl="1">
      <w:start w:val="1"/>
      <w:numFmt w:val="bullet"/>
      <w:pStyle w:val="Bullet2"/>
      <w:lvlText w:val="o"/>
      <w:lvlJc w:val="left"/>
      <w:pPr>
        <w:tabs>
          <w:tab w:val="num" w:pos="720"/>
        </w:tabs>
        <w:ind w:left="720" w:hanging="360"/>
      </w:pPr>
      <w:rPr>
        <w:rFonts w:ascii="Courier New" w:hAnsi="Courier New" w:cs="Courier New" w:hint="default"/>
        <w:b w:val="0"/>
        <w:i w:val="0"/>
        <w:vanish w:val="0"/>
        <w:color w:val="auto"/>
        <w:sz w:val="22"/>
      </w:rPr>
    </w:lvl>
    <w:lvl w:ilvl="2">
      <w:start w:val="1"/>
      <w:numFmt w:val="bullet"/>
      <w:pStyle w:val="Bulletindent"/>
      <w:lvlText w:val=""/>
      <w:lvlJc w:val="left"/>
      <w:pPr>
        <w:tabs>
          <w:tab w:val="num" w:pos="1152"/>
        </w:tabs>
        <w:ind w:left="1152" w:hanging="360"/>
      </w:pPr>
      <w:rPr>
        <w:rFonts w:ascii="Symbol" w:hAnsi="Symbol" w:hint="default"/>
        <w:b w:val="0"/>
        <w:i w:val="0"/>
        <w:vanish w:val="0"/>
        <w:color w:val="auto"/>
        <w:sz w:val="22"/>
      </w:rPr>
    </w:lvl>
    <w:lvl w:ilvl="3">
      <w:start w:val="1"/>
      <w:numFmt w:val="bullet"/>
      <w:pStyle w:val="Bulletindent2"/>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8" w15:restartNumberingAfterBreak="0">
    <w:nsid w:val="463D4AC9"/>
    <w:multiLevelType w:val="multilevel"/>
    <w:tmpl w:val="6B1A1D86"/>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o"/>
      <w:lvlJc w:val="left"/>
      <w:pPr>
        <w:tabs>
          <w:tab w:val="num" w:pos="1293"/>
        </w:tabs>
        <w:ind w:left="1293" w:hanging="360"/>
      </w:pPr>
      <w:rPr>
        <w:rFonts w:ascii="Courier New" w:hAnsi="Courier New" w:cs="Courier New"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9" w15:restartNumberingAfterBreak="0">
    <w:nsid w:val="539B383F"/>
    <w:multiLevelType w:val="hybridMultilevel"/>
    <w:tmpl w:val="EF96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395E7E"/>
    <w:multiLevelType w:val="multilevel"/>
    <w:tmpl w:val="924E5FCC"/>
    <w:lvl w:ilvl="0">
      <w:start w:val="1"/>
      <w:numFmt w:val="bullet"/>
      <w:lvlText w:val=""/>
      <w:lvlJc w:val="left"/>
      <w:pPr>
        <w:tabs>
          <w:tab w:val="num" w:pos="501"/>
        </w:tabs>
        <w:ind w:left="501" w:hanging="360"/>
      </w:pPr>
      <w:rPr>
        <w:rFonts w:ascii="Symbol" w:hAnsi="Symbol" w:hint="default"/>
        <w:b w:val="0"/>
        <w:i w:val="0"/>
        <w:vanish w:val="0"/>
        <w:color w:val="auto"/>
        <w:sz w:val="22"/>
      </w:rPr>
    </w:lvl>
    <w:lvl w:ilvl="1">
      <w:start w:val="1"/>
      <w:numFmt w:val="bullet"/>
      <w:lvlText w:val="o"/>
      <w:lvlJc w:val="left"/>
      <w:pPr>
        <w:tabs>
          <w:tab w:val="num" w:pos="861"/>
        </w:tabs>
        <w:ind w:left="861" w:hanging="360"/>
      </w:pPr>
      <w:rPr>
        <w:rFonts w:ascii="Courier New" w:hAnsi="Courier New" w:cs="Courier New" w:hint="default"/>
        <w:b w:val="0"/>
        <w:i w:val="0"/>
        <w:vanish w:val="0"/>
        <w:color w:val="auto"/>
        <w:sz w:val="22"/>
      </w:rPr>
    </w:lvl>
    <w:lvl w:ilvl="2">
      <w:start w:val="1"/>
      <w:numFmt w:val="bullet"/>
      <w:lvlText w:val=""/>
      <w:lvlJc w:val="left"/>
      <w:pPr>
        <w:tabs>
          <w:tab w:val="num" w:pos="1293"/>
        </w:tabs>
        <w:ind w:left="1293" w:hanging="360"/>
      </w:pPr>
      <w:rPr>
        <w:rFonts w:ascii="Symbol" w:hAnsi="Symbol" w:hint="default"/>
        <w:b w:val="0"/>
        <w:i w:val="0"/>
        <w:vanish w:val="0"/>
        <w:color w:val="auto"/>
        <w:sz w:val="22"/>
      </w:rPr>
    </w:lvl>
    <w:lvl w:ilvl="3">
      <w:start w:val="1"/>
      <w:numFmt w:val="bullet"/>
      <w:lvlText w:val="–"/>
      <w:lvlJc w:val="left"/>
      <w:pPr>
        <w:tabs>
          <w:tab w:val="num" w:pos="1653"/>
        </w:tabs>
        <w:ind w:left="1653" w:hanging="360"/>
      </w:pPr>
      <w:rPr>
        <w:rFonts w:ascii="Calibri" w:hAnsi="Calibri" w:hint="default"/>
        <w:b w:val="0"/>
        <w:i w:val="0"/>
        <w:vanish w:val="0"/>
        <w:color w:val="auto"/>
        <w:sz w:val="22"/>
      </w:rPr>
    </w:lvl>
    <w:lvl w:ilvl="4">
      <w:start w:val="1"/>
      <w:numFmt w:val="bullet"/>
      <w:lvlText w:val=""/>
      <w:lvlJc w:val="left"/>
      <w:pPr>
        <w:tabs>
          <w:tab w:val="num" w:pos="2352"/>
        </w:tabs>
        <w:ind w:left="2352" w:hanging="283"/>
      </w:pPr>
      <w:rPr>
        <w:rFonts w:ascii="Symbol" w:hAnsi="Symbol" w:hint="default"/>
        <w:b w:val="0"/>
        <w:i w:val="0"/>
        <w:vanish w:val="0"/>
        <w:color w:val="auto"/>
        <w:sz w:val="22"/>
      </w:rPr>
    </w:lvl>
    <w:lvl w:ilvl="5">
      <w:start w:val="1"/>
      <w:numFmt w:val="bullet"/>
      <w:lvlText w:val=""/>
      <w:lvlJc w:val="left"/>
      <w:pPr>
        <w:tabs>
          <w:tab w:val="num" w:pos="2636"/>
        </w:tabs>
        <w:ind w:left="2636" w:hanging="284"/>
      </w:pPr>
      <w:rPr>
        <w:rFonts w:ascii="Symbol" w:hAnsi="Symbol" w:hint="default"/>
        <w:b w:val="0"/>
        <w:i w:val="0"/>
        <w:vanish w:val="0"/>
        <w:color w:val="auto"/>
        <w:sz w:val="22"/>
      </w:rPr>
    </w:lvl>
    <w:lvl w:ilvl="6">
      <w:start w:val="1"/>
      <w:numFmt w:val="bullet"/>
      <w:lvlText w:val=""/>
      <w:lvlJc w:val="left"/>
      <w:pPr>
        <w:tabs>
          <w:tab w:val="num" w:pos="2919"/>
        </w:tabs>
        <w:ind w:left="2919" w:hanging="283"/>
      </w:pPr>
      <w:rPr>
        <w:rFonts w:ascii="Symbol" w:hAnsi="Symbol" w:hint="default"/>
        <w:b w:val="0"/>
        <w:i w:val="0"/>
        <w:vanish w:val="0"/>
        <w:color w:val="auto"/>
        <w:sz w:val="22"/>
      </w:rPr>
    </w:lvl>
    <w:lvl w:ilvl="7">
      <w:start w:val="1"/>
      <w:numFmt w:val="bullet"/>
      <w:lvlText w:val=""/>
      <w:lvlJc w:val="left"/>
      <w:pPr>
        <w:tabs>
          <w:tab w:val="num" w:pos="3203"/>
        </w:tabs>
        <w:ind w:left="3203" w:hanging="284"/>
      </w:pPr>
      <w:rPr>
        <w:rFonts w:ascii="Symbol" w:hAnsi="Symbol" w:hint="default"/>
        <w:b w:val="0"/>
        <w:i w:val="0"/>
        <w:vanish w:val="0"/>
        <w:color w:val="auto"/>
        <w:sz w:val="22"/>
      </w:rPr>
    </w:lvl>
    <w:lvl w:ilvl="8">
      <w:start w:val="1"/>
      <w:numFmt w:val="bullet"/>
      <w:lvlText w:val=""/>
      <w:lvlJc w:val="left"/>
      <w:pPr>
        <w:tabs>
          <w:tab w:val="num" w:pos="3486"/>
        </w:tabs>
        <w:ind w:left="3486" w:hanging="283"/>
      </w:pPr>
      <w:rPr>
        <w:rFonts w:ascii="Symbol" w:hAnsi="Symbol" w:hint="default"/>
        <w:b w:val="0"/>
        <w:i w:val="0"/>
        <w:vanish w:val="0"/>
        <w:color w:val="auto"/>
        <w:sz w:val="22"/>
      </w:rPr>
    </w:lvl>
  </w:abstractNum>
  <w:abstractNum w:abstractNumId="11" w15:restartNumberingAfterBreak="0">
    <w:nsid w:val="5F187010"/>
    <w:multiLevelType w:val="hybridMultilevel"/>
    <w:tmpl w:val="6026E892"/>
    <w:lvl w:ilvl="0" w:tplc="0C090001">
      <w:start w:val="1"/>
      <w:numFmt w:val="bullet"/>
      <w:lvlText w:val=""/>
      <w:lvlJc w:val="left"/>
      <w:pPr>
        <w:ind w:left="720" w:hanging="360"/>
      </w:pPr>
      <w:rPr>
        <w:rFonts w:ascii="Symbol" w:hAnsi="Symbol"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1"/>
  </w:num>
  <w:num w:numId="4">
    <w:abstractNumId w:val="3"/>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
  </w:num>
  <w:num w:numId="10">
    <w:abstractNumId w:val="8"/>
  </w:num>
  <w:num w:numId="11">
    <w:abstractNumId w:val="10"/>
  </w:num>
  <w:num w:numId="12">
    <w:abstractNumId w:val="2"/>
  </w:num>
  <w:num w:numId="13">
    <w:abstractNumId w:val="5"/>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D2E"/>
    <w:rsid w:val="0000388D"/>
    <w:rsid w:val="00014335"/>
    <w:rsid w:val="000230E2"/>
    <w:rsid w:val="000532C9"/>
    <w:rsid w:val="000813F4"/>
    <w:rsid w:val="0008693F"/>
    <w:rsid w:val="00117CD2"/>
    <w:rsid w:val="001252B8"/>
    <w:rsid w:val="00127B7A"/>
    <w:rsid w:val="00174192"/>
    <w:rsid w:val="00177FA7"/>
    <w:rsid w:val="001A671C"/>
    <w:rsid w:val="001C1724"/>
    <w:rsid w:val="001C779D"/>
    <w:rsid w:val="00202188"/>
    <w:rsid w:val="00240179"/>
    <w:rsid w:val="002C1D47"/>
    <w:rsid w:val="00312069"/>
    <w:rsid w:val="00313604"/>
    <w:rsid w:val="0035527B"/>
    <w:rsid w:val="003B0304"/>
    <w:rsid w:val="003B4C07"/>
    <w:rsid w:val="003D1CF6"/>
    <w:rsid w:val="003D1EF9"/>
    <w:rsid w:val="00404852"/>
    <w:rsid w:val="004052A2"/>
    <w:rsid w:val="00465CA5"/>
    <w:rsid w:val="005D1DE9"/>
    <w:rsid w:val="005E33F3"/>
    <w:rsid w:val="005F114A"/>
    <w:rsid w:val="00614446"/>
    <w:rsid w:val="00686C0A"/>
    <w:rsid w:val="006A3599"/>
    <w:rsid w:val="006D6E78"/>
    <w:rsid w:val="006E602E"/>
    <w:rsid w:val="006F51EF"/>
    <w:rsid w:val="0073607E"/>
    <w:rsid w:val="0074559B"/>
    <w:rsid w:val="00775086"/>
    <w:rsid w:val="007D4DEC"/>
    <w:rsid w:val="00816921"/>
    <w:rsid w:val="0083725E"/>
    <w:rsid w:val="008D5665"/>
    <w:rsid w:val="00930C1D"/>
    <w:rsid w:val="009408FF"/>
    <w:rsid w:val="00966F17"/>
    <w:rsid w:val="0098715D"/>
    <w:rsid w:val="00992C94"/>
    <w:rsid w:val="009933D2"/>
    <w:rsid w:val="009C17F5"/>
    <w:rsid w:val="009E3813"/>
    <w:rsid w:val="00A30928"/>
    <w:rsid w:val="00A3245D"/>
    <w:rsid w:val="00A419AA"/>
    <w:rsid w:val="00A60B96"/>
    <w:rsid w:val="00A73300"/>
    <w:rsid w:val="00AC42CE"/>
    <w:rsid w:val="00B40719"/>
    <w:rsid w:val="00B43D4C"/>
    <w:rsid w:val="00B92D03"/>
    <w:rsid w:val="00BB07F4"/>
    <w:rsid w:val="00C13481"/>
    <w:rsid w:val="00C364CF"/>
    <w:rsid w:val="00C42BD3"/>
    <w:rsid w:val="00C84D2E"/>
    <w:rsid w:val="00CC7655"/>
    <w:rsid w:val="00CD69E9"/>
    <w:rsid w:val="00CF250F"/>
    <w:rsid w:val="00D33D36"/>
    <w:rsid w:val="00E213D5"/>
    <w:rsid w:val="00E32A43"/>
    <w:rsid w:val="00E62D19"/>
    <w:rsid w:val="00E95FA2"/>
    <w:rsid w:val="00EB03FB"/>
    <w:rsid w:val="00EB724A"/>
    <w:rsid w:val="00F069C1"/>
    <w:rsid w:val="00F74455"/>
    <w:rsid w:val="00FE2D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0C0515"/>
  <w15:chartTrackingRefBased/>
  <w15:docId w15:val="{C2991A47-0E94-46B5-A005-CD39C964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607E"/>
    <w:pPr>
      <w:spacing w:before="100" w:after="100" w:line="276" w:lineRule="auto"/>
    </w:pPr>
    <w:rPr>
      <w:rFonts w:eastAsiaTheme="minorEastAsia"/>
      <w:spacing w:val="2"/>
      <w:sz w:val="20"/>
      <w:szCs w:val="20"/>
      <w:lang w:eastAsia="en-AU"/>
    </w:rPr>
  </w:style>
  <w:style w:type="paragraph" w:styleId="Heading1">
    <w:name w:val="heading 1"/>
    <w:next w:val="Normal"/>
    <w:link w:val="Heading1Char"/>
    <w:qFormat/>
    <w:rsid w:val="0073607E"/>
    <w:pPr>
      <w:keepNext/>
      <w:keepLines/>
      <w:spacing w:before="240" w:line="276" w:lineRule="auto"/>
      <w:outlineLvl w:val="0"/>
    </w:pPr>
    <w:rPr>
      <w:rFonts w:asciiTheme="majorHAnsi" w:eastAsiaTheme="majorEastAsia" w:hAnsiTheme="majorHAnsi" w:cstheme="majorBidi"/>
      <w:b/>
      <w:bCs/>
      <w:color w:val="4472C4" w:themeColor="accent1"/>
      <w:spacing w:val="-1"/>
      <w:sz w:val="36"/>
      <w:szCs w:val="28"/>
      <w:lang w:eastAsia="en-AU"/>
    </w:rPr>
  </w:style>
  <w:style w:type="paragraph" w:styleId="Heading2">
    <w:name w:val="heading 2"/>
    <w:basedOn w:val="Normal"/>
    <w:next w:val="Normal"/>
    <w:link w:val="Heading2Char"/>
    <w:qFormat/>
    <w:rsid w:val="0073607E"/>
    <w:pPr>
      <w:keepNext/>
      <w:keepLines/>
      <w:spacing w:before="180"/>
      <w:outlineLvl w:val="1"/>
    </w:pPr>
    <w:rPr>
      <w:rFonts w:asciiTheme="majorHAnsi" w:eastAsiaTheme="majorEastAsia" w:hAnsiTheme="majorHAnsi" w:cstheme="majorBidi"/>
      <w:b/>
      <w:bCs/>
      <w:color w:val="4472C4" w:themeColor="accent1"/>
      <w:sz w:val="28"/>
      <w:szCs w:val="26"/>
    </w:rPr>
  </w:style>
  <w:style w:type="paragraph" w:styleId="Heading3">
    <w:name w:val="heading 3"/>
    <w:basedOn w:val="Normal"/>
    <w:next w:val="Normal"/>
    <w:link w:val="Heading3Char"/>
    <w:qFormat/>
    <w:rsid w:val="0073607E"/>
    <w:pPr>
      <w:keepNext/>
      <w:keepLines/>
      <w:spacing w:before="240" w:after="120"/>
      <w:outlineLvl w:val="2"/>
    </w:pPr>
    <w:rPr>
      <w:rFonts w:asciiTheme="majorHAnsi" w:eastAsiaTheme="majorEastAsia" w:hAnsiTheme="majorHAnsi" w:cstheme="majorBidi"/>
      <w:b/>
      <w:bCs/>
      <w:color w:val="4472C4"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4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D2E"/>
  </w:style>
  <w:style w:type="paragraph" w:styleId="Footer">
    <w:name w:val="footer"/>
    <w:basedOn w:val="Normal"/>
    <w:link w:val="FooterChar"/>
    <w:uiPriority w:val="24"/>
    <w:unhideWhenUsed/>
    <w:rsid w:val="00C84D2E"/>
    <w:pPr>
      <w:tabs>
        <w:tab w:val="center" w:pos="4513"/>
        <w:tab w:val="right" w:pos="9026"/>
      </w:tabs>
      <w:spacing w:after="0" w:line="240" w:lineRule="auto"/>
    </w:pPr>
  </w:style>
  <w:style w:type="character" w:customStyle="1" w:styleId="FooterChar">
    <w:name w:val="Footer Char"/>
    <w:basedOn w:val="DefaultParagraphFont"/>
    <w:link w:val="Footer"/>
    <w:uiPriority w:val="24"/>
    <w:rsid w:val="00C84D2E"/>
  </w:style>
  <w:style w:type="character" w:customStyle="1" w:styleId="Heading1Char">
    <w:name w:val="Heading 1 Char"/>
    <w:basedOn w:val="DefaultParagraphFont"/>
    <w:link w:val="Heading1"/>
    <w:rsid w:val="0073607E"/>
    <w:rPr>
      <w:rFonts w:asciiTheme="majorHAnsi" w:eastAsiaTheme="majorEastAsia" w:hAnsiTheme="majorHAnsi" w:cstheme="majorBidi"/>
      <w:b/>
      <w:bCs/>
      <w:color w:val="4472C4" w:themeColor="accent1"/>
      <w:spacing w:val="-1"/>
      <w:sz w:val="36"/>
      <w:szCs w:val="28"/>
      <w:lang w:eastAsia="en-AU"/>
    </w:rPr>
  </w:style>
  <w:style w:type="character" w:customStyle="1" w:styleId="Heading2Char">
    <w:name w:val="Heading 2 Char"/>
    <w:basedOn w:val="DefaultParagraphFont"/>
    <w:link w:val="Heading2"/>
    <w:rsid w:val="0073607E"/>
    <w:rPr>
      <w:rFonts w:asciiTheme="majorHAnsi" w:eastAsiaTheme="majorEastAsia" w:hAnsiTheme="majorHAnsi" w:cstheme="majorBidi"/>
      <w:b/>
      <w:bCs/>
      <w:color w:val="4472C4" w:themeColor="accent1"/>
      <w:spacing w:val="2"/>
      <w:sz w:val="28"/>
      <w:szCs w:val="26"/>
      <w:lang w:eastAsia="en-AU"/>
    </w:rPr>
  </w:style>
  <w:style w:type="character" w:customStyle="1" w:styleId="Heading3Char">
    <w:name w:val="Heading 3 Char"/>
    <w:basedOn w:val="DefaultParagraphFont"/>
    <w:link w:val="Heading3"/>
    <w:rsid w:val="0073607E"/>
    <w:rPr>
      <w:rFonts w:asciiTheme="majorHAnsi" w:eastAsiaTheme="majorEastAsia" w:hAnsiTheme="majorHAnsi" w:cstheme="majorBidi"/>
      <w:b/>
      <w:bCs/>
      <w:color w:val="4472C4" w:themeColor="accent1"/>
      <w:spacing w:val="2"/>
      <w:lang w:eastAsia="en-AU"/>
    </w:rPr>
  </w:style>
  <w:style w:type="character" w:styleId="Hyperlink">
    <w:name w:val="Hyperlink"/>
    <w:basedOn w:val="DefaultParagraphFont"/>
    <w:uiPriority w:val="99"/>
    <w:rsid w:val="0073607E"/>
    <w:rPr>
      <w:color w:val="0563C1" w:themeColor="hyperlink"/>
      <w:u w:val="none"/>
    </w:rPr>
  </w:style>
  <w:style w:type="paragraph" w:customStyle="1" w:styleId="Bullet1">
    <w:name w:val="Bullet 1"/>
    <w:uiPriority w:val="1"/>
    <w:qFormat/>
    <w:rsid w:val="0073607E"/>
    <w:pPr>
      <w:numPr>
        <w:numId w:val="1"/>
      </w:numPr>
      <w:spacing w:before="100" w:after="100" w:line="240" w:lineRule="auto"/>
      <w:contextualSpacing/>
    </w:pPr>
    <w:rPr>
      <w:rFonts w:eastAsia="Times New Roman" w:cs="Calibri"/>
      <w:spacing w:val="2"/>
      <w:sz w:val="20"/>
      <w:szCs w:val="20"/>
      <w:lang w:eastAsia="en-AU"/>
    </w:rPr>
  </w:style>
  <w:style w:type="paragraph" w:customStyle="1" w:styleId="Bullet2">
    <w:name w:val="Bullet 2"/>
    <w:basedOn w:val="Bullet1"/>
    <w:uiPriority w:val="1"/>
    <w:qFormat/>
    <w:rsid w:val="0073607E"/>
    <w:pPr>
      <w:numPr>
        <w:ilvl w:val="1"/>
      </w:numPr>
    </w:pPr>
  </w:style>
  <w:style w:type="paragraph" w:customStyle="1" w:styleId="Bulletindent">
    <w:name w:val="Bullet indent"/>
    <w:basedOn w:val="Bullet2"/>
    <w:uiPriority w:val="9"/>
    <w:qFormat/>
    <w:rsid w:val="0073607E"/>
    <w:pPr>
      <w:numPr>
        <w:ilvl w:val="2"/>
      </w:numPr>
    </w:pPr>
  </w:style>
  <w:style w:type="paragraph" w:customStyle="1" w:styleId="Bulletindent2">
    <w:name w:val="Bullet indent 2"/>
    <w:basedOn w:val="Normal"/>
    <w:uiPriority w:val="9"/>
    <w:qFormat/>
    <w:rsid w:val="0073607E"/>
    <w:pPr>
      <w:numPr>
        <w:ilvl w:val="3"/>
        <w:numId w:val="1"/>
      </w:numPr>
      <w:contextualSpacing/>
    </w:pPr>
  </w:style>
  <w:style w:type="character" w:styleId="PageNumber">
    <w:name w:val="page number"/>
    <w:uiPriority w:val="49"/>
    <w:semiHidden/>
    <w:rsid w:val="0073607E"/>
    <w:rPr>
      <w:b w:val="0"/>
      <w:color w:val="000000" w:themeColor="text1"/>
    </w:rPr>
  </w:style>
  <w:style w:type="paragraph" w:styleId="ListParagraph">
    <w:name w:val="List Paragraph"/>
    <w:basedOn w:val="Normal"/>
    <w:uiPriority w:val="34"/>
    <w:qFormat/>
    <w:rsid w:val="0073607E"/>
    <w:pPr>
      <w:ind w:left="720"/>
      <w:contextualSpacing/>
    </w:pPr>
  </w:style>
  <w:style w:type="paragraph" w:styleId="FootnoteText">
    <w:name w:val="footnote text"/>
    <w:basedOn w:val="Normal"/>
    <w:link w:val="FootnoteTextChar"/>
    <w:uiPriority w:val="99"/>
    <w:semiHidden/>
    <w:rsid w:val="0073607E"/>
    <w:pPr>
      <w:spacing w:before="0" w:after="60" w:line="240" w:lineRule="auto"/>
    </w:pPr>
    <w:rPr>
      <w:sz w:val="17"/>
    </w:rPr>
  </w:style>
  <w:style w:type="character" w:customStyle="1" w:styleId="FootnoteTextChar">
    <w:name w:val="Footnote Text Char"/>
    <w:basedOn w:val="DefaultParagraphFont"/>
    <w:link w:val="FootnoteText"/>
    <w:uiPriority w:val="99"/>
    <w:semiHidden/>
    <w:rsid w:val="0073607E"/>
    <w:rPr>
      <w:rFonts w:eastAsiaTheme="minorEastAsia"/>
      <w:spacing w:val="2"/>
      <w:sz w:val="17"/>
      <w:szCs w:val="20"/>
      <w:lang w:eastAsia="en-AU"/>
    </w:rPr>
  </w:style>
  <w:style w:type="character" w:styleId="FootnoteReference">
    <w:name w:val="footnote reference"/>
    <w:basedOn w:val="DefaultParagraphFont"/>
    <w:uiPriority w:val="99"/>
    <w:semiHidden/>
    <w:rsid w:val="0073607E"/>
    <w:rPr>
      <w:vertAlign w:val="superscript"/>
    </w:rPr>
  </w:style>
  <w:style w:type="table" w:styleId="LightList">
    <w:name w:val="Light List"/>
    <w:basedOn w:val="TableNormal"/>
    <w:uiPriority w:val="61"/>
    <w:rsid w:val="0073607E"/>
    <w:pPr>
      <w:spacing w:after="0" w:line="240" w:lineRule="auto"/>
    </w:pPr>
    <w:rPr>
      <w:rFonts w:eastAsiaTheme="minorEastAsia"/>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CF250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0F"/>
    <w:rPr>
      <w:rFonts w:ascii="Segoe UI" w:eastAsiaTheme="minorEastAsia" w:hAnsi="Segoe UI" w:cs="Segoe UI"/>
      <w:spacing w:val="2"/>
      <w:sz w:val="18"/>
      <w:szCs w:val="18"/>
      <w:lang w:eastAsia="en-AU"/>
    </w:rPr>
  </w:style>
  <w:style w:type="character" w:styleId="CommentReference">
    <w:name w:val="annotation reference"/>
    <w:basedOn w:val="DefaultParagraphFont"/>
    <w:uiPriority w:val="99"/>
    <w:semiHidden/>
    <w:unhideWhenUsed/>
    <w:rsid w:val="00CF250F"/>
    <w:rPr>
      <w:sz w:val="16"/>
      <w:szCs w:val="16"/>
    </w:rPr>
  </w:style>
  <w:style w:type="paragraph" w:styleId="CommentText">
    <w:name w:val="annotation text"/>
    <w:basedOn w:val="Normal"/>
    <w:link w:val="CommentTextChar"/>
    <w:uiPriority w:val="99"/>
    <w:semiHidden/>
    <w:unhideWhenUsed/>
    <w:rsid w:val="00CF250F"/>
    <w:pPr>
      <w:spacing w:line="240" w:lineRule="auto"/>
    </w:pPr>
  </w:style>
  <w:style w:type="character" w:customStyle="1" w:styleId="CommentTextChar">
    <w:name w:val="Comment Text Char"/>
    <w:basedOn w:val="DefaultParagraphFont"/>
    <w:link w:val="CommentText"/>
    <w:uiPriority w:val="99"/>
    <w:semiHidden/>
    <w:rsid w:val="00CF250F"/>
    <w:rPr>
      <w:rFonts w:eastAsiaTheme="minorEastAsia"/>
      <w:spacing w:val="2"/>
      <w:sz w:val="20"/>
      <w:szCs w:val="20"/>
      <w:lang w:eastAsia="en-AU"/>
    </w:rPr>
  </w:style>
  <w:style w:type="paragraph" w:styleId="CommentSubject">
    <w:name w:val="annotation subject"/>
    <w:basedOn w:val="CommentText"/>
    <w:next w:val="CommentText"/>
    <w:link w:val="CommentSubjectChar"/>
    <w:uiPriority w:val="99"/>
    <w:semiHidden/>
    <w:unhideWhenUsed/>
    <w:rsid w:val="00CF250F"/>
    <w:rPr>
      <w:b/>
      <w:bCs/>
    </w:rPr>
  </w:style>
  <w:style w:type="character" w:customStyle="1" w:styleId="CommentSubjectChar">
    <w:name w:val="Comment Subject Char"/>
    <w:basedOn w:val="CommentTextChar"/>
    <w:link w:val="CommentSubject"/>
    <w:uiPriority w:val="99"/>
    <w:semiHidden/>
    <w:rsid w:val="00CF250F"/>
    <w:rPr>
      <w:rFonts w:eastAsiaTheme="minorEastAsia"/>
      <w:b/>
      <w:bCs/>
      <w:spacing w:val="2"/>
      <w:sz w:val="20"/>
      <w:szCs w:val="20"/>
      <w:lang w:eastAsia="en-AU"/>
    </w:rPr>
  </w:style>
  <w:style w:type="character" w:styleId="Emphasis">
    <w:name w:val="Emphasis"/>
    <w:basedOn w:val="DefaultParagraphFont"/>
    <w:uiPriority w:val="20"/>
    <w:qFormat/>
    <w:rsid w:val="00202188"/>
    <w:rPr>
      <w:b/>
      <w:bCs/>
      <w:i w:val="0"/>
      <w:iCs w:val="0"/>
    </w:rPr>
  </w:style>
  <w:style w:type="paragraph" w:styleId="NoSpacing">
    <w:name w:val="No Spacing"/>
    <w:uiPriority w:val="1"/>
    <w:qFormat/>
    <w:rsid w:val="00312069"/>
    <w:pPr>
      <w:spacing w:after="0" w:line="240" w:lineRule="auto"/>
    </w:pPr>
  </w:style>
  <w:style w:type="paragraph" w:customStyle="1" w:styleId="LDIndent1">
    <w:name w:val="LD_Indent1"/>
    <w:basedOn w:val="Normal"/>
    <w:uiPriority w:val="1"/>
    <w:rsid w:val="00312069"/>
    <w:pPr>
      <w:spacing w:before="0" w:after="240" w:line="240" w:lineRule="auto"/>
      <w:ind w:left="851"/>
    </w:pPr>
    <w:rPr>
      <w:rFonts w:ascii="Arial" w:eastAsia="Times New Roman" w:hAnsi="Arial" w:cs="Times New Roman"/>
      <w:spacing w:val="0"/>
      <w:kern w:val="22"/>
      <w:sz w:val="22"/>
      <w:szCs w:val="24"/>
      <w:lang w:eastAsia="en-US"/>
    </w:rPr>
  </w:style>
  <w:style w:type="paragraph" w:customStyle="1" w:styleId="LDStandard1">
    <w:name w:val="LD_Standard1"/>
    <w:basedOn w:val="Normal"/>
    <w:next w:val="Normal"/>
    <w:uiPriority w:val="7"/>
    <w:qFormat/>
    <w:rsid w:val="00312069"/>
    <w:pPr>
      <w:keepNext/>
      <w:keepLines/>
      <w:numPr>
        <w:numId w:val="6"/>
      </w:numPr>
      <w:spacing w:before="0" w:after="240" w:line="240" w:lineRule="auto"/>
    </w:pPr>
    <w:rPr>
      <w:rFonts w:ascii="Arial" w:eastAsiaTheme="minorHAnsi" w:hAnsi="Arial" w:cs="Arial"/>
      <w:b/>
      <w:spacing w:val="0"/>
      <w:sz w:val="26"/>
      <w:szCs w:val="24"/>
      <w:lang w:eastAsia="en-US"/>
    </w:rPr>
  </w:style>
  <w:style w:type="paragraph" w:customStyle="1" w:styleId="LDStandard2">
    <w:name w:val="LD_Standard2"/>
    <w:basedOn w:val="Normal"/>
    <w:uiPriority w:val="7"/>
    <w:qFormat/>
    <w:rsid w:val="00312069"/>
    <w:pPr>
      <w:keepNext/>
      <w:numPr>
        <w:ilvl w:val="1"/>
        <w:numId w:val="6"/>
      </w:numPr>
      <w:spacing w:before="0" w:after="240" w:line="240" w:lineRule="auto"/>
    </w:pPr>
    <w:rPr>
      <w:rFonts w:ascii="Arial" w:eastAsiaTheme="minorHAnsi" w:hAnsi="Arial" w:cs="Arial"/>
      <w:b/>
      <w:spacing w:val="0"/>
      <w:sz w:val="26"/>
      <w:szCs w:val="24"/>
      <w:lang w:eastAsia="en-US"/>
    </w:rPr>
  </w:style>
  <w:style w:type="paragraph" w:customStyle="1" w:styleId="LDStandard3">
    <w:name w:val="LD_Standard3"/>
    <w:basedOn w:val="LDStandard2"/>
    <w:uiPriority w:val="7"/>
    <w:qFormat/>
    <w:rsid w:val="00312069"/>
    <w:pPr>
      <w:numPr>
        <w:ilvl w:val="2"/>
      </w:numPr>
    </w:pPr>
  </w:style>
  <w:style w:type="paragraph" w:customStyle="1" w:styleId="LDStandard4">
    <w:name w:val="LD_Standard4"/>
    <w:basedOn w:val="LDStandard3"/>
    <w:uiPriority w:val="7"/>
    <w:qFormat/>
    <w:rsid w:val="00312069"/>
    <w:pPr>
      <w:keepNext w:val="0"/>
      <w:numPr>
        <w:ilvl w:val="3"/>
      </w:numPr>
    </w:pPr>
    <w:rPr>
      <w:b w:val="0"/>
      <w:sz w:val="22"/>
    </w:rPr>
  </w:style>
  <w:style w:type="paragraph" w:customStyle="1" w:styleId="LDStandard5">
    <w:name w:val="LD_Standard5"/>
    <w:basedOn w:val="LDStandard4"/>
    <w:uiPriority w:val="7"/>
    <w:qFormat/>
    <w:rsid w:val="00312069"/>
    <w:pPr>
      <w:numPr>
        <w:ilvl w:val="4"/>
      </w:numPr>
    </w:pPr>
  </w:style>
  <w:style w:type="paragraph" w:customStyle="1" w:styleId="LDStandard6">
    <w:name w:val="LD_Standard6"/>
    <w:basedOn w:val="LDStandard5"/>
    <w:uiPriority w:val="7"/>
    <w:qFormat/>
    <w:rsid w:val="00312069"/>
    <w:pPr>
      <w:numPr>
        <w:ilvl w:val="5"/>
      </w:numPr>
    </w:pPr>
  </w:style>
  <w:style w:type="paragraph" w:customStyle="1" w:styleId="LDStandard7">
    <w:name w:val="LD_Standard7"/>
    <w:basedOn w:val="LDStandard6"/>
    <w:uiPriority w:val="7"/>
    <w:qFormat/>
    <w:rsid w:val="00312069"/>
    <w:pPr>
      <w:numPr>
        <w:ilvl w:val="6"/>
      </w:numPr>
    </w:pPr>
  </w:style>
  <w:style w:type="table" w:customStyle="1" w:styleId="DTFtexttable">
    <w:name w:val="DTF text table"/>
    <w:basedOn w:val="TableGrid"/>
    <w:uiPriority w:val="99"/>
    <w:rsid w:val="0000388D"/>
    <w:pPr>
      <w:spacing w:before="30" w:after="30" w:line="264" w:lineRule="auto"/>
    </w:pPr>
    <w:rPr>
      <w:spacing w:val="2"/>
      <w:sz w:val="17"/>
      <w:szCs w:val="21"/>
      <w:lang w:eastAsia="en-AU"/>
    </w:rPr>
    <w:tblPr>
      <w:tblStyleRowBandSize w:val="1"/>
      <w:tblStyleColBandSize w:val="1"/>
      <w:tblBorders>
        <w:top w:val="none" w:sz="0" w:space="0" w:color="auto"/>
        <w:left w:val="none" w:sz="0" w:space="0" w:color="auto"/>
        <w:bottom w:val="single" w:sz="12" w:space="0" w:color="4472C4" w:themeColor="accent1"/>
        <w:right w:val="none" w:sz="0" w:space="0" w:color="auto"/>
        <w:insideH w:val="none" w:sz="0" w:space="0" w:color="auto"/>
        <w:insideV w:val="none" w:sz="0" w:space="0" w:color="auto"/>
      </w:tblBorders>
      <w:tblCellMar>
        <w:left w:w="57" w:type="dxa"/>
        <w:right w:w="57" w:type="dxa"/>
      </w:tblCellMar>
    </w:tblPr>
    <w:trPr>
      <w:cantSplit/>
    </w:trPr>
    <w:tblStylePr w:type="firstRow">
      <w:pPr>
        <w:keepNext/>
        <w:keepLines/>
        <w:widowControl/>
        <w:wordWrap/>
        <w:spacing w:beforeLines="0" w:before="120" w:beforeAutospacing="0" w:afterLines="0" w:after="30" w:afterAutospacing="0"/>
        <w:jc w:val="left"/>
      </w:pPr>
      <w:rPr>
        <w:b/>
        <w:i w:val="0"/>
        <w:color w:val="FFFFFF" w:themeColor="background1"/>
      </w:rPr>
      <w:tblPr/>
      <w:tcPr>
        <w:shd w:val="clear" w:color="auto" w:fill="74AA50"/>
        <w:vAlign w:val="bottom"/>
      </w:tcPr>
    </w:tblStylePr>
    <w:tblStylePr w:type="lastRow">
      <w:rPr>
        <w:b/>
      </w:rPr>
      <w:tblPr/>
      <w:tcPr>
        <w:tcBorders>
          <w:top w:val="single" w:sz="6" w:space="0" w:color="4472C4" w:themeColor="accent1"/>
          <w:left w:val="nil"/>
          <w:bottom w:val="single" w:sz="12" w:space="0" w:color="4472C4" w:themeColor="accent1"/>
          <w:right w:val="nil"/>
          <w:insideV w:val="nil"/>
        </w:tcBorders>
      </w:tcPr>
    </w:tblStylePr>
    <w:tblStylePr w:type="firstCol">
      <w:pPr>
        <w:jc w:val="left"/>
      </w:pPr>
      <w:tblPr/>
      <w:tcPr>
        <w:shd w:val="clear" w:color="auto" w:fill="EDEDED" w:themeFill="accent3" w:themeFillTint="33"/>
      </w:tcPr>
    </w:tblStylePr>
    <w:tblStylePr w:type="lastCol">
      <w:pPr>
        <w:jc w:val="left"/>
      </w:pPr>
    </w:tblStylePr>
    <w:tblStylePr w:type="band1Vert">
      <w:pPr>
        <w:jc w:val="left"/>
      </w:pPr>
    </w:tblStylePr>
    <w:tblStylePr w:type="band2Vert">
      <w:pPr>
        <w:jc w:val="left"/>
      </w:pPr>
    </w:tblStylePr>
    <w:tblStylePr w:type="band2Horz">
      <w:tblPr/>
      <w:tcPr>
        <w:shd w:val="clear" w:color="auto" w:fill="DEEAF6" w:themeFill="accent5" w:themeFillTint="33"/>
      </w:tcPr>
    </w:tblStylePr>
    <w:tblStylePr w:type="neCell">
      <w:pPr>
        <w:jc w:val="left"/>
      </w:pPr>
    </w:tblStylePr>
    <w:tblStylePr w:type="nwCell">
      <w:pPr>
        <w:jc w:val="left"/>
      </w:pPr>
    </w:tblStylePr>
    <w:tblStylePr w:type="seCell">
      <w:pPr>
        <w:jc w:val="left"/>
      </w:pPr>
    </w:tblStylePr>
    <w:tblStylePr w:type="swCell">
      <w:pPr>
        <w:jc w:val="left"/>
      </w:pPr>
    </w:tblStylePr>
  </w:style>
  <w:style w:type="paragraph" w:customStyle="1" w:styleId="Tablechartdiagramheading">
    <w:name w:val="Table/chart/diagram heading"/>
    <w:uiPriority w:val="4"/>
    <w:qFormat/>
    <w:rsid w:val="0000388D"/>
    <w:pPr>
      <w:keepNext/>
      <w:tabs>
        <w:tab w:val="left" w:pos="1080"/>
      </w:tabs>
      <w:spacing w:before="160" w:after="100" w:line="276" w:lineRule="auto"/>
    </w:pPr>
    <w:rPr>
      <w:rFonts w:eastAsiaTheme="minorEastAsia"/>
      <w:b/>
      <w:bCs/>
      <w:spacing w:val="2"/>
      <w:sz w:val="18"/>
      <w:szCs w:val="18"/>
      <w:lang w:eastAsia="en-AU"/>
    </w:rPr>
  </w:style>
  <w:style w:type="table" w:styleId="TableGrid">
    <w:name w:val="Table Grid"/>
    <w:basedOn w:val="TableNormal"/>
    <w:uiPriority w:val="39"/>
    <w:rsid w:val="000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220111">
      <w:bodyDiv w:val="1"/>
      <w:marLeft w:val="0"/>
      <w:marRight w:val="0"/>
      <w:marTop w:val="0"/>
      <w:marBottom w:val="0"/>
      <w:divBdr>
        <w:top w:val="none" w:sz="0" w:space="0" w:color="auto"/>
        <w:left w:val="none" w:sz="0" w:space="0" w:color="auto"/>
        <w:bottom w:val="none" w:sz="0" w:space="0" w:color="auto"/>
        <w:right w:val="none" w:sz="0" w:space="0" w:color="auto"/>
      </w:divBdr>
    </w:div>
    <w:div w:id="1486042657">
      <w:bodyDiv w:val="1"/>
      <w:marLeft w:val="0"/>
      <w:marRight w:val="0"/>
      <w:marTop w:val="0"/>
      <w:marBottom w:val="0"/>
      <w:divBdr>
        <w:top w:val="none" w:sz="0" w:space="0" w:color="auto"/>
        <w:left w:val="none" w:sz="0" w:space="0" w:color="auto"/>
        <w:bottom w:val="none" w:sz="0" w:space="0" w:color="auto"/>
        <w:right w:val="none" w:sz="0" w:space="0" w:color="auto"/>
      </w:divBdr>
    </w:div>
    <w:div w:id="1828478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CB6B2-2736-4E25-80EC-8FAC5CF6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400</Words>
  <Characters>2283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Athena Rozenberg (DTF)</cp:lastModifiedBy>
  <cp:revision>8</cp:revision>
  <dcterms:created xsi:type="dcterms:W3CDTF">2019-08-14T11:28:00Z</dcterms:created>
  <dcterms:modified xsi:type="dcterms:W3CDTF">2019-08-14T11:45:00Z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athena.rozenberg@dtf.vic.gov.au</vt:lpwstr>
  </property>
  <property fmtid="{D5CDD505-2E9C-101B-9397-08002B2CF9AE}" pid="5" name="MSIP_Label_7158ebbd-6c5e-441f-bfc9-4eb8c11e3978_SetDate">
    <vt:lpwstr>2019-07-20T08:28:29.2443402Z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Sensitivity">
    <vt:lpwstr>OFFICIAL</vt:lpwstr>
  </property>
</Properties>
</file>