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29AF4" w14:textId="06BF7233" w:rsidR="00B43D4C" w:rsidRPr="005E15C1" w:rsidRDefault="00B43D4C" w:rsidP="005E15C1">
      <w:pPr>
        <w:pStyle w:val="Heading1"/>
        <w:rPr>
          <w:color w:val="7030A0"/>
          <w:sz w:val="32"/>
          <w:szCs w:val="32"/>
        </w:rPr>
      </w:pPr>
      <w:r w:rsidRPr="005E15C1">
        <w:rPr>
          <w:color w:val="7030A0"/>
          <w:sz w:val="32"/>
          <w:szCs w:val="32"/>
        </w:rPr>
        <w:t xml:space="preserve">Model social procurement evaluation matrix – procurement valued </w:t>
      </w:r>
      <w:r w:rsidR="00930C1D" w:rsidRPr="005E15C1">
        <w:rPr>
          <w:color w:val="7030A0"/>
          <w:sz w:val="32"/>
          <w:szCs w:val="32"/>
        </w:rPr>
        <w:t xml:space="preserve">at or above </w:t>
      </w:r>
      <w:r w:rsidRPr="005E15C1">
        <w:rPr>
          <w:color w:val="7030A0"/>
          <w:sz w:val="32"/>
          <w:szCs w:val="32"/>
        </w:rPr>
        <w:t xml:space="preserve">$1 million </w:t>
      </w:r>
      <w:r w:rsidR="00930C1D" w:rsidRPr="005E15C1">
        <w:rPr>
          <w:color w:val="7030A0"/>
          <w:sz w:val="32"/>
          <w:szCs w:val="32"/>
        </w:rPr>
        <w:t>(</w:t>
      </w:r>
      <w:r w:rsidRPr="005E15C1">
        <w:rPr>
          <w:color w:val="7030A0"/>
          <w:sz w:val="32"/>
          <w:szCs w:val="32"/>
        </w:rPr>
        <w:t>regional</w:t>
      </w:r>
      <w:r w:rsidR="00930C1D" w:rsidRPr="005E15C1">
        <w:rPr>
          <w:color w:val="7030A0"/>
          <w:sz w:val="32"/>
          <w:szCs w:val="32"/>
        </w:rPr>
        <w:t>)</w:t>
      </w:r>
      <w:r w:rsidRPr="005E15C1">
        <w:rPr>
          <w:color w:val="7030A0"/>
          <w:sz w:val="32"/>
          <w:szCs w:val="32"/>
        </w:rPr>
        <w:t xml:space="preserve"> </w:t>
      </w:r>
      <w:r w:rsidR="00930C1D" w:rsidRPr="005E15C1">
        <w:rPr>
          <w:color w:val="7030A0"/>
          <w:sz w:val="32"/>
          <w:szCs w:val="32"/>
        </w:rPr>
        <w:t xml:space="preserve">or </w:t>
      </w:r>
      <w:r w:rsidRPr="005E15C1">
        <w:rPr>
          <w:color w:val="7030A0"/>
          <w:sz w:val="32"/>
          <w:szCs w:val="32"/>
        </w:rPr>
        <w:t xml:space="preserve">$3 million </w:t>
      </w:r>
      <w:r w:rsidR="00930C1D" w:rsidRPr="005E15C1">
        <w:rPr>
          <w:color w:val="7030A0"/>
          <w:sz w:val="32"/>
          <w:szCs w:val="32"/>
        </w:rPr>
        <w:t>(</w:t>
      </w:r>
      <w:r w:rsidRPr="005E15C1">
        <w:rPr>
          <w:color w:val="7030A0"/>
          <w:sz w:val="32"/>
          <w:szCs w:val="32"/>
        </w:rPr>
        <w:t xml:space="preserve">metro or </w:t>
      </w:r>
      <w:r w:rsidR="00930C1D" w:rsidRPr="005E15C1">
        <w:rPr>
          <w:color w:val="7030A0"/>
          <w:sz w:val="32"/>
          <w:szCs w:val="32"/>
        </w:rPr>
        <w:t>S</w:t>
      </w:r>
      <w:r w:rsidRPr="005E15C1">
        <w:rPr>
          <w:color w:val="7030A0"/>
          <w:sz w:val="32"/>
          <w:szCs w:val="32"/>
        </w:rPr>
        <w:t>tate-wide</w:t>
      </w:r>
      <w:r w:rsidR="00930C1D" w:rsidRPr="005E15C1">
        <w:rPr>
          <w:color w:val="7030A0"/>
          <w:sz w:val="32"/>
          <w:szCs w:val="32"/>
        </w:rPr>
        <w:t>)</w:t>
      </w:r>
      <w:r w:rsidRPr="005E15C1">
        <w:rPr>
          <w:color w:val="7030A0"/>
          <w:sz w:val="32"/>
          <w:szCs w:val="32"/>
        </w:rPr>
        <w:t xml:space="preserve"> </w:t>
      </w:r>
      <w:r w:rsidR="00930C1D" w:rsidRPr="005E15C1">
        <w:rPr>
          <w:color w:val="7030A0"/>
          <w:sz w:val="32"/>
          <w:szCs w:val="32"/>
        </w:rPr>
        <w:t xml:space="preserve">up to </w:t>
      </w:r>
      <w:r w:rsidRPr="005E15C1">
        <w:rPr>
          <w:color w:val="7030A0"/>
          <w:sz w:val="32"/>
          <w:szCs w:val="32"/>
        </w:rPr>
        <w:t>$20 million (exclusive of GST)</w:t>
      </w:r>
    </w:p>
    <w:p w14:paraId="655D3962" w14:textId="7B2845EC" w:rsidR="00B43D4C" w:rsidRPr="005E15C1" w:rsidRDefault="00B43D4C" w:rsidP="005E15C1">
      <w:pPr>
        <w:pStyle w:val="Tablechartdiagramheading"/>
        <w:keepNext w:val="0"/>
        <w:rPr>
          <w:b w:val="0"/>
          <w:sz w:val="22"/>
          <w:szCs w:val="22"/>
        </w:rPr>
      </w:pPr>
      <w:r w:rsidRPr="005E15C1">
        <w:rPr>
          <w:b w:val="0"/>
          <w:sz w:val="22"/>
          <w:szCs w:val="22"/>
        </w:rPr>
        <w:t xml:space="preserve">The following table provides a summary of evaluation criteria, weighting and scoring for each Social Procurement Framework objective, based on the examples approaches in the tools </w:t>
      </w:r>
      <w:r w:rsidRPr="005E15C1">
        <w:rPr>
          <w:rFonts w:cstheme="minorHAnsi"/>
          <w:sz w:val="22"/>
          <w:szCs w:val="22"/>
        </w:rPr>
        <w:t xml:space="preserve">Application of Social Procurement Framework weighting (example) </w:t>
      </w:r>
      <w:r w:rsidRPr="005E15C1">
        <w:rPr>
          <w:rFonts w:cstheme="minorHAnsi"/>
          <w:b w:val="0"/>
          <w:sz w:val="22"/>
          <w:szCs w:val="22"/>
        </w:rPr>
        <w:t>and</w:t>
      </w:r>
      <w:r w:rsidRPr="005E15C1">
        <w:rPr>
          <w:rFonts w:cstheme="minorHAnsi"/>
          <w:sz w:val="22"/>
          <w:szCs w:val="22"/>
        </w:rPr>
        <w:t xml:space="preserve"> Scoring against Social Procurement Framework evaluation criteria (example)</w:t>
      </w:r>
      <w:r w:rsidRPr="005E15C1">
        <w:rPr>
          <w:b w:val="0"/>
          <w:sz w:val="22"/>
          <w:szCs w:val="22"/>
        </w:rPr>
        <w:t>.</w:t>
      </w:r>
    </w:p>
    <w:p w14:paraId="446F6002" w14:textId="77777777" w:rsidR="00B43D4C" w:rsidRPr="005E15C1" w:rsidRDefault="00B43D4C" w:rsidP="005E15C1">
      <w:pPr>
        <w:pStyle w:val="Tablechartdiagramheading"/>
        <w:keepNext w:val="0"/>
        <w:rPr>
          <w:b w:val="0"/>
          <w:sz w:val="22"/>
          <w:szCs w:val="22"/>
        </w:rPr>
      </w:pPr>
      <w:r w:rsidRPr="005E15C1">
        <w:rPr>
          <w:b w:val="0"/>
          <w:sz w:val="22"/>
          <w:szCs w:val="22"/>
        </w:rPr>
        <w:t>This example approach is not prescriptive – it is up to the government buyer to determine the most appropriate approach based on the circumstances of the individual procurement activity.</w:t>
      </w:r>
    </w:p>
    <w:p w14:paraId="5BEEE111" w14:textId="77777777" w:rsidR="00B43D4C" w:rsidRPr="005E15C1" w:rsidRDefault="00B43D4C" w:rsidP="005E15C1">
      <w:pPr>
        <w:pStyle w:val="Heading2"/>
        <w:rPr>
          <w:rFonts w:eastAsia="Times New Roman"/>
          <w:color w:val="7030A0"/>
          <w:szCs w:val="28"/>
        </w:rPr>
      </w:pPr>
      <w:r w:rsidRPr="005E15C1">
        <w:rPr>
          <w:rFonts w:eastAsia="Times New Roman"/>
          <w:color w:val="7030A0"/>
          <w:szCs w:val="28"/>
        </w:rPr>
        <w:t>Key focus area(s): Supplier attributes and social or sustainable business practices</w:t>
      </w:r>
    </w:p>
    <w:p w14:paraId="763D355F" w14:textId="264C4570" w:rsidR="00B43D4C" w:rsidRPr="005E15C1" w:rsidRDefault="00B43D4C" w:rsidP="00B43D4C">
      <w:pPr>
        <w:rPr>
          <w:sz w:val="22"/>
          <w:szCs w:val="22"/>
        </w:rPr>
      </w:pPr>
      <w:r w:rsidRPr="005E15C1">
        <w:rPr>
          <w:sz w:val="22"/>
          <w:szCs w:val="22"/>
        </w:rPr>
        <w:t>Note: Weighted score for social procurement component will form part of total score available for all components of the evaluation matrix</w:t>
      </w:r>
    </w:p>
    <w:tbl>
      <w:tblPr>
        <w:tblStyle w:val="DTFtexttable"/>
        <w:tblW w:w="14516" w:type="dxa"/>
        <w:tblLayout w:type="fixed"/>
        <w:tblLook w:val="0620" w:firstRow="1" w:lastRow="0" w:firstColumn="0" w:lastColumn="0" w:noHBand="1" w:noVBand="1"/>
      </w:tblPr>
      <w:tblGrid>
        <w:gridCol w:w="1758"/>
        <w:gridCol w:w="2127"/>
        <w:gridCol w:w="708"/>
        <w:gridCol w:w="6521"/>
        <w:gridCol w:w="1559"/>
        <w:gridCol w:w="1843"/>
      </w:tblGrid>
      <w:tr w:rsidR="005E15C1" w:rsidRPr="005E15C1" w14:paraId="76299E86" w14:textId="77777777" w:rsidTr="005E15C1">
        <w:trPr>
          <w:cnfStyle w:val="100000000000" w:firstRow="1" w:lastRow="0" w:firstColumn="0" w:lastColumn="0" w:oddVBand="0" w:evenVBand="0" w:oddHBand="0" w:evenHBand="0" w:firstRowFirstColumn="0" w:firstRowLastColumn="0" w:lastRowFirstColumn="0" w:lastRowLastColumn="0"/>
          <w:trHeight w:val="139"/>
          <w:tblHeader/>
        </w:trPr>
        <w:tc>
          <w:tcPr>
            <w:tcW w:w="1758" w:type="dxa"/>
            <w:tcBorders>
              <w:top w:val="single" w:sz="6" w:space="0" w:color="auto"/>
              <w:bottom w:val="single" w:sz="6" w:space="0" w:color="auto"/>
            </w:tcBorders>
            <w:shd w:val="clear" w:color="auto" w:fill="auto"/>
          </w:tcPr>
          <w:p w14:paraId="25356DE8" w14:textId="77777777" w:rsidR="00B43D4C" w:rsidRPr="005E15C1" w:rsidRDefault="00B43D4C" w:rsidP="000532C9">
            <w:pPr>
              <w:rPr>
                <w:color w:val="auto"/>
              </w:rPr>
            </w:pPr>
            <w:r w:rsidRPr="005E15C1">
              <w:rPr>
                <w:color w:val="auto"/>
              </w:rPr>
              <w:t>Objective / Strategy</w:t>
            </w:r>
          </w:p>
        </w:tc>
        <w:tc>
          <w:tcPr>
            <w:tcW w:w="2127" w:type="dxa"/>
            <w:tcBorders>
              <w:top w:val="single" w:sz="6" w:space="0" w:color="auto"/>
              <w:bottom w:val="single" w:sz="6" w:space="0" w:color="auto"/>
            </w:tcBorders>
            <w:shd w:val="clear" w:color="auto" w:fill="auto"/>
          </w:tcPr>
          <w:p w14:paraId="0DC62272" w14:textId="77777777" w:rsidR="00B43D4C" w:rsidRPr="005E15C1" w:rsidRDefault="00B43D4C" w:rsidP="000532C9">
            <w:pPr>
              <w:rPr>
                <w:color w:val="auto"/>
              </w:rPr>
            </w:pPr>
            <w:r w:rsidRPr="005E15C1">
              <w:rPr>
                <w:color w:val="auto"/>
              </w:rPr>
              <w:t>Comment</w:t>
            </w:r>
          </w:p>
        </w:tc>
        <w:tc>
          <w:tcPr>
            <w:tcW w:w="708" w:type="dxa"/>
            <w:tcBorders>
              <w:top w:val="single" w:sz="6" w:space="0" w:color="auto"/>
              <w:bottom w:val="single" w:sz="6" w:space="0" w:color="auto"/>
            </w:tcBorders>
            <w:shd w:val="clear" w:color="auto" w:fill="auto"/>
          </w:tcPr>
          <w:p w14:paraId="052415A2" w14:textId="77777777" w:rsidR="00B43D4C" w:rsidRPr="005E15C1" w:rsidRDefault="00B43D4C" w:rsidP="000532C9">
            <w:pPr>
              <w:rPr>
                <w:color w:val="auto"/>
              </w:rPr>
            </w:pPr>
            <w:r w:rsidRPr="005E15C1">
              <w:rPr>
                <w:color w:val="auto"/>
              </w:rPr>
              <w:t>Score</w:t>
            </w:r>
          </w:p>
        </w:tc>
        <w:tc>
          <w:tcPr>
            <w:tcW w:w="6521" w:type="dxa"/>
            <w:tcBorders>
              <w:top w:val="single" w:sz="6" w:space="0" w:color="auto"/>
              <w:bottom w:val="single" w:sz="6" w:space="0" w:color="auto"/>
            </w:tcBorders>
            <w:shd w:val="clear" w:color="auto" w:fill="auto"/>
          </w:tcPr>
          <w:p w14:paraId="545E8D64" w14:textId="77777777" w:rsidR="00B43D4C" w:rsidRPr="005E15C1" w:rsidRDefault="00B43D4C" w:rsidP="000532C9">
            <w:pPr>
              <w:rPr>
                <w:color w:val="auto"/>
              </w:rPr>
            </w:pPr>
            <w:r w:rsidRPr="005E15C1">
              <w:rPr>
                <w:color w:val="auto"/>
              </w:rPr>
              <w:t>Scoring</w:t>
            </w:r>
          </w:p>
        </w:tc>
        <w:tc>
          <w:tcPr>
            <w:tcW w:w="1559" w:type="dxa"/>
            <w:tcBorders>
              <w:top w:val="single" w:sz="6" w:space="0" w:color="auto"/>
              <w:bottom w:val="single" w:sz="6" w:space="0" w:color="auto"/>
            </w:tcBorders>
            <w:shd w:val="clear" w:color="auto" w:fill="auto"/>
          </w:tcPr>
          <w:p w14:paraId="4A630F3E" w14:textId="77777777" w:rsidR="00B43D4C" w:rsidRPr="005E15C1" w:rsidRDefault="00B43D4C" w:rsidP="000532C9">
            <w:pPr>
              <w:rPr>
                <w:color w:val="auto"/>
              </w:rPr>
            </w:pPr>
            <w:r w:rsidRPr="005E15C1">
              <w:rPr>
                <w:color w:val="auto"/>
              </w:rPr>
              <w:t>Weighting</w:t>
            </w:r>
          </w:p>
        </w:tc>
        <w:tc>
          <w:tcPr>
            <w:tcW w:w="1843" w:type="dxa"/>
            <w:tcBorders>
              <w:top w:val="single" w:sz="6" w:space="0" w:color="auto"/>
              <w:bottom w:val="single" w:sz="6" w:space="0" w:color="auto"/>
            </w:tcBorders>
            <w:shd w:val="clear" w:color="auto" w:fill="auto"/>
          </w:tcPr>
          <w:p w14:paraId="554C962A" w14:textId="77777777" w:rsidR="00B43D4C" w:rsidRPr="005E15C1" w:rsidRDefault="00B43D4C" w:rsidP="000532C9">
            <w:pPr>
              <w:rPr>
                <w:color w:val="auto"/>
              </w:rPr>
            </w:pPr>
            <w:r w:rsidRPr="005E15C1">
              <w:rPr>
                <w:color w:val="auto"/>
              </w:rPr>
              <w:t>Weighted score</w:t>
            </w:r>
          </w:p>
        </w:tc>
      </w:tr>
      <w:tr w:rsidR="00B43D4C" w14:paraId="1F87B5CB" w14:textId="77777777" w:rsidTr="005E15C1">
        <w:trPr>
          <w:trHeight w:val="1211"/>
        </w:trPr>
        <w:tc>
          <w:tcPr>
            <w:tcW w:w="1758" w:type="dxa"/>
            <w:tcBorders>
              <w:top w:val="single" w:sz="6" w:space="0" w:color="auto"/>
              <w:bottom w:val="single" w:sz="6" w:space="0" w:color="auto"/>
            </w:tcBorders>
          </w:tcPr>
          <w:p w14:paraId="35B36FA5" w14:textId="77777777" w:rsidR="00B43D4C" w:rsidRPr="007A370D" w:rsidRDefault="00B43D4C" w:rsidP="000532C9">
            <w:pPr>
              <w:rPr>
                <w:b/>
              </w:rPr>
            </w:pPr>
            <w:r w:rsidRPr="007A370D">
              <w:rPr>
                <w:b/>
              </w:rPr>
              <w:t>Sustainable Victorian social enterprise and Aboriginal business sectors</w:t>
            </w:r>
          </w:p>
          <w:p w14:paraId="3FCED53F" w14:textId="77777777" w:rsidR="00B43D4C" w:rsidRDefault="00B43D4C" w:rsidP="000532C9">
            <w:r>
              <w:t>Purchasing from Victorian social enterprise, ADE or Aboriginal business</w:t>
            </w:r>
          </w:p>
        </w:tc>
        <w:tc>
          <w:tcPr>
            <w:tcW w:w="2127" w:type="dxa"/>
            <w:tcBorders>
              <w:top w:val="single" w:sz="6" w:space="0" w:color="auto"/>
              <w:bottom w:val="single" w:sz="6" w:space="0" w:color="auto"/>
            </w:tcBorders>
          </w:tcPr>
          <w:p w14:paraId="7CD7B696" w14:textId="77777777" w:rsidR="00B43D4C" w:rsidRDefault="00B43D4C"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w:t>
            </w:r>
            <w:bookmarkStart w:id="0" w:name="_GoBack"/>
            <w:bookmarkEnd w:id="0"/>
            <w:r>
              <w:t>upplier</w:t>
            </w:r>
          </w:p>
        </w:tc>
        <w:tc>
          <w:tcPr>
            <w:tcW w:w="708" w:type="dxa"/>
            <w:tcBorders>
              <w:top w:val="single" w:sz="6" w:space="0" w:color="auto"/>
              <w:bottom w:val="single" w:sz="6" w:space="0" w:color="auto"/>
            </w:tcBorders>
          </w:tcPr>
          <w:p w14:paraId="7A849D7D" w14:textId="77777777" w:rsidR="00B43D4C" w:rsidRDefault="00B43D4C" w:rsidP="000532C9">
            <w:r>
              <w:t>0–10</w:t>
            </w:r>
          </w:p>
        </w:tc>
        <w:tc>
          <w:tcPr>
            <w:tcW w:w="6521" w:type="dxa"/>
            <w:tcBorders>
              <w:top w:val="single" w:sz="6" w:space="0" w:color="auto"/>
              <w:bottom w:val="single" w:sz="6" w:space="0" w:color="auto"/>
            </w:tcBorders>
          </w:tcPr>
          <w:p w14:paraId="4C9AAE22" w14:textId="77777777" w:rsidR="00B43D4C" w:rsidRDefault="00B43D4C" w:rsidP="000532C9">
            <w:r>
              <w:t xml:space="preserve">If the direct approach to social procurement is used and the responding supplier complies with any specific type(s) of social benefit supplier, then score as 10. If so, then the other criterion is not required to be assessed. </w:t>
            </w:r>
          </w:p>
          <w:p w14:paraId="46229DD1" w14:textId="16567980" w:rsidR="00B43D4C" w:rsidRDefault="00B43D4C" w:rsidP="000532C9">
            <w:r>
              <w:t>If the direct approach to social procurement is not used or a social benefit supplier is involved but is not a required type of social benefit supplier, then score as 0.</w:t>
            </w:r>
          </w:p>
        </w:tc>
        <w:tc>
          <w:tcPr>
            <w:tcW w:w="1559" w:type="dxa"/>
            <w:tcBorders>
              <w:top w:val="single" w:sz="6" w:space="0" w:color="auto"/>
              <w:bottom w:val="single" w:sz="6" w:space="0" w:color="auto"/>
            </w:tcBorders>
          </w:tcPr>
          <w:p w14:paraId="390D27BA" w14:textId="77777777" w:rsidR="00B43D4C" w:rsidRDefault="00B43D4C" w:rsidP="000532C9">
            <w:r>
              <w:t>100%</w:t>
            </w:r>
          </w:p>
        </w:tc>
        <w:tc>
          <w:tcPr>
            <w:tcW w:w="1843" w:type="dxa"/>
            <w:tcBorders>
              <w:top w:val="single" w:sz="6" w:space="0" w:color="auto"/>
              <w:bottom w:val="single" w:sz="6" w:space="0" w:color="auto"/>
            </w:tcBorders>
          </w:tcPr>
          <w:p w14:paraId="48B9EB61" w14:textId="77777777" w:rsidR="00B43D4C" w:rsidRDefault="00B43D4C" w:rsidP="000532C9">
            <w:r>
              <w:t>0–10</w:t>
            </w:r>
          </w:p>
        </w:tc>
      </w:tr>
      <w:tr w:rsidR="00B43D4C" w14:paraId="0FB0FA8D" w14:textId="77777777" w:rsidTr="005E15C1">
        <w:tc>
          <w:tcPr>
            <w:tcW w:w="1758" w:type="dxa"/>
            <w:tcBorders>
              <w:top w:val="single" w:sz="6" w:space="0" w:color="auto"/>
              <w:bottom w:val="single" w:sz="6" w:space="0" w:color="auto"/>
            </w:tcBorders>
          </w:tcPr>
          <w:p w14:paraId="3455E026" w14:textId="77777777" w:rsidR="00B43D4C" w:rsidRPr="007A370D" w:rsidRDefault="00B43D4C" w:rsidP="000532C9">
            <w:pPr>
              <w:rPr>
                <w:b/>
              </w:rPr>
            </w:pPr>
            <w:r w:rsidRPr="007A370D">
              <w:rPr>
                <w:b/>
              </w:rPr>
              <w:lastRenderedPageBreak/>
              <w:t>Sustainable Victorian social enterprise and Aboriginal business sectors</w:t>
            </w:r>
          </w:p>
          <w:p w14:paraId="5D84DC82" w14:textId="5710910F" w:rsidR="00B43D4C" w:rsidRDefault="00B43D4C" w:rsidP="000532C9">
            <w:r>
              <w:t xml:space="preserve">Purchasing from mainstream supplier that involves Victorian social enterprise, </w:t>
            </w:r>
            <w:r w:rsidR="00816921">
              <w:t xml:space="preserve">Australian Disability Enterprises </w:t>
            </w:r>
            <w:r>
              <w:t>or Aboriginal business through the supply chain</w:t>
            </w:r>
          </w:p>
        </w:tc>
        <w:tc>
          <w:tcPr>
            <w:tcW w:w="2127" w:type="dxa"/>
            <w:tcBorders>
              <w:top w:val="single" w:sz="6" w:space="0" w:color="auto"/>
              <w:bottom w:val="single" w:sz="6" w:space="0" w:color="auto"/>
            </w:tcBorders>
          </w:tcPr>
          <w:p w14:paraId="4D0C44BD" w14:textId="77777777" w:rsidR="00B43D4C" w:rsidRDefault="00B43D4C"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supplier</w:t>
            </w:r>
          </w:p>
        </w:tc>
        <w:tc>
          <w:tcPr>
            <w:tcW w:w="708" w:type="dxa"/>
            <w:tcBorders>
              <w:top w:val="single" w:sz="6" w:space="0" w:color="auto"/>
              <w:bottom w:val="single" w:sz="6" w:space="0" w:color="auto"/>
            </w:tcBorders>
          </w:tcPr>
          <w:p w14:paraId="6AB5D482" w14:textId="77777777" w:rsidR="00B43D4C" w:rsidRDefault="00B43D4C" w:rsidP="000532C9">
            <w:r>
              <w:t>0–10</w:t>
            </w:r>
          </w:p>
        </w:tc>
        <w:tc>
          <w:tcPr>
            <w:tcW w:w="6521" w:type="dxa"/>
            <w:tcBorders>
              <w:top w:val="single" w:sz="6" w:space="0" w:color="auto"/>
              <w:bottom w:val="single" w:sz="6" w:space="0" w:color="auto"/>
            </w:tcBorders>
          </w:tcPr>
          <w:p w14:paraId="5CA674DD" w14:textId="77777777" w:rsidR="00B43D4C" w:rsidRDefault="00B43D4C" w:rsidP="000532C9">
            <w:r>
              <w:t>If the indirect approach to social procurement is used and the responding supplier complies with the requirement to involve any specific type(s) of social benefit supplier (and any minimum percentage of the procurement activity to be allocated to a social benefit supplier has been met), then score as 10.</w:t>
            </w:r>
          </w:p>
          <w:p w14:paraId="78DE22DD" w14:textId="77777777" w:rsidR="00B43D4C" w:rsidRDefault="00B43D4C" w:rsidP="000532C9">
            <w:r>
              <w:t>If the indirect approach to social procurement is not used (or is used but the responding supplier failed to meet any minimum percentage of the procurement activity to be allocated to a social benefit supplier) or a social benefit supplier is involved but is not a required type of social benefit supplier, then score as 0.</w:t>
            </w:r>
          </w:p>
        </w:tc>
        <w:tc>
          <w:tcPr>
            <w:tcW w:w="1559" w:type="dxa"/>
            <w:tcBorders>
              <w:top w:val="single" w:sz="6" w:space="0" w:color="auto"/>
              <w:bottom w:val="single" w:sz="6" w:space="0" w:color="auto"/>
            </w:tcBorders>
          </w:tcPr>
          <w:p w14:paraId="7CEC7DA7" w14:textId="77777777" w:rsidR="00B43D4C" w:rsidRDefault="00B43D4C" w:rsidP="000532C9">
            <w:r>
              <w:t>50%</w:t>
            </w:r>
          </w:p>
        </w:tc>
        <w:tc>
          <w:tcPr>
            <w:tcW w:w="1843" w:type="dxa"/>
            <w:tcBorders>
              <w:top w:val="single" w:sz="6" w:space="0" w:color="auto"/>
              <w:bottom w:val="single" w:sz="6" w:space="0" w:color="auto"/>
            </w:tcBorders>
          </w:tcPr>
          <w:p w14:paraId="179D7C29" w14:textId="77777777" w:rsidR="00B43D4C" w:rsidRDefault="00B43D4C" w:rsidP="000532C9">
            <w:r>
              <w:t>0–5</w:t>
            </w:r>
          </w:p>
        </w:tc>
      </w:tr>
      <w:tr w:rsidR="00B43D4C" w14:paraId="138FABC9" w14:textId="77777777" w:rsidTr="005E15C1">
        <w:tc>
          <w:tcPr>
            <w:tcW w:w="1758" w:type="dxa"/>
            <w:tcBorders>
              <w:top w:val="single" w:sz="6" w:space="0" w:color="auto"/>
              <w:bottom w:val="single" w:sz="6" w:space="0" w:color="auto"/>
            </w:tcBorders>
          </w:tcPr>
          <w:p w14:paraId="1388BBE8" w14:textId="77777777" w:rsidR="00B43D4C" w:rsidRPr="007A370D" w:rsidRDefault="00B43D4C" w:rsidP="000532C9">
            <w:pPr>
              <w:rPr>
                <w:b/>
              </w:rPr>
            </w:pPr>
            <w:r w:rsidRPr="007A370D">
              <w:rPr>
                <w:b/>
              </w:rPr>
              <w:lastRenderedPageBreak/>
              <w:t>Women’s equality and safety</w:t>
            </w:r>
          </w:p>
          <w:p w14:paraId="7F9D6E19" w14:textId="77777777" w:rsidR="00B43D4C" w:rsidRPr="007A370D" w:rsidRDefault="00B43D4C" w:rsidP="000532C9">
            <w:r w:rsidRPr="007A370D">
              <w:t>Gender equitable employment practices</w:t>
            </w:r>
          </w:p>
          <w:p w14:paraId="5595A579" w14:textId="77777777" w:rsidR="00B43D4C" w:rsidRPr="007A370D" w:rsidRDefault="00B43D4C" w:rsidP="000532C9">
            <w:pPr>
              <w:rPr>
                <w:b/>
              </w:rPr>
            </w:pPr>
            <w:r>
              <w:t>Adoption</w:t>
            </w:r>
            <w:r w:rsidRPr="007A370D">
              <w:t xml:space="preserve"> of family violence leave</w:t>
            </w:r>
          </w:p>
        </w:tc>
        <w:tc>
          <w:tcPr>
            <w:tcW w:w="2127" w:type="dxa"/>
            <w:tcBorders>
              <w:top w:val="single" w:sz="6" w:space="0" w:color="auto"/>
              <w:bottom w:val="single" w:sz="6" w:space="0" w:color="auto"/>
            </w:tcBorders>
          </w:tcPr>
          <w:p w14:paraId="68F9FE7A" w14:textId="3199CF35" w:rsidR="00B43D4C" w:rsidRDefault="00B43D4C" w:rsidP="000532C9">
            <w:r>
              <w:t xml:space="preserve">This objective and its focus on business practices is one of several </w:t>
            </w:r>
            <w:r w:rsidR="00816921">
              <w:t>Social Procurement Framework</w:t>
            </w:r>
            <w:r w:rsidR="00816921" w:rsidDel="00816921">
              <w:t xml:space="preserve"> </w:t>
            </w:r>
            <w:r>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59A48142" w14:textId="77777777" w:rsidR="00B43D4C" w:rsidRDefault="00B43D4C" w:rsidP="000532C9">
            <w:r>
              <w:t>0–10</w:t>
            </w:r>
          </w:p>
        </w:tc>
        <w:tc>
          <w:tcPr>
            <w:tcW w:w="6521" w:type="dxa"/>
            <w:tcBorders>
              <w:top w:val="single" w:sz="6" w:space="0" w:color="auto"/>
              <w:bottom w:val="single" w:sz="6" w:space="0" w:color="auto"/>
            </w:tcBorders>
          </w:tcPr>
          <w:p w14:paraId="16FFB33F"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6A8C2B6F" w14:textId="77777777" w:rsidR="00B43D4C" w:rsidRDefault="00B43D4C" w:rsidP="000532C9">
            <w:r>
              <w:t>50%</w:t>
            </w:r>
          </w:p>
        </w:tc>
        <w:tc>
          <w:tcPr>
            <w:tcW w:w="1843" w:type="dxa"/>
            <w:tcBorders>
              <w:top w:val="single" w:sz="6" w:space="0" w:color="auto"/>
              <w:bottom w:val="single" w:sz="6" w:space="0" w:color="auto"/>
            </w:tcBorders>
          </w:tcPr>
          <w:p w14:paraId="1E6B4054" w14:textId="77777777" w:rsidR="00B43D4C" w:rsidRDefault="00B43D4C" w:rsidP="000532C9">
            <w:r>
              <w:t>0–5</w:t>
            </w:r>
          </w:p>
        </w:tc>
      </w:tr>
      <w:tr w:rsidR="00B43D4C" w14:paraId="1BC6C01D" w14:textId="77777777" w:rsidTr="005E15C1">
        <w:tc>
          <w:tcPr>
            <w:tcW w:w="1758" w:type="dxa"/>
            <w:tcBorders>
              <w:top w:val="single" w:sz="6" w:space="0" w:color="auto"/>
              <w:bottom w:val="single" w:sz="6" w:space="0" w:color="auto"/>
            </w:tcBorders>
          </w:tcPr>
          <w:p w14:paraId="09BE0C9F" w14:textId="77777777" w:rsidR="00B43D4C" w:rsidRPr="007A370D" w:rsidRDefault="00B43D4C" w:rsidP="000532C9">
            <w:pPr>
              <w:rPr>
                <w:b/>
              </w:rPr>
            </w:pPr>
            <w:r w:rsidRPr="007A370D">
              <w:rPr>
                <w:b/>
              </w:rPr>
              <w:lastRenderedPageBreak/>
              <w:t>Supporting safe and fair workplaces</w:t>
            </w:r>
          </w:p>
          <w:p w14:paraId="5AF6F7FE" w14:textId="77777777" w:rsidR="00B43D4C" w:rsidRPr="007A370D" w:rsidRDefault="00B43D4C" w:rsidP="000532C9">
            <w:r w:rsidRPr="007A370D">
              <w:t>Compliance with Industrial Relations laws</w:t>
            </w:r>
          </w:p>
          <w:p w14:paraId="4F94A902" w14:textId="77777777" w:rsidR="00B43D4C" w:rsidRPr="007A370D" w:rsidRDefault="00B43D4C" w:rsidP="000532C9">
            <w:pPr>
              <w:rPr>
                <w:b/>
              </w:rPr>
            </w:pPr>
            <w:r w:rsidRPr="007A370D">
              <w:t>Promotion of secure employment</w:t>
            </w:r>
          </w:p>
        </w:tc>
        <w:tc>
          <w:tcPr>
            <w:tcW w:w="2127" w:type="dxa"/>
            <w:tcBorders>
              <w:top w:val="single" w:sz="6" w:space="0" w:color="auto"/>
              <w:bottom w:val="single" w:sz="6" w:space="0" w:color="auto"/>
            </w:tcBorders>
          </w:tcPr>
          <w:p w14:paraId="1524947C" w14:textId="74AEE729" w:rsidR="00B43D4C" w:rsidRDefault="00B43D4C" w:rsidP="000532C9">
            <w:r>
              <w:t xml:space="preserve">This objective and its focus on business practices is one of several </w:t>
            </w:r>
            <w:r w:rsidR="00816921">
              <w:t>Social Procurement Framework</w:t>
            </w:r>
            <w:r w:rsidR="00816921" w:rsidDel="00816921">
              <w:t xml:space="preserve"> </w:t>
            </w:r>
            <w:r>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37611BF5" w14:textId="77777777" w:rsidR="00B43D4C" w:rsidRDefault="00B43D4C" w:rsidP="000532C9">
            <w:r>
              <w:t>0–10</w:t>
            </w:r>
          </w:p>
        </w:tc>
        <w:tc>
          <w:tcPr>
            <w:tcW w:w="6521" w:type="dxa"/>
            <w:tcBorders>
              <w:top w:val="single" w:sz="6" w:space="0" w:color="auto"/>
              <w:bottom w:val="single" w:sz="6" w:space="0" w:color="auto"/>
            </w:tcBorders>
          </w:tcPr>
          <w:p w14:paraId="237A67B6"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29E98590" w14:textId="77777777" w:rsidR="00B43D4C" w:rsidRDefault="00B43D4C" w:rsidP="000532C9">
            <w:r>
              <w:t>50%</w:t>
            </w:r>
          </w:p>
        </w:tc>
        <w:tc>
          <w:tcPr>
            <w:tcW w:w="1843" w:type="dxa"/>
            <w:tcBorders>
              <w:top w:val="single" w:sz="6" w:space="0" w:color="auto"/>
              <w:bottom w:val="single" w:sz="6" w:space="0" w:color="auto"/>
            </w:tcBorders>
          </w:tcPr>
          <w:p w14:paraId="7EB5B3FC" w14:textId="77777777" w:rsidR="00B43D4C" w:rsidRDefault="00B43D4C" w:rsidP="000532C9">
            <w:r>
              <w:t>0–5</w:t>
            </w:r>
          </w:p>
        </w:tc>
      </w:tr>
      <w:tr w:rsidR="00B43D4C" w14:paraId="256A7CCF" w14:textId="77777777" w:rsidTr="005E15C1">
        <w:tc>
          <w:tcPr>
            <w:tcW w:w="1758" w:type="dxa"/>
            <w:tcBorders>
              <w:top w:val="single" w:sz="6" w:space="0" w:color="auto"/>
              <w:bottom w:val="single" w:sz="6" w:space="0" w:color="auto"/>
            </w:tcBorders>
          </w:tcPr>
          <w:p w14:paraId="32C4CBDD" w14:textId="77777777" w:rsidR="00B43D4C" w:rsidRPr="007A370D" w:rsidRDefault="00B43D4C" w:rsidP="000532C9">
            <w:pPr>
              <w:rPr>
                <w:b/>
              </w:rPr>
            </w:pPr>
            <w:r w:rsidRPr="007A370D">
              <w:rPr>
                <w:b/>
              </w:rPr>
              <w:lastRenderedPageBreak/>
              <w:t>Opportunities for Victorians with disability</w:t>
            </w:r>
          </w:p>
          <w:p w14:paraId="42CDA105" w14:textId="77777777" w:rsidR="00B43D4C" w:rsidRPr="007A370D" w:rsidRDefault="00B43D4C" w:rsidP="000532C9">
            <w:r w:rsidRPr="007A370D">
              <w:t>Inclusive employment practices for people with disability</w:t>
            </w:r>
          </w:p>
        </w:tc>
        <w:tc>
          <w:tcPr>
            <w:tcW w:w="2127" w:type="dxa"/>
            <w:tcBorders>
              <w:top w:val="single" w:sz="6" w:space="0" w:color="auto"/>
              <w:bottom w:val="single" w:sz="6" w:space="0" w:color="auto"/>
            </w:tcBorders>
          </w:tcPr>
          <w:p w14:paraId="65A71E72" w14:textId="74E717F6" w:rsidR="00B43D4C" w:rsidRDefault="00B43D4C" w:rsidP="000532C9">
            <w:r w:rsidRPr="00884D32">
              <w:t xml:space="preserve">This objective and its focus on business practices is one of several </w:t>
            </w:r>
            <w:r>
              <w:t>Social Procurement Framework</w:t>
            </w:r>
            <w:r w:rsidRPr="00884D32">
              <w:t xml:space="preserve"> 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5747EF41" w14:textId="77777777" w:rsidR="00B43D4C" w:rsidRDefault="00B43D4C" w:rsidP="000532C9">
            <w:r>
              <w:t>0–10</w:t>
            </w:r>
          </w:p>
        </w:tc>
        <w:tc>
          <w:tcPr>
            <w:tcW w:w="6521" w:type="dxa"/>
            <w:tcBorders>
              <w:top w:val="single" w:sz="6" w:space="0" w:color="auto"/>
              <w:bottom w:val="single" w:sz="6" w:space="0" w:color="auto"/>
            </w:tcBorders>
          </w:tcPr>
          <w:p w14:paraId="7DB26368" w14:textId="77777777" w:rsidR="00B43D4C"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3F9C81F8" w14:textId="77777777" w:rsidR="00B43D4C" w:rsidRDefault="00B43D4C" w:rsidP="000532C9">
            <w:r>
              <w:t>50%</w:t>
            </w:r>
          </w:p>
        </w:tc>
        <w:tc>
          <w:tcPr>
            <w:tcW w:w="1843" w:type="dxa"/>
            <w:tcBorders>
              <w:top w:val="single" w:sz="6" w:space="0" w:color="auto"/>
              <w:bottom w:val="single" w:sz="6" w:space="0" w:color="auto"/>
            </w:tcBorders>
          </w:tcPr>
          <w:p w14:paraId="7232E43A" w14:textId="77777777" w:rsidR="00B43D4C" w:rsidRDefault="00B43D4C" w:rsidP="000532C9">
            <w:r>
              <w:t>0–5</w:t>
            </w:r>
          </w:p>
        </w:tc>
      </w:tr>
      <w:tr w:rsidR="00B43D4C" w14:paraId="5ADECA1D" w14:textId="77777777" w:rsidTr="005E15C1">
        <w:tc>
          <w:tcPr>
            <w:tcW w:w="1758" w:type="dxa"/>
            <w:tcBorders>
              <w:top w:val="single" w:sz="6" w:space="0" w:color="auto"/>
              <w:bottom w:val="single" w:sz="6" w:space="0" w:color="auto"/>
            </w:tcBorders>
          </w:tcPr>
          <w:p w14:paraId="0142CEDF" w14:textId="77777777" w:rsidR="00B43D4C" w:rsidRPr="007A370D" w:rsidRDefault="00B43D4C" w:rsidP="000532C9">
            <w:pPr>
              <w:rPr>
                <w:b/>
              </w:rPr>
            </w:pPr>
            <w:r>
              <w:rPr>
                <w:b/>
              </w:rPr>
              <w:lastRenderedPageBreak/>
              <w:t>Opportunities for Victorian Aboriginal people</w:t>
            </w:r>
          </w:p>
          <w:p w14:paraId="7B06E0EE" w14:textId="77777777" w:rsidR="00B43D4C" w:rsidRPr="007A370D" w:rsidRDefault="00B43D4C" w:rsidP="000532C9">
            <w:pPr>
              <w:rPr>
                <w:b/>
              </w:rPr>
            </w:pPr>
            <w:r w:rsidRPr="007A370D">
              <w:t xml:space="preserve">Inclusive employment practices for </w:t>
            </w:r>
            <w:r>
              <w:t xml:space="preserve">Victorian Aboriginal people </w:t>
            </w:r>
          </w:p>
        </w:tc>
        <w:tc>
          <w:tcPr>
            <w:tcW w:w="2127" w:type="dxa"/>
            <w:tcBorders>
              <w:top w:val="single" w:sz="6" w:space="0" w:color="auto"/>
              <w:bottom w:val="single" w:sz="6" w:space="0" w:color="auto"/>
            </w:tcBorders>
          </w:tcPr>
          <w:p w14:paraId="51EFF2D6" w14:textId="608F332C" w:rsidR="00B43D4C" w:rsidRPr="00884D32"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7D43E22A" w14:textId="77777777" w:rsidR="00B43D4C" w:rsidRDefault="00B43D4C" w:rsidP="000532C9">
            <w:r>
              <w:t>0–10</w:t>
            </w:r>
          </w:p>
        </w:tc>
        <w:tc>
          <w:tcPr>
            <w:tcW w:w="6521" w:type="dxa"/>
            <w:tcBorders>
              <w:top w:val="single" w:sz="6" w:space="0" w:color="auto"/>
              <w:bottom w:val="single" w:sz="6" w:space="0" w:color="auto"/>
            </w:tcBorders>
          </w:tcPr>
          <w:p w14:paraId="30487113"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6626BDA4" w14:textId="77777777" w:rsidR="00B43D4C" w:rsidRDefault="00B43D4C" w:rsidP="000532C9">
            <w:r>
              <w:t>50%</w:t>
            </w:r>
          </w:p>
        </w:tc>
        <w:tc>
          <w:tcPr>
            <w:tcW w:w="1843" w:type="dxa"/>
            <w:tcBorders>
              <w:top w:val="single" w:sz="6" w:space="0" w:color="auto"/>
              <w:bottom w:val="single" w:sz="6" w:space="0" w:color="auto"/>
            </w:tcBorders>
          </w:tcPr>
          <w:p w14:paraId="77463150" w14:textId="77777777" w:rsidR="00B43D4C" w:rsidRDefault="00B43D4C" w:rsidP="000532C9">
            <w:r>
              <w:t>0–5</w:t>
            </w:r>
          </w:p>
        </w:tc>
      </w:tr>
      <w:tr w:rsidR="00B43D4C" w14:paraId="3D63DAEC" w14:textId="77777777" w:rsidTr="005E15C1">
        <w:tc>
          <w:tcPr>
            <w:tcW w:w="1758" w:type="dxa"/>
            <w:tcBorders>
              <w:top w:val="single" w:sz="6" w:space="0" w:color="auto"/>
              <w:bottom w:val="single" w:sz="6" w:space="0" w:color="auto"/>
            </w:tcBorders>
          </w:tcPr>
          <w:p w14:paraId="2FFCA4B6" w14:textId="77777777" w:rsidR="00B43D4C" w:rsidRPr="007A370D" w:rsidRDefault="00B43D4C" w:rsidP="000532C9">
            <w:pPr>
              <w:rPr>
                <w:b/>
              </w:rPr>
            </w:pPr>
            <w:r>
              <w:rPr>
                <w:b/>
              </w:rPr>
              <w:lastRenderedPageBreak/>
              <w:t xml:space="preserve">Opportunities for disadvantaged Victorians </w:t>
            </w:r>
          </w:p>
          <w:p w14:paraId="0A479C5B" w14:textId="77777777" w:rsidR="00B43D4C" w:rsidRDefault="00B43D4C" w:rsidP="000532C9">
            <w:pPr>
              <w:rPr>
                <w:b/>
              </w:rPr>
            </w:pPr>
            <w:r w:rsidRPr="007A370D">
              <w:t xml:space="preserve">Inclusive employment practices for </w:t>
            </w:r>
            <w:r>
              <w:t>disadvantaged Victorians</w:t>
            </w:r>
          </w:p>
        </w:tc>
        <w:tc>
          <w:tcPr>
            <w:tcW w:w="2127" w:type="dxa"/>
            <w:tcBorders>
              <w:top w:val="single" w:sz="6" w:space="0" w:color="auto"/>
              <w:bottom w:val="single" w:sz="6" w:space="0" w:color="auto"/>
            </w:tcBorders>
          </w:tcPr>
          <w:p w14:paraId="78461869" w14:textId="54963922" w:rsidR="00B43D4C" w:rsidRPr="00884D32" w:rsidRDefault="00B43D4C" w:rsidP="000532C9">
            <w:r w:rsidRPr="00884D32">
              <w:t>This objective and its focus on business practices is one of several S</w:t>
            </w:r>
            <w:r w:rsidR="00816921">
              <w:t xml:space="preserve"> Social Procurement Framework</w:t>
            </w:r>
            <w:r w:rsidR="00816921" w:rsidRPr="00884D32">
              <w:t xml:space="preserve"> </w:t>
            </w:r>
            <w:r w:rsidRPr="00884D32">
              <w:t>PF 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34236DAE" w14:textId="77777777" w:rsidR="00B43D4C" w:rsidRDefault="00B43D4C" w:rsidP="000532C9">
            <w:r>
              <w:t>0–10</w:t>
            </w:r>
          </w:p>
        </w:tc>
        <w:tc>
          <w:tcPr>
            <w:tcW w:w="6521" w:type="dxa"/>
            <w:tcBorders>
              <w:top w:val="single" w:sz="6" w:space="0" w:color="auto"/>
              <w:bottom w:val="single" w:sz="6" w:space="0" w:color="auto"/>
            </w:tcBorders>
          </w:tcPr>
          <w:p w14:paraId="4E3377A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27828B3A" w14:textId="77777777" w:rsidR="00B43D4C" w:rsidRDefault="00B43D4C" w:rsidP="000532C9">
            <w:r>
              <w:t>50%</w:t>
            </w:r>
          </w:p>
        </w:tc>
        <w:tc>
          <w:tcPr>
            <w:tcW w:w="1843" w:type="dxa"/>
            <w:tcBorders>
              <w:top w:val="single" w:sz="6" w:space="0" w:color="auto"/>
              <w:bottom w:val="single" w:sz="6" w:space="0" w:color="auto"/>
            </w:tcBorders>
          </w:tcPr>
          <w:p w14:paraId="5623FB13" w14:textId="77777777" w:rsidR="00B43D4C" w:rsidRDefault="00B43D4C" w:rsidP="000532C9">
            <w:r>
              <w:t>0–5</w:t>
            </w:r>
          </w:p>
        </w:tc>
      </w:tr>
      <w:tr w:rsidR="00B43D4C" w14:paraId="12A5A714" w14:textId="77777777" w:rsidTr="005E15C1">
        <w:tc>
          <w:tcPr>
            <w:tcW w:w="1758" w:type="dxa"/>
            <w:tcBorders>
              <w:top w:val="single" w:sz="6" w:space="0" w:color="auto"/>
              <w:bottom w:val="single" w:sz="6" w:space="0" w:color="auto"/>
            </w:tcBorders>
          </w:tcPr>
          <w:p w14:paraId="3AD27377" w14:textId="77777777" w:rsidR="00B43D4C" w:rsidRPr="007A370D" w:rsidRDefault="00B43D4C" w:rsidP="000532C9">
            <w:pPr>
              <w:rPr>
                <w:b/>
              </w:rPr>
            </w:pPr>
            <w:r>
              <w:rPr>
                <w:b/>
              </w:rPr>
              <w:lastRenderedPageBreak/>
              <w:t>Sustainable Victorian regions</w:t>
            </w:r>
          </w:p>
          <w:p w14:paraId="36A46D01" w14:textId="77777777" w:rsidR="00B43D4C" w:rsidRDefault="00B43D4C" w:rsidP="000532C9">
            <w:pPr>
              <w:rPr>
                <w:b/>
              </w:rPr>
            </w:pPr>
            <w:r w:rsidRPr="007A370D">
              <w:t xml:space="preserve">Inclusive employment practices for </w:t>
            </w:r>
            <w:r>
              <w:t>people in regions with entrenched disadvantage</w:t>
            </w:r>
          </w:p>
        </w:tc>
        <w:tc>
          <w:tcPr>
            <w:tcW w:w="2127" w:type="dxa"/>
            <w:tcBorders>
              <w:top w:val="single" w:sz="6" w:space="0" w:color="auto"/>
              <w:bottom w:val="single" w:sz="6" w:space="0" w:color="auto"/>
            </w:tcBorders>
          </w:tcPr>
          <w:p w14:paraId="5CF691DC" w14:textId="70AB1418" w:rsidR="00B43D4C" w:rsidRPr="00884D32"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7A467E3C" w14:textId="77777777" w:rsidR="00B43D4C" w:rsidRDefault="00B43D4C" w:rsidP="000532C9">
            <w:r>
              <w:t>0–10</w:t>
            </w:r>
          </w:p>
        </w:tc>
        <w:tc>
          <w:tcPr>
            <w:tcW w:w="6521" w:type="dxa"/>
            <w:tcBorders>
              <w:top w:val="single" w:sz="6" w:space="0" w:color="auto"/>
              <w:bottom w:val="single" w:sz="6" w:space="0" w:color="auto"/>
            </w:tcBorders>
          </w:tcPr>
          <w:p w14:paraId="7D65B16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415425D2" w14:textId="77777777" w:rsidR="00B43D4C" w:rsidRDefault="00B43D4C" w:rsidP="000532C9">
            <w:r>
              <w:t>50%</w:t>
            </w:r>
          </w:p>
        </w:tc>
        <w:tc>
          <w:tcPr>
            <w:tcW w:w="1843" w:type="dxa"/>
            <w:tcBorders>
              <w:top w:val="single" w:sz="6" w:space="0" w:color="auto"/>
              <w:bottom w:val="single" w:sz="6" w:space="0" w:color="auto"/>
            </w:tcBorders>
          </w:tcPr>
          <w:p w14:paraId="543BBBEF" w14:textId="77777777" w:rsidR="00B43D4C" w:rsidRDefault="00B43D4C" w:rsidP="000532C9">
            <w:r>
              <w:t>0–5</w:t>
            </w:r>
          </w:p>
        </w:tc>
      </w:tr>
      <w:tr w:rsidR="00B43D4C" w14:paraId="08A063C7" w14:textId="77777777" w:rsidTr="005E15C1">
        <w:tc>
          <w:tcPr>
            <w:tcW w:w="1758" w:type="dxa"/>
            <w:tcBorders>
              <w:top w:val="single" w:sz="6" w:space="0" w:color="auto"/>
              <w:bottom w:val="single" w:sz="6" w:space="0" w:color="auto"/>
            </w:tcBorders>
          </w:tcPr>
          <w:p w14:paraId="78076947" w14:textId="77777777" w:rsidR="00B43D4C" w:rsidRPr="007A370D" w:rsidRDefault="00B43D4C" w:rsidP="000532C9">
            <w:pPr>
              <w:rPr>
                <w:b/>
              </w:rPr>
            </w:pPr>
            <w:r w:rsidRPr="007A370D">
              <w:rPr>
                <w:b/>
              </w:rPr>
              <w:lastRenderedPageBreak/>
              <w:t>Environmentally sustainable business practices</w:t>
            </w:r>
          </w:p>
        </w:tc>
        <w:tc>
          <w:tcPr>
            <w:tcW w:w="2127" w:type="dxa"/>
            <w:tcBorders>
              <w:top w:val="single" w:sz="6" w:space="0" w:color="auto"/>
              <w:bottom w:val="single" w:sz="6" w:space="0" w:color="auto"/>
            </w:tcBorders>
          </w:tcPr>
          <w:p w14:paraId="4F5EBFC7" w14:textId="6E2ED93F" w:rsidR="00B43D4C" w:rsidRPr="007A370D" w:rsidRDefault="00B43D4C" w:rsidP="000532C9">
            <w:r w:rsidRPr="00884D32">
              <w:t xml:space="preserve">This objective and its focus on business practices is one of several </w:t>
            </w:r>
            <w:r w:rsidR="00816921">
              <w:t>Social Procurement Framework</w:t>
            </w:r>
            <w:r w:rsidR="00816921" w:rsidRPr="00884D32" w:rsidDel="00816921">
              <w:t xml:space="preserve"> </w:t>
            </w:r>
            <w:r w:rsidRPr="00884D32">
              <w:t>objectives containing this key focus area and has a 50% weighting. The buyer / supplier can specifically focus on this objective and related business practices as one of two with a 50% weighting to be evaluated</w:t>
            </w:r>
          </w:p>
        </w:tc>
        <w:tc>
          <w:tcPr>
            <w:tcW w:w="708" w:type="dxa"/>
            <w:tcBorders>
              <w:top w:val="single" w:sz="6" w:space="0" w:color="auto"/>
              <w:bottom w:val="single" w:sz="6" w:space="0" w:color="auto"/>
            </w:tcBorders>
          </w:tcPr>
          <w:p w14:paraId="00F02038" w14:textId="77777777" w:rsidR="00B43D4C" w:rsidRDefault="00B43D4C" w:rsidP="000532C9">
            <w:r>
              <w:t>0–10</w:t>
            </w:r>
          </w:p>
        </w:tc>
        <w:tc>
          <w:tcPr>
            <w:tcW w:w="6521" w:type="dxa"/>
            <w:tcBorders>
              <w:top w:val="single" w:sz="6" w:space="0" w:color="auto"/>
              <w:bottom w:val="single" w:sz="6" w:space="0" w:color="auto"/>
            </w:tcBorders>
          </w:tcPr>
          <w:p w14:paraId="1710BF8A" w14:textId="77777777" w:rsidR="00B43D4C" w:rsidRPr="007A370D" w:rsidRDefault="00B43D4C" w:rsidP="000532C9">
            <w:r w:rsidRPr="007A370D">
              <w:t xml:space="preserve">If this objective and </w:t>
            </w:r>
            <w:r>
              <w:t xml:space="preserve">related business practices is </w:t>
            </w:r>
            <w:r w:rsidRPr="007A370D">
              <w:t>used, then assessor rates the supplier according to response provided</w:t>
            </w:r>
            <w:r>
              <w:t xml:space="preserve"> (e.g. details provided in response to self-assessment checklist or other response schedules)</w:t>
            </w:r>
          </w:p>
        </w:tc>
        <w:tc>
          <w:tcPr>
            <w:tcW w:w="1559" w:type="dxa"/>
            <w:tcBorders>
              <w:top w:val="single" w:sz="6" w:space="0" w:color="auto"/>
              <w:bottom w:val="single" w:sz="6" w:space="0" w:color="auto"/>
            </w:tcBorders>
          </w:tcPr>
          <w:p w14:paraId="7890D7A3" w14:textId="77777777" w:rsidR="00B43D4C" w:rsidRDefault="00B43D4C" w:rsidP="000532C9">
            <w:r>
              <w:t>50%</w:t>
            </w:r>
          </w:p>
        </w:tc>
        <w:tc>
          <w:tcPr>
            <w:tcW w:w="1843" w:type="dxa"/>
            <w:tcBorders>
              <w:top w:val="single" w:sz="6" w:space="0" w:color="auto"/>
              <w:bottom w:val="single" w:sz="6" w:space="0" w:color="auto"/>
            </w:tcBorders>
          </w:tcPr>
          <w:p w14:paraId="67AD90FF" w14:textId="77777777" w:rsidR="00B43D4C" w:rsidRDefault="00B43D4C" w:rsidP="000532C9">
            <w:r>
              <w:t>0–5</w:t>
            </w:r>
          </w:p>
        </w:tc>
      </w:tr>
    </w:tbl>
    <w:p w14:paraId="49C0DF71" w14:textId="5445D9E3" w:rsidR="0073607E" w:rsidRDefault="0073607E" w:rsidP="00C84D2E">
      <w:pPr>
        <w:spacing w:after="120" w:line="240" w:lineRule="auto"/>
      </w:pPr>
    </w:p>
    <w:sectPr w:rsidR="0073607E" w:rsidSect="00DE43A6">
      <w:headerReference w:type="default" r:id="rId8"/>
      <w:footerReference w:type="default" r:id="rId9"/>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81E4" w14:textId="1945B228" w:rsidR="00DE43A6" w:rsidRDefault="00DE43A6" w:rsidP="00DE43A6">
    <w:pPr>
      <w:pStyle w:val="Footer"/>
      <w:tabs>
        <w:tab w:val="clear" w:pos="4513"/>
        <w:tab w:val="clear" w:pos="9026"/>
        <w:tab w:val="center" w:pos="11199"/>
        <w:tab w:val="right" w:pos="13892"/>
      </w:tabs>
    </w:pPr>
    <w:r>
      <w:t>Model social procurement evaluation matrix</w:t>
    </w:r>
    <w:r>
      <w:br/>
      <w:t xml:space="preserve">procurement valued </w:t>
    </w:r>
    <w:r>
      <w:t>at or above</w:t>
    </w:r>
    <w:r>
      <w:t xml:space="preserve"> $1 million (regional) or $3 million (metro or State wide)</w:t>
    </w:r>
    <w:r>
      <w:t xml:space="preserve"> up to $20 million (exclusive of GST)</w:t>
    </w:r>
    <w:r>
      <w:tab/>
    </w:r>
    <w:sdt>
      <w:sdtPr>
        <w:id w:val="-2026619730"/>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9128" w14:textId="09F9723F" w:rsidR="00DE43A6" w:rsidRDefault="00DE43A6" w:rsidP="00DE43A6">
    <w:pPr>
      <w:pStyle w:val="Header"/>
      <w:jc w:val="right"/>
    </w:pPr>
    <w: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74192"/>
    <w:rsid w:val="00177FA7"/>
    <w:rsid w:val="001A671C"/>
    <w:rsid w:val="001C1724"/>
    <w:rsid w:val="001C779D"/>
    <w:rsid w:val="00202188"/>
    <w:rsid w:val="00312069"/>
    <w:rsid w:val="00313604"/>
    <w:rsid w:val="0035527B"/>
    <w:rsid w:val="003B0304"/>
    <w:rsid w:val="003B4C07"/>
    <w:rsid w:val="00404852"/>
    <w:rsid w:val="004052A2"/>
    <w:rsid w:val="00465CA5"/>
    <w:rsid w:val="005D1DE9"/>
    <w:rsid w:val="005E15C1"/>
    <w:rsid w:val="005E33F3"/>
    <w:rsid w:val="005F114A"/>
    <w:rsid w:val="00614446"/>
    <w:rsid w:val="00686C0A"/>
    <w:rsid w:val="006A3599"/>
    <w:rsid w:val="006D6E78"/>
    <w:rsid w:val="006E602E"/>
    <w:rsid w:val="006F51EF"/>
    <w:rsid w:val="0073607E"/>
    <w:rsid w:val="0074559B"/>
    <w:rsid w:val="00775086"/>
    <w:rsid w:val="007D4DEC"/>
    <w:rsid w:val="00816921"/>
    <w:rsid w:val="0083725E"/>
    <w:rsid w:val="008D5665"/>
    <w:rsid w:val="00930C1D"/>
    <w:rsid w:val="009408FF"/>
    <w:rsid w:val="00966F17"/>
    <w:rsid w:val="0098715D"/>
    <w:rsid w:val="00992C94"/>
    <w:rsid w:val="009933D2"/>
    <w:rsid w:val="009C17F5"/>
    <w:rsid w:val="009E3813"/>
    <w:rsid w:val="00A30928"/>
    <w:rsid w:val="00A3245D"/>
    <w:rsid w:val="00A419AA"/>
    <w:rsid w:val="00A60B96"/>
    <w:rsid w:val="00A73300"/>
    <w:rsid w:val="00AC42CE"/>
    <w:rsid w:val="00B40719"/>
    <w:rsid w:val="00B43D4C"/>
    <w:rsid w:val="00B92D03"/>
    <w:rsid w:val="00BB07F4"/>
    <w:rsid w:val="00C13481"/>
    <w:rsid w:val="00C364CF"/>
    <w:rsid w:val="00C53CD5"/>
    <w:rsid w:val="00C84D2E"/>
    <w:rsid w:val="00CC7655"/>
    <w:rsid w:val="00CD69E9"/>
    <w:rsid w:val="00CF250F"/>
    <w:rsid w:val="00DE43A6"/>
    <w:rsid w:val="00E213D5"/>
    <w:rsid w:val="00E32A43"/>
    <w:rsid w:val="00E62D19"/>
    <w:rsid w:val="00EB03FB"/>
    <w:rsid w:val="00EB724A"/>
    <w:rsid w:val="00F069C1"/>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FAE6-54DB-432F-90F5-2B15A17C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4</cp:revision>
  <dcterms:created xsi:type="dcterms:W3CDTF">2019-08-14T11:34:00Z</dcterms:created>
  <dcterms:modified xsi:type="dcterms:W3CDTF">2019-08-14T11:38:00Z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