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599C2" w14:textId="6E516C03" w:rsidR="00E500D1" w:rsidRPr="001C520A" w:rsidRDefault="000B773C" w:rsidP="001C520A">
      <w:pPr>
        <w:pStyle w:val="Heading1"/>
        <w:rPr>
          <w:b/>
          <w:color w:val="7030A0"/>
          <w:sz w:val="36"/>
          <w:szCs w:val="36"/>
        </w:rPr>
      </w:pPr>
      <w:r w:rsidRPr="001C520A">
        <w:rPr>
          <w:b/>
          <w:color w:val="7030A0"/>
          <w:sz w:val="36"/>
          <w:szCs w:val="36"/>
        </w:rPr>
        <w:t>Achieving value for money</w:t>
      </w:r>
      <w:r w:rsidR="00AD6D42" w:rsidRPr="001C520A">
        <w:rPr>
          <w:b/>
          <w:color w:val="7030A0"/>
          <w:sz w:val="36"/>
          <w:szCs w:val="36"/>
        </w:rPr>
        <w:t xml:space="preserve"> – </w:t>
      </w:r>
      <w:r w:rsidR="00B670F6">
        <w:rPr>
          <w:b/>
          <w:color w:val="7030A0"/>
          <w:sz w:val="36"/>
          <w:szCs w:val="36"/>
        </w:rPr>
        <w:br/>
        <w:t xml:space="preserve">Goods and services </w:t>
      </w:r>
      <w:r w:rsidR="00AD6D42" w:rsidRPr="001C520A">
        <w:rPr>
          <w:b/>
          <w:color w:val="7030A0"/>
          <w:sz w:val="36"/>
          <w:szCs w:val="36"/>
        </w:rPr>
        <w:t>p</w:t>
      </w:r>
      <w:r w:rsidRPr="001C520A">
        <w:rPr>
          <w:b/>
          <w:color w:val="7030A0"/>
          <w:sz w:val="36"/>
          <w:szCs w:val="36"/>
        </w:rPr>
        <w:t>rocurement guide</w:t>
      </w:r>
    </w:p>
    <w:p w14:paraId="63588F8D" w14:textId="77777777" w:rsidR="000B773C" w:rsidRPr="001C520A" w:rsidRDefault="000B773C" w:rsidP="001C520A">
      <w:pPr>
        <w:pStyle w:val="Heading2"/>
        <w:rPr>
          <w:color w:val="7030A0"/>
        </w:rPr>
      </w:pPr>
      <w:r w:rsidRPr="001C520A">
        <w:rPr>
          <w:color w:val="7030A0"/>
        </w:rPr>
        <w:t>What is value for money?</w:t>
      </w:r>
    </w:p>
    <w:p w14:paraId="5787F986" w14:textId="77777777" w:rsidR="000B773C" w:rsidRDefault="000B773C" w:rsidP="000B773C">
      <w:pPr>
        <w:rPr>
          <w:lang w:eastAsia="en-US"/>
        </w:rPr>
      </w:pPr>
      <w:r>
        <w:rPr>
          <w:lang w:eastAsia="en-US"/>
        </w:rPr>
        <w:t>Value for money (VFM) underpins Victorian Government procurement. It is the achievement of a desired procurement outcome at the best possible price—not necessarily the lowest price— based on a balanced judgement of financial and non financial factors relevant to the procurement.</w:t>
      </w:r>
    </w:p>
    <w:p w14:paraId="167C79B3" w14:textId="77777777" w:rsidR="000B773C" w:rsidRDefault="000B773C" w:rsidP="000B773C">
      <w:pPr>
        <w:rPr>
          <w:lang w:eastAsia="en-US"/>
        </w:rPr>
      </w:pPr>
      <w:r>
        <w:rPr>
          <w:lang w:eastAsia="en-US"/>
        </w:rPr>
        <w:t>It is a common, internationally recognised test for benchmarking expenditure to achieve policy objectives. It supports the concept that better outcomes can be achieved when resources are used more efficiently and are procured in a more competitive market.</w:t>
      </w:r>
    </w:p>
    <w:p w14:paraId="405590B5" w14:textId="77777777" w:rsidR="000B773C" w:rsidRDefault="000B773C" w:rsidP="000B773C">
      <w:pPr>
        <w:rPr>
          <w:lang w:eastAsia="en-US"/>
        </w:rPr>
      </w:pPr>
      <w:r>
        <w:rPr>
          <w:lang w:eastAsia="en-US"/>
        </w:rPr>
        <w:t>VFM takes into account the total cost of procurement from planning to disposal and everything in between. This is commonly known as total cost of ownership.</w:t>
      </w:r>
    </w:p>
    <w:p w14:paraId="2D9D50F0" w14:textId="77777777" w:rsidR="000B773C" w:rsidRPr="001C520A" w:rsidRDefault="000B773C" w:rsidP="001C520A">
      <w:pPr>
        <w:pStyle w:val="Heading2"/>
        <w:rPr>
          <w:color w:val="7030A0"/>
        </w:rPr>
      </w:pPr>
      <w:r w:rsidRPr="001C520A">
        <w:rPr>
          <w:color w:val="7030A0"/>
        </w:rPr>
        <w:t>When to implement VFM?</w:t>
      </w:r>
    </w:p>
    <w:p w14:paraId="0736D138" w14:textId="77777777" w:rsidR="000B773C" w:rsidRDefault="000B773C" w:rsidP="000B773C">
      <w:pPr>
        <w:rPr>
          <w:lang w:eastAsia="en-US"/>
        </w:rPr>
      </w:pPr>
      <w:r>
        <w:rPr>
          <w:lang w:eastAsia="en-US"/>
        </w:rPr>
        <w:t>The Victorian Government is committed to achieving VFM in all procurement projects. It is therefore a key driver in any procurement engagement. VFM needs to be considered at the front end of the procurement process during your spend analysis, category identification, complexity assessment and supply market analysis. This identifies the key VFM drivers that give context to subsequent stages of procurement.</w:t>
      </w:r>
    </w:p>
    <w:p w14:paraId="5D051680" w14:textId="77777777" w:rsidR="000B773C" w:rsidRDefault="000B773C" w:rsidP="000B773C">
      <w:pPr>
        <w:rPr>
          <w:lang w:eastAsia="en-US"/>
        </w:rPr>
      </w:pPr>
      <w:r>
        <w:rPr>
          <w:lang w:eastAsia="en-US"/>
        </w:rPr>
        <w:t xml:space="preserve">Considering VFM during the market analysis stage can identify opportunities to leverage competition and market dynamics, promote productivity and take advantage of innovations in the market. </w:t>
      </w:r>
    </w:p>
    <w:p w14:paraId="273D1F71" w14:textId="77777777" w:rsidR="000B773C" w:rsidRDefault="000B773C" w:rsidP="000B773C">
      <w:pPr>
        <w:rPr>
          <w:lang w:eastAsia="en-US"/>
        </w:rPr>
      </w:pPr>
      <w:r>
        <w:rPr>
          <w:lang w:eastAsia="en-US"/>
        </w:rPr>
        <w:t>It is also worth considering VFM at later stages of the procurement process, such as contract management to drive continuous improvement during the contract period.</w:t>
      </w:r>
    </w:p>
    <w:p w14:paraId="6EEBFDF3" w14:textId="3F5BF959" w:rsidR="000B773C" w:rsidRPr="001C520A" w:rsidRDefault="000B773C" w:rsidP="001C520A">
      <w:pPr>
        <w:pStyle w:val="Heading2"/>
        <w:rPr>
          <w:color w:val="7030A0"/>
        </w:rPr>
      </w:pPr>
      <w:r w:rsidRPr="001C520A">
        <w:rPr>
          <w:color w:val="7030A0"/>
        </w:rPr>
        <w:t>Applying and measuring VFM</w:t>
      </w:r>
      <w:r w:rsidR="00F9375B">
        <w:rPr>
          <w:color w:val="7030A0"/>
        </w:rPr>
        <w:t xml:space="preserve"> </w:t>
      </w:r>
    </w:p>
    <w:p w14:paraId="6E7A538D" w14:textId="77777777" w:rsidR="000B773C" w:rsidRDefault="000B773C" w:rsidP="000B773C">
      <w:pPr>
        <w:rPr>
          <w:lang w:eastAsia="en-US"/>
        </w:rPr>
      </w:pPr>
      <w:r>
        <w:rPr>
          <w:lang w:eastAsia="en-US"/>
        </w:rPr>
        <w:t>There is no universal formula for measuring VFM in procurement. VFM takes into account the entire mix of quality, costs and resources, as well as fitness for purpose, timelines and risk. Financial and non financial factors are both critical elements for measuring VFM.</w:t>
      </w:r>
    </w:p>
    <w:p w14:paraId="65E44739" w14:textId="77777777" w:rsidR="000B773C" w:rsidRDefault="001C520A" w:rsidP="000B773C">
      <w:pPr>
        <w:rPr>
          <w:lang w:eastAsia="en-US"/>
        </w:rPr>
      </w:pPr>
      <w:r>
        <w:rPr>
          <w:lang w:eastAsia="en-US"/>
        </w:rPr>
        <w:t xml:space="preserve">The following figure shows </w:t>
      </w:r>
      <w:r w:rsidR="000B773C">
        <w:rPr>
          <w:lang w:eastAsia="en-US"/>
        </w:rPr>
        <w:t>VFM drivers aligned against key elements of the procurement process.</w:t>
      </w:r>
    </w:p>
    <w:p w14:paraId="018D516B" w14:textId="77777777" w:rsidR="000B773C" w:rsidRDefault="001862C0" w:rsidP="0035074F">
      <w:pPr>
        <w:jc w:val="center"/>
      </w:pPr>
      <w:r>
        <w:object w:dxaOrig="4628" w:dyaOrig="3577" w14:anchorId="353E9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78.5pt" o:ole="">
            <v:imagedata r:id="rId8" o:title=""/>
          </v:shape>
          <o:OLEObject Type="Embed" ProgID="Visio.Drawing.11" ShapeID="_x0000_i1025" DrawAspect="Content" ObjectID="_1635770794" r:id="rId9"/>
        </w:object>
      </w:r>
    </w:p>
    <w:p w14:paraId="25792514" w14:textId="77777777" w:rsidR="001862C0" w:rsidRDefault="001C520A" w:rsidP="001862C0">
      <w:pPr>
        <w:rPr>
          <w:lang w:eastAsia="en-US"/>
        </w:rPr>
      </w:pPr>
      <w:r>
        <w:rPr>
          <w:lang w:eastAsia="en-US"/>
        </w:rPr>
        <w:t xml:space="preserve">The figure shows a triangle.  Value for money </w:t>
      </w:r>
      <w:r w:rsidR="00FA37CF">
        <w:rPr>
          <w:lang w:eastAsia="en-US"/>
        </w:rPr>
        <w:t>i</w:t>
      </w:r>
      <w:r>
        <w:rPr>
          <w:lang w:eastAsia="en-US"/>
        </w:rPr>
        <w:t>s sh</w:t>
      </w:r>
      <w:r w:rsidR="00FA37CF">
        <w:rPr>
          <w:lang w:eastAsia="en-US"/>
        </w:rPr>
        <w:t>o</w:t>
      </w:r>
      <w:r>
        <w:rPr>
          <w:lang w:eastAsia="en-US"/>
        </w:rPr>
        <w:t xml:space="preserve">wn at the top of the triangle.  Market competition is shown </w:t>
      </w:r>
      <w:r w:rsidR="00FA37CF">
        <w:rPr>
          <w:lang w:eastAsia="en-US"/>
        </w:rPr>
        <w:t>at</w:t>
      </w:r>
      <w:r>
        <w:rPr>
          <w:lang w:eastAsia="en-US"/>
        </w:rPr>
        <w:t xml:space="preserve"> the lower left corne</w:t>
      </w:r>
      <w:r w:rsidR="00FA37CF">
        <w:rPr>
          <w:lang w:eastAsia="en-US"/>
        </w:rPr>
        <w:t>r</w:t>
      </w:r>
      <w:r>
        <w:rPr>
          <w:lang w:eastAsia="en-US"/>
        </w:rPr>
        <w:t>.  Financial and non-financial are shown at the lower right corner</w:t>
      </w:r>
      <w:r w:rsidR="00A87370">
        <w:rPr>
          <w:lang w:eastAsia="en-US"/>
        </w:rPr>
        <w:t>.  Arro</w:t>
      </w:r>
      <w:r w:rsidR="00FA37CF">
        <w:rPr>
          <w:lang w:eastAsia="en-US"/>
        </w:rPr>
        <w:t>w</w:t>
      </w:r>
      <w:r w:rsidR="00A87370">
        <w:rPr>
          <w:lang w:eastAsia="en-US"/>
        </w:rPr>
        <w:t xml:space="preserve">s point from market competition and financial and non-financial to value for </w:t>
      </w:r>
      <w:r w:rsidR="00234D64">
        <w:rPr>
          <w:lang w:eastAsia="en-US"/>
        </w:rPr>
        <w:t>money</w:t>
      </w:r>
      <w:r w:rsidR="00A87370">
        <w:rPr>
          <w:lang w:eastAsia="en-US"/>
        </w:rPr>
        <w:t>.  The following text appears inside the triangle:</w:t>
      </w:r>
    </w:p>
    <w:p w14:paraId="33903461" w14:textId="77777777" w:rsidR="00A87370" w:rsidRPr="00A87370" w:rsidRDefault="00A87370" w:rsidP="00A87370">
      <w:pPr>
        <w:pStyle w:val="ListParagraph"/>
        <w:numPr>
          <w:ilvl w:val="0"/>
          <w:numId w:val="31"/>
        </w:numPr>
        <w:spacing w:before="0" w:after="0" w:line="240" w:lineRule="auto"/>
        <w:ind w:left="425" w:hanging="357"/>
        <w:rPr>
          <w:rFonts w:cstheme="minorHAnsi"/>
        </w:rPr>
      </w:pPr>
      <w:r w:rsidRPr="00A87370">
        <w:rPr>
          <w:rFonts w:cstheme="minorHAnsi"/>
        </w:rPr>
        <w:lastRenderedPageBreak/>
        <w:t>Analysis</w:t>
      </w:r>
    </w:p>
    <w:p w14:paraId="3E36307D" w14:textId="77777777" w:rsidR="00A87370" w:rsidRPr="00A87370" w:rsidRDefault="00A87370" w:rsidP="00A87370">
      <w:pPr>
        <w:pStyle w:val="ListParagraph"/>
        <w:numPr>
          <w:ilvl w:val="0"/>
          <w:numId w:val="31"/>
        </w:numPr>
        <w:spacing w:before="0" w:after="0" w:line="240" w:lineRule="auto"/>
        <w:ind w:left="425" w:hanging="357"/>
        <w:rPr>
          <w:rFonts w:cstheme="minorHAnsi"/>
        </w:rPr>
      </w:pPr>
      <w:r w:rsidRPr="00A87370">
        <w:rPr>
          <w:rFonts w:cstheme="minorHAnsi"/>
        </w:rPr>
        <w:t>Stakeholders</w:t>
      </w:r>
    </w:p>
    <w:p w14:paraId="3FEEF2EE" w14:textId="77777777" w:rsidR="00A87370" w:rsidRPr="00A87370" w:rsidRDefault="00A87370" w:rsidP="00A87370">
      <w:pPr>
        <w:pStyle w:val="ListParagraph"/>
        <w:numPr>
          <w:ilvl w:val="0"/>
          <w:numId w:val="31"/>
        </w:numPr>
        <w:spacing w:before="0" w:after="0" w:line="240" w:lineRule="auto"/>
        <w:ind w:left="425" w:hanging="357"/>
        <w:rPr>
          <w:rFonts w:cstheme="minorHAnsi"/>
        </w:rPr>
      </w:pPr>
      <w:r w:rsidRPr="00A87370">
        <w:rPr>
          <w:rFonts w:cstheme="minorHAnsi"/>
        </w:rPr>
        <w:t>Market engagement</w:t>
      </w:r>
    </w:p>
    <w:p w14:paraId="4CEA6994" w14:textId="77777777" w:rsidR="00A87370" w:rsidRPr="00A87370" w:rsidRDefault="00A87370" w:rsidP="00A87370">
      <w:pPr>
        <w:pStyle w:val="ListParagraph"/>
        <w:numPr>
          <w:ilvl w:val="0"/>
          <w:numId w:val="31"/>
        </w:numPr>
        <w:spacing w:before="0" w:after="0" w:line="240" w:lineRule="auto"/>
        <w:ind w:left="425" w:hanging="357"/>
        <w:rPr>
          <w:rFonts w:cstheme="minorHAnsi"/>
        </w:rPr>
      </w:pPr>
      <w:r w:rsidRPr="00A87370">
        <w:rPr>
          <w:rFonts w:cstheme="minorHAnsi"/>
        </w:rPr>
        <w:t>Innovation</w:t>
      </w:r>
    </w:p>
    <w:p w14:paraId="57E139CA" w14:textId="77777777" w:rsidR="00A87370" w:rsidRPr="00A87370" w:rsidRDefault="00A87370" w:rsidP="00A87370">
      <w:pPr>
        <w:pStyle w:val="ListParagraph"/>
        <w:numPr>
          <w:ilvl w:val="0"/>
          <w:numId w:val="31"/>
        </w:numPr>
        <w:spacing w:before="0" w:after="0" w:line="240" w:lineRule="auto"/>
        <w:ind w:left="425" w:hanging="357"/>
        <w:rPr>
          <w:rFonts w:cstheme="minorHAnsi"/>
        </w:rPr>
      </w:pPr>
      <w:r w:rsidRPr="00A87370">
        <w:rPr>
          <w:rFonts w:cstheme="minorHAnsi"/>
        </w:rPr>
        <w:t>Delivery</w:t>
      </w:r>
    </w:p>
    <w:p w14:paraId="7672F137" w14:textId="77777777" w:rsidR="00A87370" w:rsidRPr="00D2402A" w:rsidRDefault="00A87370" w:rsidP="00A87370">
      <w:pPr>
        <w:pStyle w:val="ListParagraph"/>
        <w:numPr>
          <w:ilvl w:val="0"/>
          <w:numId w:val="31"/>
        </w:numPr>
        <w:spacing w:before="0" w:after="120" w:line="240" w:lineRule="auto"/>
        <w:ind w:left="426"/>
        <w:rPr>
          <w:lang w:eastAsia="en-US"/>
        </w:rPr>
      </w:pPr>
      <w:r>
        <w:rPr>
          <w:rFonts w:cstheme="minorHAnsi"/>
        </w:rPr>
        <w:t>Reporting</w:t>
      </w:r>
    </w:p>
    <w:p w14:paraId="329CCE55" w14:textId="77777777" w:rsidR="00D2402A" w:rsidRDefault="00D2402A" w:rsidP="00D2402A">
      <w:pPr>
        <w:spacing w:before="0" w:after="120" w:line="240" w:lineRule="auto"/>
        <w:rPr>
          <w:lang w:eastAsia="en-US"/>
        </w:rPr>
      </w:pPr>
      <w:r>
        <w:rPr>
          <w:lang w:eastAsia="en-US"/>
        </w:rPr>
        <w:t xml:space="preserve">The </w:t>
      </w:r>
      <w:r w:rsidRPr="00542A1B">
        <w:rPr>
          <w:b/>
          <w:lang w:eastAsia="en-US"/>
        </w:rPr>
        <w:t>VFM evaluation checklist template</w:t>
      </w:r>
      <w:r>
        <w:rPr>
          <w:lang w:eastAsia="en-US"/>
        </w:rPr>
        <w:t xml:space="preserve"> provides a template for identifying and measuring VFM drivers.</w:t>
      </w:r>
    </w:p>
    <w:p w14:paraId="44A45664" w14:textId="77777777" w:rsidR="00D2402A" w:rsidRPr="00D2402A" w:rsidRDefault="00D2402A" w:rsidP="00D2402A">
      <w:pPr>
        <w:pStyle w:val="Heading2"/>
        <w:rPr>
          <w:color w:val="7030A0"/>
        </w:rPr>
      </w:pPr>
      <w:r w:rsidRPr="00D2402A">
        <w:rPr>
          <w:color w:val="7030A0"/>
        </w:rPr>
        <w:t>Total cost of ownership</w:t>
      </w:r>
    </w:p>
    <w:p w14:paraId="6F93070D" w14:textId="77777777" w:rsidR="000B773C" w:rsidRDefault="00C54B04" w:rsidP="00C54B04">
      <w:pPr>
        <w:rPr>
          <w:lang w:eastAsia="en-US"/>
        </w:rPr>
      </w:pPr>
      <w:r>
        <w:rPr>
          <w:lang w:eastAsia="en-US"/>
        </w:rPr>
        <w:t xml:space="preserve">Calculating the total cost of ownership (TCO) includes a ‘whole of lifecycle’ analysis. It estimates the accumulated costs of acquiring, operating, maintaining and disposing or decommissioning procured goods or services, including revenue from disposal. </w:t>
      </w:r>
      <w:r w:rsidR="00D2402A">
        <w:rPr>
          <w:lang w:eastAsia="en-US"/>
        </w:rPr>
        <w:t>The following f</w:t>
      </w:r>
      <w:r>
        <w:rPr>
          <w:lang w:eastAsia="en-US"/>
        </w:rPr>
        <w:t>igure illustrates the important elements of TCO.</w:t>
      </w:r>
    </w:p>
    <w:p w14:paraId="76827DEC" w14:textId="77777777" w:rsidR="006668BE" w:rsidRPr="006668BE" w:rsidRDefault="006668BE" w:rsidP="0035074F">
      <w:pPr>
        <w:pStyle w:val="Pictwide"/>
        <w:jc w:val="center"/>
        <w:rPr>
          <w:lang w:eastAsia="en-US"/>
        </w:rPr>
      </w:pPr>
      <w:r>
        <w:object w:dxaOrig="9033" w:dyaOrig="5564" w14:anchorId="3C40DCC5">
          <v:shape id="_x0000_i1026" type="#_x0000_t75" style="width:482.25pt;height:297pt" o:ole="">
            <v:imagedata r:id="rId10" o:title=""/>
          </v:shape>
          <o:OLEObject Type="Embed" ProgID="Visio.Drawing.11" ShapeID="_x0000_i1026" DrawAspect="Content" ObjectID="_1635770795" r:id="rId11"/>
        </w:object>
      </w:r>
    </w:p>
    <w:p w14:paraId="0725BED9" w14:textId="77777777" w:rsidR="00D2402A" w:rsidRDefault="00D2402A" w:rsidP="00D2402A">
      <w:pPr>
        <w:spacing w:before="0" w:after="0" w:line="240" w:lineRule="auto"/>
        <w:rPr>
          <w:rFonts w:cstheme="minorHAnsi"/>
        </w:rPr>
      </w:pPr>
      <w:r>
        <w:t xml:space="preserve">The figure shows the </w:t>
      </w:r>
      <w:r>
        <w:rPr>
          <w:rFonts w:cstheme="minorHAnsi"/>
        </w:rPr>
        <w:t>elements of TCO:</w:t>
      </w:r>
    </w:p>
    <w:p w14:paraId="4E1744E7" w14:textId="77777777" w:rsidR="00D2402A" w:rsidRDefault="00D2402A" w:rsidP="00D2402A">
      <w:pPr>
        <w:spacing w:after="120" w:line="240" w:lineRule="auto"/>
        <w:rPr>
          <w:rFonts w:cstheme="minorHAnsi"/>
        </w:rPr>
      </w:pPr>
      <w:r>
        <w:rPr>
          <w:rFonts w:cstheme="minorHAnsi"/>
        </w:rPr>
        <w:t>TCO equals price, plus usage, plus disposal.</w:t>
      </w:r>
    </w:p>
    <w:p w14:paraId="6DBB22FD" w14:textId="77777777" w:rsidR="00D2402A" w:rsidRDefault="00D2402A" w:rsidP="00D2402A">
      <w:pPr>
        <w:spacing w:after="120" w:line="240" w:lineRule="auto"/>
        <w:rPr>
          <w:rFonts w:cstheme="minorHAnsi"/>
        </w:rPr>
      </w:pPr>
      <w:r>
        <w:rPr>
          <w:rFonts w:cstheme="minorHAnsi"/>
        </w:rPr>
        <w:t>TCO includes:</w:t>
      </w:r>
    </w:p>
    <w:p w14:paraId="3F3A3248" w14:textId="77777777" w:rsidR="00D2402A" w:rsidRDefault="00D2402A" w:rsidP="00D2402A">
      <w:pPr>
        <w:pStyle w:val="ListParagraph"/>
        <w:numPr>
          <w:ilvl w:val="0"/>
          <w:numId w:val="32"/>
        </w:numPr>
        <w:spacing w:after="120" w:line="240" w:lineRule="auto"/>
        <w:rPr>
          <w:rFonts w:cstheme="minorHAnsi"/>
        </w:rPr>
      </w:pPr>
      <w:r>
        <w:rPr>
          <w:rFonts w:cstheme="minorHAnsi"/>
        </w:rPr>
        <w:t>Involves all costs associated with ownership</w:t>
      </w:r>
    </w:p>
    <w:p w14:paraId="36A7BD10" w14:textId="77777777" w:rsidR="00D2402A" w:rsidRDefault="00D2402A" w:rsidP="00D2402A">
      <w:pPr>
        <w:pStyle w:val="ListParagraph"/>
        <w:numPr>
          <w:ilvl w:val="0"/>
          <w:numId w:val="32"/>
        </w:numPr>
        <w:spacing w:after="120" w:line="240" w:lineRule="auto"/>
        <w:rPr>
          <w:rFonts w:cstheme="minorHAnsi"/>
        </w:rPr>
      </w:pPr>
      <w:r>
        <w:rPr>
          <w:rFonts w:cstheme="minorHAnsi"/>
        </w:rPr>
        <w:t>Calculated over whole of life of procurement and contract cycle</w:t>
      </w:r>
    </w:p>
    <w:p w14:paraId="5C0CDE89" w14:textId="77777777" w:rsidR="00D2402A" w:rsidRPr="00D2402A" w:rsidRDefault="00D2402A" w:rsidP="00D2402A">
      <w:pPr>
        <w:pStyle w:val="ListParagraph"/>
        <w:numPr>
          <w:ilvl w:val="0"/>
          <w:numId w:val="32"/>
        </w:numPr>
        <w:spacing w:after="120" w:line="240" w:lineRule="auto"/>
        <w:rPr>
          <w:rFonts w:cstheme="minorHAnsi"/>
        </w:rPr>
      </w:pPr>
      <w:r>
        <w:rPr>
          <w:rFonts w:cstheme="minorHAnsi"/>
        </w:rPr>
        <w:t>Includes residual / salvage values</w:t>
      </w:r>
    </w:p>
    <w:p w14:paraId="74C211CC" w14:textId="77777777" w:rsidR="00D2402A" w:rsidRDefault="00D2402A" w:rsidP="00D2402A">
      <w:pPr>
        <w:spacing w:after="120" w:line="240" w:lineRule="auto"/>
        <w:rPr>
          <w:rFonts w:cstheme="minorHAnsi"/>
        </w:rPr>
      </w:pPr>
      <w:r>
        <w:rPr>
          <w:rFonts w:cstheme="minorHAnsi"/>
        </w:rPr>
        <w:t>Price includes:</w:t>
      </w:r>
    </w:p>
    <w:p w14:paraId="5431ABC1" w14:textId="77777777" w:rsidR="00D2402A" w:rsidRDefault="00D2402A" w:rsidP="00D2402A">
      <w:pPr>
        <w:pStyle w:val="ListParagraph"/>
        <w:numPr>
          <w:ilvl w:val="0"/>
          <w:numId w:val="33"/>
        </w:numPr>
        <w:spacing w:after="120" w:line="240" w:lineRule="auto"/>
        <w:rPr>
          <w:rFonts w:cstheme="minorHAnsi"/>
        </w:rPr>
      </w:pPr>
      <w:r>
        <w:rPr>
          <w:rFonts w:cstheme="minorHAnsi"/>
        </w:rPr>
        <w:t>Unit price</w:t>
      </w:r>
    </w:p>
    <w:p w14:paraId="1096F3A4" w14:textId="77777777" w:rsidR="00D2402A" w:rsidRDefault="00D2402A" w:rsidP="00D2402A">
      <w:pPr>
        <w:pStyle w:val="ListParagraph"/>
        <w:numPr>
          <w:ilvl w:val="0"/>
          <w:numId w:val="33"/>
        </w:numPr>
        <w:spacing w:after="120" w:line="240" w:lineRule="auto"/>
        <w:rPr>
          <w:rFonts w:cstheme="minorHAnsi"/>
        </w:rPr>
      </w:pPr>
      <w:r>
        <w:rPr>
          <w:rFonts w:cstheme="minorHAnsi"/>
        </w:rPr>
        <w:t>Tendering, evaluation and selection processes</w:t>
      </w:r>
    </w:p>
    <w:p w14:paraId="0A0D9CF8" w14:textId="77777777" w:rsidR="00D2402A" w:rsidRDefault="00D2402A" w:rsidP="00D2402A">
      <w:pPr>
        <w:pStyle w:val="ListParagraph"/>
        <w:numPr>
          <w:ilvl w:val="0"/>
          <w:numId w:val="33"/>
        </w:numPr>
        <w:spacing w:after="120" w:line="240" w:lineRule="auto"/>
        <w:rPr>
          <w:rFonts w:cstheme="minorHAnsi"/>
        </w:rPr>
      </w:pPr>
      <w:r>
        <w:rPr>
          <w:rFonts w:cstheme="minorHAnsi"/>
        </w:rPr>
        <w:t>License(s) or permits</w:t>
      </w:r>
    </w:p>
    <w:p w14:paraId="474B8706" w14:textId="77777777" w:rsidR="00D2402A" w:rsidRDefault="00D2402A" w:rsidP="00D2402A">
      <w:pPr>
        <w:pStyle w:val="ListParagraph"/>
        <w:numPr>
          <w:ilvl w:val="0"/>
          <w:numId w:val="33"/>
        </w:numPr>
        <w:spacing w:after="120" w:line="240" w:lineRule="auto"/>
        <w:rPr>
          <w:rFonts w:cstheme="minorHAnsi"/>
        </w:rPr>
      </w:pPr>
      <w:r>
        <w:rPr>
          <w:rFonts w:cstheme="minorHAnsi"/>
        </w:rPr>
        <w:t>Demand planning</w:t>
      </w:r>
    </w:p>
    <w:p w14:paraId="3787BC1C" w14:textId="77777777" w:rsidR="00D2402A" w:rsidRDefault="00D2402A" w:rsidP="00D2402A">
      <w:pPr>
        <w:pStyle w:val="ListParagraph"/>
        <w:numPr>
          <w:ilvl w:val="0"/>
          <w:numId w:val="33"/>
        </w:numPr>
        <w:spacing w:after="120" w:line="240" w:lineRule="auto"/>
        <w:rPr>
          <w:rFonts w:cstheme="minorHAnsi"/>
        </w:rPr>
      </w:pPr>
      <w:r>
        <w:rPr>
          <w:rFonts w:cstheme="minorHAnsi"/>
        </w:rPr>
        <w:lastRenderedPageBreak/>
        <w:t>Internal systems support</w:t>
      </w:r>
    </w:p>
    <w:p w14:paraId="6D484A39" w14:textId="77777777" w:rsidR="00D2402A" w:rsidRDefault="00D2402A" w:rsidP="00D2402A">
      <w:pPr>
        <w:pStyle w:val="ListParagraph"/>
        <w:numPr>
          <w:ilvl w:val="0"/>
          <w:numId w:val="33"/>
        </w:numPr>
        <w:spacing w:after="120" w:line="240" w:lineRule="auto"/>
        <w:rPr>
          <w:rFonts w:cstheme="minorHAnsi"/>
        </w:rPr>
      </w:pPr>
      <w:r>
        <w:rPr>
          <w:rFonts w:cstheme="minorHAnsi"/>
        </w:rPr>
        <w:t>Legal</w:t>
      </w:r>
    </w:p>
    <w:p w14:paraId="09545490" w14:textId="77777777" w:rsidR="00D2402A" w:rsidRDefault="00D2402A" w:rsidP="00D2402A">
      <w:pPr>
        <w:pStyle w:val="ListParagraph"/>
        <w:numPr>
          <w:ilvl w:val="0"/>
          <w:numId w:val="33"/>
        </w:numPr>
        <w:spacing w:after="120" w:line="240" w:lineRule="auto"/>
        <w:rPr>
          <w:rFonts w:cstheme="minorHAnsi"/>
        </w:rPr>
      </w:pPr>
      <w:r>
        <w:rPr>
          <w:rFonts w:cstheme="minorHAnsi"/>
        </w:rPr>
        <w:t>Training and personnel</w:t>
      </w:r>
    </w:p>
    <w:p w14:paraId="033CC280" w14:textId="77777777" w:rsidR="00D2402A" w:rsidRDefault="00D2402A" w:rsidP="00D2402A">
      <w:pPr>
        <w:pStyle w:val="ListParagraph"/>
        <w:numPr>
          <w:ilvl w:val="0"/>
          <w:numId w:val="33"/>
        </w:numPr>
        <w:spacing w:after="120" w:line="240" w:lineRule="auto"/>
        <w:rPr>
          <w:rFonts w:cstheme="minorHAnsi"/>
        </w:rPr>
      </w:pPr>
      <w:r>
        <w:rPr>
          <w:rFonts w:cstheme="minorHAnsi"/>
        </w:rPr>
        <w:t>Risk margins / premiums</w:t>
      </w:r>
    </w:p>
    <w:p w14:paraId="4CFE6617" w14:textId="77777777" w:rsidR="00D2402A" w:rsidRPr="00D2402A" w:rsidRDefault="00D2402A" w:rsidP="00D2402A">
      <w:pPr>
        <w:pStyle w:val="ListParagraph"/>
        <w:numPr>
          <w:ilvl w:val="0"/>
          <w:numId w:val="33"/>
        </w:numPr>
        <w:spacing w:after="120" w:line="240" w:lineRule="auto"/>
        <w:rPr>
          <w:rFonts w:cstheme="minorHAnsi"/>
        </w:rPr>
      </w:pPr>
      <w:r>
        <w:rPr>
          <w:rFonts w:cstheme="minorHAnsi"/>
        </w:rPr>
        <w:t>Transition in</w:t>
      </w:r>
    </w:p>
    <w:p w14:paraId="569F6609" w14:textId="77777777" w:rsidR="00D2402A" w:rsidRDefault="00D2402A" w:rsidP="00D2402A">
      <w:pPr>
        <w:spacing w:after="120" w:line="240" w:lineRule="auto"/>
        <w:rPr>
          <w:rFonts w:cstheme="minorHAnsi"/>
        </w:rPr>
      </w:pPr>
      <w:r>
        <w:rPr>
          <w:rFonts w:cstheme="minorHAnsi"/>
        </w:rPr>
        <w:t>Usage includes:</w:t>
      </w:r>
    </w:p>
    <w:p w14:paraId="3C1A4468" w14:textId="77777777" w:rsidR="00D2402A" w:rsidRDefault="00D2402A" w:rsidP="00D2402A">
      <w:pPr>
        <w:pStyle w:val="ListParagraph"/>
        <w:numPr>
          <w:ilvl w:val="0"/>
          <w:numId w:val="34"/>
        </w:numPr>
        <w:spacing w:after="120" w:line="240" w:lineRule="auto"/>
        <w:rPr>
          <w:rFonts w:cstheme="minorHAnsi"/>
        </w:rPr>
      </w:pPr>
      <w:r>
        <w:rPr>
          <w:rFonts w:cstheme="minorHAnsi"/>
        </w:rPr>
        <w:t>Costs to operate</w:t>
      </w:r>
    </w:p>
    <w:p w14:paraId="56BF1B27" w14:textId="77777777" w:rsidR="00D2402A" w:rsidRDefault="00D2402A" w:rsidP="00D2402A">
      <w:pPr>
        <w:pStyle w:val="ListParagraph"/>
        <w:numPr>
          <w:ilvl w:val="1"/>
          <w:numId w:val="34"/>
        </w:numPr>
        <w:spacing w:after="120" w:line="240" w:lineRule="auto"/>
        <w:rPr>
          <w:rFonts w:cstheme="minorHAnsi"/>
        </w:rPr>
      </w:pPr>
      <w:r>
        <w:rPr>
          <w:rFonts w:cstheme="minorHAnsi"/>
        </w:rPr>
        <w:t>Reviews</w:t>
      </w:r>
    </w:p>
    <w:p w14:paraId="7C818B0B" w14:textId="77777777" w:rsidR="00D2402A" w:rsidRDefault="00D2402A" w:rsidP="00D2402A">
      <w:pPr>
        <w:pStyle w:val="ListParagraph"/>
        <w:numPr>
          <w:ilvl w:val="1"/>
          <w:numId w:val="34"/>
        </w:numPr>
        <w:spacing w:after="120" w:line="240" w:lineRule="auto"/>
        <w:rPr>
          <w:rFonts w:cstheme="minorHAnsi"/>
        </w:rPr>
      </w:pPr>
      <w:r>
        <w:rPr>
          <w:rFonts w:cstheme="minorHAnsi"/>
        </w:rPr>
        <w:t>Maintenance</w:t>
      </w:r>
    </w:p>
    <w:p w14:paraId="10C02A12" w14:textId="77777777" w:rsidR="00D2402A" w:rsidRDefault="00D2402A" w:rsidP="00D2402A">
      <w:pPr>
        <w:pStyle w:val="ListParagraph"/>
        <w:numPr>
          <w:ilvl w:val="1"/>
          <w:numId w:val="34"/>
        </w:numPr>
        <w:spacing w:after="120" w:line="240" w:lineRule="auto"/>
        <w:rPr>
          <w:rFonts w:cstheme="minorHAnsi"/>
        </w:rPr>
      </w:pPr>
      <w:r>
        <w:rPr>
          <w:rFonts w:cstheme="minorHAnsi"/>
        </w:rPr>
        <w:t>Upgrade</w:t>
      </w:r>
    </w:p>
    <w:p w14:paraId="371ABECB" w14:textId="77777777" w:rsidR="00D2402A" w:rsidRDefault="00D2402A" w:rsidP="00D2402A">
      <w:pPr>
        <w:pStyle w:val="ListParagraph"/>
        <w:numPr>
          <w:ilvl w:val="1"/>
          <w:numId w:val="34"/>
        </w:numPr>
        <w:spacing w:after="120" w:line="240" w:lineRule="auto"/>
        <w:rPr>
          <w:rFonts w:cstheme="minorHAnsi"/>
        </w:rPr>
      </w:pPr>
      <w:r>
        <w:rPr>
          <w:rFonts w:cstheme="minorHAnsi"/>
        </w:rPr>
        <w:t>Demand management</w:t>
      </w:r>
    </w:p>
    <w:p w14:paraId="18164BD0" w14:textId="77777777" w:rsidR="00D2402A" w:rsidRDefault="00D2402A" w:rsidP="00D2402A">
      <w:pPr>
        <w:pStyle w:val="ListParagraph"/>
        <w:numPr>
          <w:ilvl w:val="1"/>
          <w:numId w:val="34"/>
        </w:numPr>
        <w:spacing w:after="120" w:line="240" w:lineRule="auto"/>
        <w:rPr>
          <w:rFonts w:cstheme="minorHAnsi"/>
        </w:rPr>
      </w:pPr>
      <w:r>
        <w:rPr>
          <w:rFonts w:cstheme="minorHAnsi"/>
        </w:rPr>
        <w:t>Distribution and logistics</w:t>
      </w:r>
    </w:p>
    <w:p w14:paraId="2A672AC7" w14:textId="77777777" w:rsidR="00D2402A" w:rsidRDefault="00D2402A" w:rsidP="00D2402A">
      <w:pPr>
        <w:pStyle w:val="ListParagraph"/>
        <w:numPr>
          <w:ilvl w:val="1"/>
          <w:numId w:val="34"/>
        </w:numPr>
        <w:spacing w:after="120" w:line="240" w:lineRule="auto"/>
        <w:rPr>
          <w:rFonts w:cstheme="minorHAnsi"/>
        </w:rPr>
      </w:pPr>
      <w:r>
        <w:rPr>
          <w:rFonts w:cstheme="minorHAnsi"/>
        </w:rPr>
        <w:t>Supplier relationship management</w:t>
      </w:r>
    </w:p>
    <w:p w14:paraId="52E0E152" w14:textId="77777777" w:rsidR="00D2402A" w:rsidRDefault="00D2402A" w:rsidP="00D2402A">
      <w:pPr>
        <w:pStyle w:val="ListParagraph"/>
        <w:numPr>
          <w:ilvl w:val="1"/>
          <w:numId w:val="34"/>
        </w:numPr>
        <w:spacing w:after="120" w:line="240" w:lineRule="auto"/>
        <w:rPr>
          <w:rFonts w:cstheme="minorHAnsi"/>
        </w:rPr>
      </w:pPr>
      <w:r>
        <w:rPr>
          <w:rFonts w:cstheme="minorHAnsi"/>
        </w:rPr>
        <w:t>Security and safety</w:t>
      </w:r>
    </w:p>
    <w:p w14:paraId="1830D624" w14:textId="77777777" w:rsidR="00D2402A" w:rsidRDefault="00D2402A" w:rsidP="00D2402A">
      <w:pPr>
        <w:pStyle w:val="ListParagraph"/>
        <w:numPr>
          <w:ilvl w:val="0"/>
          <w:numId w:val="34"/>
        </w:numPr>
        <w:spacing w:after="120" w:line="240" w:lineRule="auto"/>
        <w:rPr>
          <w:rFonts w:cstheme="minorHAnsi"/>
        </w:rPr>
      </w:pPr>
      <w:r>
        <w:rPr>
          <w:rFonts w:cstheme="minorHAnsi"/>
        </w:rPr>
        <w:t>Support costs</w:t>
      </w:r>
    </w:p>
    <w:p w14:paraId="2493E445" w14:textId="77777777" w:rsidR="00D2402A" w:rsidRDefault="00D2402A" w:rsidP="00D2402A">
      <w:pPr>
        <w:pStyle w:val="ListParagraph"/>
        <w:numPr>
          <w:ilvl w:val="1"/>
          <w:numId w:val="34"/>
        </w:numPr>
        <w:spacing w:after="120" w:line="240" w:lineRule="auto"/>
        <w:rPr>
          <w:rFonts w:cstheme="minorHAnsi"/>
        </w:rPr>
      </w:pPr>
      <w:r>
        <w:rPr>
          <w:rFonts w:cstheme="minorHAnsi"/>
        </w:rPr>
        <w:t>Insurance</w:t>
      </w:r>
    </w:p>
    <w:p w14:paraId="58A8DF97" w14:textId="77777777" w:rsidR="00D2402A" w:rsidRDefault="00D2402A" w:rsidP="00D2402A">
      <w:pPr>
        <w:pStyle w:val="ListParagraph"/>
        <w:numPr>
          <w:ilvl w:val="1"/>
          <w:numId w:val="34"/>
        </w:numPr>
        <w:spacing w:after="120" w:line="240" w:lineRule="auto"/>
        <w:rPr>
          <w:rFonts w:cstheme="minorHAnsi"/>
        </w:rPr>
      </w:pPr>
      <w:r>
        <w:rPr>
          <w:rFonts w:cstheme="minorHAnsi"/>
        </w:rPr>
        <w:t>Rates and taxes</w:t>
      </w:r>
    </w:p>
    <w:p w14:paraId="61968A5B" w14:textId="77777777" w:rsidR="00D2402A" w:rsidRDefault="00D2402A" w:rsidP="00D2402A">
      <w:pPr>
        <w:pStyle w:val="ListParagraph"/>
        <w:numPr>
          <w:ilvl w:val="1"/>
          <w:numId w:val="34"/>
        </w:numPr>
        <w:spacing w:after="120" w:line="240" w:lineRule="auto"/>
        <w:rPr>
          <w:rFonts w:cstheme="minorHAnsi"/>
        </w:rPr>
      </w:pPr>
      <w:r>
        <w:rPr>
          <w:rFonts w:cstheme="minorHAnsi"/>
        </w:rPr>
        <w:t>Management fees and charges</w:t>
      </w:r>
    </w:p>
    <w:p w14:paraId="6746B17A" w14:textId="77777777" w:rsidR="00D2402A" w:rsidRDefault="00D2402A" w:rsidP="00D2402A">
      <w:pPr>
        <w:pStyle w:val="ListParagraph"/>
        <w:numPr>
          <w:ilvl w:val="1"/>
          <w:numId w:val="34"/>
        </w:numPr>
        <w:spacing w:after="120" w:line="240" w:lineRule="auto"/>
        <w:rPr>
          <w:rFonts w:cstheme="minorHAnsi"/>
        </w:rPr>
      </w:pPr>
      <w:r>
        <w:rPr>
          <w:rFonts w:cstheme="minorHAnsi"/>
        </w:rPr>
        <w:t>Safety and security compliances</w:t>
      </w:r>
    </w:p>
    <w:p w14:paraId="1E138F28" w14:textId="77777777" w:rsidR="00D2402A" w:rsidRDefault="00D2402A" w:rsidP="00D2402A">
      <w:pPr>
        <w:pStyle w:val="ListParagraph"/>
        <w:numPr>
          <w:ilvl w:val="1"/>
          <w:numId w:val="34"/>
        </w:numPr>
        <w:spacing w:after="120" w:line="240" w:lineRule="auto"/>
        <w:rPr>
          <w:rFonts w:cstheme="minorHAnsi"/>
        </w:rPr>
      </w:pPr>
      <w:r>
        <w:rPr>
          <w:rFonts w:cstheme="minorHAnsi"/>
        </w:rPr>
        <w:t>Quality management</w:t>
      </w:r>
    </w:p>
    <w:p w14:paraId="6F67B257" w14:textId="77777777" w:rsidR="00D2402A" w:rsidRDefault="00D2402A" w:rsidP="00D2402A">
      <w:pPr>
        <w:pStyle w:val="ListParagraph"/>
        <w:numPr>
          <w:ilvl w:val="1"/>
          <w:numId w:val="34"/>
        </w:numPr>
        <w:spacing w:after="120" w:line="240" w:lineRule="auto"/>
        <w:rPr>
          <w:rFonts w:cstheme="minorHAnsi"/>
        </w:rPr>
      </w:pPr>
      <w:r>
        <w:rPr>
          <w:rFonts w:cstheme="minorHAnsi"/>
        </w:rPr>
        <w:t>Reporting</w:t>
      </w:r>
    </w:p>
    <w:p w14:paraId="7831B860" w14:textId="77777777" w:rsidR="00D2402A" w:rsidRDefault="00D2402A" w:rsidP="00D2402A">
      <w:pPr>
        <w:pStyle w:val="ListParagraph"/>
        <w:numPr>
          <w:ilvl w:val="1"/>
          <w:numId w:val="34"/>
        </w:numPr>
        <w:spacing w:after="120" w:line="240" w:lineRule="auto"/>
        <w:rPr>
          <w:rFonts w:cstheme="minorHAnsi"/>
        </w:rPr>
      </w:pPr>
      <w:r>
        <w:rPr>
          <w:rFonts w:cstheme="minorHAnsi"/>
        </w:rPr>
        <w:t>Ordering and payments</w:t>
      </w:r>
    </w:p>
    <w:p w14:paraId="267B35FC" w14:textId="77777777" w:rsidR="00D2402A" w:rsidRDefault="00D2402A" w:rsidP="00D2402A">
      <w:pPr>
        <w:pStyle w:val="ListParagraph"/>
        <w:numPr>
          <w:ilvl w:val="1"/>
          <w:numId w:val="34"/>
        </w:numPr>
        <w:spacing w:after="120" w:line="240" w:lineRule="auto"/>
        <w:rPr>
          <w:rFonts w:cstheme="minorHAnsi"/>
        </w:rPr>
      </w:pPr>
      <w:r>
        <w:rPr>
          <w:rFonts w:cstheme="minorHAnsi"/>
        </w:rPr>
        <w:t>Training and personnel</w:t>
      </w:r>
    </w:p>
    <w:p w14:paraId="5FD2C8CE" w14:textId="77777777" w:rsidR="00D2402A" w:rsidRDefault="00D2402A" w:rsidP="00D2402A">
      <w:pPr>
        <w:pStyle w:val="ListParagraph"/>
        <w:numPr>
          <w:ilvl w:val="0"/>
          <w:numId w:val="34"/>
        </w:numPr>
        <w:spacing w:after="120" w:line="240" w:lineRule="auto"/>
        <w:rPr>
          <w:rFonts w:cstheme="minorHAnsi"/>
        </w:rPr>
      </w:pPr>
      <w:r>
        <w:rPr>
          <w:rFonts w:cstheme="minorHAnsi"/>
        </w:rPr>
        <w:t xml:space="preserve">Costs to upgrade and </w:t>
      </w:r>
      <w:r w:rsidR="00234D64">
        <w:rPr>
          <w:rFonts w:cstheme="minorHAnsi"/>
        </w:rPr>
        <w:t>customise</w:t>
      </w:r>
    </w:p>
    <w:p w14:paraId="346E72E2" w14:textId="77777777" w:rsidR="00D2402A" w:rsidRDefault="00D2402A" w:rsidP="00D2402A">
      <w:pPr>
        <w:pStyle w:val="ListParagraph"/>
        <w:numPr>
          <w:ilvl w:val="1"/>
          <w:numId w:val="34"/>
        </w:numPr>
        <w:spacing w:after="120" w:line="240" w:lineRule="auto"/>
        <w:rPr>
          <w:rFonts w:cstheme="minorHAnsi"/>
        </w:rPr>
      </w:pPr>
      <w:r>
        <w:rPr>
          <w:rFonts w:cstheme="minorHAnsi"/>
        </w:rPr>
        <w:t>Integration and replacement</w:t>
      </w:r>
    </w:p>
    <w:p w14:paraId="0C3A1F19" w14:textId="77777777" w:rsidR="00D2402A" w:rsidRDefault="00D2402A" w:rsidP="00D2402A">
      <w:pPr>
        <w:pStyle w:val="ListParagraph"/>
        <w:numPr>
          <w:ilvl w:val="1"/>
          <w:numId w:val="34"/>
        </w:numPr>
        <w:spacing w:after="120" w:line="240" w:lineRule="auto"/>
        <w:rPr>
          <w:rFonts w:cstheme="minorHAnsi"/>
        </w:rPr>
      </w:pPr>
      <w:r>
        <w:rPr>
          <w:rFonts w:cstheme="minorHAnsi"/>
        </w:rPr>
        <w:t>Systems maintenance / upgrade</w:t>
      </w:r>
    </w:p>
    <w:p w14:paraId="2CC7B123" w14:textId="77777777" w:rsidR="00D2402A" w:rsidRPr="00D2402A" w:rsidRDefault="00234D64" w:rsidP="00D2402A">
      <w:pPr>
        <w:pStyle w:val="ListParagraph"/>
        <w:numPr>
          <w:ilvl w:val="1"/>
          <w:numId w:val="34"/>
        </w:numPr>
        <w:spacing w:after="120" w:line="240" w:lineRule="auto"/>
        <w:rPr>
          <w:rFonts w:cstheme="minorHAnsi"/>
        </w:rPr>
      </w:pPr>
      <w:r>
        <w:rPr>
          <w:rFonts w:cstheme="minorHAnsi"/>
        </w:rPr>
        <w:t>Customisation</w:t>
      </w:r>
    </w:p>
    <w:p w14:paraId="03E36841" w14:textId="77777777" w:rsidR="00D2402A" w:rsidRDefault="00D2402A" w:rsidP="00D2402A">
      <w:pPr>
        <w:spacing w:after="120" w:line="240" w:lineRule="auto"/>
        <w:rPr>
          <w:rFonts w:cstheme="minorHAnsi"/>
        </w:rPr>
      </w:pPr>
      <w:r>
        <w:rPr>
          <w:rFonts w:cstheme="minorHAnsi"/>
        </w:rPr>
        <w:t>Disposal includes:</w:t>
      </w:r>
    </w:p>
    <w:p w14:paraId="4623459A" w14:textId="77777777" w:rsidR="00D2402A" w:rsidRDefault="00D2402A" w:rsidP="00D2402A">
      <w:pPr>
        <w:pStyle w:val="ListParagraph"/>
        <w:numPr>
          <w:ilvl w:val="0"/>
          <w:numId w:val="35"/>
        </w:numPr>
        <w:spacing w:after="120" w:line="240" w:lineRule="auto"/>
        <w:rPr>
          <w:rFonts w:cstheme="minorHAnsi"/>
        </w:rPr>
      </w:pPr>
      <w:r>
        <w:rPr>
          <w:rFonts w:cstheme="minorHAnsi"/>
        </w:rPr>
        <w:t>Costs to end</w:t>
      </w:r>
    </w:p>
    <w:p w14:paraId="5232036E" w14:textId="77777777" w:rsidR="00D2402A" w:rsidRDefault="00D2402A" w:rsidP="00D2402A">
      <w:pPr>
        <w:pStyle w:val="ListParagraph"/>
        <w:numPr>
          <w:ilvl w:val="0"/>
          <w:numId w:val="35"/>
        </w:numPr>
        <w:spacing w:after="120" w:line="240" w:lineRule="auto"/>
        <w:rPr>
          <w:rFonts w:cstheme="minorHAnsi"/>
        </w:rPr>
      </w:pPr>
      <w:r>
        <w:rPr>
          <w:rFonts w:cstheme="minorHAnsi"/>
        </w:rPr>
        <w:t>Decommissioning and / or demolition / destruction</w:t>
      </w:r>
    </w:p>
    <w:p w14:paraId="63BA6EAC" w14:textId="77777777" w:rsidR="00D2402A" w:rsidRDefault="00D2402A" w:rsidP="00D2402A">
      <w:pPr>
        <w:pStyle w:val="ListParagraph"/>
        <w:numPr>
          <w:ilvl w:val="0"/>
          <w:numId w:val="35"/>
        </w:numPr>
        <w:spacing w:after="120" w:line="240" w:lineRule="auto"/>
        <w:rPr>
          <w:rFonts w:cstheme="minorHAnsi"/>
        </w:rPr>
      </w:pPr>
      <w:r>
        <w:rPr>
          <w:rFonts w:cstheme="minorHAnsi"/>
        </w:rPr>
        <w:t>Replacement</w:t>
      </w:r>
    </w:p>
    <w:p w14:paraId="0234A2EA" w14:textId="77777777" w:rsidR="00D2402A" w:rsidRDefault="00D2402A" w:rsidP="00D2402A">
      <w:pPr>
        <w:pStyle w:val="ListParagraph"/>
        <w:numPr>
          <w:ilvl w:val="0"/>
          <w:numId w:val="35"/>
        </w:numPr>
        <w:spacing w:after="120" w:line="240" w:lineRule="auto"/>
        <w:rPr>
          <w:rFonts w:cstheme="minorHAnsi"/>
        </w:rPr>
      </w:pPr>
      <w:r>
        <w:rPr>
          <w:rFonts w:cstheme="minorHAnsi"/>
        </w:rPr>
        <w:t>Data migration</w:t>
      </w:r>
    </w:p>
    <w:p w14:paraId="385AAA19" w14:textId="77777777" w:rsidR="00D2402A" w:rsidRDefault="00AD7222" w:rsidP="00D2402A">
      <w:pPr>
        <w:pStyle w:val="ListParagraph"/>
        <w:numPr>
          <w:ilvl w:val="0"/>
          <w:numId w:val="35"/>
        </w:numPr>
        <w:spacing w:after="120" w:line="240" w:lineRule="auto"/>
        <w:rPr>
          <w:rFonts w:cstheme="minorHAnsi"/>
        </w:rPr>
      </w:pPr>
      <w:r>
        <w:rPr>
          <w:rFonts w:cstheme="minorHAnsi"/>
        </w:rPr>
        <w:t>Safety and security</w:t>
      </w:r>
    </w:p>
    <w:p w14:paraId="093C58AE" w14:textId="77777777" w:rsidR="00AD7222" w:rsidRDefault="00AD7222" w:rsidP="00D2402A">
      <w:pPr>
        <w:pStyle w:val="ListParagraph"/>
        <w:numPr>
          <w:ilvl w:val="0"/>
          <w:numId w:val="35"/>
        </w:numPr>
        <w:spacing w:after="120" w:line="240" w:lineRule="auto"/>
        <w:rPr>
          <w:rFonts w:cstheme="minorHAnsi"/>
        </w:rPr>
      </w:pPr>
      <w:r>
        <w:rPr>
          <w:rFonts w:cstheme="minorHAnsi"/>
        </w:rPr>
        <w:t>Carbon footprint and environmental</w:t>
      </w:r>
    </w:p>
    <w:p w14:paraId="6B22BC49" w14:textId="77777777" w:rsidR="00AD7222" w:rsidRDefault="00AD7222" w:rsidP="00D2402A">
      <w:pPr>
        <w:pStyle w:val="ListParagraph"/>
        <w:numPr>
          <w:ilvl w:val="0"/>
          <w:numId w:val="35"/>
        </w:numPr>
        <w:spacing w:after="120" w:line="240" w:lineRule="auto"/>
        <w:rPr>
          <w:rFonts w:cstheme="minorHAnsi"/>
        </w:rPr>
      </w:pPr>
      <w:r>
        <w:rPr>
          <w:rFonts w:cstheme="minorHAnsi"/>
        </w:rPr>
        <w:t>Support costs</w:t>
      </w:r>
    </w:p>
    <w:p w14:paraId="2E9E3BC0" w14:textId="77777777" w:rsidR="00AD7222" w:rsidRDefault="00AD7222" w:rsidP="00D2402A">
      <w:pPr>
        <w:pStyle w:val="ListParagraph"/>
        <w:numPr>
          <w:ilvl w:val="0"/>
          <w:numId w:val="35"/>
        </w:numPr>
        <w:spacing w:after="120" w:line="240" w:lineRule="auto"/>
        <w:rPr>
          <w:rFonts w:cstheme="minorHAnsi"/>
        </w:rPr>
      </w:pPr>
      <w:r>
        <w:rPr>
          <w:rFonts w:cstheme="minorHAnsi"/>
        </w:rPr>
        <w:t>Statutory compliance costs</w:t>
      </w:r>
    </w:p>
    <w:p w14:paraId="0766F8B7" w14:textId="77777777" w:rsidR="00AD7222" w:rsidRDefault="00AD7222" w:rsidP="00D2402A">
      <w:pPr>
        <w:pStyle w:val="ListParagraph"/>
        <w:numPr>
          <w:ilvl w:val="0"/>
          <w:numId w:val="35"/>
        </w:numPr>
        <w:spacing w:after="120" w:line="240" w:lineRule="auto"/>
        <w:rPr>
          <w:rFonts w:cstheme="minorHAnsi"/>
        </w:rPr>
      </w:pPr>
      <w:r>
        <w:rPr>
          <w:rFonts w:cstheme="minorHAnsi"/>
        </w:rPr>
        <w:t>Associated labour and personnel</w:t>
      </w:r>
    </w:p>
    <w:p w14:paraId="14602E4B" w14:textId="77777777" w:rsidR="00AD7222" w:rsidRDefault="00AD7222" w:rsidP="00D2402A">
      <w:pPr>
        <w:pStyle w:val="ListParagraph"/>
        <w:numPr>
          <w:ilvl w:val="0"/>
          <w:numId w:val="35"/>
        </w:numPr>
        <w:spacing w:after="120" w:line="240" w:lineRule="auto"/>
        <w:rPr>
          <w:rFonts w:cstheme="minorHAnsi"/>
        </w:rPr>
      </w:pPr>
      <w:r>
        <w:rPr>
          <w:rFonts w:cstheme="minorHAnsi"/>
        </w:rPr>
        <w:t>Method (i.e. auctioneers, agent(s), fees)</w:t>
      </w:r>
    </w:p>
    <w:p w14:paraId="48DCB45C" w14:textId="77777777" w:rsidR="00AD7222" w:rsidRDefault="00AD7222" w:rsidP="00D2402A">
      <w:pPr>
        <w:pStyle w:val="ListParagraph"/>
        <w:numPr>
          <w:ilvl w:val="0"/>
          <w:numId w:val="35"/>
        </w:numPr>
        <w:spacing w:after="120" w:line="240" w:lineRule="auto"/>
        <w:rPr>
          <w:rFonts w:cstheme="minorHAnsi"/>
        </w:rPr>
      </w:pPr>
      <w:r>
        <w:rPr>
          <w:rFonts w:cstheme="minorHAnsi"/>
        </w:rPr>
        <w:t>Residual / salvage valuation</w:t>
      </w:r>
    </w:p>
    <w:p w14:paraId="56000157" w14:textId="77777777" w:rsidR="00AD7222" w:rsidRPr="00D2402A" w:rsidRDefault="00AD7222" w:rsidP="00D2402A">
      <w:pPr>
        <w:pStyle w:val="ListParagraph"/>
        <w:numPr>
          <w:ilvl w:val="0"/>
          <w:numId w:val="35"/>
        </w:numPr>
        <w:spacing w:after="120" w:line="240" w:lineRule="auto"/>
        <w:rPr>
          <w:rFonts w:cstheme="minorHAnsi"/>
        </w:rPr>
      </w:pPr>
      <w:r>
        <w:rPr>
          <w:rFonts w:cstheme="minorHAnsi"/>
        </w:rPr>
        <w:t>Transition out</w:t>
      </w:r>
    </w:p>
    <w:p w14:paraId="5940513A" w14:textId="77777777" w:rsidR="00C54B04" w:rsidRPr="00AD7222" w:rsidRDefault="00C54B04" w:rsidP="00AD7222">
      <w:pPr>
        <w:pStyle w:val="Heading3"/>
        <w:rPr>
          <w:color w:val="7030A0"/>
        </w:rPr>
      </w:pPr>
      <w:r w:rsidRPr="00AD7222">
        <w:rPr>
          <w:color w:val="7030A0"/>
        </w:rPr>
        <w:t>Scope of application</w:t>
      </w:r>
    </w:p>
    <w:p w14:paraId="13790A1F" w14:textId="77777777" w:rsidR="00C54B04" w:rsidRDefault="00C54B04" w:rsidP="00C54B04">
      <w:pPr>
        <w:rPr>
          <w:lang w:eastAsia="en-US"/>
        </w:rPr>
      </w:pPr>
      <w:r>
        <w:rPr>
          <w:lang w:eastAsia="en-US"/>
        </w:rPr>
        <w:t xml:space="preserve">There are a number of ways (or metrics) to analyse cash flow to calculate TCO. For example, net present value, return on investment, and internal rate of return. These metrics are most applicable to procurement categories assessed as high risk/high value with a focused or strategic level of complexity, which also require specialist capability. </w:t>
      </w:r>
    </w:p>
    <w:p w14:paraId="2585F7E4" w14:textId="77777777" w:rsidR="00C54B04" w:rsidRDefault="00C54B04" w:rsidP="00C54B04">
      <w:pPr>
        <w:rPr>
          <w:lang w:eastAsia="en-US"/>
        </w:rPr>
      </w:pPr>
      <w:r>
        <w:rPr>
          <w:lang w:eastAsia="en-US"/>
        </w:rPr>
        <w:lastRenderedPageBreak/>
        <w:t xml:space="preserve">For most procurements assessed as transactional, leveraged, and of a low risk/ focused nature, you can determine the TCO of a procurement activity using the TCO analysis framework in </w:t>
      </w:r>
      <w:r w:rsidR="00AD7222">
        <w:rPr>
          <w:lang w:eastAsia="en-US"/>
        </w:rPr>
        <w:t>the following table</w:t>
      </w:r>
      <w:r>
        <w:rPr>
          <w:lang w:eastAsia="en-US"/>
        </w:rPr>
        <w:t>. The following assumptions apply:</w:t>
      </w:r>
    </w:p>
    <w:p w14:paraId="1F83BB40" w14:textId="77777777" w:rsidR="00C54B04" w:rsidRDefault="00C54B04" w:rsidP="00C54B04">
      <w:pPr>
        <w:pStyle w:val="Bullet1"/>
        <w:rPr>
          <w:lang w:eastAsia="en-US"/>
        </w:rPr>
      </w:pPr>
      <w:r>
        <w:rPr>
          <w:lang w:eastAsia="en-US"/>
        </w:rPr>
        <w:t xml:space="preserve">costs are total project costs (including price, usage, disposal and ongoing maintenance/warranty commitments); </w:t>
      </w:r>
    </w:p>
    <w:p w14:paraId="1BB33C6D" w14:textId="77777777" w:rsidR="00C54B04" w:rsidRDefault="00C54B04" w:rsidP="00C54B04">
      <w:pPr>
        <w:pStyle w:val="Bullet1"/>
        <w:rPr>
          <w:lang w:eastAsia="en-US"/>
        </w:rPr>
      </w:pPr>
      <w:r>
        <w:rPr>
          <w:lang w:eastAsia="en-US"/>
        </w:rPr>
        <w:t>use of full dollar value;</w:t>
      </w:r>
    </w:p>
    <w:p w14:paraId="4621E196" w14:textId="77777777" w:rsidR="00C54B04" w:rsidRDefault="00C54B04" w:rsidP="00C54B04">
      <w:pPr>
        <w:pStyle w:val="Bullet1"/>
        <w:rPr>
          <w:lang w:eastAsia="en-US"/>
        </w:rPr>
      </w:pPr>
      <w:r>
        <w:rPr>
          <w:lang w:eastAsia="en-US"/>
        </w:rPr>
        <w:t>application of a standard three to five year contract timeframe, including options to extend; and</w:t>
      </w:r>
    </w:p>
    <w:p w14:paraId="1CD815FB" w14:textId="77777777" w:rsidR="00C54B04" w:rsidRDefault="00C54B04" w:rsidP="00C54B04">
      <w:pPr>
        <w:pStyle w:val="Bullet1"/>
        <w:spacing w:after="120"/>
        <w:ind w:left="357" w:hanging="357"/>
        <w:rPr>
          <w:lang w:eastAsia="en-US"/>
        </w:rPr>
      </w:pPr>
      <w:r>
        <w:rPr>
          <w:lang w:eastAsia="en-US"/>
        </w:rPr>
        <w:t>identified cost increases arising from Consumer Price Index and Carbon Pricing Mechanism adjustments.</w:t>
      </w:r>
    </w:p>
    <w:p w14:paraId="28CFF389" w14:textId="77777777" w:rsidR="00C54B04" w:rsidRPr="00AD7222" w:rsidRDefault="00C54B04" w:rsidP="00AD7222">
      <w:pPr>
        <w:rPr>
          <w:lang w:eastAsia="en-US"/>
        </w:rPr>
      </w:pPr>
      <w:r w:rsidRPr="00AD7222">
        <w:rPr>
          <w:lang w:eastAsia="en-US"/>
        </w:rPr>
        <w:t>Applying TCO assumptions to levels of procurement complexity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267"/>
        <w:gridCol w:w="3265"/>
      </w:tblGrid>
      <w:tr w:rsidR="00AD7222" w:rsidRPr="00B670F6" w14:paraId="23A8A0E6" w14:textId="77777777" w:rsidTr="00AD72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Borders>
              <w:right w:val="single" w:sz="6" w:space="0" w:color="660B68"/>
            </w:tcBorders>
            <w:shd w:val="clear" w:color="auto" w:fill="auto"/>
          </w:tcPr>
          <w:p w14:paraId="4CBE8ED5" w14:textId="77777777" w:rsidR="00AD7222" w:rsidRPr="00B670F6" w:rsidRDefault="00AD7222" w:rsidP="00B670F6">
            <w:pPr>
              <w:pStyle w:val="Pictwide"/>
              <w:spacing w:before="100" w:after="100" w:line="240" w:lineRule="atLeast"/>
              <w:rPr>
                <w:color w:val="auto"/>
                <w:sz w:val="22"/>
                <w:lang w:eastAsia="en-US"/>
              </w:rPr>
            </w:pPr>
          </w:p>
        </w:tc>
        <w:tc>
          <w:tcPr>
            <w:tcW w:w="3319" w:type="dxa"/>
            <w:tcBorders>
              <w:left w:val="single" w:sz="6" w:space="0" w:color="660B68"/>
              <w:right w:val="single" w:sz="6" w:space="0" w:color="660B68"/>
            </w:tcBorders>
            <w:shd w:val="clear" w:color="auto" w:fill="auto"/>
          </w:tcPr>
          <w:p w14:paraId="457A66D5" w14:textId="77777777" w:rsidR="00AD7222" w:rsidRPr="00B670F6" w:rsidRDefault="00AD7222" w:rsidP="00B670F6">
            <w:pPr>
              <w:pStyle w:val="Pictwide"/>
              <w:spacing w:before="100" w:after="100" w:line="240" w:lineRule="atLeast"/>
              <w:jc w:val="center"/>
              <w:cnfStyle w:val="100000000000" w:firstRow="1" w:lastRow="0" w:firstColumn="0" w:lastColumn="0" w:oddVBand="0" w:evenVBand="0" w:oddHBand="0" w:evenHBand="0" w:firstRowFirstColumn="0" w:firstRowLastColumn="0" w:lastRowFirstColumn="0" w:lastRowLastColumn="0"/>
              <w:rPr>
                <w:b/>
                <w:color w:val="auto"/>
                <w:sz w:val="22"/>
                <w:lang w:eastAsia="en-US"/>
              </w:rPr>
            </w:pPr>
            <w:r w:rsidRPr="00B670F6">
              <w:rPr>
                <w:b/>
                <w:color w:val="auto"/>
                <w:sz w:val="22"/>
                <w:lang w:eastAsia="en-US"/>
              </w:rPr>
              <w:t xml:space="preserve">Standardised </w:t>
            </w:r>
            <w:r w:rsidRPr="00B670F6">
              <w:rPr>
                <w:b/>
                <w:color w:val="auto"/>
                <w:sz w:val="22"/>
                <w:lang w:eastAsia="en-US"/>
              </w:rPr>
              <w:br/>
              <w:t>goods and services market</w:t>
            </w:r>
          </w:p>
        </w:tc>
        <w:tc>
          <w:tcPr>
            <w:tcW w:w="3319" w:type="dxa"/>
            <w:tcBorders>
              <w:left w:val="single" w:sz="6" w:space="0" w:color="660B68"/>
            </w:tcBorders>
            <w:shd w:val="clear" w:color="auto" w:fill="auto"/>
          </w:tcPr>
          <w:p w14:paraId="03C7D0F9" w14:textId="77777777" w:rsidR="00AD7222" w:rsidRPr="00B670F6" w:rsidRDefault="00AD7222" w:rsidP="00B670F6">
            <w:pPr>
              <w:pStyle w:val="Pictwide"/>
              <w:spacing w:before="100" w:after="100" w:line="240" w:lineRule="atLeast"/>
              <w:jc w:val="center"/>
              <w:cnfStyle w:val="100000000000" w:firstRow="1" w:lastRow="0" w:firstColumn="0" w:lastColumn="0" w:oddVBand="0" w:evenVBand="0" w:oddHBand="0" w:evenHBand="0" w:firstRowFirstColumn="0" w:firstRowLastColumn="0" w:lastRowFirstColumn="0" w:lastRowLastColumn="0"/>
              <w:rPr>
                <w:b/>
                <w:color w:val="auto"/>
                <w:sz w:val="22"/>
                <w:lang w:eastAsia="en-US"/>
              </w:rPr>
            </w:pPr>
            <w:r w:rsidRPr="00B670F6">
              <w:rPr>
                <w:b/>
                <w:color w:val="auto"/>
                <w:sz w:val="22"/>
                <w:lang w:eastAsia="en-US"/>
              </w:rPr>
              <w:t xml:space="preserve">Specialised </w:t>
            </w:r>
            <w:r w:rsidRPr="00B670F6">
              <w:rPr>
                <w:b/>
                <w:color w:val="auto"/>
                <w:sz w:val="22"/>
                <w:lang w:eastAsia="en-US"/>
              </w:rPr>
              <w:br/>
              <w:t>goods and services market</w:t>
            </w:r>
          </w:p>
        </w:tc>
      </w:tr>
      <w:tr w:rsidR="00AD7222" w:rsidRPr="00B670F6" w14:paraId="1BAC854F" w14:textId="77777777" w:rsidTr="00AD7222">
        <w:tc>
          <w:tcPr>
            <w:cnfStyle w:val="001000000000" w:firstRow="0" w:lastRow="0" w:firstColumn="1" w:lastColumn="0" w:oddVBand="0" w:evenVBand="0" w:oddHBand="0" w:evenHBand="0" w:firstRowFirstColumn="0" w:firstRowLastColumn="0" w:lastRowFirstColumn="0" w:lastRowLastColumn="0"/>
            <w:tcW w:w="3319" w:type="dxa"/>
            <w:tcBorders>
              <w:top w:val="single" w:sz="6" w:space="0" w:color="660B68"/>
              <w:left w:val="single" w:sz="6" w:space="0" w:color="660B68"/>
              <w:bottom w:val="single" w:sz="6" w:space="0" w:color="660B68"/>
              <w:right w:val="single" w:sz="6" w:space="0" w:color="660B68"/>
            </w:tcBorders>
            <w:vAlign w:val="center"/>
          </w:tcPr>
          <w:p w14:paraId="17315320" w14:textId="77777777" w:rsidR="00AD7222" w:rsidRPr="00B670F6" w:rsidRDefault="00AD7222" w:rsidP="00B670F6">
            <w:pPr>
              <w:pStyle w:val="Pictwide"/>
              <w:spacing w:before="100" w:after="100" w:line="240" w:lineRule="atLeast"/>
              <w:jc w:val="center"/>
              <w:rPr>
                <w:b/>
                <w:sz w:val="22"/>
                <w:lang w:eastAsia="en-US"/>
              </w:rPr>
            </w:pPr>
            <w:r w:rsidRPr="00B670F6">
              <w:rPr>
                <w:b/>
                <w:sz w:val="22"/>
                <w:lang w:eastAsia="en-US"/>
              </w:rPr>
              <w:t xml:space="preserve">High value </w:t>
            </w:r>
            <w:r w:rsidRPr="00B670F6">
              <w:rPr>
                <w:b/>
                <w:sz w:val="22"/>
                <w:lang w:eastAsia="en-US"/>
              </w:rPr>
              <w:br/>
              <w:t>created through procurement</w:t>
            </w:r>
          </w:p>
        </w:tc>
        <w:tc>
          <w:tcPr>
            <w:tcW w:w="3319" w:type="dxa"/>
            <w:tcBorders>
              <w:top w:val="single" w:sz="6" w:space="0" w:color="660B68"/>
              <w:left w:val="single" w:sz="6" w:space="0" w:color="660B68"/>
              <w:bottom w:val="single" w:sz="6" w:space="0" w:color="660B68"/>
              <w:right w:val="single" w:sz="6" w:space="0" w:color="660B68"/>
            </w:tcBorders>
          </w:tcPr>
          <w:p w14:paraId="5A4EB59C" w14:textId="77777777" w:rsidR="00AD7222" w:rsidRPr="00B670F6" w:rsidRDefault="00AD7222" w:rsidP="00B670F6">
            <w:pPr>
              <w:pStyle w:val="Pictwide"/>
              <w:spacing w:before="100" w:after="100" w:line="240" w:lineRule="atLeast"/>
              <w:jc w:val="center"/>
              <w:cnfStyle w:val="000000000000" w:firstRow="0" w:lastRow="0" w:firstColumn="0" w:lastColumn="0" w:oddVBand="0" w:evenVBand="0" w:oddHBand="0" w:evenHBand="0" w:firstRowFirstColumn="0" w:firstRowLastColumn="0" w:lastRowFirstColumn="0" w:lastRowLastColumn="0"/>
              <w:rPr>
                <w:sz w:val="22"/>
                <w:lang w:eastAsia="en-US"/>
              </w:rPr>
            </w:pPr>
            <w:r w:rsidRPr="00B670F6">
              <w:rPr>
                <w:sz w:val="22"/>
                <w:lang w:eastAsia="en-US"/>
              </w:rPr>
              <w:t>Leveraged</w:t>
            </w:r>
            <w:r w:rsidRPr="00B670F6">
              <w:rPr>
                <w:sz w:val="22"/>
                <w:lang w:eastAsia="en-US"/>
              </w:rPr>
              <w:br/>
              <w:t>(quadrant 2)</w:t>
            </w:r>
          </w:p>
          <w:p w14:paraId="189A0A59" w14:textId="77777777" w:rsidR="00AD7222" w:rsidRPr="00B670F6" w:rsidRDefault="00AD7222" w:rsidP="00B670F6">
            <w:pPr>
              <w:spacing w:line="240" w:lineRule="atLeast"/>
              <w:jc w:val="center"/>
              <w:cnfStyle w:val="000000000000" w:firstRow="0" w:lastRow="0" w:firstColumn="0" w:lastColumn="0" w:oddVBand="0" w:evenVBand="0" w:oddHBand="0" w:evenHBand="0" w:firstRowFirstColumn="0" w:firstRowLastColumn="0" w:lastRowFirstColumn="0" w:lastRowLastColumn="0"/>
              <w:rPr>
                <w:lang w:eastAsia="en-US"/>
              </w:rPr>
            </w:pPr>
            <w:r w:rsidRPr="00B670F6">
              <w:rPr>
                <w:lang w:eastAsia="en-US"/>
              </w:rPr>
              <w:t>TCO framework should apply</w:t>
            </w:r>
          </w:p>
        </w:tc>
        <w:tc>
          <w:tcPr>
            <w:tcW w:w="3319" w:type="dxa"/>
            <w:tcBorders>
              <w:top w:val="single" w:sz="6" w:space="0" w:color="660B68"/>
              <w:left w:val="single" w:sz="6" w:space="0" w:color="660B68"/>
              <w:bottom w:val="single" w:sz="6" w:space="0" w:color="660B68"/>
              <w:right w:val="single" w:sz="6" w:space="0" w:color="660B68"/>
            </w:tcBorders>
          </w:tcPr>
          <w:p w14:paraId="688BC8A7" w14:textId="77777777" w:rsidR="00AD7222" w:rsidRPr="00B670F6" w:rsidRDefault="00AD7222" w:rsidP="00B670F6">
            <w:pPr>
              <w:pStyle w:val="Pictwide"/>
              <w:spacing w:before="100" w:after="100" w:line="240" w:lineRule="atLeast"/>
              <w:jc w:val="center"/>
              <w:cnfStyle w:val="000000000000" w:firstRow="0" w:lastRow="0" w:firstColumn="0" w:lastColumn="0" w:oddVBand="0" w:evenVBand="0" w:oddHBand="0" w:evenHBand="0" w:firstRowFirstColumn="0" w:firstRowLastColumn="0" w:lastRowFirstColumn="0" w:lastRowLastColumn="0"/>
              <w:rPr>
                <w:sz w:val="22"/>
                <w:lang w:eastAsia="en-US"/>
              </w:rPr>
            </w:pPr>
            <w:r w:rsidRPr="00B670F6">
              <w:rPr>
                <w:sz w:val="22"/>
                <w:lang w:eastAsia="en-US"/>
              </w:rPr>
              <w:t>Strategic</w:t>
            </w:r>
            <w:r w:rsidRPr="00B670F6">
              <w:rPr>
                <w:sz w:val="22"/>
                <w:lang w:eastAsia="en-US"/>
              </w:rPr>
              <w:br/>
              <w:t>(quadrant 4)</w:t>
            </w:r>
          </w:p>
          <w:p w14:paraId="559DA414" w14:textId="77777777" w:rsidR="00AD7222" w:rsidRPr="00B670F6" w:rsidRDefault="00AD7222" w:rsidP="00B670F6">
            <w:pPr>
              <w:pStyle w:val="Pictwide"/>
              <w:spacing w:before="100" w:after="100" w:line="240" w:lineRule="atLeast"/>
              <w:jc w:val="center"/>
              <w:cnfStyle w:val="000000000000" w:firstRow="0" w:lastRow="0" w:firstColumn="0" w:lastColumn="0" w:oddVBand="0" w:evenVBand="0" w:oddHBand="0" w:evenHBand="0" w:firstRowFirstColumn="0" w:firstRowLastColumn="0" w:lastRowFirstColumn="0" w:lastRowLastColumn="0"/>
              <w:rPr>
                <w:sz w:val="22"/>
                <w:lang w:eastAsia="en-US"/>
              </w:rPr>
            </w:pPr>
            <w:r w:rsidRPr="00B670F6">
              <w:rPr>
                <w:sz w:val="22"/>
                <w:lang w:eastAsia="en-US"/>
              </w:rPr>
              <w:t>Additional financial analysis / methodology is required</w:t>
            </w:r>
          </w:p>
        </w:tc>
      </w:tr>
      <w:tr w:rsidR="00AD7222" w:rsidRPr="00B670F6" w14:paraId="64CE5B88" w14:textId="77777777" w:rsidTr="00AD72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Borders>
              <w:top w:val="single" w:sz="6" w:space="0" w:color="660B68"/>
              <w:left w:val="single" w:sz="6" w:space="0" w:color="660B68"/>
              <w:bottom w:val="single" w:sz="6" w:space="0" w:color="660B68"/>
              <w:right w:val="single" w:sz="6" w:space="0" w:color="660B68"/>
            </w:tcBorders>
            <w:vAlign w:val="center"/>
          </w:tcPr>
          <w:p w14:paraId="4482ECB5" w14:textId="77777777" w:rsidR="00AD7222" w:rsidRPr="00B670F6" w:rsidRDefault="00AD7222" w:rsidP="00B670F6">
            <w:pPr>
              <w:pStyle w:val="Pictwide"/>
              <w:spacing w:before="100" w:after="100" w:line="240" w:lineRule="atLeast"/>
              <w:jc w:val="center"/>
              <w:rPr>
                <w:b/>
                <w:sz w:val="22"/>
                <w:lang w:eastAsia="en-US"/>
              </w:rPr>
            </w:pPr>
            <w:r w:rsidRPr="00B670F6">
              <w:rPr>
                <w:b/>
                <w:sz w:val="22"/>
                <w:lang w:eastAsia="en-US"/>
              </w:rPr>
              <w:t xml:space="preserve">Low value </w:t>
            </w:r>
            <w:r w:rsidRPr="00B670F6">
              <w:rPr>
                <w:b/>
                <w:sz w:val="22"/>
                <w:lang w:eastAsia="en-US"/>
              </w:rPr>
              <w:br/>
              <w:t>created through procurement</w:t>
            </w:r>
          </w:p>
        </w:tc>
        <w:tc>
          <w:tcPr>
            <w:tcW w:w="3319" w:type="dxa"/>
            <w:tcBorders>
              <w:top w:val="single" w:sz="6" w:space="0" w:color="660B68"/>
              <w:left w:val="single" w:sz="6" w:space="0" w:color="660B68"/>
              <w:bottom w:val="single" w:sz="6" w:space="0" w:color="660B68"/>
              <w:right w:val="single" w:sz="6" w:space="0" w:color="660B68"/>
            </w:tcBorders>
          </w:tcPr>
          <w:p w14:paraId="6DBFC0C1" w14:textId="77777777" w:rsidR="00AD7222" w:rsidRPr="00B670F6" w:rsidRDefault="00AD7222" w:rsidP="00B670F6">
            <w:pPr>
              <w:pStyle w:val="Pictwide"/>
              <w:spacing w:before="100" w:after="100" w:line="240" w:lineRule="atLeast"/>
              <w:jc w:val="center"/>
              <w:cnfStyle w:val="000000010000" w:firstRow="0" w:lastRow="0" w:firstColumn="0" w:lastColumn="0" w:oddVBand="0" w:evenVBand="0" w:oddHBand="0" w:evenHBand="1" w:firstRowFirstColumn="0" w:firstRowLastColumn="0" w:lastRowFirstColumn="0" w:lastRowLastColumn="0"/>
              <w:rPr>
                <w:sz w:val="22"/>
                <w:lang w:eastAsia="en-US"/>
              </w:rPr>
            </w:pPr>
            <w:r w:rsidRPr="00B670F6">
              <w:rPr>
                <w:sz w:val="22"/>
                <w:lang w:eastAsia="en-US"/>
              </w:rPr>
              <w:t>Transactional</w:t>
            </w:r>
            <w:r w:rsidRPr="00B670F6">
              <w:rPr>
                <w:sz w:val="22"/>
                <w:lang w:eastAsia="en-US"/>
              </w:rPr>
              <w:br/>
              <w:t>(quadrant 1)</w:t>
            </w:r>
          </w:p>
          <w:p w14:paraId="7052A69E" w14:textId="77777777" w:rsidR="00AD7222" w:rsidRPr="00B670F6" w:rsidRDefault="00AD7222" w:rsidP="00B670F6">
            <w:pPr>
              <w:pStyle w:val="Pictwide"/>
              <w:spacing w:before="100" w:after="100" w:line="240" w:lineRule="atLeast"/>
              <w:jc w:val="center"/>
              <w:cnfStyle w:val="000000010000" w:firstRow="0" w:lastRow="0" w:firstColumn="0" w:lastColumn="0" w:oddVBand="0" w:evenVBand="0" w:oddHBand="0" w:evenHBand="1" w:firstRowFirstColumn="0" w:firstRowLastColumn="0" w:lastRowFirstColumn="0" w:lastRowLastColumn="0"/>
              <w:rPr>
                <w:sz w:val="22"/>
                <w:lang w:eastAsia="en-US"/>
              </w:rPr>
            </w:pPr>
            <w:r w:rsidRPr="00B670F6">
              <w:rPr>
                <w:sz w:val="22"/>
                <w:lang w:eastAsia="en-US"/>
              </w:rPr>
              <w:t>TCO may apply in limited circumstances</w:t>
            </w:r>
          </w:p>
        </w:tc>
        <w:tc>
          <w:tcPr>
            <w:tcW w:w="3319" w:type="dxa"/>
            <w:tcBorders>
              <w:top w:val="single" w:sz="6" w:space="0" w:color="660B68"/>
              <w:left w:val="single" w:sz="6" w:space="0" w:color="660B68"/>
              <w:bottom w:val="single" w:sz="6" w:space="0" w:color="660B68"/>
              <w:right w:val="single" w:sz="6" w:space="0" w:color="660B68"/>
            </w:tcBorders>
          </w:tcPr>
          <w:p w14:paraId="2DCEFB01" w14:textId="77777777" w:rsidR="00AD7222" w:rsidRPr="00B670F6" w:rsidRDefault="00AD7222" w:rsidP="00B670F6">
            <w:pPr>
              <w:pStyle w:val="Pictwide"/>
              <w:spacing w:before="100" w:after="100" w:line="240" w:lineRule="atLeast"/>
              <w:jc w:val="center"/>
              <w:cnfStyle w:val="000000010000" w:firstRow="0" w:lastRow="0" w:firstColumn="0" w:lastColumn="0" w:oddVBand="0" w:evenVBand="0" w:oddHBand="0" w:evenHBand="1" w:firstRowFirstColumn="0" w:firstRowLastColumn="0" w:lastRowFirstColumn="0" w:lastRowLastColumn="0"/>
              <w:rPr>
                <w:sz w:val="22"/>
                <w:lang w:eastAsia="en-US"/>
              </w:rPr>
            </w:pPr>
            <w:r w:rsidRPr="00B670F6">
              <w:rPr>
                <w:sz w:val="22"/>
                <w:lang w:eastAsia="en-US"/>
              </w:rPr>
              <w:t>Focused</w:t>
            </w:r>
            <w:r w:rsidRPr="00B670F6">
              <w:rPr>
                <w:sz w:val="22"/>
                <w:lang w:eastAsia="en-US"/>
              </w:rPr>
              <w:br/>
              <w:t>(quadrant 3)</w:t>
            </w:r>
          </w:p>
          <w:p w14:paraId="788015B9" w14:textId="77777777" w:rsidR="00AD7222" w:rsidRPr="00B670F6" w:rsidRDefault="00AD7222" w:rsidP="00B670F6">
            <w:pPr>
              <w:pStyle w:val="Pictwide"/>
              <w:spacing w:before="100" w:after="100" w:line="240" w:lineRule="atLeast"/>
              <w:jc w:val="center"/>
              <w:cnfStyle w:val="000000010000" w:firstRow="0" w:lastRow="0" w:firstColumn="0" w:lastColumn="0" w:oddVBand="0" w:evenVBand="0" w:oddHBand="0" w:evenHBand="1" w:firstRowFirstColumn="0" w:firstRowLastColumn="0" w:lastRowFirstColumn="0" w:lastRowLastColumn="0"/>
              <w:rPr>
                <w:sz w:val="22"/>
                <w:lang w:eastAsia="en-US"/>
              </w:rPr>
            </w:pPr>
            <w:r w:rsidRPr="00B670F6">
              <w:rPr>
                <w:sz w:val="22"/>
                <w:lang w:eastAsia="en-US"/>
              </w:rPr>
              <w:t>May require additional financial analysis and TCO in limited situations</w:t>
            </w:r>
          </w:p>
        </w:tc>
      </w:tr>
    </w:tbl>
    <w:p w14:paraId="5B9A5E06" w14:textId="77777777" w:rsidR="00AD7222" w:rsidRDefault="00AD7222" w:rsidP="00AD7222">
      <w:pPr>
        <w:rPr>
          <w:lang w:eastAsia="en-US"/>
        </w:rPr>
      </w:pPr>
      <w:r w:rsidRPr="00AD7222">
        <w:rPr>
          <w:lang w:eastAsia="en-US"/>
        </w:rPr>
        <w:t>Notes: A TCO analysis for a short-term procurement activity of a transactional and leveraged nature and/or with ‘off the shelf’ specifications would not add value to the VFM assessment unless it involves longer term service support commitments and warranties</w:t>
      </w:r>
      <w:r w:rsidR="00FA37CF">
        <w:rPr>
          <w:lang w:eastAsia="en-US"/>
        </w:rPr>
        <w:t>.</w:t>
      </w:r>
    </w:p>
    <w:p w14:paraId="4C16026B" w14:textId="77777777" w:rsidR="00AD7222" w:rsidRDefault="00AD7222" w:rsidP="00AD7222">
      <w:pPr>
        <w:rPr>
          <w:lang w:eastAsia="en-US"/>
        </w:rPr>
      </w:pPr>
      <w:r w:rsidRPr="00AD7222">
        <w:rPr>
          <w:lang w:eastAsia="en-US"/>
        </w:rPr>
        <w:t>A TCO analysis could be considered for some focused procurement activity with a short contract period at the lower risk level of the focused quadrant</w:t>
      </w:r>
      <w:r w:rsidR="00FA37CF">
        <w:rPr>
          <w:lang w:eastAsia="en-US"/>
        </w:rPr>
        <w:t>.</w:t>
      </w:r>
    </w:p>
    <w:p w14:paraId="03678E7A" w14:textId="77777777" w:rsidR="00C54B04" w:rsidRPr="00FA37CF" w:rsidRDefault="00C54B04" w:rsidP="00FA37CF">
      <w:pPr>
        <w:pStyle w:val="Heading2"/>
        <w:rPr>
          <w:color w:val="7030A0"/>
        </w:rPr>
      </w:pPr>
      <w:r w:rsidRPr="00FA37CF">
        <w:rPr>
          <w:color w:val="7030A0"/>
        </w:rPr>
        <w:t>Competition and market development/innovation</w:t>
      </w:r>
    </w:p>
    <w:p w14:paraId="36D19C5D" w14:textId="77777777" w:rsidR="00C54B04" w:rsidRDefault="00C54B04" w:rsidP="00C54B04">
      <w:pPr>
        <w:rPr>
          <w:lang w:eastAsia="en-US"/>
        </w:rPr>
      </w:pPr>
      <w:r>
        <w:rPr>
          <w:lang w:eastAsia="en-US"/>
        </w:rPr>
        <w:t>Competition and contestability are important drivers in achieving value for money. However, participation in a procurement exercise is a cost to suppliers and is particularly significant for SMEs. The cost of unsuccessful bids by an SME can be a major disincentive to participation. These costs should be considered when selecting a market engagement strategy. Letting the market know that VFM is an important consideration</w:t>
      </w:r>
      <w:r w:rsidR="00181167">
        <w:rPr>
          <w:lang w:eastAsia="en-US"/>
        </w:rPr>
        <w:t>,</w:t>
      </w:r>
      <w:r>
        <w:rPr>
          <w:lang w:eastAsia="en-US"/>
        </w:rPr>
        <w:t xml:space="preserve"> alerts suppliers to the fact that they can include product and service enhancements and innovation when submitting a bid.</w:t>
      </w:r>
    </w:p>
    <w:p w14:paraId="22685E8C" w14:textId="77777777" w:rsidR="00C54B04" w:rsidRPr="00FA37CF" w:rsidRDefault="00C54B04" w:rsidP="00E438B0">
      <w:pPr>
        <w:pStyle w:val="Heading2"/>
        <w:rPr>
          <w:color w:val="7030A0"/>
        </w:rPr>
      </w:pPr>
      <w:r w:rsidRPr="00FA37CF">
        <w:rPr>
          <w:color w:val="7030A0"/>
        </w:rPr>
        <w:t>Non financial factors</w:t>
      </w:r>
    </w:p>
    <w:p w14:paraId="18FFF4A2" w14:textId="77777777" w:rsidR="00C54B04" w:rsidRDefault="00C54B04" w:rsidP="00C54B04">
      <w:pPr>
        <w:rPr>
          <w:lang w:eastAsia="en-US"/>
        </w:rPr>
      </w:pPr>
      <w:r>
        <w:rPr>
          <w:lang w:eastAsia="en-US"/>
        </w:rPr>
        <w:t>Non financial aspects of VFM can be more difficult to measure. However, these indicators can be used to predict the overall value of the procurement. Non financial factors are best measured on a case by case basis. Variables include stakeholder satisfaction, community/client participation and outcomes outside of the intended procurement objectives.</w:t>
      </w:r>
    </w:p>
    <w:p w14:paraId="2E58A12D" w14:textId="77777777" w:rsidR="00C54B04" w:rsidRDefault="00C54B04" w:rsidP="00C54B04">
      <w:pPr>
        <w:rPr>
          <w:lang w:eastAsia="en-US"/>
        </w:rPr>
      </w:pPr>
      <w:r>
        <w:rPr>
          <w:lang w:eastAsia="en-US"/>
        </w:rPr>
        <w:t>Examples of benefits that can arise from procurement include:</w:t>
      </w:r>
    </w:p>
    <w:p w14:paraId="192C0947" w14:textId="77777777" w:rsidR="00C54B04" w:rsidRDefault="00C54B04" w:rsidP="00C54B04">
      <w:pPr>
        <w:pStyle w:val="Bullet1"/>
        <w:rPr>
          <w:lang w:eastAsia="en-US"/>
        </w:rPr>
      </w:pPr>
      <w:r>
        <w:rPr>
          <w:lang w:eastAsia="en-US"/>
        </w:rPr>
        <w:t>enhancing market competition;</w:t>
      </w:r>
    </w:p>
    <w:p w14:paraId="496C98AC" w14:textId="77777777" w:rsidR="00C54B04" w:rsidRDefault="00C54B04" w:rsidP="00C54B04">
      <w:pPr>
        <w:pStyle w:val="Bullet1"/>
        <w:rPr>
          <w:lang w:eastAsia="en-US"/>
        </w:rPr>
      </w:pPr>
      <w:r>
        <w:rPr>
          <w:lang w:eastAsia="en-US"/>
        </w:rPr>
        <w:t>job creation;</w:t>
      </w:r>
    </w:p>
    <w:p w14:paraId="6629DAF2" w14:textId="77777777" w:rsidR="00C54B04" w:rsidRDefault="00C54B04" w:rsidP="00C54B04">
      <w:pPr>
        <w:pStyle w:val="Bullet1"/>
        <w:rPr>
          <w:lang w:eastAsia="en-US"/>
        </w:rPr>
      </w:pPr>
      <w:r>
        <w:rPr>
          <w:lang w:eastAsia="en-US"/>
        </w:rPr>
        <w:t xml:space="preserve">economic and social benefits of procuring from </w:t>
      </w:r>
      <w:r w:rsidR="00181167">
        <w:rPr>
          <w:lang w:eastAsia="en-US"/>
        </w:rPr>
        <w:t xml:space="preserve">Australia and New Zealand </w:t>
      </w:r>
      <w:r>
        <w:rPr>
          <w:lang w:eastAsia="en-US"/>
        </w:rPr>
        <w:t xml:space="preserve">small </w:t>
      </w:r>
      <w:r w:rsidR="00D52F56">
        <w:rPr>
          <w:lang w:eastAsia="en-US"/>
        </w:rPr>
        <w:t xml:space="preserve">to </w:t>
      </w:r>
      <w:r>
        <w:rPr>
          <w:lang w:eastAsia="en-US"/>
        </w:rPr>
        <w:t>medium</w:t>
      </w:r>
      <w:r w:rsidR="00D52F56">
        <w:rPr>
          <w:lang w:eastAsia="en-US"/>
        </w:rPr>
        <w:t xml:space="preserve"> size</w:t>
      </w:r>
      <w:r>
        <w:rPr>
          <w:lang w:eastAsia="en-US"/>
        </w:rPr>
        <w:t xml:space="preserve"> enterprises (SMEs), and not for profit organisations;</w:t>
      </w:r>
    </w:p>
    <w:p w14:paraId="6EC1554C" w14:textId="77777777" w:rsidR="00C54B04" w:rsidRDefault="00C54B04" w:rsidP="00C54B04">
      <w:pPr>
        <w:pStyle w:val="Bullet1"/>
        <w:rPr>
          <w:lang w:eastAsia="en-US"/>
        </w:rPr>
      </w:pPr>
      <w:r>
        <w:rPr>
          <w:lang w:eastAsia="en-US"/>
        </w:rPr>
        <w:lastRenderedPageBreak/>
        <w:t>reducing carbon footprint; and</w:t>
      </w:r>
    </w:p>
    <w:p w14:paraId="09F22738" w14:textId="77777777" w:rsidR="00C54B04" w:rsidRDefault="00C54B04" w:rsidP="00C54B04">
      <w:pPr>
        <w:pStyle w:val="Bullet1"/>
        <w:rPr>
          <w:lang w:eastAsia="en-US"/>
        </w:rPr>
      </w:pPr>
      <w:r>
        <w:rPr>
          <w:lang w:eastAsia="en-US"/>
        </w:rPr>
        <w:t>encouraging innovation and productivity in a particular industry sector.</w:t>
      </w:r>
    </w:p>
    <w:p w14:paraId="29D74452" w14:textId="77777777" w:rsidR="00C54B04" w:rsidRPr="00FA37CF" w:rsidRDefault="00C54B04" w:rsidP="00FA37CF">
      <w:pPr>
        <w:pStyle w:val="Heading3"/>
        <w:rPr>
          <w:color w:val="7030A0"/>
        </w:rPr>
      </w:pPr>
      <w:r w:rsidRPr="00FA37CF">
        <w:rPr>
          <w:color w:val="7030A0"/>
        </w:rPr>
        <w:t>Measuring non financial factors</w:t>
      </w:r>
    </w:p>
    <w:p w14:paraId="4264C160" w14:textId="77777777" w:rsidR="00C54B04" w:rsidRDefault="00C54B04" w:rsidP="00C54B04">
      <w:pPr>
        <w:rPr>
          <w:lang w:eastAsia="en-US"/>
        </w:rPr>
      </w:pPr>
      <w:r>
        <w:rPr>
          <w:lang w:eastAsia="en-US"/>
        </w:rPr>
        <w:t>There are multiple methodologies for measuring non financial factors including welfare economics, Pareto efficiencies and equity economics, etc. which have particular relevance to procurement of strategic importance or where there is significance/social impact.</w:t>
      </w:r>
    </w:p>
    <w:p w14:paraId="2E5B5392" w14:textId="77777777" w:rsidR="00C54B04" w:rsidRDefault="00C54B04" w:rsidP="00E438B0">
      <w:pPr>
        <w:rPr>
          <w:lang w:eastAsia="en-US"/>
        </w:rPr>
      </w:pPr>
      <w:r>
        <w:rPr>
          <w:lang w:eastAsia="en-US"/>
        </w:rPr>
        <w:t>However, for the majority of goods and services procurement of a transactional, leveraged and low risk, focused nature, a simple approach using KPIs is recommended.</w:t>
      </w:r>
    </w:p>
    <w:p w14:paraId="00A1DDC3" w14:textId="77777777" w:rsidR="00C54B04" w:rsidRPr="00FA37CF" w:rsidRDefault="00E438B0" w:rsidP="00FA37CF">
      <w:pPr>
        <w:pStyle w:val="Heading2"/>
        <w:rPr>
          <w:color w:val="7030A0"/>
        </w:rPr>
      </w:pPr>
      <w:r w:rsidRPr="00FA37CF">
        <w:rPr>
          <w:color w:val="7030A0"/>
        </w:rPr>
        <w:t>Using KPIs</w:t>
      </w:r>
    </w:p>
    <w:p w14:paraId="5CC52D86" w14:textId="77777777" w:rsidR="00C54B04" w:rsidRDefault="00C54B04" w:rsidP="00C54B04">
      <w:pPr>
        <w:rPr>
          <w:lang w:eastAsia="en-US"/>
        </w:rPr>
      </w:pPr>
      <w:r>
        <w:rPr>
          <w:lang w:eastAsia="en-US"/>
        </w:rPr>
        <w:t xml:space="preserve">Procurement managers will determine a range of performance objectives relevant to the procurement as shown in </w:t>
      </w:r>
      <w:r w:rsidR="00FA37CF">
        <w:rPr>
          <w:lang w:eastAsia="en-US"/>
        </w:rPr>
        <w:t xml:space="preserve">the </w:t>
      </w:r>
      <w:r w:rsidR="00487296">
        <w:rPr>
          <w:b/>
          <w:lang w:eastAsia="en-US"/>
        </w:rPr>
        <w:t xml:space="preserve">Non financial performance indicators </w:t>
      </w:r>
      <w:r w:rsidR="00487296" w:rsidRPr="00542A1B">
        <w:rPr>
          <w:b/>
          <w:lang w:eastAsia="en-US"/>
        </w:rPr>
        <w:t>checklist</w:t>
      </w:r>
      <w:r>
        <w:rPr>
          <w:lang w:eastAsia="en-US"/>
        </w:rPr>
        <w:t>. They can decide whether to specify the scope of the indicators or let the market define how the indicators are addressed.</w:t>
      </w:r>
    </w:p>
    <w:p w14:paraId="1370438D" w14:textId="77777777" w:rsidR="00EB4052" w:rsidRPr="00EB4052" w:rsidRDefault="00EB4052" w:rsidP="00EB4052">
      <w:pPr>
        <w:pStyle w:val="Heading2"/>
        <w:rPr>
          <w:color w:val="7030A0"/>
        </w:rPr>
      </w:pPr>
      <w:r w:rsidRPr="00EB4052">
        <w:rPr>
          <w:color w:val="7030A0"/>
        </w:rPr>
        <w:t>Using this guide</w:t>
      </w:r>
    </w:p>
    <w:p w14:paraId="54DC3D4E" w14:textId="5AAD48B0" w:rsidR="00EB4052" w:rsidRPr="00EB4052" w:rsidRDefault="00EB4052" w:rsidP="00EB4052">
      <w:pPr>
        <w:spacing w:after="120" w:line="240" w:lineRule="auto"/>
        <w:rPr>
          <w:rFonts w:cstheme="minorHAnsi"/>
        </w:rPr>
      </w:pPr>
      <w:r w:rsidRPr="00EB4052">
        <w:rPr>
          <w:rFonts w:cstheme="minorHAnsi"/>
        </w:rPr>
        <w:t xml:space="preserve">This guide accompanies the </w:t>
      </w:r>
      <w:hyperlink r:id="rId12" w:history="1">
        <w:bookmarkStart w:id="0" w:name="_GoBack"/>
        <w:r w:rsidRPr="00CF717F">
          <w:rPr>
            <w:rStyle w:val="Hyperlink"/>
            <w:rFonts w:cstheme="minorHAnsi"/>
          </w:rPr>
          <w:t>goods and services supply policies</w:t>
        </w:r>
        <w:bookmarkEnd w:id="0"/>
      </w:hyperlink>
      <w:r w:rsidRPr="00EB4052">
        <w:rPr>
          <w:rFonts w:cstheme="minorHAnsi"/>
        </w:rPr>
        <w:t>. There are 5</w:t>
      </w:r>
      <w:r>
        <w:rPr>
          <w:rFonts w:cstheme="minorHAnsi"/>
        </w:rPr>
        <w:t xml:space="preserve"> supply</w:t>
      </w:r>
      <w:r w:rsidRPr="00EB4052">
        <w:rPr>
          <w:rFonts w:cstheme="minorHAnsi"/>
        </w:rPr>
        <w:t xml:space="preserve"> policies:</w:t>
      </w:r>
    </w:p>
    <w:p w14:paraId="2028C54F" w14:textId="77777777" w:rsidR="00EB4052" w:rsidRDefault="00EB4052" w:rsidP="00EB4052">
      <w:pPr>
        <w:pStyle w:val="ListParagraph"/>
        <w:numPr>
          <w:ilvl w:val="0"/>
          <w:numId w:val="38"/>
        </w:numPr>
        <w:spacing w:before="0" w:after="120" w:line="240" w:lineRule="auto"/>
        <w:rPr>
          <w:rFonts w:cstheme="minorHAnsi"/>
        </w:rPr>
      </w:pPr>
      <w:r>
        <w:rPr>
          <w:rFonts w:cstheme="minorHAnsi"/>
        </w:rPr>
        <w:t>Governance policy</w:t>
      </w:r>
    </w:p>
    <w:p w14:paraId="33F04EA9" w14:textId="77777777" w:rsidR="00B97736" w:rsidRPr="00D879F1" w:rsidRDefault="00B97736" w:rsidP="00B97736">
      <w:pPr>
        <w:pStyle w:val="ListParagraph"/>
        <w:numPr>
          <w:ilvl w:val="0"/>
          <w:numId w:val="38"/>
        </w:numPr>
      </w:pPr>
      <w:r w:rsidRPr="00D879F1">
        <w:t xml:space="preserve">Complexity and capability </w:t>
      </w:r>
      <w:r>
        <w:t xml:space="preserve">assessment </w:t>
      </w:r>
      <w:r w:rsidRPr="00D879F1">
        <w:t>policy</w:t>
      </w:r>
    </w:p>
    <w:p w14:paraId="70348DBE" w14:textId="77777777" w:rsidR="00EB4052" w:rsidRDefault="00EB4052" w:rsidP="00EB4052">
      <w:pPr>
        <w:pStyle w:val="ListParagraph"/>
        <w:numPr>
          <w:ilvl w:val="0"/>
          <w:numId w:val="38"/>
        </w:numPr>
        <w:spacing w:before="0" w:after="120" w:line="240" w:lineRule="auto"/>
        <w:rPr>
          <w:rFonts w:cstheme="minorHAnsi"/>
        </w:rPr>
      </w:pPr>
      <w:r>
        <w:rPr>
          <w:rFonts w:cstheme="minorHAnsi"/>
        </w:rPr>
        <w:t>Market analysis and review policy</w:t>
      </w:r>
    </w:p>
    <w:p w14:paraId="2B2EB48D" w14:textId="77777777" w:rsidR="00EB4052" w:rsidRDefault="00EB4052" w:rsidP="00EB4052">
      <w:pPr>
        <w:pStyle w:val="ListParagraph"/>
        <w:numPr>
          <w:ilvl w:val="0"/>
          <w:numId w:val="38"/>
        </w:numPr>
        <w:spacing w:before="0" w:after="120" w:line="240" w:lineRule="auto"/>
        <w:rPr>
          <w:rFonts w:cstheme="minorHAnsi"/>
        </w:rPr>
      </w:pPr>
      <w:r>
        <w:rPr>
          <w:rFonts w:cstheme="minorHAnsi"/>
        </w:rPr>
        <w:t>Market approach policy</w:t>
      </w:r>
    </w:p>
    <w:p w14:paraId="39D148E2" w14:textId="77777777" w:rsidR="00EB4052" w:rsidRDefault="00EB4052" w:rsidP="00EB4052">
      <w:pPr>
        <w:pStyle w:val="ListParagraph"/>
        <w:numPr>
          <w:ilvl w:val="0"/>
          <w:numId w:val="38"/>
        </w:numPr>
        <w:spacing w:before="0" w:after="120" w:line="240" w:lineRule="auto"/>
        <w:rPr>
          <w:rFonts w:cstheme="minorHAnsi"/>
        </w:rPr>
      </w:pPr>
      <w:r>
        <w:rPr>
          <w:rFonts w:cstheme="minorHAnsi"/>
        </w:rPr>
        <w:t>Contract management and disclosure policy</w:t>
      </w:r>
    </w:p>
    <w:p w14:paraId="2CE5E0C4" w14:textId="71EBB260" w:rsidR="00EB4052" w:rsidRPr="00401617" w:rsidRDefault="00EB4052" w:rsidP="00EB4052">
      <w:pPr>
        <w:spacing w:after="120" w:line="240" w:lineRule="auto"/>
        <w:rPr>
          <w:rFonts w:cstheme="minorHAnsi"/>
        </w:rPr>
      </w:pPr>
      <w:r>
        <w:rPr>
          <w:rFonts w:cstheme="minorHAnsi"/>
        </w:rPr>
        <w:t xml:space="preserve">This guide supports the </w:t>
      </w:r>
      <w:hyperlink r:id="rId13" w:history="1">
        <w:r w:rsidRPr="00CF717F">
          <w:rPr>
            <w:rStyle w:val="Hyperlink"/>
            <w:rFonts w:cstheme="minorHAnsi"/>
          </w:rPr>
          <w:t>Governance policy</w:t>
        </w:r>
      </w:hyperlink>
      <w:r>
        <w:rPr>
          <w:rFonts w:cstheme="minorHAnsi"/>
        </w:rPr>
        <w:t>.</w:t>
      </w:r>
    </w:p>
    <w:p w14:paraId="09EC90CE" w14:textId="77777777" w:rsidR="003C1AEF" w:rsidRDefault="003C1AEF">
      <w:pPr>
        <w:spacing w:before="0" w:after="0" w:line="240" w:lineRule="auto"/>
        <w:rPr>
          <w:lang w:eastAsia="en-US"/>
        </w:rPr>
      </w:pPr>
    </w:p>
    <w:p w14:paraId="537BDAE5" w14:textId="77777777" w:rsidR="00C54B04" w:rsidRDefault="00C54B04" w:rsidP="00F02922">
      <w:pPr>
        <w:spacing w:before="0" w:after="0" w:line="240" w:lineRule="auto"/>
        <w:rPr>
          <w:lang w:eastAsia="en-US"/>
        </w:rPr>
      </w:pPr>
    </w:p>
    <w:p w14:paraId="51895589" w14:textId="77777777" w:rsidR="00FA37CF" w:rsidRDefault="00FA37CF" w:rsidP="00F02922">
      <w:pPr>
        <w:spacing w:before="0" w:after="0" w:line="240" w:lineRule="auto"/>
        <w:rPr>
          <w:lang w:eastAsia="en-US"/>
        </w:rPr>
      </w:pPr>
    </w:p>
    <w:p w14:paraId="1CA35A83" w14:textId="77777777" w:rsidR="00487296" w:rsidRDefault="00487296" w:rsidP="00F02922">
      <w:pPr>
        <w:spacing w:before="0" w:after="0" w:line="240" w:lineRule="auto"/>
        <w:rPr>
          <w:lang w:eastAsia="en-US"/>
        </w:rPr>
      </w:pPr>
    </w:p>
    <w:p w14:paraId="41D42317" w14:textId="77777777" w:rsidR="00487296" w:rsidRDefault="00487296" w:rsidP="00F02922">
      <w:pPr>
        <w:spacing w:before="0" w:after="0" w:line="240" w:lineRule="auto"/>
        <w:rPr>
          <w:lang w:eastAsia="en-US"/>
        </w:rPr>
      </w:pPr>
    </w:p>
    <w:p w14:paraId="0252F87C" w14:textId="0ED3D026" w:rsidR="00487296" w:rsidRDefault="00487296" w:rsidP="00F02922">
      <w:pPr>
        <w:spacing w:before="0" w:after="0" w:line="240" w:lineRule="auto"/>
        <w:rPr>
          <w:lang w:eastAsia="en-US"/>
        </w:rPr>
      </w:pPr>
    </w:p>
    <w:p w14:paraId="6EE507F0" w14:textId="636E6820" w:rsidR="00B670F6" w:rsidRDefault="00B670F6" w:rsidP="00F02922">
      <w:pPr>
        <w:spacing w:before="0" w:after="0" w:line="240" w:lineRule="auto"/>
        <w:rPr>
          <w:lang w:eastAsia="en-US"/>
        </w:rPr>
      </w:pPr>
    </w:p>
    <w:p w14:paraId="1D9D8572" w14:textId="3F151685" w:rsidR="00B670F6" w:rsidRDefault="00B670F6" w:rsidP="00F02922">
      <w:pPr>
        <w:spacing w:before="0" w:after="0" w:line="240" w:lineRule="auto"/>
        <w:rPr>
          <w:lang w:eastAsia="en-US"/>
        </w:rPr>
      </w:pPr>
    </w:p>
    <w:p w14:paraId="270DB752" w14:textId="77777777" w:rsidR="00B670F6" w:rsidRDefault="00B670F6" w:rsidP="00F02922">
      <w:pPr>
        <w:spacing w:before="0" w:after="0" w:line="240" w:lineRule="auto"/>
        <w:rPr>
          <w:lang w:eastAsia="en-US"/>
        </w:rPr>
      </w:pPr>
    </w:p>
    <w:p w14:paraId="44135954" w14:textId="77777777" w:rsidR="00487296" w:rsidRDefault="00487296" w:rsidP="00F02922">
      <w:pPr>
        <w:spacing w:before="0" w:after="0" w:line="240" w:lineRule="auto"/>
        <w:rPr>
          <w:lang w:eastAsia="en-US"/>
        </w:rPr>
      </w:pPr>
    </w:p>
    <w:p w14:paraId="3556D2C5" w14:textId="77777777" w:rsidR="00FA37CF" w:rsidRDefault="00FA37CF" w:rsidP="00F02922">
      <w:pPr>
        <w:spacing w:before="0" w:after="0" w:line="240" w:lineRule="auto"/>
        <w:rPr>
          <w:lang w:eastAsia="en-US"/>
        </w:rPr>
      </w:pPr>
    </w:p>
    <w:p w14:paraId="5EE0A595" w14:textId="77777777" w:rsidR="00FA37CF" w:rsidRDefault="00FA37CF" w:rsidP="00F02922">
      <w:pPr>
        <w:spacing w:before="0" w:after="0" w:line="240" w:lineRule="auto"/>
        <w:rPr>
          <w:lang w:eastAsia="en-US"/>
        </w:rPr>
      </w:pPr>
    </w:p>
    <w:p w14:paraId="25DC3F1C" w14:textId="77777777" w:rsidR="00FA37CF" w:rsidRDefault="00FA37CF" w:rsidP="00F02922">
      <w:pPr>
        <w:spacing w:before="0" w:after="0" w:line="240" w:lineRule="auto"/>
        <w:rPr>
          <w:lang w:eastAsia="en-US"/>
        </w:rPr>
      </w:pPr>
    </w:p>
    <w:p w14:paraId="0D6DD072" w14:textId="77777777" w:rsidR="00FA37CF" w:rsidRDefault="00FA37CF" w:rsidP="00F02922">
      <w:pPr>
        <w:spacing w:before="0" w:after="0" w:line="240" w:lineRule="auto"/>
        <w:rPr>
          <w:lang w:eastAsia="en-US"/>
        </w:rPr>
      </w:pPr>
    </w:p>
    <w:p w14:paraId="48E24C87" w14:textId="47CF8A2B" w:rsidR="00F02922" w:rsidRPr="00843160" w:rsidRDefault="00CB3554" w:rsidP="00F02922">
      <w:r w:rsidRPr="00CB3554">
        <w:t xml:space="preserve">© </w:t>
      </w:r>
      <w:r w:rsidR="00F02922" w:rsidRPr="00843160">
        <w:t>State of Victoria 201</w:t>
      </w:r>
      <w:r w:rsidR="005B7EA0">
        <w:t>8</w:t>
      </w:r>
      <w:r>
        <w:t xml:space="preserve"> (Victorian Government Purchasing Board)</w:t>
      </w:r>
    </w:p>
    <w:p w14:paraId="2C9EA9D7" w14:textId="77777777" w:rsidR="00F02922" w:rsidRPr="00843160" w:rsidRDefault="00F02922" w:rsidP="00F02922">
      <w:r w:rsidRPr="00843160">
        <w:rPr>
          <w:noProof/>
        </w:rPr>
        <w:drawing>
          <wp:inline distT="0" distB="0" distL="0" distR="0" wp14:anchorId="1F623395" wp14:editId="15618F95">
            <wp:extent cx="1117460" cy="393651"/>
            <wp:effectExtent l="0" t="0" r="6985" b="6985"/>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5">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5DE66BEE" w14:textId="77777777" w:rsidR="00F02922" w:rsidRPr="00843160" w:rsidRDefault="00F02922" w:rsidP="00F02922">
      <w:r w:rsidRPr="00843160">
        <w:t xml:space="preserve">This work is licensed under a </w:t>
      </w:r>
      <w:hyperlink r:id="rId16"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BB7CCF4" w14:textId="3C61E3AE" w:rsidR="00C54B04" w:rsidRPr="00F559CD" w:rsidRDefault="00F02922" w:rsidP="00C54B04">
      <w:pPr>
        <w:rPr>
          <w:color w:val="660B68"/>
        </w:rPr>
      </w:pPr>
      <w:r w:rsidRPr="00843160">
        <w:t xml:space="preserve">Copyright queries may be directed to </w:t>
      </w:r>
      <w:hyperlink r:id="rId17" w:history="1">
        <w:r w:rsidRPr="00843160">
          <w:rPr>
            <w:color w:val="660B68"/>
          </w:rPr>
          <w:t>IPpolicy@dtf.vic.gov.au</w:t>
        </w:r>
      </w:hyperlink>
    </w:p>
    <w:sectPr w:rsidR="00C54B04" w:rsidRPr="00F559CD" w:rsidSect="00A87370">
      <w:headerReference w:type="default" r:id="rId18"/>
      <w:footerReference w:type="default" r:id="rId19"/>
      <w:headerReference w:type="first" r:id="rId20"/>
      <w:footerReference w:type="first" r:id="rId21"/>
      <w:pgSz w:w="11901" w:h="16840" w:code="9"/>
      <w:pgMar w:top="1560" w:right="1008" w:bottom="1418" w:left="1152" w:header="568" w:footer="7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3A275" w14:textId="77777777" w:rsidR="00CF5D39" w:rsidRDefault="00CF5D39">
      <w:r>
        <w:separator/>
      </w:r>
    </w:p>
    <w:p w14:paraId="6FDC3333" w14:textId="77777777" w:rsidR="00CF5D39" w:rsidRDefault="00CF5D39"/>
  </w:endnote>
  <w:endnote w:type="continuationSeparator" w:id="0">
    <w:p w14:paraId="72666F4E" w14:textId="77777777" w:rsidR="00CF5D39" w:rsidRDefault="00CF5D39">
      <w:r>
        <w:continuationSeparator/>
      </w:r>
    </w:p>
    <w:p w14:paraId="5EC8F0A8" w14:textId="77777777" w:rsidR="00CF5D39" w:rsidRDefault="00CF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FBFA" w14:textId="41E83C82" w:rsidR="00F9375B" w:rsidRDefault="00F9375B" w:rsidP="00A87370">
    <w:pPr>
      <w:pStyle w:val="Footer"/>
      <w:tabs>
        <w:tab w:val="clear" w:pos="8220"/>
        <w:tab w:val="right" w:pos="9741"/>
      </w:tabs>
      <w:jc w:val="left"/>
    </w:pPr>
    <w:r>
      <w:t>Victorian Government Purchasing Board</w:t>
    </w:r>
  </w:p>
  <w:p w14:paraId="4A55346A" w14:textId="28307253" w:rsidR="00522359" w:rsidRPr="00A87370" w:rsidRDefault="0083176F" w:rsidP="00A87370">
    <w:pPr>
      <w:pStyle w:val="Footer"/>
      <w:tabs>
        <w:tab w:val="clear" w:pos="8220"/>
        <w:tab w:val="right" w:pos="9741"/>
      </w:tabs>
      <w:jc w:val="left"/>
    </w:pPr>
    <w:r>
      <mc:AlternateContent>
        <mc:Choice Requires="wps">
          <w:drawing>
            <wp:anchor distT="0" distB="0" distL="114300" distR="114300" simplePos="0" relativeHeight="251657216" behindDoc="0" locked="0" layoutInCell="0" allowOverlap="1" wp14:anchorId="27C9955E" wp14:editId="7B74072B">
              <wp:simplePos x="0" y="0"/>
              <wp:positionH relativeFrom="page">
                <wp:posOffset>0</wp:posOffset>
              </wp:positionH>
              <wp:positionV relativeFrom="page">
                <wp:posOffset>10236200</wp:posOffset>
              </wp:positionV>
              <wp:extent cx="7557135" cy="266700"/>
              <wp:effectExtent l="0" t="0" r="0" b="0"/>
              <wp:wrapNone/>
              <wp:docPr id="1" name="MSIPCM12c946eaba5b00401fbaa2c8"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DBFEC" w14:textId="77777777" w:rsidR="0083176F" w:rsidRPr="0083176F" w:rsidRDefault="0083176F" w:rsidP="0083176F">
                          <w:pPr>
                            <w:spacing w:before="0" w:after="0"/>
                            <w:rPr>
                              <w:color w:val="000000"/>
                            </w:rPr>
                          </w:pPr>
                          <w:r w:rsidRPr="0083176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C9955E" id="_x0000_t202" coordsize="21600,21600" o:spt="202" path="m,l,21600r21600,l21600,xe">
              <v:stroke joinstyle="miter"/>
              <v:path gradientshapeok="t" o:connecttype="rect"/>
            </v:shapetype>
            <v:shape id="MSIPCM12c946eaba5b00401fbaa2c8"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" o:allowincell="f" filled="f" stroked="f" strokeweight=".5pt">
              <v:textbox inset="20pt,0,,0">
                <w:txbxContent>
                  <w:p w14:paraId="496DBFEC" w14:textId="77777777" w:rsidR="0083176F" w:rsidRPr="0083176F" w:rsidRDefault="0083176F" w:rsidP="0083176F">
                    <w:pPr>
                      <w:spacing w:before="0" w:after="0"/>
                      <w:rPr>
                        <w:color w:val="000000"/>
                      </w:rPr>
                    </w:pPr>
                    <w:r w:rsidRPr="0083176F">
                      <w:rPr>
                        <w:color w:val="000000"/>
                      </w:rPr>
                      <w:t>OFFICIAL</w:t>
                    </w:r>
                  </w:p>
                </w:txbxContent>
              </v:textbox>
              <w10:wrap anchorx="page" anchory="page"/>
            </v:shape>
          </w:pict>
        </mc:Fallback>
      </mc:AlternateContent>
    </w:r>
    <w:sdt>
      <w:sdtPr>
        <w:id w:val="372585181"/>
        <w:docPartObj>
          <w:docPartGallery w:val="Page Numbers (Bottom of Page)"/>
          <w:docPartUnique/>
        </w:docPartObj>
      </w:sdtPr>
      <w:sdtEndPr/>
      <w:sdtContent>
        <w:sdt>
          <w:sdtPr>
            <w:id w:val="-1769616900"/>
            <w:docPartObj>
              <w:docPartGallery w:val="Page Numbers (Top of Page)"/>
              <w:docPartUnique/>
            </w:docPartObj>
          </w:sdtPr>
          <w:sdtEndPr/>
          <w:sdtContent>
            <w:r w:rsidR="00A87370">
              <w:t>Achieving value for money – Goods and services procurement guide</w:t>
            </w:r>
            <w:r w:rsidR="00A87370">
              <w:br/>
            </w:r>
            <w:r w:rsidR="00476B06">
              <w:t>September 201</w:t>
            </w:r>
            <w:r w:rsidR="005B7EA0">
              <w:t>8</w:t>
            </w:r>
            <w:r w:rsidR="00A87370">
              <w:tab/>
              <w:t xml:space="preserve">Page </w:t>
            </w:r>
            <w:r w:rsidR="00A87370">
              <w:rPr>
                <w:b/>
                <w:bCs/>
                <w:sz w:val="24"/>
                <w:szCs w:val="24"/>
              </w:rPr>
              <w:fldChar w:fldCharType="begin"/>
            </w:r>
            <w:r w:rsidR="00A87370">
              <w:rPr>
                <w:b/>
                <w:bCs/>
              </w:rPr>
              <w:instrText xml:space="preserve"> PAGE </w:instrText>
            </w:r>
            <w:r w:rsidR="00A87370">
              <w:rPr>
                <w:b/>
                <w:bCs/>
                <w:sz w:val="24"/>
                <w:szCs w:val="24"/>
              </w:rPr>
              <w:fldChar w:fldCharType="separate"/>
            </w:r>
            <w:r w:rsidR="00A87370">
              <w:rPr>
                <w:b/>
                <w:bCs/>
              </w:rPr>
              <w:t>2</w:t>
            </w:r>
            <w:r w:rsidR="00A87370">
              <w:rPr>
                <w:b/>
                <w:bCs/>
                <w:sz w:val="24"/>
                <w:szCs w:val="24"/>
              </w:rPr>
              <w:fldChar w:fldCharType="end"/>
            </w:r>
            <w:r w:rsidR="00A87370">
              <w:t xml:space="preserve"> of </w:t>
            </w:r>
            <w:r w:rsidR="00A87370">
              <w:rPr>
                <w:b/>
                <w:bCs/>
                <w:sz w:val="24"/>
                <w:szCs w:val="24"/>
              </w:rPr>
              <w:fldChar w:fldCharType="begin"/>
            </w:r>
            <w:r w:rsidR="00A87370">
              <w:rPr>
                <w:b/>
                <w:bCs/>
              </w:rPr>
              <w:instrText xml:space="preserve"> NUMPAGES  </w:instrText>
            </w:r>
            <w:r w:rsidR="00A87370">
              <w:rPr>
                <w:b/>
                <w:bCs/>
                <w:sz w:val="24"/>
                <w:szCs w:val="24"/>
              </w:rPr>
              <w:fldChar w:fldCharType="separate"/>
            </w:r>
            <w:r w:rsidR="00A87370">
              <w:rPr>
                <w:b/>
                <w:bCs/>
              </w:rPr>
              <w:t>2</w:t>
            </w:r>
            <w:r w:rsidR="00A8737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610291"/>
      <w:docPartObj>
        <w:docPartGallery w:val="Page Numbers (Bottom of Page)"/>
        <w:docPartUnique/>
      </w:docPartObj>
    </w:sdtPr>
    <w:sdtEndPr/>
    <w:sdtContent>
      <w:sdt>
        <w:sdtPr>
          <w:id w:val="255483481"/>
          <w:docPartObj>
            <w:docPartGallery w:val="Page Numbers (Top of Page)"/>
            <w:docPartUnique/>
          </w:docPartObj>
        </w:sdtPr>
        <w:sdtEndPr/>
        <w:sdtContent>
          <w:p w14:paraId="790759FB" w14:textId="77777777" w:rsidR="001C520A" w:rsidRDefault="001C520A" w:rsidP="001C520A">
            <w:pPr>
              <w:pStyle w:val="Footer"/>
              <w:tabs>
                <w:tab w:val="clear" w:pos="8220"/>
                <w:tab w:val="right" w:pos="9639"/>
              </w:tabs>
              <w:jc w:val="left"/>
            </w:pPr>
            <w:r>
              <w:t>Achieving value for money – Goods and services procurement guide</w:t>
            </w:r>
            <w:r>
              <w:br/>
            </w:r>
            <w:r w:rsidRPr="001C520A">
              <w:rPr>
                <w:highlight w:val="yellow"/>
              </w:rPr>
              <w:t>Month Year</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6046A" w14:textId="77777777" w:rsidR="00CF5D39" w:rsidRDefault="00CF5D39">
      <w:r>
        <w:separator/>
      </w:r>
    </w:p>
    <w:p w14:paraId="1AC421E3" w14:textId="77777777" w:rsidR="00CF5D39" w:rsidRDefault="00CF5D39"/>
  </w:footnote>
  <w:footnote w:type="continuationSeparator" w:id="0">
    <w:p w14:paraId="5DE162DA" w14:textId="77777777" w:rsidR="00CF5D39" w:rsidRDefault="00CF5D39">
      <w:r>
        <w:continuationSeparator/>
      </w:r>
    </w:p>
    <w:p w14:paraId="2A9A3E35" w14:textId="77777777" w:rsidR="00CF5D39" w:rsidRDefault="00CF5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F0207" w14:textId="77777777" w:rsidR="00522359" w:rsidRPr="00A87370" w:rsidRDefault="00A87370" w:rsidP="00A87370">
    <w:pPr>
      <w:pStyle w:val="Header"/>
      <w:tabs>
        <w:tab w:val="clear" w:pos="10350"/>
        <w:tab w:val="right" w:pos="9639"/>
      </w:tabs>
      <w:spacing w:before="240"/>
      <w:ind w:right="102"/>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4F3F" w14:textId="77777777" w:rsidR="00522359" w:rsidRPr="001C520A" w:rsidRDefault="001C520A" w:rsidP="001C520A">
    <w:pPr>
      <w:pStyle w:val="Header"/>
      <w:tabs>
        <w:tab w:val="clear" w:pos="10350"/>
        <w:tab w:val="left" w:pos="2670"/>
        <w:tab w:val="right" w:pos="9639"/>
      </w:tabs>
      <w:spacing w:before="240"/>
      <w:ind w:right="102"/>
      <w:rPr>
        <w:sz w:val="20"/>
        <w:szCs w:val="20"/>
      </w:rPr>
    </w:pPr>
    <w:r>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1911AC4"/>
    <w:multiLevelType w:val="hybridMultilevel"/>
    <w:tmpl w:val="EC0AC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60E22C6"/>
    <w:multiLevelType w:val="hybridMultilevel"/>
    <w:tmpl w:val="665A0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5803F4"/>
    <w:multiLevelType w:val="hybridMultilevel"/>
    <w:tmpl w:val="9AC06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DF6ECD"/>
    <w:multiLevelType w:val="hybridMultilevel"/>
    <w:tmpl w:val="0736F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4"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6"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3" w15:restartNumberingAfterBreak="0">
    <w:nsid w:val="63E81593"/>
    <w:multiLevelType w:val="hybridMultilevel"/>
    <w:tmpl w:val="D494B4A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6591317C"/>
    <w:multiLevelType w:val="hybridMultilevel"/>
    <w:tmpl w:val="48C05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240C4E"/>
    <w:multiLevelType w:val="hybridMultilevel"/>
    <w:tmpl w:val="8ABE4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6"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2"/>
  </w:num>
  <w:num w:numId="4">
    <w:abstractNumId w:val="23"/>
  </w:num>
  <w:num w:numId="5">
    <w:abstractNumId w:val="6"/>
  </w:num>
  <w:num w:numId="6">
    <w:abstractNumId w:val="5"/>
  </w:num>
  <w:num w:numId="7">
    <w:abstractNumId w:val="4"/>
  </w:num>
  <w:num w:numId="8">
    <w:abstractNumId w:val="40"/>
  </w:num>
  <w:num w:numId="9">
    <w:abstractNumId w:val="25"/>
  </w:num>
  <w:num w:numId="10">
    <w:abstractNumId w:val="12"/>
  </w:num>
  <w:num w:numId="11">
    <w:abstractNumId w:val="15"/>
  </w:num>
  <w:num w:numId="12">
    <w:abstractNumId w:val="39"/>
  </w:num>
  <w:num w:numId="13">
    <w:abstractNumId w:val="16"/>
  </w:num>
  <w:num w:numId="14">
    <w:abstractNumId w:val="28"/>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3"/>
  </w:num>
  <w:num w:numId="19">
    <w:abstractNumId w:val="2"/>
  </w:num>
  <w:num w:numId="20">
    <w:abstractNumId w:val="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9"/>
    <w:lvlOverride w:ilvl="0">
      <w:startOverride w:val="1"/>
    </w:lvlOverride>
  </w:num>
  <w:num w:numId="24">
    <w:abstractNumId w:val="29"/>
    <w:lvlOverride w:ilvl="0">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1"/>
  </w:num>
  <w:num w:numId="30">
    <w:abstractNumId w:val="22"/>
  </w:num>
  <w:num w:numId="31">
    <w:abstractNumId w:val="33"/>
  </w:num>
  <w:num w:numId="32">
    <w:abstractNumId w:val="10"/>
  </w:num>
  <w:num w:numId="33">
    <w:abstractNumId w:val="38"/>
  </w:num>
  <w:num w:numId="34">
    <w:abstractNumId w:val="18"/>
  </w:num>
  <w:num w:numId="35">
    <w:abstractNumId w:val="34"/>
  </w:num>
  <w:num w:numId="36">
    <w:abstractNumId w:val="17"/>
  </w:num>
  <w:num w:numId="37">
    <w:abstractNumId w:val="14"/>
  </w:num>
  <w:num w:numId="38">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D7B"/>
    <w:rsid w:val="00006544"/>
    <w:rsid w:val="00010BD3"/>
    <w:rsid w:val="0001144C"/>
    <w:rsid w:val="00016492"/>
    <w:rsid w:val="00026C82"/>
    <w:rsid w:val="0004698A"/>
    <w:rsid w:val="00063BFD"/>
    <w:rsid w:val="00086691"/>
    <w:rsid w:val="000949CB"/>
    <w:rsid w:val="000B773C"/>
    <w:rsid w:val="000C141A"/>
    <w:rsid w:val="000C1C01"/>
    <w:rsid w:val="000C3368"/>
    <w:rsid w:val="000C3814"/>
    <w:rsid w:val="000E4881"/>
    <w:rsid w:val="000E5B4E"/>
    <w:rsid w:val="000F54E7"/>
    <w:rsid w:val="00104077"/>
    <w:rsid w:val="00120845"/>
    <w:rsid w:val="001213BE"/>
    <w:rsid w:val="001222D6"/>
    <w:rsid w:val="001251C4"/>
    <w:rsid w:val="00126C86"/>
    <w:rsid w:val="00135230"/>
    <w:rsid w:val="00143A23"/>
    <w:rsid w:val="00157448"/>
    <w:rsid w:val="00164424"/>
    <w:rsid w:val="00181167"/>
    <w:rsid w:val="00181844"/>
    <w:rsid w:val="00184E1A"/>
    <w:rsid w:val="001862C0"/>
    <w:rsid w:val="0018749C"/>
    <w:rsid w:val="001A4231"/>
    <w:rsid w:val="001A7B19"/>
    <w:rsid w:val="001B0B3F"/>
    <w:rsid w:val="001C0319"/>
    <w:rsid w:val="001C351D"/>
    <w:rsid w:val="001C520A"/>
    <w:rsid w:val="001C6970"/>
    <w:rsid w:val="001D0547"/>
    <w:rsid w:val="001D60E6"/>
    <w:rsid w:val="001E0A43"/>
    <w:rsid w:val="001E67A9"/>
    <w:rsid w:val="001F31AA"/>
    <w:rsid w:val="0020076A"/>
    <w:rsid w:val="00205B35"/>
    <w:rsid w:val="002063AC"/>
    <w:rsid w:val="00221A8C"/>
    <w:rsid w:val="00225175"/>
    <w:rsid w:val="002344F7"/>
    <w:rsid w:val="00234D64"/>
    <w:rsid w:val="00252F44"/>
    <w:rsid w:val="002578C1"/>
    <w:rsid w:val="00260106"/>
    <w:rsid w:val="00264064"/>
    <w:rsid w:val="00267317"/>
    <w:rsid w:val="00267638"/>
    <w:rsid w:val="00283A24"/>
    <w:rsid w:val="002A18C2"/>
    <w:rsid w:val="002A4C3E"/>
    <w:rsid w:val="002A5B6B"/>
    <w:rsid w:val="002B2F13"/>
    <w:rsid w:val="002C4EC9"/>
    <w:rsid w:val="002C6424"/>
    <w:rsid w:val="002E7EFC"/>
    <w:rsid w:val="002F2549"/>
    <w:rsid w:val="002F6252"/>
    <w:rsid w:val="002F64DF"/>
    <w:rsid w:val="002F7AEB"/>
    <w:rsid w:val="00307CC0"/>
    <w:rsid w:val="00322500"/>
    <w:rsid w:val="0035074F"/>
    <w:rsid w:val="00351035"/>
    <w:rsid w:val="0035331C"/>
    <w:rsid w:val="00370618"/>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C1AEF"/>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67F80"/>
    <w:rsid w:val="00475FC8"/>
    <w:rsid w:val="00476B06"/>
    <w:rsid w:val="00480708"/>
    <w:rsid w:val="00487296"/>
    <w:rsid w:val="004907E5"/>
    <w:rsid w:val="00495B3B"/>
    <w:rsid w:val="004A2DD7"/>
    <w:rsid w:val="004A460D"/>
    <w:rsid w:val="004B0978"/>
    <w:rsid w:val="004B534D"/>
    <w:rsid w:val="004C7E27"/>
    <w:rsid w:val="004D7D40"/>
    <w:rsid w:val="004F1A9B"/>
    <w:rsid w:val="005013B3"/>
    <w:rsid w:val="00505FD8"/>
    <w:rsid w:val="00506E38"/>
    <w:rsid w:val="0051295C"/>
    <w:rsid w:val="005155EC"/>
    <w:rsid w:val="00522359"/>
    <w:rsid w:val="00535B0C"/>
    <w:rsid w:val="00536699"/>
    <w:rsid w:val="0054032A"/>
    <w:rsid w:val="00542A1B"/>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B7EA0"/>
    <w:rsid w:val="005C69CC"/>
    <w:rsid w:val="005D3801"/>
    <w:rsid w:val="005D502E"/>
    <w:rsid w:val="005E006C"/>
    <w:rsid w:val="005E137A"/>
    <w:rsid w:val="005E32AE"/>
    <w:rsid w:val="005F0BBF"/>
    <w:rsid w:val="005F6958"/>
    <w:rsid w:val="00603C45"/>
    <w:rsid w:val="00610AFF"/>
    <w:rsid w:val="00645ADA"/>
    <w:rsid w:val="00647E27"/>
    <w:rsid w:val="00662658"/>
    <w:rsid w:val="00662F3F"/>
    <w:rsid w:val="006666E4"/>
    <w:rsid w:val="0066682B"/>
    <w:rsid w:val="006668BE"/>
    <w:rsid w:val="00670B66"/>
    <w:rsid w:val="00677AD1"/>
    <w:rsid w:val="0068495A"/>
    <w:rsid w:val="006866A7"/>
    <w:rsid w:val="006913E2"/>
    <w:rsid w:val="00692CFF"/>
    <w:rsid w:val="00694E47"/>
    <w:rsid w:val="006A627F"/>
    <w:rsid w:val="006A6C89"/>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07FE0"/>
    <w:rsid w:val="00810AB4"/>
    <w:rsid w:val="00813444"/>
    <w:rsid w:val="00813D23"/>
    <w:rsid w:val="00820D82"/>
    <w:rsid w:val="00821B10"/>
    <w:rsid w:val="0082311D"/>
    <w:rsid w:val="0083176F"/>
    <w:rsid w:val="00840293"/>
    <w:rsid w:val="008410D5"/>
    <w:rsid w:val="008433CF"/>
    <w:rsid w:val="00846677"/>
    <w:rsid w:val="0085201E"/>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6A68"/>
    <w:rsid w:val="009074D9"/>
    <w:rsid w:val="00915450"/>
    <w:rsid w:val="0091711E"/>
    <w:rsid w:val="00925CA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2F19"/>
    <w:rsid w:val="00A23384"/>
    <w:rsid w:val="00A26015"/>
    <w:rsid w:val="00A37A4F"/>
    <w:rsid w:val="00A40F98"/>
    <w:rsid w:val="00A5202A"/>
    <w:rsid w:val="00A6456E"/>
    <w:rsid w:val="00A67EEB"/>
    <w:rsid w:val="00A824CC"/>
    <w:rsid w:val="00A8571E"/>
    <w:rsid w:val="00A87370"/>
    <w:rsid w:val="00A87845"/>
    <w:rsid w:val="00A90F14"/>
    <w:rsid w:val="00AC27DA"/>
    <w:rsid w:val="00AC476E"/>
    <w:rsid w:val="00AD2349"/>
    <w:rsid w:val="00AD6D42"/>
    <w:rsid w:val="00AD7222"/>
    <w:rsid w:val="00AE6C2E"/>
    <w:rsid w:val="00AE7BC6"/>
    <w:rsid w:val="00AF3197"/>
    <w:rsid w:val="00AF63CF"/>
    <w:rsid w:val="00AF7E39"/>
    <w:rsid w:val="00B10361"/>
    <w:rsid w:val="00B12BD8"/>
    <w:rsid w:val="00B15639"/>
    <w:rsid w:val="00B217D9"/>
    <w:rsid w:val="00B3351E"/>
    <w:rsid w:val="00B44C41"/>
    <w:rsid w:val="00B54F88"/>
    <w:rsid w:val="00B57C72"/>
    <w:rsid w:val="00B60925"/>
    <w:rsid w:val="00B670F6"/>
    <w:rsid w:val="00B82136"/>
    <w:rsid w:val="00B96F20"/>
    <w:rsid w:val="00B97736"/>
    <w:rsid w:val="00BA277B"/>
    <w:rsid w:val="00BA7830"/>
    <w:rsid w:val="00BC0888"/>
    <w:rsid w:val="00BC60A9"/>
    <w:rsid w:val="00BD45AA"/>
    <w:rsid w:val="00BE09D0"/>
    <w:rsid w:val="00BE0CD8"/>
    <w:rsid w:val="00BE1393"/>
    <w:rsid w:val="00C01977"/>
    <w:rsid w:val="00C06377"/>
    <w:rsid w:val="00C16FF3"/>
    <w:rsid w:val="00C252AE"/>
    <w:rsid w:val="00C3191D"/>
    <w:rsid w:val="00C41C46"/>
    <w:rsid w:val="00C54B04"/>
    <w:rsid w:val="00C71D9D"/>
    <w:rsid w:val="00C81316"/>
    <w:rsid w:val="00C850E0"/>
    <w:rsid w:val="00CA4310"/>
    <w:rsid w:val="00CB3554"/>
    <w:rsid w:val="00CB72F7"/>
    <w:rsid w:val="00CB793A"/>
    <w:rsid w:val="00CD4CCF"/>
    <w:rsid w:val="00CE2166"/>
    <w:rsid w:val="00CF5D39"/>
    <w:rsid w:val="00CF717F"/>
    <w:rsid w:val="00D000C1"/>
    <w:rsid w:val="00D06C25"/>
    <w:rsid w:val="00D2402A"/>
    <w:rsid w:val="00D31E02"/>
    <w:rsid w:val="00D355EE"/>
    <w:rsid w:val="00D40B9E"/>
    <w:rsid w:val="00D456E5"/>
    <w:rsid w:val="00D4750F"/>
    <w:rsid w:val="00D52F56"/>
    <w:rsid w:val="00D57AA5"/>
    <w:rsid w:val="00D75112"/>
    <w:rsid w:val="00D75501"/>
    <w:rsid w:val="00D80AEE"/>
    <w:rsid w:val="00D90B1F"/>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38B0"/>
    <w:rsid w:val="00E46801"/>
    <w:rsid w:val="00E500D1"/>
    <w:rsid w:val="00E5224A"/>
    <w:rsid w:val="00E557E9"/>
    <w:rsid w:val="00E7585E"/>
    <w:rsid w:val="00E97E50"/>
    <w:rsid w:val="00EA07C3"/>
    <w:rsid w:val="00EB2189"/>
    <w:rsid w:val="00EB4052"/>
    <w:rsid w:val="00EC1C00"/>
    <w:rsid w:val="00EC4AF9"/>
    <w:rsid w:val="00EC708F"/>
    <w:rsid w:val="00ED03A1"/>
    <w:rsid w:val="00ED45BB"/>
    <w:rsid w:val="00ED5D7B"/>
    <w:rsid w:val="00EE7442"/>
    <w:rsid w:val="00EF0300"/>
    <w:rsid w:val="00EF03B9"/>
    <w:rsid w:val="00EF17FB"/>
    <w:rsid w:val="00EF637C"/>
    <w:rsid w:val="00F006B6"/>
    <w:rsid w:val="00F00827"/>
    <w:rsid w:val="00F02922"/>
    <w:rsid w:val="00F031EB"/>
    <w:rsid w:val="00F15703"/>
    <w:rsid w:val="00F23661"/>
    <w:rsid w:val="00F2412E"/>
    <w:rsid w:val="00F2435D"/>
    <w:rsid w:val="00F2502B"/>
    <w:rsid w:val="00F25823"/>
    <w:rsid w:val="00F26F35"/>
    <w:rsid w:val="00F31235"/>
    <w:rsid w:val="00F355BA"/>
    <w:rsid w:val="00F42424"/>
    <w:rsid w:val="00F42854"/>
    <w:rsid w:val="00F52F0F"/>
    <w:rsid w:val="00F559CD"/>
    <w:rsid w:val="00F57633"/>
    <w:rsid w:val="00F67E0A"/>
    <w:rsid w:val="00F67E5A"/>
    <w:rsid w:val="00F75426"/>
    <w:rsid w:val="00F85551"/>
    <w:rsid w:val="00F9375B"/>
    <w:rsid w:val="00FA0273"/>
    <w:rsid w:val="00FA37CF"/>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
    </o:shapedefaults>
    <o:shapelayout v:ext="edit">
      <o:idmap v:ext="edit" data="1"/>
    </o:shapelayout>
  </w:shapeDefaults>
  <w:decimalSymbol w:val="."/>
  <w:listSeparator w:val=","/>
  <w14:docId w14:val="7D042CCC"/>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8B0"/>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E438B0"/>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38B0"/>
    <w:pPr>
      <w:keepNext/>
      <w:spacing w:before="180" w:after="120" w:line="240" w:lineRule="auto"/>
      <w:outlineLvl w:val="1"/>
    </w:pPr>
    <w:rPr>
      <w:b/>
      <w:color w:val="4D4D4D"/>
      <w:sz w:val="28"/>
      <w:lang w:eastAsia="en-US"/>
    </w:rPr>
  </w:style>
  <w:style w:type="paragraph" w:styleId="Heading3">
    <w:name w:val="heading 3"/>
    <w:basedOn w:val="Heading2"/>
    <w:next w:val="Normal"/>
    <w:uiPriority w:val="3"/>
    <w:qFormat/>
    <w:rsid w:val="00E438B0"/>
    <w:pPr>
      <w:outlineLvl w:val="2"/>
    </w:pPr>
    <w:rPr>
      <w:sz w:val="24"/>
    </w:rPr>
  </w:style>
  <w:style w:type="paragraph" w:styleId="Heading4">
    <w:name w:val="heading 4"/>
    <w:basedOn w:val="Heading3"/>
    <w:next w:val="Normal"/>
    <w:uiPriority w:val="3"/>
    <w:semiHidden/>
    <w:qFormat/>
    <w:rsid w:val="00E438B0"/>
    <w:pPr>
      <w:numPr>
        <w:ilvl w:val="3"/>
      </w:numPr>
      <w:spacing w:before="160" w:line="280" w:lineRule="atLeast"/>
      <w:outlineLvl w:val="3"/>
    </w:pPr>
    <w:rPr>
      <w:sz w:val="22"/>
    </w:rPr>
  </w:style>
  <w:style w:type="paragraph" w:styleId="Heading5">
    <w:name w:val="heading 5"/>
    <w:basedOn w:val="Heading4"/>
    <w:next w:val="Normal"/>
    <w:uiPriority w:val="3"/>
    <w:semiHidden/>
    <w:qFormat/>
    <w:rsid w:val="00E438B0"/>
    <w:pPr>
      <w:numPr>
        <w:ilvl w:val="4"/>
      </w:numPr>
      <w:outlineLvl w:val="4"/>
    </w:pPr>
    <w:rPr>
      <w:b w:val="0"/>
      <w:bCs/>
      <w:color w:val="404040"/>
    </w:rPr>
  </w:style>
  <w:style w:type="paragraph" w:styleId="Heading6">
    <w:name w:val="heading 6"/>
    <w:basedOn w:val="Heading5"/>
    <w:next w:val="Normal"/>
    <w:uiPriority w:val="3"/>
    <w:semiHidden/>
    <w:qFormat/>
    <w:rsid w:val="00E438B0"/>
    <w:pPr>
      <w:numPr>
        <w:ilvl w:val="5"/>
      </w:numPr>
      <w:outlineLvl w:val="5"/>
    </w:pPr>
    <w:rPr>
      <w:iCs/>
    </w:rPr>
  </w:style>
  <w:style w:type="paragraph" w:styleId="Heading7">
    <w:name w:val="heading 7"/>
    <w:basedOn w:val="Heading6"/>
    <w:next w:val="Normal"/>
    <w:uiPriority w:val="3"/>
    <w:semiHidden/>
    <w:qFormat/>
    <w:rsid w:val="00E438B0"/>
    <w:pPr>
      <w:numPr>
        <w:ilvl w:val="6"/>
      </w:numPr>
      <w:outlineLvl w:val="6"/>
    </w:pPr>
    <w:rPr>
      <w:i/>
    </w:rPr>
  </w:style>
  <w:style w:type="paragraph" w:styleId="Heading8">
    <w:name w:val="heading 8"/>
    <w:basedOn w:val="Heading7"/>
    <w:next w:val="Normal"/>
    <w:uiPriority w:val="3"/>
    <w:semiHidden/>
    <w:qFormat/>
    <w:rsid w:val="00E438B0"/>
    <w:pPr>
      <w:numPr>
        <w:ilvl w:val="7"/>
      </w:numPr>
      <w:outlineLvl w:val="7"/>
    </w:pPr>
    <w:rPr>
      <w:b/>
    </w:rPr>
  </w:style>
  <w:style w:type="paragraph" w:styleId="Heading9">
    <w:name w:val="heading 9"/>
    <w:basedOn w:val="Heading8"/>
    <w:next w:val="Normal"/>
    <w:uiPriority w:val="3"/>
    <w:semiHidden/>
    <w:qFormat/>
    <w:rsid w:val="00E438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438B0"/>
    <w:pPr>
      <w:spacing w:after="120"/>
    </w:pPr>
  </w:style>
  <w:style w:type="paragraph" w:customStyle="1" w:styleId="Bullet1">
    <w:name w:val="Bullet 1"/>
    <w:basedOn w:val="Normal"/>
    <w:uiPriority w:val="11"/>
    <w:qFormat/>
    <w:rsid w:val="00E438B0"/>
    <w:pPr>
      <w:numPr>
        <w:numId w:val="16"/>
      </w:numPr>
      <w:spacing w:before="0" w:after="0"/>
    </w:pPr>
  </w:style>
  <w:style w:type="character" w:styleId="CommentReference">
    <w:name w:val="annotation reference"/>
    <w:uiPriority w:val="99"/>
    <w:semiHidden/>
    <w:rsid w:val="00E438B0"/>
    <w:rPr>
      <w:rFonts w:ascii="Calibri" w:hAnsi="Calibri"/>
      <w:sz w:val="16"/>
    </w:rPr>
  </w:style>
  <w:style w:type="paragraph" w:styleId="CommentText">
    <w:name w:val="annotation text"/>
    <w:basedOn w:val="Normal"/>
    <w:link w:val="CommentTextChar"/>
    <w:uiPriority w:val="99"/>
    <w:rsid w:val="00E438B0"/>
  </w:style>
  <w:style w:type="character" w:styleId="EndnoteReference">
    <w:name w:val="endnote reference"/>
    <w:uiPriority w:val="49"/>
    <w:semiHidden/>
    <w:rsid w:val="00E438B0"/>
    <w:rPr>
      <w:vertAlign w:val="superscript"/>
    </w:rPr>
  </w:style>
  <w:style w:type="paragraph" w:styleId="EndnoteText">
    <w:name w:val="endnote text"/>
    <w:basedOn w:val="Normal"/>
    <w:uiPriority w:val="49"/>
    <w:semiHidden/>
    <w:rsid w:val="00E438B0"/>
  </w:style>
  <w:style w:type="paragraph" w:styleId="Footer">
    <w:name w:val="footer"/>
    <w:link w:val="FooterChar"/>
    <w:uiPriority w:val="99"/>
    <w:rsid w:val="00E438B0"/>
    <w:pPr>
      <w:tabs>
        <w:tab w:val="right" w:pos="8220"/>
      </w:tabs>
      <w:jc w:val="right"/>
    </w:pPr>
    <w:rPr>
      <w:rFonts w:ascii="Calibri" w:hAnsi="Calibri" w:cs="Calibri"/>
      <w:noProof/>
      <w:szCs w:val="22"/>
    </w:rPr>
  </w:style>
  <w:style w:type="character" w:styleId="FootnoteReference">
    <w:name w:val="footnote reference"/>
    <w:uiPriority w:val="49"/>
    <w:semiHidden/>
    <w:rsid w:val="00E438B0"/>
    <w:rPr>
      <w:vertAlign w:val="superscript"/>
    </w:rPr>
  </w:style>
  <w:style w:type="paragraph" w:styleId="FootnoteText">
    <w:name w:val="footnote text"/>
    <w:basedOn w:val="Normal"/>
    <w:uiPriority w:val="49"/>
    <w:semiHidden/>
    <w:rsid w:val="00E438B0"/>
  </w:style>
  <w:style w:type="character" w:styleId="Hyperlink">
    <w:name w:val="Hyperlink"/>
    <w:uiPriority w:val="99"/>
    <w:semiHidden/>
    <w:rsid w:val="00E438B0"/>
    <w:rPr>
      <w:color w:val="660B68"/>
      <w:u w:val="none"/>
    </w:rPr>
  </w:style>
  <w:style w:type="character" w:styleId="LineNumber">
    <w:name w:val="line number"/>
    <w:basedOn w:val="DefaultParagraphFont"/>
    <w:uiPriority w:val="49"/>
    <w:semiHidden/>
    <w:rsid w:val="00E438B0"/>
  </w:style>
  <w:style w:type="paragraph" w:styleId="MacroText">
    <w:name w:val="macro"/>
    <w:uiPriority w:val="49"/>
    <w:semiHidden/>
    <w:rsid w:val="00E438B0"/>
    <w:rPr>
      <w:rFonts w:ascii="Calibri" w:hAnsi="Calibri" w:cs="Calibri"/>
      <w:sz w:val="22"/>
      <w:szCs w:val="22"/>
    </w:rPr>
  </w:style>
  <w:style w:type="character" w:styleId="PageNumber">
    <w:name w:val="page number"/>
    <w:uiPriority w:val="49"/>
    <w:semiHidden/>
    <w:rsid w:val="00E438B0"/>
    <w:rPr>
      <w:b/>
      <w:color w:val="4C4C4C"/>
      <w:sz w:val="28"/>
    </w:rPr>
  </w:style>
  <w:style w:type="paragraph" w:customStyle="1" w:styleId="NormalIndentItalics">
    <w:name w:val="Normal Indent Italics"/>
    <w:basedOn w:val="NormalIndent"/>
    <w:uiPriority w:val="13"/>
    <w:semiHidden/>
    <w:qFormat/>
    <w:rsid w:val="00E438B0"/>
    <w:rPr>
      <w:i/>
    </w:rPr>
  </w:style>
  <w:style w:type="paragraph" w:styleId="TableofAuthorities">
    <w:name w:val="table of authorities"/>
    <w:basedOn w:val="Normal"/>
    <w:next w:val="Normal"/>
    <w:uiPriority w:val="39"/>
    <w:semiHidden/>
    <w:rsid w:val="00E438B0"/>
    <w:pPr>
      <w:tabs>
        <w:tab w:val="right" w:pos="9072"/>
      </w:tabs>
      <w:ind w:left="200" w:hanging="200"/>
    </w:pPr>
  </w:style>
  <w:style w:type="table" w:styleId="TableGrid">
    <w:name w:val="Table Grid"/>
    <w:basedOn w:val="TableNormal"/>
    <w:semiHidden/>
    <w:rsid w:val="00E438B0"/>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E438B0"/>
    <w:pPr>
      <w:spacing w:before="0" w:after="120" w:line="240" w:lineRule="auto"/>
    </w:pPr>
    <w:rPr>
      <w:b/>
      <w:color w:val="660B68"/>
      <w:sz w:val="40"/>
    </w:rPr>
  </w:style>
  <w:style w:type="paragraph" w:styleId="TOC1">
    <w:name w:val="toc 1"/>
    <w:basedOn w:val="Normal"/>
    <w:next w:val="Normal"/>
    <w:uiPriority w:val="39"/>
    <w:semiHidden/>
    <w:rsid w:val="00E438B0"/>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E438B0"/>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E438B0"/>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E438B0"/>
    <w:pPr>
      <w:tabs>
        <w:tab w:val="left" w:pos="1701"/>
      </w:tabs>
      <w:spacing w:before="0"/>
      <w:ind w:left="0" w:right="-7" w:firstLine="0"/>
    </w:pPr>
    <w:rPr>
      <w:caps/>
      <w:color w:val="800000"/>
    </w:rPr>
  </w:style>
  <w:style w:type="paragraph" w:styleId="Date">
    <w:name w:val="Date"/>
    <w:basedOn w:val="Normal"/>
    <w:next w:val="Normal"/>
    <w:uiPriority w:val="49"/>
    <w:semiHidden/>
    <w:rsid w:val="00E438B0"/>
    <w:pPr>
      <w:ind w:left="1411"/>
    </w:pPr>
  </w:style>
  <w:style w:type="paragraph" w:customStyle="1" w:styleId="Quotation">
    <w:name w:val="Quotation"/>
    <w:basedOn w:val="Normal"/>
    <w:next w:val="Normal"/>
    <w:uiPriority w:val="49"/>
    <w:semiHidden/>
    <w:rsid w:val="00E438B0"/>
    <w:pPr>
      <w:keepLines/>
      <w:spacing w:before="40"/>
      <w:jc w:val="center"/>
    </w:pPr>
    <w:rPr>
      <w:i/>
      <w:iCs/>
      <w:color w:val="003399"/>
      <w:sz w:val="18"/>
      <w:lang w:eastAsia="en-US"/>
    </w:rPr>
  </w:style>
  <w:style w:type="paragraph" w:styleId="TOC6">
    <w:name w:val="toc 6"/>
    <w:basedOn w:val="Normal"/>
    <w:next w:val="Normal"/>
    <w:autoRedefine/>
    <w:uiPriority w:val="49"/>
    <w:semiHidden/>
    <w:rsid w:val="00E438B0"/>
    <w:pPr>
      <w:spacing w:before="40" w:after="20"/>
      <w:ind w:left="1418" w:hanging="1418"/>
    </w:pPr>
    <w:rPr>
      <w:b/>
      <w:sz w:val="16"/>
    </w:rPr>
  </w:style>
  <w:style w:type="paragraph" w:styleId="TOC7">
    <w:name w:val="toc 7"/>
    <w:basedOn w:val="Normal"/>
    <w:next w:val="Normal"/>
    <w:autoRedefine/>
    <w:uiPriority w:val="49"/>
    <w:semiHidden/>
    <w:rsid w:val="00E438B0"/>
    <w:pPr>
      <w:ind w:left="1440"/>
    </w:pPr>
  </w:style>
  <w:style w:type="paragraph" w:styleId="TOC8">
    <w:name w:val="toc 8"/>
    <w:basedOn w:val="Normal"/>
    <w:next w:val="Normal"/>
    <w:autoRedefine/>
    <w:uiPriority w:val="49"/>
    <w:semiHidden/>
    <w:rsid w:val="00E438B0"/>
    <w:pPr>
      <w:ind w:left="1680"/>
    </w:pPr>
  </w:style>
  <w:style w:type="paragraph" w:styleId="TOC9">
    <w:name w:val="toc 9"/>
    <w:basedOn w:val="Normal"/>
    <w:next w:val="Normal"/>
    <w:autoRedefine/>
    <w:uiPriority w:val="49"/>
    <w:semiHidden/>
    <w:rsid w:val="00E438B0"/>
    <w:pPr>
      <w:ind w:left="2835" w:right="2835"/>
    </w:pPr>
  </w:style>
  <w:style w:type="numbering" w:styleId="111111">
    <w:name w:val="Outline List 2"/>
    <w:basedOn w:val="NoList"/>
    <w:uiPriority w:val="99"/>
    <w:semiHidden/>
    <w:unhideWhenUsed/>
    <w:rsid w:val="00E438B0"/>
    <w:pPr>
      <w:numPr>
        <w:numId w:val="13"/>
      </w:numPr>
    </w:pPr>
  </w:style>
  <w:style w:type="paragraph" w:styleId="BodyText2">
    <w:name w:val="Body Text 2"/>
    <w:basedOn w:val="Normal"/>
    <w:semiHidden/>
    <w:rsid w:val="00E438B0"/>
    <w:pPr>
      <w:spacing w:after="120" w:line="480" w:lineRule="auto"/>
    </w:pPr>
  </w:style>
  <w:style w:type="numbering" w:styleId="1ai">
    <w:name w:val="Outline List 1"/>
    <w:basedOn w:val="NoList"/>
    <w:uiPriority w:val="99"/>
    <w:semiHidden/>
    <w:unhideWhenUsed/>
    <w:rsid w:val="00E438B0"/>
    <w:pPr>
      <w:numPr>
        <w:numId w:val="14"/>
      </w:numPr>
    </w:pPr>
  </w:style>
  <w:style w:type="paragraph" w:customStyle="1" w:styleId="ListBulletBold">
    <w:name w:val="List Bullet Bold"/>
    <w:basedOn w:val="Normal"/>
    <w:next w:val="Normal"/>
    <w:uiPriority w:val="49"/>
    <w:semiHidden/>
    <w:rsid w:val="00E438B0"/>
    <w:rPr>
      <w:b/>
    </w:rPr>
  </w:style>
  <w:style w:type="paragraph" w:styleId="BalloonText">
    <w:name w:val="Balloon Text"/>
    <w:basedOn w:val="Normal"/>
    <w:uiPriority w:val="49"/>
    <w:semiHidden/>
    <w:rsid w:val="00E438B0"/>
    <w:rPr>
      <w:sz w:val="16"/>
      <w:szCs w:val="16"/>
    </w:rPr>
  </w:style>
  <w:style w:type="paragraph" w:styleId="BlockText">
    <w:name w:val="Block Text"/>
    <w:basedOn w:val="Normal"/>
    <w:uiPriority w:val="49"/>
    <w:semiHidden/>
    <w:rsid w:val="00E438B0"/>
    <w:pPr>
      <w:spacing w:after="120"/>
      <w:ind w:left="1440" w:right="1440"/>
    </w:pPr>
  </w:style>
  <w:style w:type="paragraph" w:styleId="BodyText3">
    <w:name w:val="Body Text 3"/>
    <w:basedOn w:val="Normal"/>
    <w:semiHidden/>
    <w:rsid w:val="00E438B0"/>
    <w:pPr>
      <w:spacing w:after="120"/>
    </w:pPr>
    <w:rPr>
      <w:sz w:val="16"/>
      <w:szCs w:val="16"/>
    </w:rPr>
  </w:style>
  <w:style w:type="paragraph" w:styleId="BodyTextFirstIndent">
    <w:name w:val="Body Text First Indent"/>
    <w:basedOn w:val="BodyText"/>
    <w:semiHidden/>
    <w:rsid w:val="00E438B0"/>
    <w:pPr>
      <w:ind w:firstLine="210"/>
    </w:pPr>
  </w:style>
  <w:style w:type="paragraph" w:styleId="BodyTextIndent">
    <w:name w:val="Body Text Indent"/>
    <w:basedOn w:val="Normal"/>
    <w:semiHidden/>
    <w:rsid w:val="00E438B0"/>
    <w:pPr>
      <w:spacing w:after="120"/>
      <w:ind w:left="283"/>
    </w:pPr>
  </w:style>
  <w:style w:type="paragraph" w:styleId="BodyTextFirstIndent2">
    <w:name w:val="Body Text First Indent 2"/>
    <w:basedOn w:val="BodyTextIndent"/>
    <w:semiHidden/>
    <w:rsid w:val="00E438B0"/>
    <w:pPr>
      <w:ind w:firstLine="210"/>
    </w:pPr>
  </w:style>
  <w:style w:type="paragraph" w:styleId="BodyTextIndent2">
    <w:name w:val="Body Text Indent 2"/>
    <w:basedOn w:val="Normal"/>
    <w:semiHidden/>
    <w:rsid w:val="00E438B0"/>
    <w:pPr>
      <w:spacing w:after="120" w:line="480" w:lineRule="auto"/>
      <w:ind w:left="283"/>
    </w:pPr>
  </w:style>
  <w:style w:type="paragraph" w:styleId="BodyTextIndent3">
    <w:name w:val="Body Text Indent 3"/>
    <w:basedOn w:val="Normal"/>
    <w:semiHidden/>
    <w:rsid w:val="00E438B0"/>
    <w:pPr>
      <w:spacing w:after="120"/>
      <w:ind w:left="283"/>
    </w:pPr>
    <w:rPr>
      <w:sz w:val="16"/>
      <w:szCs w:val="16"/>
    </w:rPr>
  </w:style>
  <w:style w:type="paragraph" w:styleId="NoteHeading">
    <w:name w:val="Note Heading"/>
    <w:basedOn w:val="Normal"/>
    <w:next w:val="Normal"/>
    <w:semiHidden/>
    <w:rsid w:val="00E438B0"/>
  </w:style>
  <w:style w:type="paragraph" w:styleId="Closing">
    <w:name w:val="Closing"/>
    <w:basedOn w:val="Normal"/>
    <w:uiPriority w:val="49"/>
    <w:semiHidden/>
    <w:rsid w:val="00E438B0"/>
    <w:pPr>
      <w:ind w:left="4252"/>
    </w:pPr>
  </w:style>
  <w:style w:type="paragraph" w:styleId="CommentSubject">
    <w:name w:val="annotation subject"/>
    <w:basedOn w:val="CommentText"/>
    <w:next w:val="CommentText"/>
    <w:uiPriority w:val="49"/>
    <w:semiHidden/>
    <w:rsid w:val="00E438B0"/>
    <w:rPr>
      <w:b/>
      <w:bCs/>
    </w:rPr>
  </w:style>
  <w:style w:type="paragraph" w:styleId="DocumentMap">
    <w:name w:val="Document Map"/>
    <w:basedOn w:val="Normal"/>
    <w:uiPriority w:val="49"/>
    <w:semiHidden/>
    <w:rsid w:val="00E438B0"/>
    <w:pPr>
      <w:shd w:val="clear" w:color="auto" w:fill="000080"/>
    </w:pPr>
  </w:style>
  <w:style w:type="paragraph" w:styleId="E-mailSignature">
    <w:name w:val="E-mail Signature"/>
    <w:basedOn w:val="Normal"/>
    <w:uiPriority w:val="49"/>
    <w:semiHidden/>
    <w:rsid w:val="00E438B0"/>
  </w:style>
  <w:style w:type="paragraph" w:styleId="EnvelopeAddress">
    <w:name w:val="envelope address"/>
    <w:basedOn w:val="Normal"/>
    <w:uiPriority w:val="49"/>
    <w:semiHidden/>
    <w:rsid w:val="00E438B0"/>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E438B0"/>
  </w:style>
  <w:style w:type="paragraph" w:styleId="HTMLAddress">
    <w:name w:val="HTML Address"/>
    <w:basedOn w:val="Normal"/>
    <w:uiPriority w:val="49"/>
    <w:semiHidden/>
    <w:rsid w:val="00E438B0"/>
    <w:rPr>
      <w:i/>
      <w:iCs/>
    </w:rPr>
  </w:style>
  <w:style w:type="paragraph" w:styleId="HTMLPreformatted">
    <w:name w:val="HTML Preformatted"/>
    <w:basedOn w:val="Normal"/>
    <w:uiPriority w:val="49"/>
    <w:semiHidden/>
    <w:rsid w:val="00E438B0"/>
  </w:style>
  <w:style w:type="paragraph" w:styleId="Index1">
    <w:name w:val="index 1"/>
    <w:basedOn w:val="Normal"/>
    <w:next w:val="Normal"/>
    <w:autoRedefine/>
    <w:uiPriority w:val="49"/>
    <w:semiHidden/>
    <w:rsid w:val="00E438B0"/>
    <w:pPr>
      <w:ind w:left="200" w:hanging="200"/>
    </w:pPr>
  </w:style>
  <w:style w:type="paragraph" w:styleId="Index2">
    <w:name w:val="index 2"/>
    <w:basedOn w:val="Normal"/>
    <w:next w:val="Normal"/>
    <w:autoRedefine/>
    <w:uiPriority w:val="49"/>
    <w:semiHidden/>
    <w:rsid w:val="00E438B0"/>
    <w:pPr>
      <w:ind w:left="400" w:hanging="200"/>
    </w:pPr>
  </w:style>
  <w:style w:type="paragraph" w:styleId="Index3">
    <w:name w:val="index 3"/>
    <w:basedOn w:val="Normal"/>
    <w:next w:val="Normal"/>
    <w:autoRedefine/>
    <w:uiPriority w:val="49"/>
    <w:semiHidden/>
    <w:rsid w:val="00E438B0"/>
    <w:pPr>
      <w:ind w:left="600" w:hanging="200"/>
    </w:pPr>
  </w:style>
  <w:style w:type="paragraph" w:styleId="Index4">
    <w:name w:val="index 4"/>
    <w:basedOn w:val="Normal"/>
    <w:next w:val="Normal"/>
    <w:autoRedefine/>
    <w:uiPriority w:val="49"/>
    <w:semiHidden/>
    <w:rsid w:val="00E438B0"/>
    <w:pPr>
      <w:ind w:left="800" w:hanging="200"/>
    </w:pPr>
  </w:style>
  <w:style w:type="paragraph" w:styleId="Index5">
    <w:name w:val="index 5"/>
    <w:basedOn w:val="Normal"/>
    <w:next w:val="Normal"/>
    <w:autoRedefine/>
    <w:uiPriority w:val="49"/>
    <w:semiHidden/>
    <w:rsid w:val="00E438B0"/>
    <w:pPr>
      <w:ind w:left="1000" w:hanging="200"/>
    </w:pPr>
  </w:style>
  <w:style w:type="paragraph" w:styleId="Index6">
    <w:name w:val="index 6"/>
    <w:basedOn w:val="Normal"/>
    <w:next w:val="Normal"/>
    <w:autoRedefine/>
    <w:uiPriority w:val="49"/>
    <w:semiHidden/>
    <w:rsid w:val="00E438B0"/>
    <w:pPr>
      <w:ind w:left="1200" w:hanging="200"/>
    </w:pPr>
  </w:style>
  <w:style w:type="paragraph" w:styleId="Index7">
    <w:name w:val="index 7"/>
    <w:basedOn w:val="Normal"/>
    <w:next w:val="Normal"/>
    <w:autoRedefine/>
    <w:uiPriority w:val="49"/>
    <w:semiHidden/>
    <w:rsid w:val="00E438B0"/>
    <w:pPr>
      <w:ind w:left="1400" w:hanging="200"/>
    </w:pPr>
  </w:style>
  <w:style w:type="paragraph" w:styleId="Index8">
    <w:name w:val="index 8"/>
    <w:basedOn w:val="Normal"/>
    <w:next w:val="Normal"/>
    <w:autoRedefine/>
    <w:uiPriority w:val="49"/>
    <w:semiHidden/>
    <w:rsid w:val="00E438B0"/>
    <w:pPr>
      <w:ind w:left="1600" w:hanging="200"/>
    </w:pPr>
  </w:style>
  <w:style w:type="paragraph" w:styleId="Index9">
    <w:name w:val="index 9"/>
    <w:basedOn w:val="Normal"/>
    <w:next w:val="Normal"/>
    <w:autoRedefine/>
    <w:uiPriority w:val="49"/>
    <w:semiHidden/>
    <w:rsid w:val="00E438B0"/>
    <w:pPr>
      <w:ind w:left="1800" w:hanging="200"/>
    </w:pPr>
  </w:style>
  <w:style w:type="paragraph" w:styleId="IndexHeading">
    <w:name w:val="index heading"/>
    <w:basedOn w:val="Normal"/>
    <w:next w:val="Index1"/>
    <w:uiPriority w:val="49"/>
    <w:semiHidden/>
    <w:rsid w:val="00E438B0"/>
    <w:rPr>
      <w:b/>
      <w:bCs/>
    </w:rPr>
  </w:style>
  <w:style w:type="paragraph" w:styleId="List">
    <w:name w:val="List"/>
    <w:basedOn w:val="Normal"/>
    <w:uiPriority w:val="49"/>
    <w:semiHidden/>
    <w:rsid w:val="00E438B0"/>
    <w:pPr>
      <w:ind w:left="283" w:hanging="283"/>
    </w:pPr>
  </w:style>
  <w:style w:type="paragraph" w:styleId="List2">
    <w:name w:val="List 2"/>
    <w:basedOn w:val="Normal"/>
    <w:uiPriority w:val="49"/>
    <w:semiHidden/>
    <w:rsid w:val="00E438B0"/>
    <w:pPr>
      <w:ind w:left="566" w:hanging="283"/>
    </w:pPr>
  </w:style>
  <w:style w:type="paragraph" w:styleId="List3">
    <w:name w:val="List 3"/>
    <w:basedOn w:val="Normal"/>
    <w:uiPriority w:val="49"/>
    <w:semiHidden/>
    <w:rsid w:val="00E438B0"/>
    <w:pPr>
      <w:ind w:left="849" w:hanging="283"/>
    </w:pPr>
  </w:style>
  <w:style w:type="paragraph" w:styleId="List4">
    <w:name w:val="List 4"/>
    <w:basedOn w:val="Normal"/>
    <w:uiPriority w:val="49"/>
    <w:semiHidden/>
    <w:rsid w:val="00E438B0"/>
    <w:pPr>
      <w:ind w:left="1132" w:hanging="283"/>
    </w:pPr>
  </w:style>
  <w:style w:type="paragraph" w:styleId="List5">
    <w:name w:val="List 5"/>
    <w:basedOn w:val="Normal"/>
    <w:uiPriority w:val="49"/>
    <w:semiHidden/>
    <w:rsid w:val="00E438B0"/>
    <w:pPr>
      <w:ind w:left="1415" w:hanging="283"/>
    </w:pPr>
  </w:style>
  <w:style w:type="paragraph" w:styleId="ListBullet4">
    <w:name w:val="List Bullet 4"/>
    <w:basedOn w:val="Normal"/>
    <w:uiPriority w:val="49"/>
    <w:semiHidden/>
    <w:rsid w:val="00E438B0"/>
    <w:pPr>
      <w:tabs>
        <w:tab w:val="num" w:pos="1209"/>
      </w:tabs>
      <w:ind w:left="1209" w:hanging="360"/>
    </w:pPr>
  </w:style>
  <w:style w:type="paragraph" w:styleId="ListBullet5">
    <w:name w:val="List Bullet 5"/>
    <w:basedOn w:val="Normal"/>
    <w:uiPriority w:val="49"/>
    <w:semiHidden/>
    <w:rsid w:val="00E438B0"/>
    <w:pPr>
      <w:tabs>
        <w:tab w:val="num" w:pos="1492"/>
      </w:tabs>
      <w:ind w:left="1492" w:hanging="360"/>
    </w:pPr>
  </w:style>
  <w:style w:type="paragraph" w:styleId="ListContinue4">
    <w:name w:val="List Continue 4"/>
    <w:basedOn w:val="Normal"/>
    <w:uiPriority w:val="49"/>
    <w:semiHidden/>
    <w:rsid w:val="00E438B0"/>
    <w:pPr>
      <w:spacing w:after="120"/>
      <w:ind w:left="1132"/>
    </w:pPr>
  </w:style>
  <w:style w:type="paragraph" w:styleId="ListContinue5">
    <w:name w:val="List Continue 5"/>
    <w:basedOn w:val="Normal"/>
    <w:uiPriority w:val="49"/>
    <w:semiHidden/>
    <w:rsid w:val="00E438B0"/>
    <w:pPr>
      <w:spacing w:after="120"/>
      <w:ind w:left="1415"/>
    </w:pPr>
  </w:style>
  <w:style w:type="paragraph" w:styleId="ListNumber4">
    <w:name w:val="List Number 4"/>
    <w:basedOn w:val="Normal"/>
    <w:uiPriority w:val="49"/>
    <w:semiHidden/>
    <w:rsid w:val="00E438B0"/>
    <w:pPr>
      <w:tabs>
        <w:tab w:val="num" w:pos="1209"/>
      </w:tabs>
      <w:ind w:left="1209" w:hanging="360"/>
    </w:pPr>
  </w:style>
  <w:style w:type="paragraph" w:styleId="ListNumber5">
    <w:name w:val="List Number 5"/>
    <w:basedOn w:val="Normal"/>
    <w:uiPriority w:val="49"/>
    <w:semiHidden/>
    <w:rsid w:val="00E438B0"/>
    <w:pPr>
      <w:tabs>
        <w:tab w:val="num" w:pos="1492"/>
      </w:tabs>
      <w:ind w:left="1492" w:hanging="360"/>
    </w:pPr>
  </w:style>
  <w:style w:type="paragraph" w:styleId="MessageHeader">
    <w:name w:val="Message Header"/>
    <w:basedOn w:val="Normal"/>
    <w:uiPriority w:val="49"/>
    <w:semiHidden/>
    <w:rsid w:val="00E438B0"/>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E438B0"/>
    <w:rPr>
      <w:sz w:val="24"/>
      <w:szCs w:val="24"/>
    </w:rPr>
  </w:style>
  <w:style w:type="paragraph" w:styleId="PlainText">
    <w:name w:val="Plain Text"/>
    <w:basedOn w:val="Normal"/>
    <w:uiPriority w:val="49"/>
    <w:semiHidden/>
    <w:rsid w:val="00E438B0"/>
  </w:style>
  <w:style w:type="paragraph" w:styleId="Salutation">
    <w:name w:val="Salutation"/>
    <w:basedOn w:val="Normal"/>
    <w:next w:val="Normal"/>
    <w:uiPriority w:val="49"/>
    <w:semiHidden/>
    <w:rsid w:val="00E438B0"/>
  </w:style>
  <w:style w:type="paragraph" w:styleId="Signature">
    <w:name w:val="Signature"/>
    <w:basedOn w:val="Normal"/>
    <w:uiPriority w:val="49"/>
    <w:semiHidden/>
    <w:rsid w:val="00E438B0"/>
    <w:pPr>
      <w:ind w:left="4252"/>
    </w:pPr>
  </w:style>
  <w:style w:type="paragraph" w:styleId="Subtitle">
    <w:name w:val="Subtitle"/>
    <w:basedOn w:val="Normal"/>
    <w:uiPriority w:val="29"/>
    <w:qFormat/>
    <w:rsid w:val="00E438B0"/>
    <w:pPr>
      <w:spacing w:before="0" w:line="240" w:lineRule="auto"/>
    </w:pPr>
    <w:rPr>
      <w:color w:val="4C4C4C"/>
      <w:sz w:val="30"/>
      <w:szCs w:val="24"/>
      <w:lang w:eastAsia="en-US"/>
    </w:rPr>
  </w:style>
  <w:style w:type="paragraph" w:styleId="TOAHeading">
    <w:name w:val="toa heading"/>
    <w:basedOn w:val="Normal"/>
    <w:next w:val="Normal"/>
    <w:uiPriority w:val="39"/>
    <w:semiHidden/>
    <w:rsid w:val="00E438B0"/>
    <w:pPr>
      <w:spacing w:before="120"/>
    </w:pPr>
    <w:rPr>
      <w:b/>
      <w:bCs/>
      <w:sz w:val="24"/>
      <w:szCs w:val="24"/>
    </w:rPr>
  </w:style>
  <w:style w:type="paragraph" w:styleId="TOCHeading">
    <w:name w:val="TOC Heading"/>
    <w:uiPriority w:val="29"/>
    <w:unhideWhenUsed/>
    <w:qFormat/>
    <w:rsid w:val="00E438B0"/>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E438B0"/>
    <w:pPr>
      <w:numPr>
        <w:numId w:val="17"/>
      </w:numPr>
      <w:spacing w:before="0" w:after="0"/>
    </w:pPr>
  </w:style>
  <w:style w:type="paragraph" w:customStyle="1" w:styleId="QuoteName">
    <w:name w:val="Quote Name"/>
    <w:basedOn w:val="Normal"/>
    <w:uiPriority w:val="49"/>
    <w:semiHidden/>
    <w:rsid w:val="00E438B0"/>
    <w:pPr>
      <w:spacing w:after="0" w:line="240" w:lineRule="auto"/>
      <w:ind w:left="902" w:right="822"/>
      <w:jc w:val="right"/>
    </w:pPr>
    <w:rPr>
      <w:caps/>
      <w:color w:val="800000"/>
      <w:sz w:val="16"/>
    </w:rPr>
  </w:style>
  <w:style w:type="paragraph" w:styleId="Header">
    <w:name w:val="header"/>
    <w:basedOn w:val="Normal"/>
    <w:uiPriority w:val="24"/>
    <w:semiHidden/>
    <w:rsid w:val="00E438B0"/>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E438B0"/>
    <w:pPr>
      <w:keepNext/>
      <w:keepLines/>
      <w:tabs>
        <w:tab w:val="left" w:pos="851"/>
      </w:tabs>
      <w:spacing w:before="240" w:after="120" w:line="240" w:lineRule="auto"/>
    </w:pPr>
    <w:rPr>
      <w:b/>
    </w:rPr>
  </w:style>
  <w:style w:type="paragraph" w:customStyle="1" w:styleId="TableDash">
    <w:name w:val="Table Dash"/>
    <w:basedOn w:val="Normal"/>
    <w:uiPriority w:val="10"/>
    <w:rsid w:val="00E438B0"/>
    <w:pPr>
      <w:numPr>
        <w:ilvl w:val="1"/>
        <w:numId w:val="17"/>
      </w:numPr>
      <w:spacing w:before="0" w:after="0"/>
    </w:pPr>
    <w:rPr>
      <w:sz w:val="20"/>
    </w:rPr>
  </w:style>
  <w:style w:type="paragraph" w:styleId="ListBullet">
    <w:name w:val="List Bullet"/>
    <w:basedOn w:val="Normal"/>
    <w:uiPriority w:val="99"/>
    <w:semiHidden/>
    <w:rsid w:val="00E438B0"/>
    <w:pPr>
      <w:numPr>
        <w:numId w:val="5"/>
      </w:numPr>
      <w:contextualSpacing/>
    </w:pPr>
  </w:style>
  <w:style w:type="paragraph" w:styleId="ListBullet2">
    <w:name w:val="List Bullet 2"/>
    <w:basedOn w:val="Normal"/>
    <w:uiPriority w:val="99"/>
    <w:semiHidden/>
    <w:rsid w:val="00E438B0"/>
    <w:pPr>
      <w:numPr>
        <w:numId w:val="6"/>
      </w:numPr>
      <w:contextualSpacing/>
    </w:pPr>
  </w:style>
  <w:style w:type="paragraph" w:styleId="ListContinue">
    <w:name w:val="List Continue"/>
    <w:basedOn w:val="Normal"/>
    <w:uiPriority w:val="8"/>
    <w:semiHidden/>
    <w:qFormat/>
    <w:rsid w:val="00E438B0"/>
    <w:pPr>
      <w:spacing w:before="0" w:after="0"/>
      <w:ind w:left="1077"/>
    </w:pPr>
  </w:style>
  <w:style w:type="paragraph" w:styleId="ListContinue2">
    <w:name w:val="List Continue 2"/>
    <w:basedOn w:val="Normal"/>
    <w:uiPriority w:val="8"/>
    <w:semiHidden/>
    <w:rsid w:val="00E438B0"/>
    <w:pPr>
      <w:spacing w:before="0" w:after="0"/>
      <w:ind w:left="1361"/>
    </w:pPr>
  </w:style>
  <w:style w:type="paragraph" w:customStyle="1" w:styleId="Spacer">
    <w:name w:val="Spacer"/>
    <w:basedOn w:val="Normal"/>
    <w:uiPriority w:val="13"/>
    <w:qFormat/>
    <w:rsid w:val="00E438B0"/>
    <w:pPr>
      <w:spacing w:before="0" w:after="0" w:line="120" w:lineRule="atLeast"/>
    </w:pPr>
    <w:rPr>
      <w:sz w:val="12"/>
    </w:rPr>
  </w:style>
  <w:style w:type="paragraph" w:customStyle="1" w:styleId="Pictwide">
    <w:name w:val="Pict wide"/>
    <w:basedOn w:val="Normal"/>
    <w:next w:val="Normal"/>
    <w:uiPriority w:val="13"/>
    <w:semiHidden/>
    <w:qFormat/>
    <w:rsid w:val="00E438B0"/>
    <w:pPr>
      <w:widowControl w:val="0"/>
      <w:spacing w:before="160" w:after="320" w:line="240" w:lineRule="auto"/>
    </w:pPr>
    <w:rPr>
      <w:sz w:val="24"/>
    </w:rPr>
  </w:style>
  <w:style w:type="paragraph" w:styleId="TOC4">
    <w:name w:val="toc 4"/>
    <w:basedOn w:val="Normal"/>
    <w:next w:val="Normal"/>
    <w:autoRedefine/>
    <w:uiPriority w:val="39"/>
    <w:semiHidden/>
    <w:unhideWhenUsed/>
    <w:rsid w:val="00E438B0"/>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E438B0"/>
    <w:pPr>
      <w:spacing w:before="0" w:after="0"/>
      <w:ind w:left="1644"/>
    </w:pPr>
  </w:style>
  <w:style w:type="paragraph" w:styleId="ListBullet3">
    <w:name w:val="List Bullet 3"/>
    <w:basedOn w:val="Normal"/>
    <w:uiPriority w:val="99"/>
    <w:semiHidden/>
    <w:unhideWhenUsed/>
    <w:rsid w:val="00E438B0"/>
    <w:pPr>
      <w:numPr>
        <w:numId w:val="7"/>
      </w:numPr>
      <w:contextualSpacing/>
    </w:pPr>
  </w:style>
  <w:style w:type="paragraph" w:customStyle="1" w:styleId="TableText">
    <w:name w:val="Table Text"/>
    <w:basedOn w:val="Normal"/>
    <w:uiPriority w:val="15"/>
    <w:qFormat/>
    <w:rsid w:val="00E438B0"/>
    <w:pPr>
      <w:spacing w:before="60" w:after="60" w:line="240" w:lineRule="auto"/>
    </w:pPr>
    <w:rPr>
      <w:sz w:val="20"/>
    </w:rPr>
  </w:style>
  <w:style w:type="numbering" w:styleId="ArticleSection">
    <w:name w:val="Outline List 3"/>
    <w:basedOn w:val="NoList"/>
    <w:uiPriority w:val="99"/>
    <w:semiHidden/>
    <w:unhideWhenUsed/>
    <w:rsid w:val="00E438B0"/>
    <w:pPr>
      <w:numPr>
        <w:numId w:val="15"/>
      </w:numPr>
    </w:pPr>
  </w:style>
  <w:style w:type="paragraph" w:styleId="ListNumber">
    <w:name w:val="List Number"/>
    <w:basedOn w:val="Normal"/>
    <w:uiPriority w:val="7"/>
    <w:semiHidden/>
    <w:qFormat/>
    <w:rsid w:val="00E438B0"/>
    <w:pPr>
      <w:numPr>
        <w:numId w:val="18"/>
      </w:numPr>
      <w:contextualSpacing/>
    </w:pPr>
  </w:style>
  <w:style w:type="table" w:styleId="ColorfulGrid">
    <w:name w:val="Colorful Grid"/>
    <w:basedOn w:val="TableNormal"/>
    <w:uiPriority w:val="73"/>
    <w:semiHidden/>
    <w:rsid w:val="00E438B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E438B0"/>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E438B0"/>
    <w:pPr>
      <w:keepNext/>
      <w:spacing w:before="40" w:after="40"/>
    </w:pPr>
    <w:rPr>
      <w:color w:val="FFFFFF" w:themeColor="background1"/>
      <w:sz w:val="24"/>
    </w:rPr>
  </w:style>
  <w:style w:type="paragraph" w:customStyle="1" w:styleId="CaptionTable">
    <w:name w:val="Caption Table"/>
    <w:basedOn w:val="Normal"/>
    <w:uiPriority w:val="14"/>
    <w:semiHidden/>
    <w:rsid w:val="00E438B0"/>
    <w:rPr>
      <w:b/>
    </w:rPr>
  </w:style>
  <w:style w:type="paragraph" w:styleId="ListNumber2">
    <w:name w:val="List Number 2"/>
    <w:basedOn w:val="Normal"/>
    <w:uiPriority w:val="7"/>
    <w:semiHidden/>
    <w:rsid w:val="00E438B0"/>
    <w:pPr>
      <w:numPr>
        <w:ilvl w:val="1"/>
        <w:numId w:val="18"/>
      </w:numPr>
      <w:contextualSpacing/>
    </w:pPr>
  </w:style>
  <w:style w:type="table" w:styleId="ColorfulGrid-Accent2">
    <w:name w:val="Colorful Grid Accent 2"/>
    <w:basedOn w:val="TableNormal"/>
    <w:uiPriority w:val="73"/>
    <w:semiHidden/>
    <w:rsid w:val="00E438B0"/>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E438B0"/>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438B0"/>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438B0"/>
    <w:pPr>
      <w:numPr>
        <w:ilvl w:val="1"/>
      </w:numPr>
    </w:pPr>
  </w:style>
  <w:style w:type="paragraph" w:customStyle="1" w:styleId="Bullet3">
    <w:name w:val="Bullet 3"/>
    <w:basedOn w:val="Bullet2"/>
    <w:uiPriority w:val="11"/>
    <w:qFormat/>
    <w:rsid w:val="00E438B0"/>
    <w:pPr>
      <w:numPr>
        <w:ilvl w:val="2"/>
      </w:numPr>
    </w:pPr>
  </w:style>
  <w:style w:type="paragraph" w:styleId="TableofFigures">
    <w:name w:val="table of figures"/>
    <w:basedOn w:val="TOCHeading"/>
    <w:next w:val="Normal"/>
    <w:uiPriority w:val="99"/>
    <w:semiHidden/>
    <w:unhideWhenUsed/>
    <w:rsid w:val="00E438B0"/>
    <w:pPr>
      <w:spacing w:after="0"/>
      <w:ind w:left="0"/>
    </w:pPr>
  </w:style>
  <w:style w:type="paragraph" w:styleId="ListNumber3">
    <w:name w:val="List Number 3"/>
    <w:basedOn w:val="Normal"/>
    <w:uiPriority w:val="7"/>
    <w:semiHidden/>
    <w:rsid w:val="00E438B0"/>
    <w:pPr>
      <w:numPr>
        <w:ilvl w:val="2"/>
        <w:numId w:val="18"/>
      </w:numPr>
      <w:contextualSpacing/>
    </w:pPr>
  </w:style>
  <w:style w:type="table" w:styleId="LightShading-Accent1">
    <w:name w:val="Light Shading Accent 1"/>
    <w:basedOn w:val="TableNormal"/>
    <w:uiPriority w:val="60"/>
    <w:semiHidden/>
    <w:rsid w:val="00E438B0"/>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438B0"/>
    <w:pPr>
      <w:spacing w:after="120" w:line="240" w:lineRule="auto"/>
    </w:pPr>
    <w:rPr>
      <w:i/>
      <w:sz w:val="18"/>
    </w:rPr>
  </w:style>
  <w:style w:type="paragraph" w:customStyle="1" w:styleId="FrontPagesLeft">
    <w:name w:val="Front Pages Left"/>
    <w:basedOn w:val="Normal"/>
    <w:uiPriority w:val="31"/>
    <w:semiHidden/>
    <w:qFormat/>
    <w:rsid w:val="00E438B0"/>
    <w:pPr>
      <w:spacing w:before="0" w:after="0" w:line="200" w:lineRule="atLeast"/>
      <w:ind w:right="6237"/>
    </w:pPr>
    <w:rPr>
      <w:color w:val="000000"/>
      <w:sz w:val="18"/>
      <w:lang w:eastAsia="en-US"/>
    </w:rPr>
  </w:style>
  <w:style w:type="paragraph" w:styleId="ListParagraph">
    <w:name w:val="List Paragraph"/>
    <w:basedOn w:val="Normal"/>
    <w:uiPriority w:val="34"/>
    <w:qFormat/>
    <w:rsid w:val="00E438B0"/>
    <w:pPr>
      <w:ind w:left="720"/>
      <w:contextualSpacing/>
    </w:pPr>
  </w:style>
  <w:style w:type="paragraph" w:styleId="NormalIndent">
    <w:name w:val="Normal Indent"/>
    <w:basedOn w:val="Normal"/>
    <w:semiHidden/>
    <w:rsid w:val="00E438B0"/>
    <w:pPr>
      <w:spacing w:line="240" w:lineRule="exact"/>
      <w:ind w:left="1077" w:right="284"/>
    </w:pPr>
  </w:style>
  <w:style w:type="table" w:styleId="ColorfulGrid-Accent3">
    <w:name w:val="Colorful Grid Accent 3"/>
    <w:basedOn w:val="TableNormal"/>
    <w:uiPriority w:val="73"/>
    <w:semiHidden/>
    <w:rsid w:val="00E438B0"/>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E438B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E438B0"/>
    <w:rPr>
      <w:rFonts w:ascii="Calibri" w:hAnsi="Calibri"/>
      <w:b/>
      <w:bCs/>
      <w:smallCaps/>
      <w:spacing w:val="5"/>
    </w:rPr>
  </w:style>
  <w:style w:type="character" w:styleId="Emphasis">
    <w:name w:val="Emphasis"/>
    <w:uiPriority w:val="20"/>
    <w:semiHidden/>
    <w:qFormat/>
    <w:rsid w:val="00E438B0"/>
    <w:rPr>
      <w:i/>
      <w:iCs/>
    </w:rPr>
  </w:style>
  <w:style w:type="character" w:styleId="FollowedHyperlink">
    <w:name w:val="FollowedHyperlink"/>
    <w:uiPriority w:val="99"/>
    <w:semiHidden/>
    <w:unhideWhenUsed/>
    <w:rsid w:val="00E438B0"/>
    <w:rPr>
      <w:color w:val="800080"/>
      <w:u w:val="single"/>
    </w:rPr>
  </w:style>
  <w:style w:type="character" w:styleId="HTMLAcronym">
    <w:name w:val="HTML Acronym"/>
    <w:basedOn w:val="DefaultParagraphFont"/>
    <w:uiPriority w:val="99"/>
    <w:semiHidden/>
    <w:rsid w:val="00E438B0"/>
  </w:style>
  <w:style w:type="character" w:styleId="HTMLCite">
    <w:name w:val="HTML Cite"/>
    <w:uiPriority w:val="99"/>
    <w:semiHidden/>
    <w:rsid w:val="00E438B0"/>
    <w:rPr>
      <w:i/>
      <w:iCs/>
    </w:rPr>
  </w:style>
  <w:style w:type="character" w:styleId="HTMLCode">
    <w:name w:val="HTML Code"/>
    <w:uiPriority w:val="99"/>
    <w:semiHidden/>
    <w:rsid w:val="00E438B0"/>
    <w:rPr>
      <w:sz w:val="20"/>
      <w:szCs w:val="20"/>
    </w:rPr>
  </w:style>
  <w:style w:type="character" w:styleId="HTMLDefinition">
    <w:name w:val="HTML Definition"/>
    <w:uiPriority w:val="99"/>
    <w:semiHidden/>
    <w:rsid w:val="00E438B0"/>
    <w:rPr>
      <w:i/>
      <w:iCs/>
    </w:rPr>
  </w:style>
  <w:style w:type="character" w:styleId="HTMLKeyboard">
    <w:name w:val="HTML Keyboard"/>
    <w:uiPriority w:val="99"/>
    <w:semiHidden/>
    <w:rsid w:val="00E438B0"/>
    <w:rPr>
      <w:sz w:val="20"/>
      <w:szCs w:val="20"/>
    </w:rPr>
  </w:style>
  <w:style w:type="character" w:styleId="HTMLSample">
    <w:name w:val="HTML Sample"/>
    <w:uiPriority w:val="99"/>
    <w:semiHidden/>
    <w:rsid w:val="00E438B0"/>
    <w:rPr>
      <w:sz w:val="24"/>
      <w:szCs w:val="24"/>
    </w:rPr>
  </w:style>
  <w:style w:type="character" w:styleId="HTMLTypewriter">
    <w:name w:val="HTML Typewriter"/>
    <w:uiPriority w:val="99"/>
    <w:semiHidden/>
    <w:rsid w:val="00E438B0"/>
    <w:rPr>
      <w:sz w:val="20"/>
      <w:szCs w:val="20"/>
    </w:rPr>
  </w:style>
  <w:style w:type="character" w:styleId="HTMLVariable">
    <w:name w:val="HTML Variable"/>
    <w:uiPriority w:val="99"/>
    <w:semiHidden/>
    <w:rsid w:val="00E438B0"/>
    <w:rPr>
      <w:i/>
      <w:iCs/>
    </w:rPr>
  </w:style>
  <w:style w:type="character" w:styleId="PlaceholderText">
    <w:name w:val="Placeholder Text"/>
    <w:uiPriority w:val="99"/>
    <w:semiHidden/>
    <w:rsid w:val="00E438B0"/>
    <w:rPr>
      <w:color w:val="808080"/>
    </w:rPr>
  </w:style>
  <w:style w:type="paragraph" w:customStyle="1" w:styleId="Attachment1">
    <w:name w:val="Attachment 1"/>
    <w:next w:val="Normal"/>
    <w:uiPriority w:val="19"/>
    <w:semiHidden/>
    <w:qFormat/>
    <w:rsid w:val="00E438B0"/>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E438B0"/>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E438B0"/>
    <w:pPr>
      <w:spacing w:line="240" w:lineRule="auto"/>
      <w:contextualSpacing/>
    </w:pPr>
    <w:rPr>
      <w:b w:val="0"/>
      <w:sz w:val="40"/>
      <w:szCs w:val="40"/>
    </w:rPr>
  </w:style>
  <w:style w:type="paragraph" w:customStyle="1" w:styleId="NoteNormal">
    <w:name w:val="Note Normal"/>
    <w:basedOn w:val="Normal"/>
    <w:next w:val="Normal"/>
    <w:uiPriority w:val="49"/>
    <w:rsid w:val="00E438B0"/>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E438B0"/>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E438B0"/>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E438B0"/>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E438B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E438B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E438B0"/>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E438B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E438B0"/>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E438B0"/>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E438B0"/>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E438B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E438B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E438B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E438B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E438B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E438B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E438B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E438B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E438B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E438B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E438B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E438B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E438B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E438B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E438B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E438B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E438B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E438B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E438B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E438B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E438B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E438B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E438B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E438B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E438B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E438B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E438B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E438B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E438B0"/>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E438B0"/>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E438B0"/>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E438B0"/>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E438B0"/>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E438B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E438B0"/>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E438B0"/>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E438B0"/>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E438B0"/>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E438B0"/>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E438B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E438B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E438B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E438B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E438B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E438B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E438B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E438B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E438B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E438B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E438B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E438B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E438B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E438B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E438B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E438B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E438B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E438B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E438B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E438B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E438B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E438B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E438B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38B0"/>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38B0"/>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38B0"/>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38B0"/>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38B0"/>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38B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E438B0"/>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438B0"/>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438B0"/>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438B0"/>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438B0"/>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438B0"/>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438B0"/>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438B0"/>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438B0"/>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438B0"/>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438B0"/>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438B0"/>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438B0"/>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438B0"/>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438B0"/>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438B0"/>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438B0"/>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438B0"/>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438B0"/>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438B0"/>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438B0"/>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438B0"/>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438B0"/>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438B0"/>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438B0"/>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438B0"/>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438B0"/>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438B0"/>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438B0"/>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438B0"/>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438B0"/>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438B0"/>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438B0"/>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438B0"/>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E438B0"/>
    <w:pPr>
      <w:numPr>
        <w:ilvl w:val="0"/>
      </w:numPr>
    </w:pPr>
  </w:style>
  <w:style w:type="paragraph" w:customStyle="1" w:styleId="Num1">
    <w:name w:val="Num1"/>
    <w:basedOn w:val="Normal"/>
    <w:rsid w:val="00E438B0"/>
    <w:pPr>
      <w:numPr>
        <w:numId w:val="28"/>
      </w:numPr>
    </w:pPr>
  </w:style>
  <w:style w:type="character" w:customStyle="1" w:styleId="FooterChar">
    <w:name w:val="Footer Char"/>
    <w:basedOn w:val="DefaultParagraphFont"/>
    <w:link w:val="Footer"/>
    <w:uiPriority w:val="99"/>
    <w:rsid w:val="00E438B0"/>
    <w:rPr>
      <w:rFonts w:ascii="Calibri" w:hAnsi="Calibri" w:cs="Calibri"/>
      <w:noProof/>
      <w:szCs w:val="22"/>
    </w:rPr>
  </w:style>
  <w:style w:type="paragraph" w:customStyle="1" w:styleId="Num2">
    <w:name w:val="Num2"/>
    <w:basedOn w:val="Normal"/>
    <w:rsid w:val="00E438B0"/>
    <w:pPr>
      <w:numPr>
        <w:ilvl w:val="1"/>
        <w:numId w:val="28"/>
      </w:numPr>
    </w:pPr>
  </w:style>
  <w:style w:type="paragraph" w:customStyle="1" w:styleId="Num3">
    <w:name w:val="Num3"/>
    <w:basedOn w:val="Normal"/>
    <w:rsid w:val="00E438B0"/>
    <w:pPr>
      <w:numPr>
        <w:ilvl w:val="2"/>
        <w:numId w:val="28"/>
      </w:numPr>
    </w:pPr>
  </w:style>
  <w:style w:type="paragraph" w:customStyle="1" w:styleId="NoteNormalshaded">
    <w:name w:val="Note Normal shaded"/>
    <w:basedOn w:val="NoteNormal"/>
    <w:qFormat/>
    <w:rsid w:val="00E438B0"/>
    <w:pPr>
      <w:shd w:val="clear" w:color="auto" w:fill="D9D9D9" w:themeFill="background1" w:themeFillShade="D9"/>
    </w:pPr>
    <w:rPr>
      <w:sz w:val="20"/>
    </w:rPr>
  </w:style>
  <w:style w:type="paragraph" w:customStyle="1" w:styleId="NoteNormalshadedbullet">
    <w:name w:val="Note Normal shaded bullet"/>
    <w:basedOn w:val="NoteNormalshaded"/>
    <w:qFormat/>
    <w:rsid w:val="00E438B0"/>
    <w:pPr>
      <w:numPr>
        <w:numId w:val="29"/>
      </w:numPr>
      <w:ind w:left="360"/>
    </w:pPr>
  </w:style>
  <w:style w:type="character" w:customStyle="1" w:styleId="CommentTextChar">
    <w:name w:val="Comment Text Char"/>
    <w:basedOn w:val="DefaultParagraphFont"/>
    <w:link w:val="CommentText"/>
    <w:uiPriority w:val="99"/>
    <w:rsid w:val="00EB4052"/>
    <w:rPr>
      <w:rFonts w:ascii="Calibri" w:hAnsi="Calibri" w:cs="Calibri"/>
      <w:sz w:val="22"/>
      <w:szCs w:val="22"/>
    </w:rPr>
  </w:style>
  <w:style w:type="character" w:styleId="UnresolvedMention">
    <w:name w:val="Unresolved Mention"/>
    <w:basedOn w:val="DefaultParagraphFont"/>
    <w:uiPriority w:val="99"/>
    <w:semiHidden/>
    <w:unhideWhenUsed/>
    <w:rsid w:val="00CF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buyingfor.vic.gov.au/governance-goods-and-services-policy-and-guid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uyingfor.vic.gov.au/goods-services-supply-policies" TargetMode="External"/><Relationship Id="rId17" Type="http://schemas.openxmlformats.org/officeDocument/2006/relationships/hyperlink" Target="mailto:IPpolicy@dtf.vic.gov.au" TargetMode="Externa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yperlink" Target="http://creativecommons.org/licenses/by/3.0/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0FDB432-4C61-4B01-9FD4-5089073D10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Lucy Wilby (DPC)</cp:lastModifiedBy>
  <cp:revision>20</cp:revision>
  <cp:lastPrinted>2018-12-12T23:52:00Z</cp:lastPrinted>
  <dcterms:created xsi:type="dcterms:W3CDTF">2019-08-30T23:50:00Z</dcterms:created>
  <dcterms:modified xsi:type="dcterms:W3CDTF">2019-11-20T05:00:00Z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bf124e9a-7f54-45ea-9ce5-3d3bf3af2e9c</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2019-08-30T22:39:23.5055051Z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