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F812" w14:textId="77777777" w:rsidR="00E500D1" w:rsidRPr="003D5BEB" w:rsidRDefault="000A3145" w:rsidP="003D5BEB">
      <w:pPr>
        <w:pStyle w:val="Heading1"/>
        <w:rPr>
          <w:b/>
          <w:color w:val="7030A0"/>
          <w:sz w:val="32"/>
          <w:szCs w:val="32"/>
        </w:rPr>
      </w:pPr>
      <w:r w:rsidRPr="003D5BEB">
        <w:rPr>
          <w:b/>
          <w:color w:val="7030A0"/>
          <w:sz w:val="32"/>
          <w:szCs w:val="32"/>
        </w:rPr>
        <w:t>Identifying procurement categories</w:t>
      </w:r>
      <w:r w:rsidR="00EE0268" w:rsidRPr="003D5BEB">
        <w:rPr>
          <w:b/>
          <w:color w:val="7030A0"/>
          <w:sz w:val="32"/>
          <w:szCs w:val="32"/>
        </w:rPr>
        <w:t xml:space="preserve"> –</w:t>
      </w:r>
      <w:r w:rsidR="003D5BEB" w:rsidRPr="003D5BEB">
        <w:rPr>
          <w:b/>
          <w:color w:val="7030A0"/>
          <w:sz w:val="32"/>
          <w:szCs w:val="32"/>
        </w:rPr>
        <w:t xml:space="preserve"> </w:t>
      </w:r>
      <w:r w:rsidR="003D5BEB" w:rsidRPr="003D5BEB">
        <w:rPr>
          <w:b/>
          <w:color w:val="7030A0"/>
          <w:sz w:val="32"/>
          <w:szCs w:val="32"/>
        </w:rPr>
        <w:br/>
        <w:t xml:space="preserve">Goods and services </w:t>
      </w:r>
      <w:r w:rsidR="00EE0268" w:rsidRPr="003D5BEB">
        <w:rPr>
          <w:b/>
          <w:color w:val="7030A0"/>
          <w:sz w:val="32"/>
          <w:szCs w:val="32"/>
        </w:rPr>
        <w:t>p</w:t>
      </w:r>
      <w:r w:rsidRPr="003D5BEB">
        <w:rPr>
          <w:b/>
          <w:color w:val="7030A0"/>
          <w:sz w:val="32"/>
          <w:szCs w:val="32"/>
        </w:rPr>
        <w:t>rocurement guide</w:t>
      </w:r>
    </w:p>
    <w:p w14:paraId="2455D1C9" w14:textId="77777777" w:rsidR="000A3145" w:rsidRPr="003D5BEB" w:rsidRDefault="000A3145" w:rsidP="003D5BEB">
      <w:pPr>
        <w:pStyle w:val="Heading2"/>
        <w:rPr>
          <w:color w:val="7030A0"/>
        </w:rPr>
      </w:pPr>
      <w:r w:rsidRPr="003D5BEB">
        <w:rPr>
          <w:color w:val="7030A0"/>
        </w:rPr>
        <w:t>What is a procurement category?</w:t>
      </w:r>
    </w:p>
    <w:p w14:paraId="0B5DE09E" w14:textId="77777777" w:rsidR="000A3145" w:rsidRDefault="000A3145" w:rsidP="000A3145">
      <w:pPr>
        <w:rPr>
          <w:lang w:eastAsia="en-US"/>
        </w:rPr>
      </w:pPr>
      <w:r>
        <w:rPr>
          <w:lang w:eastAsia="en-US"/>
        </w:rPr>
        <w:t xml:space="preserve">Procurement categories are groupings of similar goods or services with common supply and demand drivers and suppliers. </w:t>
      </w:r>
      <w:r w:rsidRPr="005B0458">
        <w:rPr>
          <w:lang w:eastAsia="en-US"/>
        </w:rPr>
        <w:t>Example</w:t>
      </w:r>
      <w:r w:rsidRPr="000A3145">
        <w:rPr>
          <w:b/>
          <w:lang w:eastAsia="en-US"/>
        </w:rPr>
        <w:t>:</w:t>
      </w:r>
      <w:r>
        <w:rPr>
          <w:lang w:eastAsia="en-US"/>
        </w:rPr>
        <w:t xml:space="preserve"> A pen is a good whereas stationery could be the procurement category. </w:t>
      </w:r>
    </w:p>
    <w:p w14:paraId="2B7EC3A6" w14:textId="77777777" w:rsidR="000A3145" w:rsidRDefault="000A3145" w:rsidP="000A3145">
      <w:pPr>
        <w:rPr>
          <w:lang w:eastAsia="en-US"/>
        </w:rPr>
      </w:pPr>
      <w:r>
        <w:rPr>
          <w:lang w:eastAsia="en-US"/>
        </w:rPr>
        <w:t xml:space="preserve">A procurement category can be defined at any level above a single procurement. Categories will vary according to the size and type of organisation and the supply market. </w:t>
      </w:r>
    </w:p>
    <w:p w14:paraId="39247E43" w14:textId="77777777" w:rsidR="00F40172" w:rsidRPr="005B0458" w:rsidRDefault="00F40172" w:rsidP="005B0458">
      <w:pPr>
        <w:rPr>
          <w:lang w:eastAsia="en-US"/>
        </w:rPr>
      </w:pPr>
      <w:r w:rsidRPr="005B0458">
        <w:rPr>
          <w:lang w:eastAsia="en-US"/>
        </w:rPr>
        <w:t>Note</w:t>
      </w:r>
      <w:r w:rsidRPr="005B0458">
        <w:rPr>
          <w:b/>
          <w:lang w:eastAsia="en-US"/>
        </w:rPr>
        <w:t>:</w:t>
      </w:r>
      <w:r w:rsidRPr="005B0458">
        <w:rPr>
          <w:lang w:eastAsia="en-US"/>
        </w:rPr>
        <w:t xml:space="preserve"> Procurement categories feature in all five of the VGPBs procurement policies as they underpin good procurement practice.</w:t>
      </w:r>
    </w:p>
    <w:p w14:paraId="480CAAB4" w14:textId="77777777" w:rsidR="000A3145" w:rsidRPr="005B0458" w:rsidRDefault="000A3145" w:rsidP="005B0458">
      <w:pPr>
        <w:pStyle w:val="Heading2"/>
        <w:rPr>
          <w:color w:val="7030A0"/>
        </w:rPr>
      </w:pPr>
      <w:r w:rsidRPr="005B0458">
        <w:rPr>
          <w:color w:val="7030A0"/>
        </w:rPr>
        <w:t>Why use procurement categories?</w:t>
      </w:r>
    </w:p>
    <w:p w14:paraId="28FD977B" w14:textId="77777777" w:rsidR="000A3145" w:rsidRDefault="000A3145" w:rsidP="000A3145">
      <w:pPr>
        <w:rPr>
          <w:lang w:eastAsia="en-US"/>
        </w:rPr>
      </w:pPr>
      <w:r>
        <w:rPr>
          <w:lang w:eastAsia="en-US"/>
        </w:rPr>
        <w:t>Procurement categories can improve procurement processes and increase productivity. Procurement categories allow you to:</w:t>
      </w:r>
    </w:p>
    <w:p w14:paraId="23A9063A" w14:textId="77777777" w:rsidR="000A3145" w:rsidRDefault="000A3145" w:rsidP="000A3145">
      <w:pPr>
        <w:pStyle w:val="Bullet1"/>
        <w:rPr>
          <w:lang w:eastAsia="en-US"/>
        </w:rPr>
      </w:pPr>
      <w:r>
        <w:rPr>
          <w:lang w:eastAsia="en-US"/>
        </w:rPr>
        <w:t>develop targeted strategies for the best way to procure similar goods/services;</w:t>
      </w:r>
    </w:p>
    <w:p w14:paraId="2660AFEB" w14:textId="77777777" w:rsidR="000A3145" w:rsidRDefault="000A3145" w:rsidP="000A3145">
      <w:pPr>
        <w:pStyle w:val="Bullet1"/>
        <w:rPr>
          <w:lang w:eastAsia="en-US"/>
        </w:rPr>
      </w:pPr>
      <w:r>
        <w:rPr>
          <w:lang w:eastAsia="en-US"/>
        </w:rPr>
        <w:t>get a better picture of procurement spend across your organisation;</w:t>
      </w:r>
    </w:p>
    <w:p w14:paraId="6649A3D5" w14:textId="77777777" w:rsidR="000A3145" w:rsidRDefault="000A3145" w:rsidP="000A3145">
      <w:pPr>
        <w:pStyle w:val="Bullet1"/>
        <w:rPr>
          <w:lang w:eastAsia="en-US"/>
        </w:rPr>
      </w:pPr>
      <w:r>
        <w:rPr>
          <w:lang w:eastAsia="en-US"/>
        </w:rPr>
        <w:t>generate significant discounts; and</w:t>
      </w:r>
    </w:p>
    <w:p w14:paraId="321F1DF0" w14:textId="77777777" w:rsidR="000A3145" w:rsidRDefault="000A3145" w:rsidP="000A3145">
      <w:pPr>
        <w:pStyle w:val="Bullet1"/>
        <w:rPr>
          <w:lang w:eastAsia="en-US"/>
        </w:rPr>
      </w:pPr>
      <w:r>
        <w:rPr>
          <w:lang w:eastAsia="en-US"/>
        </w:rPr>
        <w:t xml:space="preserve">establish aggregated supply arrangements to cover a category of multiple transactions. </w:t>
      </w:r>
    </w:p>
    <w:p w14:paraId="6ECC47D1" w14:textId="77777777" w:rsidR="000A3145" w:rsidRDefault="000A3145" w:rsidP="000A3145">
      <w:pPr>
        <w:rPr>
          <w:lang w:eastAsia="en-US"/>
        </w:rPr>
      </w:pPr>
      <w:r w:rsidRPr="005B0458">
        <w:rPr>
          <w:lang w:eastAsia="en-US"/>
        </w:rPr>
        <w:t>Example</w:t>
      </w:r>
      <w:r w:rsidRPr="000A3145">
        <w:rPr>
          <w:b/>
          <w:lang w:eastAsia="en-US"/>
        </w:rPr>
        <w:t>:</w:t>
      </w:r>
      <w:r>
        <w:rPr>
          <w:lang w:eastAsia="en-US"/>
        </w:rPr>
        <w:t xml:space="preserve"> Rather than approaching different suppliers for different items, work out exactly how much your organisation spends on all stationery items and what those items are. You can then develop an agreement with one or a limited number of suppliers to meet your requirements. This approach can generate significant discounts and greater procurement efficiency.</w:t>
      </w:r>
    </w:p>
    <w:p w14:paraId="2DEC0FA4" w14:textId="77777777" w:rsidR="000A3145" w:rsidRPr="005B0458" w:rsidRDefault="000A3145" w:rsidP="000A3145">
      <w:pPr>
        <w:pStyle w:val="Heading2"/>
        <w:rPr>
          <w:color w:val="7030A0"/>
        </w:rPr>
      </w:pPr>
      <w:r w:rsidRPr="005B0458">
        <w:rPr>
          <w:color w:val="7030A0"/>
        </w:rPr>
        <w:t>Procurement categories and subcategories</w:t>
      </w:r>
    </w:p>
    <w:p w14:paraId="5420E403" w14:textId="77777777" w:rsidR="000A3145" w:rsidRDefault="000A3145" w:rsidP="000A3145">
      <w:pPr>
        <w:rPr>
          <w:lang w:eastAsia="en-US"/>
        </w:rPr>
      </w:pPr>
      <w:r>
        <w:rPr>
          <w:lang w:eastAsia="en-US"/>
        </w:rPr>
        <w:t xml:space="preserve">Procurement categories should be broad enough to take advantage of market competition. Around ten overarching categories should be sufficient to cover a significant amount of your organisation’s spend. A category of goods or services may have sub-categories where there is a need for greater differentiation, as follows: </w:t>
      </w:r>
    </w:p>
    <w:p w14:paraId="0CD83457" w14:textId="77777777" w:rsidR="000A3145" w:rsidRDefault="000A3145" w:rsidP="005B0458">
      <w:pPr>
        <w:pStyle w:val="Bullet1"/>
        <w:numPr>
          <w:ilvl w:val="0"/>
          <w:numId w:val="0"/>
        </w:numPr>
        <w:rPr>
          <w:lang w:eastAsia="en-US"/>
        </w:rPr>
      </w:pPr>
      <w:r w:rsidRPr="00EE0268">
        <w:rPr>
          <w:b/>
          <w:lang w:eastAsia="en-US"/>
        </w:rPr>
        <w:t>Category</w:t>
      </w:r>
      <w:r>
        <w:rPr>
          <w:lang w:eastAsia="en-US"/>
        </w:rPr>
        <w:t>: a group of goods/services with common supply and demand drivers and suppliers.</w:t>
      </w:r>
    </w:p>
    <w:p w14:paraId="5D5C9AA3" w14:textId="77777777" w:rsidR="000A3145" w:rsidRDefault="000A3145" w:rsidP="005B0458">
      <w:pPr>
        <w:pStyle w:val="Bullet1"/>
        <w:numPr>
          <w:ilvl w:val="0"/>
          <w:numId w:val="0"/>
        </w:numPr>
        <w:rPr>
          <w:lang w:eastAsia="en-US"/>
        </w:rPr>
      </w:pPr>
      <w:r w:rsidRPr="00EE0268">
        <w:rPr>
          <w:b/>
          <w:lang w:eastAsia="en-US"/>
        </w:rPr>
        <w:t>Sub-category</w:t>
      </w:r>
      <w:r>
        <w:rPr>
          <w:lang w:eastAsia="en-US"/>
        </w:rPr>
        <w:t xml:space="preserve">: a logical subgrouping within a category with similar goods/services/market characteristics. </w:t>
      </w:r>
    </w:p>
    <w:p w14:paraId="44A53F6C" w14:textId="77777777" w:rsidR="000A3145" w:rsidRPr="005B0458" w:rsidRDefault="000A3145" w:rsidP="005B0458">
      <w:pPr>
        <w:pStyle w:val="NoteNormal"/>
        <w:keepNext w:val="0"/>
        <w:keepLines w:val="0"/>
        <w:rPr>
          <w:sz w:val="22"/>
        </w:rPr>
      </w:pPr>
      <w:r w:rsidRPr="005B0458">
        <w:rPr>
          <w:sz w:val="22"/>
        </w:rPr>
        <w:t>Note</w:t>
      </w:r>
      <w:r w:rsidRPr="005B0458">
        <w:rPr>
          <w:b/>
          <w:sz w:val="22"/>
        </w:rPr>
        <w:t>:</w:t>
      </w:r>
      <w:r w:rsidRPr="005B0458">
        <w:rPr>
          <w:sz w:val="22"/>
        </w:rPr>
        <w:t xml:space="preserve"> Similar definitions of categories may have different sub-categories. For example, a smaller organisation may have a category for professional services, while a larger organisation may need to differentiate between professional services—probity auditors and professional services—legal. </w:t>
      </w:r>
    </w:p>
    <w:p w14:paraId="127EF4C5" w14:textId="77777777" w:rsidR="000A3145" w:rsidRPr="005B0458" w:rsidRDefault="000A3145" w:rsidP="000A3145">
      <w:pPr>
        <w:pStyle w:val="Caption"/>
        <w:rPr>
          <w:b w:val="0"/>
          <w:lang w:eastAsia="en-US"/>
        </w:rPr>
      </w:pPr>
      <w:r w:rsidRPr="005B0458">
        <w:rPr>
          <w:b w:val="0"/>
          <w:lang w:eastAsia="en-US"/>
        </w:rPr>
        <w:t>Example of categories and sub-categories in an organisation</w:t>
      </w:r>
    </w:p>
    <w:p w14:paraId="2B80D793" w14:textId="77777777" w:rsidR="00A907C7" w:rsidRDefault="00A907C7" w:rsidP="000A3145">
      <w:pPr>
        <w:rPr>
          <w:lang w:eastAsia="en-US"/>
        </w:rPr>
      </w:pPr>
      <w:r>
        <w:object w:dxaOrig="11362" w:dyaOrig="2868" w14:anchorId="5BBC7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23pt" o:ole="">
            <v:imagedata r:id="rId9" o:title=""/>
          </v:shape>
          <o:OLEObject Type="Embed" ProgID="Visio.Drawing.11" ShapeID="_x0000_i1025" DrawAspect="Content" ObjectID="_1635762728" r:id="rId10"/>
        </w:object>
      </w:r>
    </w:p>
    <w:p w14:paraId="08DAEA1D" w14:textId="77777777" w:rsidR="00A907C7" w:rsidRDefault="005B0458" w:rsidP="00A907C7">
      <w:pPr>
        <w:pStyle w:val="Spacer"/>
        <w:rPr>
          <w:sz w:val="22"/>
        </w:rPr>
      </w:pPr>
      <w:r>
        <w:rPr>
          <w:sz w:val="22"/>
        </w:rPr>
        <w:t>The diagram in the example shows a branching tree structure. There are three levels to the tree structure.</w:t>
      </w:r>
    </w:p>
    <w:p w14:paraId="33F3FA95" w14:textId="77777777" w:rsidR="00963ADB" w:rsidRDefault="005B0458" w:rsidP="005B0458">
      <w:pPr>
        <w:spacing w:after="120" w:line="240" w:lineRule="auto"/>
        <w:rPr>
          <w:rFonts w:cstheme="minorHAnsi"/>
        </w:rPr>
      </w:pPr>
      <w:r>
        <w:rPr>
          <w:rFonts w:cstheme="minorHAnsi"/>
        </w:rPr>
        <w:lastRenderedPageBreak/>
        <w:t>Top level - Agency X</w:t>
      </w:r>
      <w:r w:rsidR="00963ADB">
        <w:rPr>
          <w:rFonts w:cstheme="minorHAnsi"/>
        </w:rPr>
        <w:t>.</w:t>
      </w:r>
    </w:p>
    <w:p w14:paraId="5154077E" w14:textId="1E845535" w:rsidR="005B0458" w:rsidRDefault="00963ADB" w:rsidP="005B0458">
      <w:pPr>
        <w:spacing w:after="120" w:line="240" w:lineRule="auto"/>
        <w:rPr>
          <w:rFonts w:cstheme="minorHAnsi"/>
        </w:rPr>
      </w:pPr>
      <w:r>
        <w:rPr>
          <w:rFonts w:cstheme="minorHAnsi"/>
        </w:rPr>
        <w:t xml:space="preserve">Middle level – there are </w:t>
      </w:r>
      <w:r w:rsidR="005B0458">
        <w:rPr>
          <w:rFonts w:cstheme="minorHAnsi"/>
        </w:rPr>
        <w:t>5 procurement categories:</w:t>
      </w:r>
    </w:p>
    <w:p w14:paraId="1FB04604" w14:textId="77777777" w:rsidR="005B0458" w:rsidRDefault="005B0458" w:rsidP="005B0458">
      <w:pPr>
        <w:pStyle w:val="ListParagraph"/>
        <w:numPr>
          <w:ilvl w:val="0"/>
          <w:numId w:val="31"/>
        </w:numPr>
        <w:spacing w:before="0" w:after="0" w:line="240" w:lineRule="auto"/>
        <w:ind w:left="714" w:hanging="357"/>
        <w:rPr>
          <w:rFonts w:cstheme="minorHAnsi"/>
        </w:rPr>
      </w:pPr>
      <w:r>
        <w:rPr>
          <w:rFonts w:cstheme="minorHAnsi"/>
        </w:rPr>
        <w:t>Administrative support</w:t>
      </w:r>
    </w:p>
    <w:p w14:paraId="487AC7BE" w14:textId="77777777" w:rsidR="005B0458" w:rsidRDefault="005B0458" w:rsidP="005B0458">
      <w:pPr>
        <w:pStyle w:val="ListParagraph"/>
        <w:numPr>
          <w:ilvl w:val="0"/>
          <w:numId w:val="31"/>
        </w:numPr>
        <w:spacing w:before="0" w:after="0" w:line="240" w:lineRule="auto"/>
        <w:ind w:left="714" w:hanging="357"/>
        <w:rPr>
          <w:rFonts w:cstheme="minorHAnsi"/>
        </w:rPr>
      </w:pPr>
      <w:r>
        <w:rPr>
          <w:rFonts w:cstheme="minorHAnsi"/>
        </w:rPr>
        <w:t>Travel</w:t>
      </w:r>
    </w:p>
    <w:p w14:paraId="294D9805" w14:textId="77777777" w:rsidR="005B0458" w:rsidRDefault="005B0458" w:rsidP="005B0458">
      <w:pPr>
        <w:pStyle w:val="ListParagraph"/>
        <w:numPr>
          <w:ilvl w:val="0"/>
          <w:numId w:val="31"/>
        </w:numPr>
        <w:spacing w:before="0" w:after="0" w:line="240" w:lineRule="auto"/>
        <w:ind w:left="714" w:hanging="357"/>
        <w:rPr>
          <w:rFonts w:cstheme="minorHAnsi"/>
        </w:rPr>
      </w:pPr>
      <w:r>
        <w:rPr>
          <w:rFonts w:cstheme="minorHAnsi"/>
        </w:rPr>
        <w:t>Professional services</w:t>
      </w:r>
    </w:p>
    <w:p w14:paraId="20CDC30C" w14:textId="77777777" w:rsidR="005B0458" w:rsidRDefault="005B0458" w:rsidP="005B0458">
      <w:pPr>
        <w:pStyle w:val="ListParagraph"/>
        <w:numPr>
          <w:ilvl w:val="0"/>
          <w:numId w:val="31"/>
        </w:numPr>
        <w:spacing w:before="0" w:after="0" w:line="240" w:lineRule="auto"/>
        <w:ind w:left="714" w:hanging="357"/>
        <w:rPr>
          <w:rFonts w:cstheme="minorHAnsi"/>
        </w:rPr>
      </w:pPr>
      <w:r>
        <w:rPr>
          <w:rFonts w:cstheme="minorHAnsi"/>
        </w:rPr>
        <w:t>Insurance</w:t>
      </w:r>
    </w:p>
    <w:p w14:paraId="10C064ED" w14:textId="77777777" w:rsidR="005B0458" w:rsidRDefault="005B0458" w:rsidP="005B0458">
      <w:pPr>
        <w:pStyle w:val="ListParagraph"/>
        <w:numPr>
          <w:ilvl w:val="0"/>
          <w:numId w:val="31"/>
        </w:numPr>
        <w:spacing w:before="0" w:after="120" w:line="240" w:lineRule="auto"/>
        <w:rPr>
          <w:rFonts w:cstheme="minorHAnsi"/>
        </w:rPr>
      </w:pPr>
      <w:r>
        <w:rPr>
          <w:rFonts w:cstheme="minorHAnsi"/>
        </w:rPr>
        <w:t>Information technology</w:t>
      </w:r>
    </w:p>
    <w:p w14:paraId="3FEC891A" w14:textId="77777777" w:rsidR="005B0458" w:rsidRDefault="005B0458" w:rsidP="005B0458">
      <w:pPr>
        <w:spacing w:after="120" w:line="240" w:lineRule="auto"/>
        <w:rPr>
          <w:rFonts w:cstheme="minorHAnsi"/>
        </w:rPr>
      </w:pPr>
      <w:r>
        <w:rPr>
          <w:rFonts w:cstheme="minorHAnsi"/>
        </w:rPr>
        <w:t>Middle and lowest levels - The administrative support category has 3 sub-categories:</w:t>
      </w:r>
    </w:p>
    <w:p w14:paraId="70547C57" w14:textId="77777777" w:rsidR="005B0458" w:rsidRDefault="005B0458" w:rsidP="005B0458">
      <w:pPr>
        <w:pStyle w:val="ListParagraph"/>
        <w:numPr>
          <w:ilvl w:val="0"/>
          <w:numId w:val="32"/>
        </w:numPr>
        <w:spacing w:before="0" w:after="120" w:line="240" w:lineRule="auto"/>
        <w:rPr>
          <w:rFonts w:cstheme="minorHAnsi"/>
        </w:rPr>
      </w:pPr>
      <w:r>
        <w:rPr>
          <w:rFonts w:cstheme="minorHAnsi"/>
        </w:rPr>
        <w:t>Stationary</w:t>
      </w:r>
    </w:p>
    <w:p w14:paraId="743303E6" w14:textId="77777777" w:rsidR="005B0458" w:rsidRDefault="005B0458" w:rsidP="005B0458">
      <w:pPr>
        <w:pStyle w:val="ListParagraph"/>
        <w:numPr>
          <w:ilvl w:val="0"/>
          <w:numId w:val="32"/>
        </w:numPr>
        <w:spacing w:before="0" w:after="120" w:line="240" w:lineRule="auto"/>
        <w:rPr>
          <w:rFonts w:cstheme="minorHAnsi"/>
        </w:rPr>
      </w:pPr>
      <w:r>
        <w:rPr>
          <w:rFonts w:cstheme="minorHAnsi"/>
        </w:rPr>
        <w:t>Printing</w:t>
      </w:r>
    </w:p>
    <w:p w14:paraId="642976C7" w14:textId="77777777" w:rsidR="005B0458" w:rsidRDefault="005B0458" w:rsidP="005B0458">
      <w:pPr>
        <w:pStyle w:val="ListParagraph"/>
        <w:numPr>
          <w:ilvl w:val="0"/>
          <w:numId w:val="32"/>
        </w:numPr>
        <w:spacing w:before="0" w:after="120" w:line="240" w:lineRule="auto"/>
        <w:rPr>
          <w:rFonts w:cstheme="minorHAnsi"/>
        </w:rPr>
      </w:pPr>
      <w:r>
        <w:rPr>
          <w:rFonts w:cstheme="minorHAnsi"/>
        </w:rPr>
        <w:t>Mail</w:t>
      </w:r>
    </w:p>
    <w:p w14:paraId="25BEA39C" w14:textId="77777777" w:rsidR="005B0458" w:rsidRDefault="005B0458" w:rsidP="005B0458">
      <w:pPr>
        <w:spacing w:after="120" w:line="240" w:lineRule="auto"/>
        <w:rPr>
          <w:rFonts w:cstheme="minorHAnsi"/>
        </w:rPr>
      </w:pPr>
      <w:r>
        <w:rPr>
          <w:rFonts w:cstheme="minorHAnsi"/>
        </w:rPr>
        <w:t>The travel category does not have any sub-categories.</w:t>
      </w:r>
    </w:p>
    <w:p w14:paraId="1D97600E" w14:textId="77777777" w:rsidR="005B0458" w:rsidRDefault="005B0458" w:rsidP="005B0458">
      <w:pPr>
        <w:spacing w:after="120" w:line="240" w:lineRule="auto"/>
        <w:rPr>
          <w:rFonts w:cstheme="minorHAnsi"/>
        </w:rPr>
      </w:pPr>
      <w:r>
        <w:rPr>
          <w:rFonts w:cstheme="minorHAnsi"/>
        </w:rPr>
        <w:t>The professional services category has 4 sub-categories:</w:t>
      </w:r>
    </w:p>
    <w:p w14:paraId="534CBE65" w14:textId="77777777" w:rsidR="005B0458" w:rsidRDefault="005B0458" w:rsidP="005B0458">
      <w:pPr>
        <w:pStyle w:val="ListParagraph"/>
        <w:numPr>
          <w:ilvl w:val="0"/>
          <w:numId w:val="33"/>
        </w:numPr>
        <w:spacing w:before="0" w:after="120" w:line="240" w:lineRule="auto"/>
        <w:rPr>
          <w:rFonts w:cstheme="minorHAnsi"/>
        </w:rPr>
      </w:pPr>
      <w:r>
        <w:rPr>
          <w:rFonts w:cstheme="minorHAnsi"/>
        </w:rPr>
        <w:t>Legal</w:t>
      </w:r>
    </w:p>
    <w:p w14:paraId="42310334" w14:textId="77777777" w:rsidR="005B0458" w:rsidRDefault="005B0458" w:rsidP="005B0458">
      <w:pPr>
        <w:pStyle w:val="ListParagraph"/>
        <w:numPr>
          <w:ilvl w:val="0"/>
          <w:numId w:val="33"/>
        </w:numPr>
        <w:spacing w:before="0" w:after="120" w:line="240" w:lineRule="auto"/>
        <w:rPr>
          <w:rFonts w:cstheme="minorHAnsi"/>
        </w:rPr>
      </w:pPr>
      <w:r>
        <w:rPr>
          <w:rFonts w:cstheme="minorHAnsi"/>
        </w:rPr>
        <w:t>Engineering</w:t>
      </w:r>
    </w:p>
    <w:p w14:paraId="6D54CBE9" w14:textId="77777777" w:rsidR="005B0458" w:rsidRDefault="005B0458" w:rsidP="005B0458">
      <w:pPr>
        <w:pStyle w:val="ListParagraph"/>
        <w:numPr>
          <w:ilvl w:val="0"/>
          <w:numId w:val="33"/>
        </w:numPr>
        <w:spacing w:before="0" w:after="120" w:line="240" w:lineRule="auto"/>
        <w:rPr>
          <w:rFonts w:cstheme="minorHAnsi"/>
        </w:rPr>
      </w:pPr>
      <w:r>
        <w:rPr>
          <w:rFonts w:cstheme="minorHAnsi"/>
        </w:rPr>
        <w:t>Technical consulting</w:t>
      </w:r>
    </w:p>
    <w:p w14:paraId="691FAAAB" w14:textId="77777777" w:rsidR="005B0458" w:rsidRPr="007813A4" w:rsidRDefault="005B0458" w:rsidP="005B0458">
      <w:pPr>
        <w:pStyle w:val="ListParagraph"/>
        <w:numPr>
          <w:ilvl w:val="0"/>
          <w:numId w:val="33"/>
        </w:numPr>
        <w:spacing w:before="0" w:after="120" w:line="240" w:lineRule="auto"/>
        <w:ind w:left="714" w:hanging="357"/>
        <w:contextualSpacing w:val="0"/>
        <w:rPr>
          <w:rFonts w:cstheme="minorHAnsi"/>
        </w:rPr>
      </w:pPr>
      <w:r>
        <w:rPr>
          <w:rFonts w:cstheme="minorHAnsi"/>
        </w:rPr>
        <w:t>Other professional services</w:t>
      </w:r>
    </w:p>
    <w:p w14:paraId="7EE35A3A" w14:textId="77777777" w:rsidR="005B0458" w:rsidRPr="007813A4" w:rsidRDefault="005B0458" w:rsidP="005B0458">
      <w:pPr>
        <w:spacing w:after="120" w:line="240" w:lineRule="auto"/>
        <w:rPr>
          <w:rFonts w:cstheme="minorHAnsi"/>
        </w:rPr>
      </w:pPr>
      <w:r w:rsidRPr="007813A4">
        <w:rPr>
          <w:rFonts w:cstheme="minorHAnsi"/>
        </w:rPr>
        <w:t xml:space="preserve">The </w:t>
      </w:r>
      <w:r>
        <w:rPr>
          <w:rFonts w:cstheme="minorHAnsi"/>
        </w:rPr>
        <w:t xml:space="preserve">insurance </w:t>
      </w:r>
      <w:r w:rsidRPr="007813A4">
        <w:rPr>
          <w:rFonts w:cstheme="minorHAnsi"/>
        </w:rPr>
        <w:t>category does not have any sub-categories.</w:t>
      </w:r>
    </w:p>
    <w:p w14:paraId="730969CA" w14:textId="77777777" w:rsidR="005B0458" w:rsidRDefault="005B0458" w:rsidP="005B0458">
      <w:pPr>
        <w:spacing w:after="120" w:line="240" w:lineRule="auto"/>
        <w:rPr>
          <w:rFonts w:cstheme="minorHAnsi"/>
        </w:rPr>
      </w:pPr>
      <w:r>
        <w:rPr>
          <w:rFonts w:cstheme="minorHAnsi"/>
        </w:rPr>
        <w:t>The information technology category has 2 sub-categories:</w:t>
      </w:r>
    </w:p>
    <w:p w14:paraId="4B2C5B00" w14:textId="77777777" w:rsidR="005B0458" w:rsidRDefault="005B0458" w:rsidP="005B0458">
      <w:pPr>
        <w:pStyle w:val="ListParagraph"/>
        <w:numPr>
          <w:ilvl w:val="0"/>
          <w:numId w:val="33"/>
        </w:numPr>
        <w:spacing w:before="0" w:after="120" w:line="240" w:lineRule="auto"/>
        <w:rPr>
          <w:rFonts w:cstheme="minorHAnsi"/>
        </w:rPr>
      </w:pPr>
      <w:r>
        <w:rPr>
          <w:rFonts w:cstheme="minorHAnsi"/>
        </w:rPr>
        <w:t>Hardware</w:t>
      </w:r>
    </w:p>
    <w:p w14:paraId="7FABE923" w14:textId="77777777" w:rsidR="005B0458" w:rsidRPr="007813A4" w:rsidRDefault="005B0458" w:rsidP="005B0458">
      <w:pPr>
        <w:pStyle w:val="ListParagraph"/>
        <w:numPr>
          <w:ilvl w:val="0"/>
          <w:numId w:val="33"/>
        </w:numPr>
        <w:spacing w:before="0" w:after="120" w:line="240" w:lineRule="auto"/>
        <w:ind w:left="714" w:hanging="357"/>
        <w:contextualSpacing w:val="0"/>
        <w:rPr>
          <w:rFonts w:cstheme="minorHAnsi"/>
        </w:rPr>
      </w:pPr>
      <w:r>
        <w:rPr>
          <w:rFonts w:cstheme="minorHAnsi"/>
        </w:rPr>
        <w:t>Systems / software packages and support</w:t>
      </w:r>
    </w:p>
    <w:p w14:paraId="011BD144" w14:textId="77777777" w:rsidR="000A3145" w:rsidRPr="005B0458" w:rsidRDefault="000A3145" w:rsidP="005B0458">
      <w:pPr>
        <w:pStyle w:val="Heading2"/>
        <w:rPr>
          <w:color w:val="7030A0"/>
        </w:rPr>
      </w:pPr>
      <w:r w:rsidRPr="005B0458">
        <w:rPr>
          <w:color w:val="7030A0"/>
        </w:rPr>
        <w:t>How to define procurement categories</w:t>
      </w:r>
    </w:p>
    <w:p w14:paraId="2337C066" w14:textId="77777777" w:rsidR="000A3145" w:rsidRDefault="000A3145" w:rsidP="000A3145">
      <w:pPr>
        <w:rPr>
          <w:lang w:eastAsia="en-US"/>
        </w:rPr>
      </w:pPr>
      <w:r>
        <w:rPr>
          <w:lang w:eastAsia="en-US"/>
        </w:rPr>
        <w:t>The process for identifying categories involves mapping an organisation/business unit’s spend data. Spend mapping and identifying procurement categories should be done by personnel with sufficient knowledge and insight of the spend and procurement activities of the organisation.</w:t>
      </w:r>
    </w:p>
    <w:p w14:paraId="2CDCC05B" w14:textId="77777777" w:rsidR="000A3145" w:rsidRDefault="000A3145" w:rsidP="000A3145">
      <w:pPr>
        <w:rPr>
          <w:lang w:eastAsia="en-US"/>
        </w:rPr>
      </w:pPr>
      <w:r>
        <w:rPr>
          <w:lang w:eastAsia="en-US"/>
        </w:rPr>
        <w:t>Note: Procurement categories can change over time. For example, a category may change due to a changing supplier market. In today’s market, IT consumables such as memory sticks and compacts discs would most likely be categorised under stationery as they are currently supplied at a competitive price by general stationers. Previously they were only procured from IT specialist suppliers.</w:t>
      </w:r>
    </w:p>
    <w:p w14:paraId="2BCC23FC" w14:textId="77777777" w:rsidR="000A3145" w:rsidRDefault="000A3145" w:rsidP="000A3145">
      <w:pPr>
        <w:rPr>
          <w:lang w:eastAsia="en-US"/>
        </w:rPr>
      </w:pPr>
      <w:r>
        <w:rPr>
          <w:lang w:eastAsia="en-US"/>
        </w:rPr>
        <w:t xml:space="preserve">The categorisation process occurs in conjunction with the organisation’s procurement strategy and procurement activity plan. </w:t>
      </w:r>
    </w:p>
    <w:p w14:paraId="518D503A" w14:textId="77777777" w:rsidR="000A3145" w:rsidRDefault="005B0458" w:rsidP="000A3145">
      <w:pPr>
        <w:rPr>
          <w:lang w:eastAsia="en-US"/>
        </w:rPr>
      </w:pPr>
      <w:r>
        <w:rPr>
          <w:lang w:eastAsia="en-US"/>
        </w:rPr>
        <w:t>T</w:t>
      </w:r>
      <w:r w:rsidR="000A3145">
        <w:rPr>
          <w:lang w:eastAsia="en-US"/>
        </w:rPr>
        <w:t>he main steps for defining procurement categories</w:t>
      </w:r>
      <w:r>
        <w:rPr>
          <w:lang w:eastAsia="en-US"/>
        </w:rPr>
        <w:t xml:space="preserve"> are:</w:t>
      </w:r>
    </w:p>
    <w:p w14:paraId="354BA2D1" w14:textId="77777777" w:rsidR="002118C0" w:rsidRDefault="002118C0" w:rsidP="000A3145">
      <w:r>
        <w:object w:dxaOrig="13034" w:dyaOrig="2327" w14:anchorId="68B7C4D3">
          <v:shape id="_x0000_i1026" type="#_x0000_t75" style="width:486.75pt;height:87pt" o:ole="">
            <v:imagedata r:id="rId11" o:title=""/>
          </v:shape>
          <o:OLEObject Type="Embed" ProgID="Visio.Drawing.11" ShapeID="_x0000_i1026" DrawAspect="Content" ObjectID="_1635762729" r:id="rId12"/>
        </w:object>
      </w:r>
    </w:p>
    <w:p w14:paraId="31B1F0B6" w14:textId="77777777" w:rsidR="005B0458" w:rsidRDefault="005B0458" w:rsidP="005B0458">
      <w:pPr>
        <w:spacing w:after="120" w:line="240" w:lineRule="auto"/>
        <w:rPr>
          <w:rFonts w:cstheme="minorHAnsi"/>
        </w:rPr>
      </w:pPr>
      <w:r>
        <w:rPr>
          <w:rFonts w:cstheme="minorHAnsi"/>
        </w:rPr>
        <w:t>The diagram uses seven steps to identify procurement categories. The diagram is explained in the following step – action table.</w:t>
      </w:r>
    </w:p>
    <w:p w14:paraId="126C4638" w14:textId="77777777" w:rsidR="005B0458" w:rsidRDefault="005B0458" w:rsidP="005B0458">
      <w:pPr>
        <w:spacing w:after="120" w:line="240" w:lineRule="auto"/>
        <w:rPr>
          <w:rFonts w:cstheme="minorHAnsi"/>
        </w:rPr>
      </w:pPr>
      <w:r>
        <w:rPr>
          <w:rFonts w:cstheme="minorHAnsi"/>
        </w:rPr>
        <w:t>Follow the 7 steps in the table below to define procurement categories:</w:t>
      </w:r>
    </w:p>
    <w:tbl>
      <w:tblPr>
        <w:tblStyle w:val="TableGrid"/>
        <w:tblW w:w="0" w:type="auto"/>
        <w:tblLook w:val="04A0" w:firstRow="1" w:lastRow="0" w:firstColumn="1" w:lastColumn="0" w:noHBand="0" w:noVBand="1"/>
      </w:tblPr>
      <w:tblGrid>
        <w:gridCol w:w="988"/>
        <w:gridCol w:w="8028"/>
      </w:tblGrid>
      <w:tr w:rsidR="005B0458" w14:paraId="06F07908" w14:textId="77777777" w:rsidTr="002C4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ECE8C7D" w14:textId="77777777" w:rsidR="005B0458" w:rsidRDefault="005B0458" w:rsidP="002C46D1">
            <w:pPr>
              <w:spacing w:after="120"/>
              <w:rPr>
                <w:rFonts w:cstheme="minorHAnsi"/>
              </w:rPr>
            </w:pPr>
            <w:r>
              <w:rPr>
                <w:rFonts w:cstheme="minorHAnsi"/>
              </w:rPr>
              <w:lastRenderedPageBreak/>
              <w:t>Step</w:t>
            </w:r>
          </w:p>
        </w:tc>
        <w:tc>
          <w:tcPr>
            <w:tcW w:w="8028" w:type="dxa"/>
          </w:tcPr>
          <w:p w14:paraId="34F06F74" w14:textId="77777777" w:rsidR="005B0458" w:rsidRDefault="005B0458" w:rsidP="002C46D1">
            <w:pPr>
              <w:spacing w:after="12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Action</w:t>
            </w:r>
          </w:p>
        </w:tc>
      </w:tr>
      <w:tr w:rsidR="005B0458" w14:paraId="3F1D5318" w14:textId="77777777" w:rsidTr="002C46D1">
        <w:tc>
          <w:tcPr>
            <w:cnfStyle w:val="001000000000" w:firstRow="0" w:lastRow="0" w:firstColumn="1" w:lastColumn="0" w:oddVBand="0" w:evenVBand="0" w:oddHBand="0" w:evenHBand="0" w:firstRowFirstColumn="0" w:firstRowLastColumn="0" w:lastRowFirstColumn="0" w:lastRowLastColumn="0"/>
            <w:tcW w:w="988" w:type="dxa"/>
          </w:tcPr>
          <w:p w14:paraId="525FCABF" w14:textId="77777777" w:rsidR="005B0458" w:rsidRDefault="005B0458" w:rsidP="002C46D1">
            <w:pPr>
              <w:spacing w:after="120"/>
              <w:rPr>
                <w:rFonts w:cstheme="minorHAnsi"/>
              </w:rPr>
            </w:pPr>
            <w:r>
              <w:rPr>
                <w:rFonts w:cstheme="minorHAnsi"/>
              </w:rPr>
              <w:t>1</w:t>
            </w:r>
          </w:p>
        </w:tc>
        <w:tc>
          <w:tcPr>
            <w:tcW w:w="8028" w:type="dxa"/>
          </w:tcPr>
          <w:p w14:paraId="3FF1ECFC" w14:textId="77777777" w:rsidR="005B0458" w:rsidRDefault="005B0458" w:rsidP="002C46D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Locate appropriate data spend</w:t>
            </w:r>
          </w:p>
        </w:tc>
      </w:tr>
      <w:tr w:rsidR="005B0458" w14:paraId="3B240181" w14:textId="77777777" w:rsidTr="002C4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3098780" w14:textId="77777777" w:rsidR="005B0458" w:rsidRDefault="005B0458" w:rsidP="002C46D1">
            <w:pPr>
              <w:spacing w:after="120"/>
              <w:rPr>
                <w:rFonts w:cstheme="minorHAnsi"/>
              </w:rPr>
            </w:pPr>
            <w:r>
              <w:rPr>
                <w:rFonts w:cstheme="minorHAnsi"/>
              </w:rPr>
              <w:t>2</w:t>
            </w:r>
          </w:p>
        </w:tc>
        <w:tc>
          <w:tcPr>
            <w:tcW w:w="8028" w:type="dxa"/>
          </w:tcPr>
          <w:p w14:paraId="7FA013C9" w14:textId="77777777" w:rsidR="005B0458" w:rsidRDefault="005B0458" w:rsidP="002C46D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Remove non-supplier line items</w:t>
            </w:r>
          </w:p>
        </w:tc>
      </w:tr>
      <w:tr w:rsidR="005B0458" w14:paraId="1FF12617" w14:textId="77777777" w:rsidTr="002C46D1">
        <w:tc>
          <w:tcPr>
            <w:cnfStyle w:val="001000000000" w:firstRow="0" w:lastRow="0" w:firstColumn="1" w:lastColumn="0" w:oddVBand="0" w:evenVBand="0" w:oddHBand="0" w:evenHBand="0" w:firstRowFirstColumn="0" w:firstRowLastColumn="0" w:lastRowFirstColumn="0" w:lastRowLastColumn="0"/>
            <w:tcW w:w="988" w:type="dxa"/>
          </w:tcPr>
          <w:p w14:paraId="6F5A7286" w14:textId="77777777" w:rsidR="005B0458" w:rsidRDefault="005B0458" w:rsidP="002C46D1">
            <w:pPr>
              <w:spacing w:after="120"/>
              <w:rPr>
                <w:rFonts w:cstheme="minorHAnsi"/>
              </w:rPr>
            </w:pPr>
            <w:r>
              <w:rPr>
                <w:rFonts w:cstheme="minorHAnsi"/>
              </w:rPr>
              <w:t>3</w:t>
            </w:r>
          </w:p>
        </w:tc>
        <w:tc>
          <w:tcPr>
            <w:tcW w:w="8028" w:type="dxa"/>
          </w:tcPr>
          <w:p w14:paraId="7BE87583" w14:textId="77777777" w:rsidR="005B0458" w:rsidRDefault="005B0458" w:rsidP="002C46D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Group spend data into categories</w:t>
            </w:r>
          </w:p>
        </w:tc>
      </w:tr>
      <w:tr w:rsidR="005B0458" w14:paraId="300C6268" w14:textId="77777777" w:rsidTr="002C4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14F11CF" w14:textId="77777777" w:rsidR="005B0458" w:rsidRDefault="005B0458" w:rsidP="002C46D1">
            <w:pPr>
              <w:spacing w:after="120"/>
              <w:rPr>
                <w:rFonts w:cstheme="minorHAnsi"/>
              </w:rPr>
            </w:pPr>
            <w:r>
              <w:rPr>
                <w:rFonts w:cstheme="minorHAnsi"/>
              </w:rPr>
              <w:t>4</w:t>
            </w:r>
          </w:p>
        </w:tc>
        <w:tc>
          <w:tcPr>
            <w:tcW w:w="8028" w:type="dxa"/>
          </w:tcPr>
          <w:p w14:paraId="516AD052" w14:textId="77777777" w:rsidR="005B0458" w:rsidRDefault="005B0458" w:rsidP="002C46D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Are sub-categories beneficial?</w:t>
            </w:r>
          </w:p>
          <w:p w14:paraId="09C6B462" w14:textId="77777777" w:rsidR="005B0458" w:rsidRDefault="005B0458" w:rsidP="002C46D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If sub-categories are beneficial, go to step 5.</w:t>
            </w:r>
          </w:p>
          <w:p w14:paraId="2702C355" w14:textId="77777777" w:rsidR="005B0458" w:rsidRDefault="005B0458" w:rsidP="002C46D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If sub-categories are not beneficial, go to step 6.</w:t>
            </w:r>
          </w:p>
        </w:tc>
      </w:tr>
      <w:tr w:rsidR="005B0458" w14:paraId="44BFE133" w14:textId="77777777" w:rsidTr="002C46D1">
        <w:tc>
          <w:tcPr>
            <w:cnfStyle w:val="001000000000" w:firstRow="0" w:lastRow="0" w:firstColumn="1" w:lastColumn="0" w:oddVBand="0" w:evenVBand="0" w:oddHBand="0" w:evenHBand="0" w:firstRowFirstColumn="0" w:firstRowLastColumn="0" w:lastRowFirstColumn="0" w:lastRowLastColumn="0"/>
            <w:tcW w:w="988" w:type="dxa"/>
          </w:tcPr>
          <w:p w14:paraId="6627F10B" w14:textId="77777777" w:rsidR="005B0458" w:rsidRDefault="005B0458" w:rsidP="002C46D1">
            <w:pPr>
              <w:spacing w:after="120"/>
              <w:rPr>
                <w:rFonts w:cstheme="minorHAnsi"/>
              </w:rPr>
            </w:pPr>
            <w:r>
              <w:rPr>
                <w:rFonts w:cstheme="minorHAnsi"/>
              </w:rPr>
              <w:t>5</w:t>
            </w:r>
          </w:p>
        </w:tc>
        <w:tc>
          <w:tcPr>
            <w:tcW w:w="8028" w:type="dxa"/>
          </w:tcPr>
          <w:p w14:paraId="255714DB" w14:textId="77777777" w:rsidR="005B0458" w:rsidRDefault="005B0458" w:rsidP="002C46D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Where beneficial, group procurements within category and sub-category.</w:t>
            </w:r>
          </w:p>
          <w:p w14:paraId="18C7D194" w14:textId="77777777" w:rsidR="005B0458" w:rsidRDefault="005B0458" w:rsidP="002C46D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Go to step 6.</w:t>
            </w:r>
          </w:p>
        </w:tc>
      </w:tr>
      <w:tr w:rsidR="005B0458" w14:paraId="2E91F61D" w14:textId="77777777" w:rsidTr="002C46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02F317B" w14:textId="77777777" w:rsidR="005B0458" w:rsidRDefault="005B0458" w:rsidP="002C46D1">
            <w:pPr>
              <w:spacing w:after="120"/>
              <w:rPr>
                <w:rFonts w:cstheme="minorHAnsi"/>
              </w:rPr>
            </w:pPr>
            <w:r>
              <w:rPr>
                <w:rFonts w:cstheme="minorHAnsi"/>
              </w:rPr>
              <w:t>6</w:t>
            </w:r>
          </w:p>
        </w:tc>
        <w:tc>
          <w:tcPr>
            <w:tcW w:w="8028" w:type="dxa"/>
          </w:tcPr>
          <w:p w14:paraId="7D89E7E3" w14:textId="77777777" w:rsidR="005B0458" w:rsidRDefault="005B0458" w:rsidP="002C46D1">
            <w:pPr>
              <w:spacing w:after="120"/>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Perform sense check of categories and sub-categories.</w:t>
            </w:r>
          </w:p>
        </w:tc>
      </w:tr>
      <w:tr w:rsidR="005B0458" w14:paraId="5A1EDD44" w14:textId="77777777" w:rsidTr="002C46D1">
        <w:tc>
          <w:tcPr>
            <w:cnfStyle w:val="001000000000" w:firstRow="0" w:lastRow="0" w:firstColumn="1" w:lastColumn="0" w:oddVBand="0" w:evenVBand="0" w:oddHBand="0" w:evenHBand="0" w:firstRowFirstColumn="0" w:firstRowLastColumn="0" w:lastRowFirstColumn="0" w:lastRowLastColumn="0"/>
            <w:tcW w:w="988" w:type="dxa"/>
          </w:tcPr>
          <w:p w14:paraId="309B79BF" w14:textId="77777777" w:rsidR="005B0458" w:rsidRDefault="005B0458" w:rsidP="002C46D1">
            <w:pPr>
              <w:spacing w:after="120"/>
              <w:rPr>
                <w:rFonts w:cstheme="minorHAnsi"/>
              </w:rPr>
            </w:pPr>
            <w:r>
              <w:rPr>
                <w:rFonts w:cstheme="minorHAnsi"/>
              </w:rPr>
              <w:t>7</w:t>
            </w:r>
          </w:p>
        </w:tc>
        <w:tc>
          <w:tcPr>
            <w:tcW w:w="8028" w:type="dxa"/>
          </w:tcPr>
          <w:p w14:paraId="579A6B9A" w14:textId="77777777" w:rsidR="005B0458" w:rsidRDefault="005B0458" w:rsidP="002C46D1">
            <w:pPr>
              <w:spacing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Document procurement categories and sub-categories.</w:t>
            </w:r>
          </w:p>
        </w:tc>
      </w:tr>
    </w:tbl>
    <w:p w14:paraId="6D1B703D" w14:textId="77777777" w:rsidR="005B0458" w:rsidRDefault="005B0458" w:rsidP="000A3145">
      <w:pPr>
        <w:rPr>
          <w:lang w:eastAsia="en-US"/>
        </w:rPr>
      </w:pPr>
    </w:p>
    <w:p w14:paraId="50ADBBA3" w14:textId="77777777" w:rsidR="000A3145" w:rsidRPr="005B0458" w:rsidRDefault="000A3145" w:rsidP="005B0458">
      <w:pPr>
        <w:pStyle w:val="Heading3"/>
        <w:rPr>
          <w:color w:val="7030A0"/>
        </w:rPr>
      </w:pPr>
      <w:r w:rsidRPr="005B0458">
        <w:rPr>
          <w:color w:val="7030A0"/>
        </w:rPr>
        <w:t>Steps to defining procurement categories</w:t>
      </w:r>
    </w:p>
    <w:p w14:paraId="34043036"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Step 1: Locate appropriate spend data</w:t>
      </w:r>
    </w:p>
    <w:p w14:paraId="1FBA52D9" w14:textId="77777777" w:rsidR="000A3145" w:rsidRDefault="000A3145" w:rsidP="000A3145">
      <w:pPr>
        <w:rPr>
          <w:lang w:eastAsia="en-US"/>
        </w:rPr>
      </w:pPr>
      <w:r>
        <w:rPr>
          <w:lang w:eastAsia="en-US"/>
        </w:rPr>
        <w:t xml:space="preserve">Spend data should be sufficiently detailed to identify individual procurement activities. A full year’s accounts payable data is an obvious source of information to cover different patterns of spend (seasonal or otherwise) that may occur at particular times of the year. Other sources of data include information from a contracts register, business unit inputs, budgetary processes or suppliers who are managing a contract for a category of goods or services. </w:t>
      </w:r>
    </w:p>
    <w:p w14:paraId="4A091065" w14:textId="77777777" w:rsidR="000A3145" w:rsidRDefault="000A3145" w:rsidP="000A3145">
      <w:pPr>
        <w:rPr>
          <w:lang w:eastAsia="en-US"/>
        </w:rPr>
      </w:pPr>
      <w:r>
        <w:rPr>
          <w:lang w:eastAsia="en-US"/>
        </w:rPr>
        <w:t>Given the complexity of the task, data sourcing and analysis should be carried out by people with specific skills and expertise.</w:t>
      </w:r>
    </w:p>
    <w:p w14:paraId="58C6CA0E" w14:textId="77777777" w:rsidR="000A3145" w:rsidRPr="005B0458" w:rsidRDefault="000A3145" w:rsidP="005B0458">
      <w:pPr>
        <w:pStyle w:val="NoteNormal"/>
        <w:keepNext w:val="0"/>
        <w:keepLines w:val="0"/>
        <w:rPr>
          <w:sz w:val="20"/>
          <w:szCs w:val="20"/>
        </w:rPr>
      </w:pPr>
      <w:r w:rsidRPr="005B0458">
        <w:rPr>
          <w:sz w:val="20"/>
          <w:szCs w:val="20"/>
        </w:rPr>
        <w:t>Note</w:t>
      </w:r>
      <w:r w:rsidRPr="005B0458">
        <w:rPr>
          <w:b/>
          <w:sz w:val="20"/>
          <w:szCs w:val="20"/>
        </w:rPr>
        <w:t>:</w:t>
      </w:r>
      <w:r w:rsidRPr="005B0458">
        <w:rPr>
          <w:sz w:val="20"/>
          <w:szCs w:val="20"/>
        </w:rPr>
        <w:t xml:space="preserve"> Transactions are often not described in financial data. You may need to investigate further to categorise appropriately (using the supplier name or referring to the business owner).</w:t>
      </w:r>
    </w:p>
    <w:p w14:paraId="5D427358"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Step 2: Remove non supplier line items</w:t>
      </w:r>
    </w:p>
    <w:p w14:paraId="594FE543" w14:textId="77777777" w:rsidR="000A3145" w:rsidRDefault="000A3145" w:rsidP="000A3145">
      <w:pPr>
        <w:rPr>
          <w:lang w:eastAsia="en-US"/>
        </w:rPr>
      </w:pPr>
      <w:r>
        <w:rPr>
          <w:lang w:eastAsia="en-US"/>
        </w:rPr>
        <w:t xml:space="preserve">Delete any non supplier items from accounts payable data such as wages, balance transfers and any spend that is not covered by the organisation’s procurement policy. </w:t>
      </w:r>
    </w:p>
    <w:p w14:paraId="691B2390"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Step 3: Group spend data into categories</w:t>
      </w:r>
    </w:p>
    <w:p w14:paraId="51303E8D" w14:textId="77777777" w:rsidR="000A3145" w:rsidRDefault="000A3145" w:rsidP="000A3145">
      <w:pPr>
        <w:rPr>
          <w:lang w:eastAsia="en-US"/>
        </w:rPr>
      </w:pPr>
      <w:r>
        <w:rPr>
          <w:lang w:eastAsia="en-US"/>
        </w:rPr>
        <w:t xml:space="preserve">Analyse your data at the individual transactional level and start grouping items together on the basis of like spend. You might consider similarity of use, suppliers, and characteristics. </w:t>
      </w:r>
    </w:p>
    <w:p w14:paraId="42DC8F00" w14:textId="77777777" w:rsidR="000A3145" w:rsidRPr="005B0458" w:rsidRDefault="000A3145" w:rsidP="005B0458">
      <w:pPr>
        <w:pStyle w:val="NoteNormal"/>
        <w:rPr>
          <w:sz w:val="20"/>
          <w:szCs w:val="20"/>
        </w:rPr>
      </w:pPr>
      <w:r w:rsidRPr="005B0458">
        <w:rPr>
          <w:sz w:val="20"/>
          <w:szCs w:val="20"/>
        </w:rPr>
        <w:t>Note</w:t>
      </w:r>
      <w:r w:rsidRPr="005B0458">
        <w:rPr>
          <w:b/>
          <w:sz w:val="20"/>
          <w:szCs w:val="20"/>
        </w:rPr>
        <w:t>:</w:t>
      </w:r>
      <w:r w:rsidRPr="005B0458">
        <w:rPr>
          <w:sz w:val="20"/>
          <w:szCs w:val="20"/>
        </w:rPr>
        <w:t xml:space="preserve"> One off transactions of a unique nature may not be easily grouped, and may be best suited to their own category.</w:t>
      </w:r>
    </w:p>
    <w:p w14:paraId="2266BC6F"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 xml:space="preserve">Step 4: Are sub-categories beneficial? </w:t>
      </w:r>
    </w:p>
    <w:p w14:paraId="5A57A219" w14:textId="77777777" w:rsidR="000A3145" w:rsidRDefault="000A3145" w:rsidP="000A3145">
      <w:pPr>
        <w:rPr>
          <w:lang w:eastAsia="en-US"/>
        </w:rPr>
      </w:pPr>
      <w:r>
        <w:rPr>
          <w:lang w:eastAsia="en-US"/>
        </w:rPr>
        <w:t>Sub-categories enable you to further group similar goods and services so that you can develop targeted strategies that apply across the group, as opposed to developing a strategy for each individual procurement activity.</w:t>
      </w:r>
    </w:p>
    <w:p w14:paraId="6EF286A0" w14:textId="77777777" w:rsidR="000A3145" w:rsidRPr="005B0458" w:rsidRDefault="0087031E"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lastRenderedPageBreak/>
        <w:t>Step 5:</w:t>
      </w:r>
      <w:r w:rsidR="00F40172" w:rsidRPr="005B0458">
        <w:rPr>
          <w:rFonts w:asciiTheme="minorHAnsi" w:eastAsiaTheme="majorEastAsia" w:hAnsiTheme="minorHAnsi" w:cstheme="minorHAnsi"/>
          <w:bCs/>
          <w:iCs/>
          <w:color w:val="7030A0"/>
          <w:spacing w:val="2"/>
          <w:sz w:val="20"/>
          <w:szCs w:val="20"/>
          <w:lang w:eastAsia="en-AU"/>
        </w:rPr>
        <w:t xml:space="preserve"> </w:t>
      </w:r>
      <w:r w:rsidR="000A3145" w:rsidRPr="005B0458">
        <w:rPr>
          <w:rFonts w:asciiTheme="minorHAnsi" w:eastAsiaTheme="majorEastAsia" w:hAnsiTheme="minorHAnsi" w:cstheme="minorHAnsi"/>
          <w:bCs/>
          <w:iCs/>
          <w:color w:val="7030A0"/>
          <w:spacing w:val="2"/>
          <w:sz w:val="20"/>
          <w:szCs w:val="20"/>
          <w:lang w:eastAsia="en-AU"/>
        </w:rPr>
        <w:t>Group procurements into sub-categories where beneficial</w:t>
      </w:r>
    </w:p>
    <w:p w14:paraId="69239764" w14:textId="77777777" w:rsidR="000A3145" w:rsidRDefault="000A3145" w:rsidP="000A3145">
      <w:pPr>
        <w:rPr>
          <w:lang w:eastAsia="en-US"/>
        </w:rPr>
      </w:pPr>
      <w:r>
        <w:rPr>
          <w:lang w:eastAsia="en-US"/>
        </w:rPr>
        <w:t xml:space="preserve">When creating sub-categories, base your groupings on the criteria listed in </w:t>
      </w:r>
      <w:r w:rsidR="005B0458">
        <w:rPr>
          <w:lang w:eastAsia="en-US"/>
        </w:rPr>
        <w:t>the table Criteria to consider when grouping procurements</w:t>
      </w:r>
      <w:r>
        <w:rPr>
          <w:lang w:eastAsia="en-US"/>
        </w:rPr>
        <w:t>.</w:t>
      </w:r>
    </w:p>
    <w:p w14:paraId="1573CD7E" w14:textId="77777777" w:rsidR="000A3145" w:rsidRPr="005B0458" w:rsidRDefault="000A3145" w:rsidP="000A3145">
      <w:pPr>
        <w:pStyle w:val="Caption"/>
        <w:rPr>
          <w:lang w:eastAsia="en-US"/>
        </w:rPr>
      </w:pPr>
      <w:r w:rsidRPr="005B0458">
        <w:rPr>
          <w:lang w:eastAsia="en-US"/>
        </w:rPr>
        <w:t>Criteria to consider when grouping procurements</w:t>
      </w:r>
    </w:p>
    <w:tbl>
      <w:tblPr>
        <w:tblStyle w:val="TableGrid"/>
        <w:tblW w:w="0" w:type="auto"/>
        <w:tblLook w:val="04A0" w:firstRow="1" w:lastRow="0" w:firstColumn="1" w:lastColumn="0" w:noHBand="0" w:noVBand="1"/>
      </w:tblPr>
      <w:tblGrid>
        <w:gridCol w:w="1960"/>
        <w:gridCol w:w="3918"/>
        <w:gridCol w:w="3920"/>
      </w:tblGrid>
      <w:tr w:rsidR="000A3145" w14:paraId="3C6E416F" w14:textId="77777777" w:rsidTr="002D6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tcPr>
          <w:p w14:paraId="169F1F69" w14:textId="77777777" w:rsidR="000A3145" w:rsidRDefault="000A3145" w:rsidP="000A3145">
            <w:pPr>
              <w:pStyle w:val="TableHeader"/>
              <w:rPr>
                <w:lang w:eastAsia="en-US"/>
              </w:rPr>
            </w:pPr>
          </w:p>
        </w:tc>
        <w:tc>
          <w:tcPr>
            <w:tcW w:w="3918" w:type="dxa"/>
          </w:tcPr>
          <w:p w14:paraId="7184C14E" w14:textId="77777777" w:rsidR="000A3145" w:rsidRDefault="000A3145" w:rsidP="000A3145">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B8288B">
              <w:t>Intent of level</w:t>
            </w:r>
          </w:p>
        </w:tc>
        <w:tc>
          <w:tcPr>
            <w:tcW w:w="3920" w:type="dxa"/>
          </w:tcPr>
          <w:p w14:paraId="0CF8B617" w14:textId="77777777" w:rsidR="000A3145" w:rsidRDefault="000A3145" w:rsidP="000A3145">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B8288B">
              <w:t>Criteria to consider</w:t>
            </w:r>
          </w:p>
        </w:tc>
      </w:tr>
      <w:tr w:rsidR="000A3145" w14:paraId="0215B2B6" w14:textId="77777777" w:rsidTr="00982B19">
        <w:tc>
          <w:tcPr>
            <w:cnfStyle w:val="001000000000" w:firstRow="0" w:lastRow="0" w:firstColumn="1" w:lastColumn="0" w:oddVBand="0" w:evenVBand="0" w:oddHBand="0" w:evenHBand="0" w:firstRowFirstColumn="0" w:firstRowLastColumn="0" w:lastRowFirstColumn="0" w:lastRowLastColumn="0"/>
            <w:tcW w:w="1960" w:type="dxa"/>
          </w:tcPr>
          <w:p w14:paraId="6CD11830" w14:textId="77777777" w:rsidR="000A3145" w:rsidRPr="000A3145" w:rsidRDefault="000A3145" w:rsidP="000A3145">
            <w:pPr>
              <w:pStyle w:val="TableText"/>
              <w:rPr>
                <w:b/>
                <w:lang w:eastAsia="en-US"/>
              </w:rPr>
            </w:pPr>
            <w:r w:rsidRPr="000A3145">
              <w:rPr>
                <w:b/>
              </w:rPr>
              <w:t>Category level</w:t>
            </w:r>
          </w:p>
        </w:tc>
        <w:tc>
          <w:tcPr>
            <w:tcW w:w="3918" w:type="dxa"/>
          </w:tcPr>
          <w:p w14:paraId="2C99D39D" w14:textId="77777777" w:rsidR="000A3145" w:rsidRDefault="000A3145" w:rsidP="000A3145">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B8288B">
              <w:t>The similarity of goods/services as suggested by their characteristics and use in the organisation.</w:t>
            </w:r>
          </w:p>
        </w:tc>
        <w:tc>
          <w:tcPr>
            <w:tcW w:w="3920" w:type="dxa"/>
          </w:tcPr>
          <w:p w14:paraId="2457F059" w14:textId="77777777" w:rsidR="000A3145" w:rsidRPr="00B8288B" w:rsidRDefault="000A3145" w:rsidP="00F3420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8288B">
              <w:t>Similar suppliers</w:t>
            </w:r>
          </w:p>
          <w:p w14:paraId="5CAC56A7" w14:textId="77777777" w:rsidR="000A3145" w:rsidRPr="00B8288B" w:rsidRDefault="000A3145" w:rsidP="00F3420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8288B">
              <w:t>Similar use</w:t>
            </w:r>
          </w:p>
          <w:p w14:paraId="5A853A14" w14:textId="77777777" w:rsidR="000A3145" w:rsidRPr="00B8288B" w:rsidRDefault="000A3145" w:rsidP="00F3420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8288B">
              <w:t>Similar characteristics/purpose</w:t>
            </w:r>
          </w:p>
          <w:p w14:paraId="4412034E" w14:textId="77777777" w:rsidR="000A3145" w:rsidRDefault="000A3145" w:rsidP="00F3420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eastAsia="en-US"/>
              </w:rPr>
            </w:pPr>
            <w:r w:rsidRPr="00B8288B">
              <w:t>Similar form (small transactional goods, services, construction, large single item procurements)</w:t>
            </w:r>
          </w:p>
        </w:tc>
      </w:tr>
      <w:tr w:rsidR="000A3145" w14:paraId="3EDB21D1" w14:textId="77777777" w:rsidTr="002628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tcPr>
          <w:p w14:paraId="1575AEC3" w14:textId="77777777" w:rsidR="000A3145" w:rsidRPr="000A3145" w:rsidRDefault="000A3145" w:rsidP="000A3145">
            <w:pPr>
              <w:pStyle w:val="TableText"/>
              <w:rPr>
                <w:b/>
                <w:lang w:eastAsia="en-US"/>
              </w:rPr>
            </w:pPr>
            <w:r w:rsidRPr="000A3145">
              <w:rPr>
                <w:b/>
              </w:rPr>
              <w:t>Sub-category level</w:t>
            </w:r>
          </w:p>
        </w:tc>
        <w:tc>
          <w:tcPr>
            <w:tcW w:w="3918" w:type="dxa"/>
          </w:tcPr>
          <w:p w14:paraId="5EBE1C9F" w14:textId="77777777" w:rsidR="000A3145" w:rsidRDefault="000A3145" w:rsidP="000A3145">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B8288B">
              <w:t>An additional level that allows organisations to enhance value-for-money and efficiency of procurement outcomes.</w:t>
            </w:r>
          </w:p>
        </w:tc>
        <w:tc>
          <w:tcPr>
            <w:tcW w:w="3920" w:type="dxa"/>
          </w:tcPr>
          <w:p w14:paraId="3E5CEFEE" w14:textId="77777777" w:rsidR="000A3145" w:rsidRPr="00B8288B"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B8288B">
              <w:t>Similar supply</w:t>
            </w:r>
            <w:r w:rsidRPr="00B8288B">
              <w:noBreakHyphen/>
              <w:t>market dynamics</w:t>
            </w:r>
          </w:p>
          <w:p w14:paraId="0E6D5415" w14:textId="77777777" w:rsidR="000A3145" w:rsidRPr="00B8288B"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B8288B">
              <w:t>Similar impact of demand aggregation</w:t>
            </w:r>
          </w:p>
          <w:p w14:paraId="133F5C35" w14:textId="77777777" w:rsidR="000A3145" w:rsidRPr="00B8288B"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B8288B">
              <w:t>Similar indirect impacts</w:t>
            </w:r>
          </w:p>
          <w:p w14:paraId="00C12809" w14:textId="77777777" w:rsidR="000A3145" w:rsidRPr="00B8288B"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B8288B">
              <w:t xml:space="preserve">Similar level of substitutability with </w:t>
            </w:r>
          </w:p>
          <w:p w14:paraId="0D299F63" w14:textId="77777777" w:rsidR="000A3145" w:rsidRPr="00B8288B"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pPr>
            <w:r w:rsidRPr="00B8288B">
              <w:t>other goods/services</w:t>
            </w:r>
          </w:p>
          <w:p w14:paraId="10D462B3" w14:textId="77777777" w:rsidR="000A3145" w:rsidRDefault="000A3145" w:rsidP="00F34209">
            <w:pPr>
              <w:pStyle w:val="TableBullet"/>
              <w:numPr>
                <w:ilvl w:val="0"/>
                <w:numId w:val="0"/>
              </w:numPr>
              <w:cnfStyle w:val="000000010000" w:firstRow="0" w:lastRow="0" w:firstColumn="0" w:lastColumn="0" w:oddVBand="0" w:evenVBand="0" w:oddHBand="0" w:evenHBand="1" w:firstRowFirstColumn="0" w:firstRowLastColumn="0" w:lastRowFirstColumn="0" w:lastRowLastColumn="0"/>
              <w:rPr>
                <w:lang w:eastAsia="en-US"/>
              </w:rPr>
            </w:pPr>
            <w:r w:rsidRPr="00B8288B">
              <w:t>Similar criticality to core business (similar level takeover of customisation)</w:t>
            </w:r>
          </w:p>
        </w:tc>
      </w:tr>
    </w:tbl>
    <w:p w14:paraId="77AD1445" w14:textId="77777777" w:rsidR="0059652C" w:rsidRDefault="0059652C" w:rsidP="0059652C">
      <w:pPr>
        <w:pStyle w:val="Spacer"/>
      </w:pPr>
    </w:p>
    <w:p w14:paraId="45EF8C35"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Step 6:</w:t>
      </w:r>
      <w:r w:rsidRPr="005B0458">
        <w:rPr>
          <w:rFonts w:asciiTheme="minorHAnsi" w:eastAsiaTheme="majorEastAsia" w:hAnsiTheme="minorHAnsi" w:cstheme="minorHAnsi"/>
          <w:bCs/>
          <w:iCs/>
          <w:color w:val="7030A0"/>
          <w:spacing w:val="2"/>
          <w:sz w:val="20"/>
          <w:szCs w:val="20"/>
          <w:lang w:eastAsia="en-AU"/>
        </w:rPr>
        <w:tab/>
        <w:t>Perform a sense check of categories and sub-categories</w:t>
      </w:r>
    </w:p>
    <w:p w14:paraId="11E2B1E3" w14:textId="77777777" w:rsidR="000A3145" w:rsidRDefault="000A3145" w:rsidP="000A3145">
      <w:pPr>
        <w:rPr>
          <w:lang w:eastAsia="en-US"/>
        </w:rPr>
      </w:pPr>
      <w:r>
        <w:rPr>
          <w:lang w:eastAsia="en-US"/>
        </w:rPr>
        <w:t>Ensure categories and sub-categories are the optimal size and composition:</w:t>
      </w:r>
    </w:p>
    <w:p w14:paraId="40CF02C5" w14:textId="77777777" w:rsidR="000A3145" w:rsidRDefault="000A3145" w:rsidP="00F34209">
      <w:pPr>
        <w:pStyle w:val="Bullet2"/>
        <w:numPr>
          <w:ilvl w:val="1"/>
          <w:numId w:val="30"/>
        </w:numPr>
        <w:rPr>
          <w:lang w:eastAsia="en-US"/>
        </w:rPr>
      </w:pPr>
      <w:r>
        <w:rPr>
          <w:lang w:eastAsia="en-US"/>
        </w:rPr>
        <w:t>Is there an overarching statement which describes the purpose/composition of each category and sub-category?</w:t>
      </w:r>
    </w:p>
    <w:p w14:paraId="60AA06F9" w14:textId="77777777" w:rsidR="000A3145" w:rsidRDefault="000A3145" w:rsidP="00F34209">
      <w:pPr>
        <w:pStyle w:val="Bullet2"/>
        <w:numPr>
          <w:ilvl w:val="1"/>
          <w:numId w:val="30"/>
        </w:numPr>
        <w:rPr>
          <w:lang w:eastAsia="en-US"/>
        </w:rPr>
      </w:pPr>
      <w:r>
        <w:rPr>
          <w:lang w:eastAsia="en-US"/>
        </w:rPr>
        <w:t>Are categories and sub-categories sufficiently different in their purpose and composition?</w:t>
      </w:r>
    </w:p>
    <w:p w14:paraId="75DA5C44" w14:textId="77777777" w:rsidR="000A3145" w:rsidRDefault="000A3145" w:rsidP="00F34209">
      <w:pPr>
        <w:pStyle w:val="Bullet2"/>
        <w:numPr>
          <w:ilvl w:val="1"/>
          <w:numId w:val="30"/>
        </w:numPr>
        <w:rPr>
          <w:lang w:eastAsia="en-US"/>
        </w:rPr>
      </w:pPr>
      <w:r>
        <w:rPr>
          <w:lang w:eastAsia="en-US"/>
        </w:rPr>
        <w:t>Are a majority of procurement activities easily located into a category and (as required) sub-category, with the possible exception of unique one off procurement events?</w:t>
      </w:r>
    </w:p>
    <w:p w14:paraId="5512866D" w14:textId="77777777" w:rsidR="000A3145" w:rsidRDefault="000A3145" w:rsidP="00F34209">
      <w:pPr>
        <w:pStyle w:val="Bullet2"/>
        <w:numPr>
          <w:ilvl w:val="1"/>
          <w:numId w:val="30"/>
        </w:numPr>
        <w:rPr>
          <w:lang w:eastAsia="en-US"/>
        </w:rPr>
      </w:pPr>
      <w:r>
        <w:rPr>
          <w:lang w:eastAsia="en-US"/>
        </w:rPr>
        <w:t>Is there any scope to further aggregate procurements into larger categories that are still meaningful and manageable?</w:t>
      </w:r>
    </w:p>
    <w:p w14:paraId="42BBE8D3" w14:textId="77777777" w:rsidR="000A3145" w:rsidRDefault="000A3145" w:rsidP="00F34209">
      <w:pPr>
        <w:pStyle w:val="Bullet2"/>
        <w:numPr>
          <w:ilvl w:val="1"/>
          <w:numId w:val="30"/>
        </w:numPr>
        <w:rPr>
          <w:lang w:eastAsia="en-US"/>
        </w:rPr>
      </w:pPr>
      <w:r>
        <w:rPr>
          <w:lang w:eastAsia="en-US"/>
        </w:rPr>
        <w:t>Are the categories understandable to stakeholders?</w:t>
      </w:r>
    </w:p>
    <w:p w14:paraId="3DDFCFB4" w14:textId="77777777" w:rsidR="000A3145" w:rsidRDefault="000A3145" w:rsidP="000A3145">
      <w:pPr>
        <w:rPr>
          <w:lang w:eastAsia="en-US"/>
        </w:rPr>
      </w:pPr>
      <w:r>
        <w:rPr>
          <w:lang w:eastAsia="en-US"/>
        </w:rPr>
        <w:t>Where these questions suggest further work is needed to refine and improve categorisations, continue to work on your categories to ensure they are useful and meaningful to your organisation.</w:t>
      </w:r>
    </w:p>
    <w:p w14:paraId="4E2FF931" w14:textId="77777777" w:rsidR="000A3145" w:rsidRPr="005B0458" w:rsidRDefault="000A3145" w:rsidP="005B0458">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5B0458">
        <w:rPr>
          <w:rFonts w:asciiTheme="minorHAnsi" w:eastAsiaTheme="majorEastAsia" w:hAnsiTheme="minorHAnsi" w:cstheme="minorHAnsi"/>
          <w:bCs/>
          <w:iCs/>
          <w:color w:val="7030A0"/>
          <w:spacing w:val="2"/>
          <w:sz w:val="20"/>
          <w:szCs w:val="20"/>
          <w:lang w:eastAsia="en-AU"/>
        </w:rPr>
        <w:t>Step 7:</w:t>
      </w:r>
      <w:r w:rsidRPr="005B0458">
        <w:rPr>
          <w:rFonts w:asciiTheme="minorHAnsi" w:eastAsiaTheme="majorEastAsia" w:hAnsiTheme="minorHAnsi" w:cstheme="minorHAnsi"/>
          <w:bCs/>
          <w:iCs/>
          <w:color w:val="7030A0"/>
          <w:spacing w:val="2"/>
          <w:sz w:val="20"/>
          <w:szCs w:val="20"/>
          <w:lang w:eastAsia="en-AU"/>
        </w:rPr>
        <w:tab/>
        <w:t>Document procurement categories and sub-categories</w:t>
      </w:r>
    </w:p>
    <w:p w14:paraId="2177AD9C" w14:textId="77777777" w:rsidR="000A3145" w:rsidRDefault="000A3145" w:rsidP="000A3145">
      <w:pPr>
        <w:rPr>
          <w:lang w:eastAsia="en-US"/>
        </w:rPr>
      </w:pPr>
      <w:r>
        <w:rPr>
          <w:lang w:eastAsia="en-US"/>
        </w:rPr>
        <w:t>Include the categories in your organisation’s procurement activity plan.</w:t>
      </w:r>
    </w:p>
    <w:p w14:paraId="074C073A" w14:textId="0F8D3EC9" w:rsidR="005B0458" w:rsidRPr="005B0458" w:rsidRDefault="005B0458" w:rsidP="005B0458">
      <w:pPr>
        <w:pStyle w:val="Heading3"/>
        <w:rPr>
          <w:color w:val="7030A0"/>
          <w:sz w:val="20"/>
        </w:rPr>
      </w:pPr>
      <w:r w:rsidRPr="005B0458">
        <w:rPr>
          <w:color w:val="7030A0"/>
        </w:rPr>
        <w:t xml:space="preserve">ICT as a significant category of </w:t>
      </w:r>
      <w:r w:rsidR="00E5050B" w:rsidRPr="005B0458">
        <w:rPr>
          <w:color w:val="7030A0"/>
        </w:rPr>
        <w:t>procurement</w:t>
      </w:r>
    </w:p>
    <w:p w14:paraId="0ABDEF7A" w14:textId="77777777" w:rsidR="005B0458" w:rsidRDefault="005B0458" w:rsidP="005B0458">
      <w:pPr>
        <w:rPr>
          <w:lang w:eastAsia="en-US"/>
        </w:rPr>
      </w:pPr>
      <w:r w:rsidRPr="00F40172">
        <w:rPr>
          <w:sz w:val="20"/>
        </w:rPr>
        <w:t>Information and Communication Technology (ICT) procurement should be defined at the overarching category level with possible sub-ca</w:t>
      </w:r>
      <w:bookmarkStart w:id="0" w:name="_GoBack"/>
      <w:bookmarkEnd w:id="0"/>
      <w:r w:rsidRPr="00F40172">
        <w:rPr>
          <w:sz w:val="20"/>
        </w:rPr>
        <w:t>tegories recognising the high value of ICT procurement</w:t>
      </w:r>
      <w:r>
        <w:rPr>
          <w:sz w:val="20"/>
        </w:rPr>
        <w:t>.</w:t>
      </w:r>
    </w:p>
    <w:p w14:paraId="3398BFA9" w14:textId="77777777" w:rsidR="005B0458" w:rsidRDefault="005B0458" w:rsidP="000A3145">
      <w:pPr>
        <w:rPr>
          <w:lang w:eastAsia="en-US"/>
        </w:rPr>
      </w:pPr>
      <w:r w:rsidRPr="00F40172">
        <w:rPr>
          <w:sz w:val="20"/>
        </w:rPr>
        <w:t xml:space="preserve">ICT procurement must also align with the Whole of Victorian Government ICT Strategy. For more information, refer to </w:t>
      </w:r>
      <w:r w:rsidRPr="00891F89">
        <w:rPr>
          <w:sz w:val="20"/>
        </w:rPr>
        <w:t>the Chief Information Officers website at</w:t>
      </w:r>
      <w:r w:rsidRPr="00891F89">
        <w:rPr>
          <w:sz w:val="20"/>
          <w:lang w:eastAsia="en-US"/>
        </w:rPr>
        <w:t xml:space="preserve"> </w:t>
      </w:r>
      <w:hyperlink r:id="rId13" w:history="1">
        <w:r w:rsidRPr="00891F89">
          <w:rPr>
            <w:color w:val="595959"/>
            <w:sz w:val="20"/>
            <w:szCs w:val="20"/>
            <w:lang w:eastAsia="en-US"/>
          </w:rPr>
          <w:t>www.dtf.vic.gov.au/CIO</w:t>
        </w:r>
      </w:hyperlink>
      <w:r w:rsidRPr="00891F89">
        <w:rPr>
          <w:color w:val="595959"/>
          <w:sz w:val="20"/>
          <w:szCs w:val="20"/>
          <w:lang w:eastAsia="en-US"/>
        </w:rPr>
        <w:t>.</w:t>
      </w:r>
    </w:p>
    <w:p w14:paraId="05FD93E9" w14:textId="77777777" w:rsidR="00FF340A" w:rsidRPr="00FF340A" w:rsidRDefault="00FF340A" w:rsidP="00FF340A">
      <w:pPr>
        <w:pStyle w:val="Heading2"/>
        <w:rPr>
          <w:color w:val="7030A0"/>
        </w:rPr>
      </w:pPr>
      <w:r w:rsidRPr="00FF340A">
        <w:rPr>
          <w:color w:val="7030A0"/>
        </w:rPr>
        <w:t>Using this guide</w:t>
      </w:r>
    </w:p>
    <w:p w14:paraId="21A55CA1" w14:textId="05D613F5" w:rsidR="00FF340A" w:rsidRDefault="00FF340A" w:rsidP="00FF340A">
      <w:pPr>
        <w:spacing w:after="120" w:line="240" w:lineRule="auto"/>
        <w:rPr>
          <w:rFonts w:cstheme="minorHAnsi"/>
        </w:rPr>
      </w:pPr>
      <w:r>
        <w:rPr>
          <w:rFonts w:cstheme="minorHAnsi"/>
        </w:rPr>
        <w:t xml:space="preserve">This guide accompanies the goods and services supply policies. </w:t>
      </w:r>
      <w:r w:rsidR="00963ADB">
        <w:rPr>
          <w:rFonts w:cstheme="minorHAnsi"/>
        </w:rPr>
        <w:t>There are 5 supply policies</w:t>
      </w:r>
      <w:r>
        <w:rPr>
          <w:rFonts w:cstheme="minorHAnsi"/>
        </w:rPr>
        <w:t>:</w:t>
      </w:r>
    </w:p>
    <w:p w14:paraId="5FDF46DB" w14:textId="77777777" w:rsidR="00FF340A" w:rsidRDefault="00FF340A" w:rsidP="00FF340A">
      <w:pPr>
        <w:pStyle w:val="ListParagraph"/>
        <w:numPr>
          <w:ilvl w:val="0"/>
          <w:numId w:val="34"/>
        </w:numPr>
        <w:spacing w:before="0" w:after="120" w:line="240" w:lineRule="auto"/>
        <w:rPr>
          <w:rFonts w:cstheme="minorHAnsi"/>
        </w:rPr>
      </w:pPr>
      <w:r>
        <w:rPr>
          <w:rFonts w:cstheme="minorHAnsi"/>
        </w:rPr>
        <w:t>Governance policy</w:t>
      </w:r>
    </w:p>
    <w:p w14:paraId="1647FDB7" w14:textId="77777777" w:rsidR="003D5293" w:rsidRPr="00D879F1" w:rsidRDefault="003D5293" w:rsidP="003D5293">
      <w:pPr>
        <w:pStyle w:val="ListParagraph"/>
        <w:numPr>
          <w:ilvl w:val="0"/>
          <w:numId w:val="34"/>
        </w:numPr>
      </w:pPr>
      <w:r w:rsidRPr="00D879F1">
        <w:t xml:space="preserve">Complexity and capability </w:t>
      </w:r>
      <w:r>
        <w:t xml:space="preserve">assessment </w:t>
      </w:r>
      <w:r w:rsidRPr="00D879F1">
        <w:t>policy</w:t>
      </w:r>
    </w:p>
    <w:p w14:paraId="1BEE2EC0" w14:textId="77777777" w:rsidR="00FF340A" w:rsidRDefault="00FF340A" w:rsidP="00FF340A">
      <w:pPr>
        <w:pStyle w:val="ListParagraph"/>
        <w:numPr>
          <w:ilvl w:val="0"/>
          <w:numId w:val="34"/>
        </w:numPr>
        <w:spacing w:before="0" w:after="120" w:line="240" w:lineRule="auto"/>
        <w:rPr>
          <w:rFonts w:cstheme="minorHAnsi"/>
        </w:rPr>
      </w:pPr>
      <w:r>
        <w:rPr>
          <w:rFonts w:cstheme="minorHAnsi"/>
        </w:rPr>
        <w:t>Market analysis and review policy</w:t>
      </w:r>
    </w:p>
    <w:p w14:paraId="1B844615" w14:textId="77777777" w:rsidR="00FF340A" w:rsidRDefault="00FF340A" w:rsidP="00FF340A">
      <w:pPr>
        <w:pStyle w:val="ListParagraph"/>
        <w:numPr>
          <w:ilvl w:val="0"/>
          <w:numId w:val="34"/>
        </w:numPr>
        <w:spacing w:before="0" w:after="120" w:line="240" w:lineRule="auto"/>
        <w:rPr>
          <w:rFonts w:cstheme="minorHAnsi"/>
        </w:rPr>
      </w:pPr>
      <w:r>
        <w:rPr>
          <w:rFonts w:cstheme="minorHAnsi"/>
        </w:rPr>
        <w:t>Market approach policy</w:t>
      </w:r>
    </w:p>
    <w:p w14:paraId="3C814E4C" w14:textId="77777777" w:rsidR="00FF340A" w:rsidRDefault="00FF340A" w:rsidP="00FF340A">
      <w:pPr>
        <w:pStyle w:val="ListParagraph"/>
        <w:numPr>
          <w:ilvl w:val="0"/>
          <w:numId w:val="34"/>
        </w:numPr>
        <w:spacing w:before="0" w:after="120" w:line="240" w:lineRule="auto"/>
        <w:rPr>
          <w:rFonts w:cstheme="minorHAnsi"/>
        </w:rPr>
      </w:pPr>
      <w:r>
        <w:rPr>
          <w:rFonts w:cstheme="minorHAnsi"/>
        </w:rPr>
        <w:lastRenderedPageBreak/>
        <w:t>Contract management and disclosure policy</w:t>
      </w:r>
    </w:p>
    <w:p w14:paraId="47A59C11" w14:textId="510ABAA9" w:rsidR="00FF340A" w:rsidRPr="00401617" w:rsidRDefault="00FF340A" w:rsidP="00FF340A">
      <w:pPr>
        <w:spacing w:after="120" w:line="240" w:lineRule="auto"/>
        <w:rPr>
          <w:rFonts w:cstheme="minorHAnsi"/>
        </w:rPr>
      </w:pPr>
      <w:r>
        <w:rPr>
          <w:rFonts w:cstheme="minorHAnsi"/>
        </w:rPr>
        <w:t xml:space="preserve">This guide supports the </w:t>
      </w:r>
      <w:hyperlink r:id="rId14" w:history="1">
        <w:r w:rsidRPr="00891F89">
          <w:rPr>
            <w:rStyle w:val="Hyperlink"/>
            <w:rFonts w:cstheme="minorHAnsi"/>
          </w:rPr>
          <w:t>Governance policy</w:t>
        </w:r>
      </w:hyperlink>
      <w:r>
        <w:rPr>
          <w:rFonts w:cstheme="minorHAnsi"/>
        </w:rPr>
        <w:t>.</w:t>
      </w:r>
    </w:p>
    <w:p w14:paraId="37610594" w14:textId="77777777" w:rsidR="004776AF" w:rsidRDefault="004776AF" w:rsidP="00F40172"/>
    <w:p w14:paraId="201FCA98" w14:textId="77777777" w:rsidR="004776AF" w:rsidRDefault="004776AF" w:rsidP="00F40172"/>
    <w:p w14:paraId="7EABFC29" w14:textId="77777777" w:rsidR="004776AF" w:rsidRDefault="004776AF" w:rsidP="00F40172"/>
    <w:p w14:paraId="26F5B405" w14:textId="77777777" w:rsidR="004776AF" w:rsidRDefault="004776AF" w:rsidP="00F40172"/>
    <w:p w14:paraId="3B07F8DC" w14:textId="77777777" w:rsidR="004776AF" w:rsidRDefault="004776AF" w:rsidP="00F40172"/>
    <w:p w14:paraId="3BE2EFFB" w14:textId="77777777" w:rsidR="004776AF" w:rsidRDefault="004776AF" w:rsidP="00F40172"/>
    <w:p w14:paraId="0C1D44C8" w14:textId="77777777" w:rsidR="004776AF" w:rsidRDefault="004776AF" w:rsidP="00F40172"/>
    <w:p w14:paraId="59E462E7" w14:textId="77777777" w:rsidR="004776AF" w:rsidRDefault="004776AF" w:rsidP="00F40172"/>
    <w:p w14:paraId="29B3253D" w14:textId="77777777" w:rsidR="004776AF" w:rsidRDefault="004776AF" w:rsidP="00F40172"/>
    <w:p w14:paraId="58A86F86" w14:textId="77777777" w:rsidR="004776AF" w:rsidRDefault="004776AF" w:rsidP="00F40172"/>
    <w:p w14:paraId="50CB43C4" w14:textId="77777777" w:rsidR="004776AF" w:rsidRDefault="004776AF" w:rsidP="00F40172"/>
    <w:p w14:paraId="20F3991C" w14:textId="77777777" w:rsidR="004776AF" w:rsidRDefault="004776AF" w:rsidP="00F40172"/>
    <w:p w14:paraId="3C459805" w14:textId="77777777" w:rsidR="004776AF" w:rsidRDefault="004776AF" w:rsidP="00F40172"/>
    <w:p w14:paraId="54E5D148" w14:textId="77777777" w:rsidR="004776AF" w:rsidRDefault="004776AF" w:rsidP="00F40172"/>
    <w:p w14:paraId="0F9A8C5A" w14:textId="77777777" w:rsidR="004776AF" w:rsidRDefault="004776AF" w:rsidP="00F40172"/>
    <w:p w14:paraId="37072054" w14:textId="77777777" w:rsidR="004776AF" w:rsidRDefault="004776AF" w:rsidP="00F40172"/>
    <w:p w14:paraId="277002DF" w14:textId="77777777" w:rsidR="004776AF" w:rsidRDefault="004776AF" w:rsidP="00F40172"/>
    <w:p w14:paraId="0F2ADC03" w14:textId="77777777" w:rsidR="004776AF" w:rsidRDefault="004776AF" w:rsidP="00F40172"/>
    <w:p w14:paraId="7A471F00" w14:textId="77777777" w:rsidR="004776AF" w:rsidRDefault="004776AF" w:rsidP="00F40172"/>
    <w:p w14:paraId="157D40E2" w14:textId="6B9885BD" w:rsidR="004776AF" w:rsidRDefault="004776AF" w:rsidP="00F40172"/>
    <w:p w14:paraId="554F8823" w14:textId="48DEFB44" w:rsidR="00FC4A55" w:rsidRDefault="00FC4A55" w:rsidP="00F40172"/>
    <w:p w14:paraId="2D5A4D53" w14:textId="7C553906" w:rsidR="00390DD4" w:rsidRDefault="00390DD4" w:rsidP="00F40172"/>
    <w:p w14:paraId="6C798D25" w14:textId="77777777" w:rsidR="00390DD4" w:rsidRDefault="00390DD4" w:rsidP="00F40172"/>
    <w:p w14:paraId="4E7732B8" w14:textId="77777777" w:rsidR="00FC4A55" w:rsidRDefault="00FC4A55" w:rsidP="00F40172"/>
    <w:p w14:paraId="012ED793" w14:textId="77777777" w:rsidR="004776AF" w:rsidRDefault="004776AF" w:rsidP="00F40172"/>
    <w:p w14:paraId="7D10E217" w14:textId="77777777" w:rsidR="004776AF" w:rsidRDefault="004776AF" w:rsidP="00F40172"/>
    <w:p w14:paraId="0BBE7556" w14:textId="1EC621A8" w:rsidR="00F40172" w:rsidRPr="00F40172" w:rsidRDefault="00A370B5" w:rsidP="00F40172">
      <w:r>
        <w:t xml:space="preserve">© </w:t>
      </w:r>
      <w:r w:rsidR="00F40172" w:rsidRPr="00F40172">
        <w:t>State of Victoria 201</w:t>
      </w:r>
      <w:r>
        <w:t>2 (Victorian Government Purchasing Board)</w:t>
      </w:r>
    </w:p>
    <w:p w14:paraId="24A80F54" w14:textId="77777777" w:rsidR="00F40172" w:rsidRPr="00F40172" w:rsidRDefault="00F40172" w:rsidP="00F40172">
      <w:r w:rsidRPr="00F40172">
        <w:rPr>
          <w:noProof/>
        </w:rPr>
        <w:drawing>
          <wp:inline distT="0" distB="0" distL="0" distR="0" wp14:anchorId="6D06C7EA" wp14:editId="3830401D">
            <wp:extent cx="1117460" cy="393651"/>
            <wp:effectExtent l="0" t="0" r="6985" b="6985"/>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40172">
        <w:t xml:space="preserve"> </w:t>
      </w:r>
    </w:p>
    <w:p w14:paraId="5E60CE00" w14:textId="77777777" w:rsidR="00F40172" w:rsidRPr="00F40172" w:rsidRDefault="00F40172" w:rsidP="00F40172">
      <w:r w:rsidRPr="00F40172">
        <w:t xml:space="preserve">This work is licensed under a </w:t>
      </w:r>
      <w:hyperlink r:id="rId17" w:history="1">
        <w:r w:rsidRPr="00F40172">
          <w:rPr>
            <w:color w:val="660B68"/>
          </w:rPr>
          <w:t>Creative Commons Attribution 3.0 Australia licence</w:t>
        </w:r>
      </w:hyperlink>
      <w:r w:rsidRPr="00F40172">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2CBB097" w14:textId="77777777" w:rsidR="00F40172" w:rsidRPr="00F40172" w:rsidRDefault="00F40172" w:rsidP="00F40172">
      <w:r w:rsidRPr="00F40172">
        <w:t xml:space="preserve">Copyright queries may be directed to </w:t>
      </w:r>
      <w:hyperlink r:id="rId18" w:history="1">
        <w:r w:rsidRPr="00F40172">
          <w:rPr>
            <w:color w:val="660B68"/>
          </w:rPr>
          <w:t>IPpolicy@dtf.vic.gov.au</w:t>
        </w:r>
      </w:hyperlink>
    </w:p>
    <w:p w14:paraId="1B425B7D" w14:textId="77777777" w:rsidR="00F40172" w:rsidRDefault="00F40172">
      <w:pPr>
        <w:spacing w:before="0" w:after="0" w:line="240" w:lineRule="auto"/>
        <w:rPr>
          <w:lang w:eastAsia="en-US"/>
        </w:rPr>
      </w:pPr>
    </w:p>
    <w:sectPr w:rsidR="00F40172" w:rsidSect="003D5BEB">
      <w:headerReference w:type="default" r:id="rId19"/>
      <w:footerReference w:type="default" r:id="rId20"/>
      <w:headerReference w:type="first" r:id="rId21"/>
      <w:footerReference w:type="first" r:id="rId22"/>
      <w:pgSz w:w="11901" w:h="16840" w:code="9"/>
      <w:pgMar w:top="1560" w:right="1008" w:bottom="1560" w:left="1152" w:header="426"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D0AE" w14:textId="77777777" w:rsidR="00C1665C" w:rsidRDefault="00C1665C">
      <w:r>
        <w:separator/>
      </w:r>
    </w:p>
    <w:p w14:paraId="376A9674" w14:textId="77777777" w:rsidR="00C1665C" w:rsidRDefault="00C1665C"/>
  </w:endnote>
  <w:endnote w:type="continuationSeparator" w:id="0">
    <w:p w14:paraId="0BBA4DC3" w14:textId="77777777" w:rsidR="00C1665C" w:rsidRDefault="00C1665C">
      <w:r>
        <w:continuationSeparator/>
      </w:r>
    </w:p>
    <w:p w14:paraId="0545DD61" w14:textId="77777777" w:rsidR="00C1665C" w:rsidRDefault="00C16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8042" w14:textId="1867EB0C" w:rsidR="00A370B5" w:rsidRDefault="00A370B5" w:rsidP="003D5BEB">
    <w:pPr>
      <w:pStyle w:val="Footer"/>
      <w:jc w:val="left"/>
    </w:pPr>
    <w:r>
      <w:t>Victorian Government Purchasing Board</w:t>
    </w:r>
  </w:p>
  <w:p w14:paraId="2D7A7E00" w14:textId="2E869EF9" w:rsidR="003D5BEB" w:rsidRDefault="005B0458" w:rsidP="003D5BEB">
    <w:pPr>
      <w:pStyle w:val="Footer"/>
      <w:jc w:val="left"/>
    </w:pPr>
    <w:r>
      <mc:AlternateContent>
        <mc:Choice Requires="wps">
          <w:drawing>
            <wp:anchor distT="0" distB="0" distL="114300" distR="114300" simplePos="0" relativeHeight="251695104" behindDoc="0" locked="0" layoutInCell="0" allowOverlap="1" wp14:anchorId="4F8C8A68" wp14:editId="5DA69657">
              <wp:simplePos x="0" y="0"/>
              <wp:positionH relativeFrom="page">
                <wp:posOffset>0</wp:posOffset>
              </wp:positionH>
              <wp:positionV relativeFrom="page">
                <wp:posOffset>10236200</wp:posOffset>
              </wp:positionV>
              <wp:extent cx="7557135" cy="266700"/>
              <wp:effectExtent l="0" t="0" r="0" b="0"/>
              <wp:wrapNone/>
              <wp:docPr id="2" name="MSIPCM48fb42f4bf0b5c3393c6f00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26A49" w14:textId="77777777" w:rsidR="005B0458" w:rsidRPr="005B0458" w:rsidRDefault="005B0458" w:rsidP="005B0458">
                          <w:pPr>
                            <w:spacing w:before="0" w:after="0"/>
                            <w:rPr>
                              <w:color w:val="000000"/>
                            </w:rPr>
                          </w:pPr>
                          <w:r w:rsidRPr="005B045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8C8A68" id="_x0000_t202" coordsize="21600,21600" o:spt="202" path="m,l,21600r21600,l21600,xe">
              <v:stroke joinstyle="miter"/>
              <v:path gradientshapeok="t" o:connecttype="rect"/>
            </v:shapetype>
            <v:shape id="MSIPCM48fb42f4bf0b5c3393c6f007"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951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" o:allowincell="f" filled="f" stroked="f" strokeweight=".5pt">
              <v:textbox inset="20pt,0,,0">
                <w:txbxContent>
                  <w:p w14:paraId="5AE26A49" w14:textId="77777777" w:rsidR="005B0458" w:rsidRPr="005B0458" w:rsidRDefault="005B0458" w:rsidP="005B0458">
                    <w:pPr>
                      <w:spacing w:before="0" w:after="0"/>
                      <w:rPr>
                        <w:color w:val="000000"/>
                      </w:rPr>
                    </w:pPr>
                    <w:r w:rsidRPr="005B0458">
                      <w:rPr>
                        <w:color w:val="000000"/>
                      </w:rPr>
                      <w:t>OFFICIAL</w:t>
                    </w:r>
                  </w:p>
                </w:txbxContent>
              </v:textbox>
              <w10:wrap anchorx="page" anchory="page"/>
            </v:shape>
          </w:pict>
        </mc:Fallback>
      </mc:AlternateContent>
    </w:r>
    <w:r w:rsidR="003D5BEB">
      <w:t>Identifying procurement categories – Goods and services procurement guide</w:t>
    </w:r>
  </w:p>
  <w:p w14:paraId="4F409234" w14:textId="06BE6069" w:rsidR="0098787E" w:rsidRDefault="00A370B5" w:rsidP="003D5BEB">
    <w:pPr>
      <w:pStyle w:val="Footer"/>
      <w:tabs>
        <w:tab w:val="clear" w:pos="8220"/>
        <w:tab w:val="right" w:pos="9639"/>
      </w:tabs>
      <w:jc w:val="left"/>
    </w:pPr>
    <w:r>
      <w:t>July 2012</w:t>
    </w:r>
    <w:r w:rsidR="003D5BEB">
      <w:tab/>
    </w:r>
    <w:sdt>
      <w:sdtPr>
        <w:id w:val="-1818486282"/>
        <w:docPartObj>
          <w:docPartGallery w:val="Page Numbers (Bottom of Page)"/>
          <w:docPartUnique/>
        </w:docPartObj>
      </w:sdtPr>
      <w:sdtEndPr/>
      <w:sdtContent>
        <w:sdt>
          <w:sdtPr>
            <w:id w:val="1041181294"/>
            <w:docPartObj>
              <w:docPartGallery w:val="Page Numbers (Top of Page)"/>
              <w:docPartUnique/>
            </w:docPartObj>
          </w:sdtPr>
          <w:sdtEndPr/>
          <w:sdtContent>
            <w:r w:rsidR="003D5BEB">
              <w:t xml:space="preserve">Page </w:t>
            </w:r>
            <w:r w:rsidR="003D5BEB">
              <w:rPr>
                <w:b/>
                <w:bCs/>
                <w:sz w:val="24"/>
                <w:szCs w:val="24"/>
              </w:rPr>
              <w:fldChar w:fldCharType="begin"/>
            </w:r>
            <w:r w:rsidR="003D5BEB">
              <w:rPr>
                <w:b/>
                <w:bCs/>
              </w:rPr>
              <w:instrText xml:space="preserve"> PAGE </w:instrText>
            </w:r>
            <w:r w:rsidR="003D5BEB">
              <w:rPr>
                <w:b/>
                <w:bCs/>
                <w:sz w:val="24"/>
                <w:szCs w:val="24"/>
              </w:rPr>
              <w:fldChar w:fldCharType="separate"/>
            </w:r>
            <w:r w:rsidR="003D5BEB">
              <w:rPr>
                <w:b/>
                <w:bCs/>
              </w:rPr>
              <w:t>2</w:t>
            </w:r>
            <w:r w:rsidR="003D5BEB">
              <w:rPr>
                <w:b/>
                <w:bCs/>
                <w:sz w:val="24"/>
                <w:szCs w:val="24"/>
              </w:rPr>
              <w:fldChar w:fldCharType="end"/>
            </w:r>
            <w:r w:rsidR="003D5BEB">
              <w:t xml:space="preserve"> of </w:t>
            </w:r>
            <w:r w:rsidR="003D5BEB">
              <w:rPr>
                <w:b/>
                <w:bCs/>
                <w:sz w:val="24"/>
                <w:szCs w:val="24"/>
              </w:rPr>
              <w:fldChar w:fldCharType="begin"/>
            </w:r>
            <w:r w:rsidR="003D5BEB">
              <w:rPr>
                <w:b/>
                <w:bCs/>
              </w:rPr>
              <w:instrText xml:space="preserve"> NUMPAGES  </w:instrText>
            </w:r>
            <w:r w:rsidR="003D5BEB">
              <w:rPr>
                <w:b/>
                <w:bCs/>
                <w:sz w:val="24"/>
                <w:szCs w:val="24"/>
              </w:rPr>
              <w:fldChar w:fldCharType="separate"/>
            </w:r>
            <w:r w:rsidR="003D5BEB">
              <w:rPr>
                <w:b/>
                <w:bCs/>
              </w:rPr>
              <w:t>2</w:t>
            </w:r>
            <w:r w:rsidR="003D5BE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010F1" w14:textId="77777777" w:rsidR="003D5BEB" w:rsidRPr="003D5BEB" w:rsidRDefault="003D5BEB" w:rsidP="003D5BEB">
    <w:pPr>
      <w:pStyle w:val="Footer"/>
      <w:tabs>
        <w:tab w:val="clear" w:pos="8220"/>
        <w:tab w:val="right" w:pos="9639"/>
      </w:tabs>
      <w:jc w:val="left"/>
      <w:rPr>
        <w:noProof w:val="0"/>
        <w:sz w:val="22"/>
      </w:rPr>
    </w:pPr>
    <w:r>
      <w:t>Identifying procurement categories - Goods and services procurement guide</w:t>
    </w:r>
    <w:r>
      <w:br/>
    </w:r>
    <w:r w:rsidRPr="003D5BEB">
      <w:rPr>
        <w:highlight w:val="yellow"/>
      </w:rPr>
      <w:t>Month Yea</w:t>
    </w:r>
    <w:r>
      <w:t>r</w:t>
    </w:r>
    <w:r>
      <w:tab/>
    </w:r>
    <w:sdt>
      <w:sdtPr>
        <w:id w:val="14756539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5</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5204" w14:textId="77777777" w:rsidR="00C1665C" w:rsidRDefault="00C1665C">
      <w:r>
        <w:separator/>
      </w:r>
    </w:p>
    <w:p w14:paraId="16FC2EAF" w14:textId="77777777" w:rsidR="00C1665C" w:rsidRDefault="00C1665C"/>
  </w:footnote>
  <w:footnote w:type="continuationSeparator" w:id="0">
    <w:p w14:paraId="4D736315" w14:textId="77777777" w:rsidR="00C1665C" w:rsidRDefault="00C1665C">
      <w:r>
        <w:continuationSeparator/>
      </w:r>
    </w:p>
    <w:p w14:paraId="5EACEE86" w14:textId="77777777" w:rsidR="00C1665C" w:rsidRDefault="00C16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EEFB7" w14:textId="77777777" w:rsidR="0098787E" w:rsidRPr="003D5BEB" w:rsidRDefault="003D5BEB" w:rsidP="003D5BEB">
    <w:pPr>
      <w:pStyle w:val="Header"/>
      <w:tabs>
        <w:tab w:val="clear" w:pos="10350"/>
        <w:tab w:val="right" w:pos="9639"/>
      </w:tabs>
      <w:spacing w:before="240"/>
      <w:ind w:right="102"/>
      <w:rPr>
        <w:sz w:val="20"/>
        <w:szCs w:val="20"/>
      </w:rPr>
    </w:pPr>
    <w:r w:rsidRPr="003D5BEB">
      <w:rPr>
        <w:sz w:val="20"/>
        <w:szCs w:val="20"/>
      </w:rPr>
      <w:t xml:space="preserve">Department of </w:t>
    </w:r>
    <w:r>
      <w:rPr>
        <w:sz w:val="20"/>
        <w:szCs w:val="20"/>
      </w:rPr>
      <w:t>T</w:t>
    </w:r>
    <w:r w:rsidRPr="003D5BEB">
      <w:rPr>
        <w:sz w:val="20"/>
        <w:szCs w:val="20"/>
      </w:rPr>
      <w: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7F95" w14:textId="77777777" w:rsidR="0098787E" w:rsidRPr="003D5BEB" w:rsidRDefault="003D5BEB" w:rsidP="003D5BEB">
    <w:pPr>
      <w:pStyle w:val="Header"/>
      <w:tabs>
        <w:tab w:val="clear" w:pos="10350"/>
        <w:tab w:val="right" w:pos="9639"/>
      </w:tabs>
      <w:spacing w:before="240"/>
      <w:ind w:right="102"/>
      <w:rPr>
        <w:sz w:val="20"/>
        <w:szCs w:val="20"/>
      </w:rPr>
    </w:pPr>
    <w:r w:rsidRPr="003D5BEB">
      <w:rPr>
        <w:sz w:val="20"/>
        <w:szCs w:val="20"/>
      </w:rPr>
      <w:t xml:space="preserve">Department of </w:t>
    </w:r>
    <w:r>
      <w:rPr>
        <w:sz w:val="20"/>
        <w:szCs w:val="20"/>
      </w:rPr>
      <w:t>T</w:t>
    </w:r>
    <w:r w:rsidRPr="003D5BEB">
      <w:rPr>
        <w:sz w:val="20"/>
        <w:szCs w:val="20"/>
      </w:rPr>
      <w: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C8F351A"/>
    <w:multiLevelType w:val="hybridMultilevel"/>
    <w:tmpl w:val="D1AC4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24815"/>
    <w:multiLevelType w:val="hybridMultilevel"/>
    <w:tmpl w:val="3DE2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1"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568A3178"/>
    <w:multiLevelType w:val="hybridMultilevel"/>
    <w:tmpl w:val="EBDCE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9"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1"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8105AE6"/>
    <w:multiLevelType w:val="multilevel"/>
    <w:tmpl w:val="D33C575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2"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0"/>
  </w:num>
  <w:num w:numId="4">
    <w:abstractNumId w:val="20"/>
  </w:num>
  <w:num w:numId="5">
    <w:abstractNumId w:val="6"/>
  </w:num>
  <w:num w:numId="6">
    <w:abstractNumId w:val="5"/>
  </w:num>
  <w:num w:numId="7">
    <w:abstractNumId w:val="4"/>
  </w:num>
  <w:num w:numId="8">
    <w:abstractNumId w:val="35"/>
  </w:num>
  <w:num w:numId="9">
    <w:abstractNumId w:val="22"/>
  </w:num>
  <w:num w:numId="10">
    <w:abstractNumId w:val="11"/>
  </w:num>
  <w:num w:numId="11">
    <w:abstractNumId w:val="13"/>
  </w:num>
  <w:num w:numId="12">
    <w:abstractNumId w:val="34"/>
  </w:num>
  <w:num w:numId="13">
    <w:abstractNumId w:val="16"/>
  </w:num>
  <w:num w:numId="14">
    <w:abstractNumId w:val="26"/>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2"/>
  </w:num>
  <w:num w:numId="19">
    <w:abstractNumId w:val="2"/>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lvlOverride w:ilvl="0">
      <w:startOverride w:val="1"/>
    </w:lvlOverride>
  </w:num>
  <w:num w:numId="24">
    <w:abstractNumId w:val="27"/>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9"/>
  </w:num>
  <w:num w:numId="30">
    <w:abstractNumId w:val="39"/>
  </w:num>
  <w:num w:numId="31">
    <w:abstractNumId w:val="15"/>
  </w:num>
  <w:num w:numId="32">
    <w:abstractNumId w:val="25"/>
  </w:num>
  <w:num w:numId="33">
    <w:abstractNumId w:val="14"/>
  </w:num>
  <w:num w:numId="34">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662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65C"/>
    <w:rsid w:val="00006544"/>
    <w:rsid w:val="00010BD3"/>
    <w:rsid w:val="0001144C"/>
    <w:rsid w:val="00016492"/>
    <w:rsid w:val="00026C82"/>
    <w:rsid w:val="0004698A"/>
    <w:rsid w:val="00063BFD"/>
    <w:rsid w:val="00086691"/>
    <w:rsid w:val="000949CB"/>
    <w:rsid w:val="000A3145"/>
    <w:rsid w:val="000C141A"/>
    <w:rsid w:val="000C1C01"/>
    <w:rsid w:val="000C3368"/>
    <w:rsid w:val="000C3814"/>
    <w:rsid w:val="000E4881"/>
    <w:rsid w:val="000E5B4E"/>
    <w:rsid w:val="000F11C6"/>
    <w:rsid w:val="000F3033"/>
    <w:rsid w:val="000F54E7"/>
    <w:rsid w:val="00104077"/>
    <w:rsid w:val="001213BE"/>
    <w:rsid w:val="001251C4"/>
    <w:rsid w:val="00126C86"/>
    <w:rsid w:val="00135230"/>
    <w:rsid w:val="00143A23"/>
    <w:rsid w:val="00157448"/>
    <w:rsid w:val="00164424"/>
    <w:rsid w:val="00172473"/>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118C0"/>
    <w:rsid w:val="00225175"/>
    <w:rsid w:val="002344F7"/>
    <w:rsid w:val="00252F44"/>
    <w:rsid w:val="002578C1"/>
    <w:rsid w:val="00260106"/>
    <w:rsid w:val="00267317"/>
    <w:rsid w:val="00267638"/>
    <w:rsid w:val="00283A24"/>
    <w:rsid w:val="002A18C2"/>
    <w:rsid w:val="002A4C3E"/>
    <w:rsid w:val="002C4EC9"/>
    <w:rsid w:val="002C6424"/>
    <w:rsid w:val="002E7EFC"/>
    <w:rsid w:val="002F2549"/>
    <w:rsid w:val="002F64DF"/>
    <w:rsid w:val="002F7AEB"/>
    <w:rsid w:val="00307CC0"/>
    <w:rsid w:val="00322500"/>
    <w:rsid w:val="00351035"/>
    <w:rsid w:val="0035331C"/>
    <w:rsid w:val="003738EE"/>
    <w:rsid w:val="00386859"/>
    <w:rsid w:val="00390DD4"/>
    <w:rsid w:val="00391977"/>
    <w:rsid w:val="00392E0C"/>
    <w:rsid w:val="00394D1C"/>
    <w:rsid w:val="00394EA9"/>
    <w:rsid w:val="003969A2"/>
    <w:rsid w:val="003A32E0"/>
    <w:rsid w:val="003A4A87"/>
    <w:rsid w:val="003B0731"/>
    <w:rsid w:val="003B5700"/>
    <w:rsid w:val="003B5EDB"/>
    <w:rsid w:val="003B6A2C"/>
    <w:rsid w:val="003C0F49"/>
    <w:rsid w:val="003D01BD"/>
    <w:rsid w:val="003D5293"/>
    <w:rsid w:val="003D5BEB"/>
    <w:rsid w:val="003E230C"/>
    <w:rsid w:val="003E66B9"/>
    <w:rsid w:val="003F016E"/>
    <w:rsid w:val="003F45D9"/>
    <w:rsid w:val="003F4E27"/>
    <w:rsid w:val="004113E1"/>
    <w:rsid w:val="00422FAB"/>
    <w:rsid w:val="00427659"/>
    <w:rsid w:val="00430A03"/>
    <w:rsid w:val="004455A7"/>
    <w:rsid w:val="00451758"/>
    <w:rsid w:val="00462DB3"/>
    <w:rsid w:val="00466D77"/>
    <w:rsid w:val="00467979"/>
    <w:rsid w:val="00475FC8"/>
    <w:rsid w:val="004776AF"/>
    <w:rsid w:val="00480708"/>
    <w:rsid w:val="004907E5"/>
    <w:rsid w:val="004A2DD7"/>
    <w:rsid w:val="004A460D"/>
    <w:rsid w:val="004B0978"/>
    <w:rsid w:val="004B534D"/>
    <w:rsid w:val="004C7E27"/>
    <w:rsid w:val="004D7D40"/>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652C"/>
    <w:rsid w:val="005A2294"/>
    <w:rsid w:val="005A51DC"/>
    <w:rsid w:val="005B0458"/>
    <w:rsid w:val="005B7317"/>
    <w:rsid w:val="005C69CC"/>
    <w:rsid w:val="005D3801"/>
    <w:rsid w:val="005D502E"/>
    <w:rsid w:val="005E006C"/>
    <w:rsid w:val="005E32AE"/>
    <w:rsid w:val="005F0BBF"/>
    <w:rsid w:val="005F4DD3"/>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08F2"/>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031E"/>
    <w:rsid w:val="0087108A"/>
    <w:rsid w:val="00872CD7"/>
    <w:rsid w:val="00886A1C"/>
    <w:rsid w:val="00891F89"/>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33996"/>
    <w:rsid w:val="009342B3"/>
    <w:rsid w:val="00951F3D"/>
    <w:rsid w:val="00956416"/>
    <w:rsid w:val="009572B6"/>
    <w:rsid w:val="00963ADB"/>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A135CF"/>
    <w:rsid w:val="00A23384"/>
    <w:rsid w:val="00A26015"/>
    <w:rsid w:val="00A370B5"/>
    <w:rsid w:val="00A37A4F"/>
    <w:rsid w:val="00A40F98"/>
    <w:rsid w:val="00A5202A"/>
    <w:rsid w:val="00A6456E"/>
    <w:rsid w:val="00A67EEB"/>
    <w:rsid w:val="00A8571E"/>
    <w:rsid w:val="00A87845"/>
    <w:rsid w:val="00A907C7"/>
    <w:rsid w:val="00A90F14"/>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666A"/>
    <w:rsid w:val="00B57C72"/>
    <w:rsid w:val="00B60925"/>
    <w:rsid w:val="00B82136"/>
    <w:rsid w:val="00B96F20"/>
    <w:rsid w:val="00BA277B"/>
    <w:rsid w:val="00BA7830"/>
    <w:rsid w:val="00BC0888"/>
    <w:rsid w:val="00BC60A9"/>
    <w:rsid w:val="00BD45AA"/>
    <w:rsid w:val="00BE09D0"/>
    <w:rsid w:val="00BE1393"/>
    <w:rsid w:val="00BE5EA2"/>
    <w:rsid w:val="00C01977"/>
    <w:rsid w:val="00C1665C"/>
    <w:rsid w:val="00C16FF3"/>
    <w:rsid w:val="00C252AE"/>
    <w:rsid w:val="00C3191D"/>
    <w:rsid w:val="00C41C46"/>
    <w:rsid w:val="00C71D9D"/>
    <w:rsid w:val="00C81316"/>
    <w:rsid w:val="00C850E0"/>
    <w:rsid w:val="00CA4310"/>
    <w:rsid w:val="00CB72F7"/>
    <w:rsid w:val="00CB793A"/>
    <w:rsid w:val="00CE2166"/>
    <w:rsid w:val="00D000C1"/>
    <w:rsid w:val="00D06C25"/>
    <w:rsid w:val="00D246F2"/>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500D1"/>
    <w:rsid w:val="00E5050B"/>
    <w:rsid w:val="00E5224A"/>
    <w:rsid w:val="00E557E9"/>
    <w:rsid w:val="00E67A56"/>
    <w:rsid w:val="00E7585E"/>
    <w:rsid w:val="00E97E50"/>
    <w:rsid w:val="00EA07C3"/>
    <w:rsid w:val="00EB2189"/>
    <w:rsid w:val="00EC1C00"/>
    <w:rsid w:val="00EC708F"/>
    <w:rsid w:val="00ED03A1"/>
    <w:rsid w:val="00ED45BB"/>
    <w:rsid w:val="00EE0268"/>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4209"/>
    <w:rsid w:val="00F355BA"/>
    <w:rsid w:val="00F40172"/>
    <w:rsid w:val="00F42424"/>
    <w:rsid w:val="00F42854"/>
    <w:rsid w:val="00F52F0F"/>
    <w:rsid w:val="00F57633"/>
    <w:rsid w:val="00F67E0A"/>
    <w:rsid w:val="00F75426"/>
    <w:rsid w:val="00F85551"/>
    <w:rsid w:val="00FA0273"/>
    <w:rsid w:val="00FB6B27"/>
    <w:rsid w:val="00FC023A"/>
    <w:rsid w:val="00FC4A55"/>
    <w:rsid w:val="00FF340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9,#4d4d4d,maroon"/>
    </o:shapedefaults>
    <o:shapelayout v:ext="edit">
      <o:idmap v:ext="edit" data="1"/>
    </o:shapelayout>
  </w:shapeDefaults>
  <w:decimalSymbol w:val="."/>
  <w:listSeparator w:val=","/>
  <w14:docId w14:val="2EE5BE9B"/>
  <w15:docId w15:val="{84035E61-E5AD-4660-9AA7-BB1AA7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268"/>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E0268"/>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E0268"/>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EE0268"/>
    <w:pPr>
      <w:outlineLvl w:val="2"/>
    </w:pPr>
    <w:rPr>
      <w:sz w:val="24"/>
    </w:rPr>
  </w:style>
  <w:style w:type="paragraph" w:styleId="Heading4">
    <w:name w:val="heading 4"/>
    <w:basedOn w:val="Heading3"/>
    <w:next w:val="Normal"/>
    <w:link w:val="Heading4Char"/>
    <w:qFormat/>
    <w:rsid w:val="00EE0268"/>
    <w:pPr>
      <w:numPr>
        <w:ilvl w:val="3"/>
      </w:numPr>
      <w:spacing w:before="160" w:line="280" w:lineRule="atLeast"/>
      <w:outlineLvl w:val="3"/>
    </w:pPr>
    <w:rPr>
      <w:sz w:val="22"/>
    </w:rPr>
  </w:style>
  <w:style w:type="paragraph" w:styleId="Heading5">
    <w:name w:val="heading 5"/>
    <w:basedOn w:val="Heading4"/>
    <w:next w:val="Normal"/>
    <w:uiPriority w:val="3"/>
    <w:semiHidden/>
    <w:qFormat/>
    <w:rsid w:val="00EE0268"/>
    <w:pPr>
      <w:numPr>
        <w:ilvl w:val="4"/>
      </w:numPr>
      <w:outlineLvl w:val="4"/>
    </w:pPr>
    <w:rPr>
      <w:b w:val="0"/>
      <w:bCs/>
      <w:color w:val="404040"/>
    </w:rPr>
  </w:style>
  <w:style w:type="paragraph" w:styleId="Heading6">
    <w:name w:val="heading 6"/>
    <w:basedOn w:val="Heading5"/>
    <w:next w:val="Normal"/>
    <w:uiPriority w:val="3"/>
    <w:semiHidden/>
    <w:qFormat/>
    <w:rsid w:val="00EE0268"/>
    <w:pPr>
      <w:numPr>
        <w:ilvl w:val="5"/>
      </w:numPr>
      <w:outlineLvl w:val="5"/>
    </w:pPr>
    <w:rPr>
      <w:iCs/>
    </w:rPr>
  </w:style>
  <w:style w:type="paragraph" w:styleId="Heading7">
    <w:name w:val="heading 7"/>
    <w:basedOn w:val="Heading6"/>
    <w:next w:val="Normal"/>
    <w:uiPriority w:val="3"/>
    <w:semiHidden/>
    <w:qFormat/>
    <w:rsid w:val="00EE0268"/>
    <w:pPr>
      <w:numPr>
        <w:ilvl w:val="6"/>
      </w:numPr>
      <w:outlineLvl w:val="6"/>
    </w:pPr>
    <w:rPr>
      <w:i/>
    </w:rPr>
  </w:style>
  <w:style w:type="paragraph" w:styleId="Heading8">
    <w:name w:val="heading 8"/>
    <w:basedOn w:val="Heading7"/>
    <w:next w:val="Normal"/>
    <w:uiPriority w:val="3"/>
    <w:semiHidden/>
    <w:qFormat/>
    <w:rsid w:val="00EE0268"/>
    <w:pPr>
      <w:numPr>
        <w:ilvl w:val="7"/>
      </w:numPr>
      <w:outlineLvl w:val="7"/>
    </w:pPr>
    <w:rPr>
      <w:b/>
    </w:rPr>
  </w:style>
  <w:style w:type="paragraph" w:styleId="Heading9">
    <w:name w:val="heading 9"/>
    <w:basedOn w:val="Heading8"/>
    <w:next w:val="Normal"/>
    <w:uiPriority w:val="3"/>
    <w:semiHidden/>
    <w:qFormat/>
    <w:rsid w:val="00EE026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E0268"/>
    <w:pPr>
      <w:spacing w:after="120"/>
    </w:pPr>
  </w:style>
  <w:style w:type="paragraph" w:customStyle="1" w:styleId="Bullet1">
    <w:name w:val="Bullet 1"/>
    <w:basedOn w:val="Normal"/>
    <w:uiPriority w:val="11"/>
    <w:qFormat/>
    <w:rsid w:val="00EE0268"/>
    <w:pPr>
      <w:numPr>
        <w:numId w:val="16"/>
      </w:numPr>
      <w:spacing w:before="0" w:after="0"/>
    </w:pPr>
  </w:style>
  <w:style w:type="character" w:styleId="CommentReference">
    <w:name w:val="annotation reference"/>
    <w:uiPriority w:val="99"/>
    <w:semiHidden/>
    <w:rsid w:val="00EE0268"/>
    <w:rPr>
      <w:rFonts w:ascii="Calibri" w:hAnsi="Calibri"/>
      <w:sz w:val="16"/>
    </w:rPr>
  </w:style>
  <w:style w:type="paragraph" w:styleId="CommentText">
    <w:name w:val="annotation text"/>
    <w:basedOn w:val="Normal"/>
    <w:link w:val="CommentTextChar"/>
    <w:uiPriority w:val="99"/>
    <w:rsid w:val="00EE0268"/>
  </w:style>
  <w:style w:type="character" w:styleId="EndnoteReference">
    <w:name w:val="endnote reference"/>
    <w:uiPriority w:val="49"/>
    <w:semiHidden/>
    <w:rsid w:val="00EE0268"/>
    <w:rPr>
      <w:vertAlign w:val="superscript"/>
    </w:rPr>
  </w:style>
  <w:style w:type="paragraph" w:styleId="EndnoteText">
    <w:name w:val="endnote text"/>
    <w:basedOn w:val="Normal"/>
    <w:uiPriority w:val="49"/>
    <w:semiHidden/>
    <w:rsid w:val="00EE0268"/>
  </w:style>
  <w:style w:type="paragraph" w:styleId="Footer">
    <w:name w:val="footer"/>
    <w:link w:val="FooterChar"/>
    <w:uiPriority w:val="99"/>
    <w:rsid w:val="00EE0268"/>
    <w:pPr>
      <w:tabs>
        <w:tab w:val="right" w:pos="8220"/>
      </w:tabs>
      <w:jc w:val="right"/>
    </w:pPr>
    <w:rPr>
      <w:rFonts w:ascii="Calibri" w:hAnsi="Calibri" w:cs="Calibri"/>
      <w:noProof/>
      <w:szCs w:val="22"/>
    </w:rPr>
  </w:style>
  <w:style w:type="character" w:styleId="FootnoteReference">
    <w:name w:val="footnote reference"/>
    <w:uiPriority w:val="49"/>
    <w:semiHidden/>
    <w:rsid w:val="00EE0268"/>
    <w:rPr>
      <w:vertAlign w:val="superscript"/>
    </w:rPr>
  </w:style>
  <w:style w:type="paragraph" w:styleId="FootnoteText">
    <w:name w:val="footnote text"/>
    <w:basedOn w:val="Normal"/>
    <w:uiPriority w:val="49"/>
    <w:semiHidden/>
    <w:rsid w:val="00EE0268"/>
  </w:style>
  <w:style w:type="character" w:styleId="Hyperlink">
    <w:name w:val="Hyperlink"/>
    <w:uiPriority w:val="99"/>
    <w:semiHidden/>
    <w:rsid w:val="00EE0268"/>
    <w:rPr>
      <w:color w:val="660B68"/>
      <w:u w:val="none"/>
    </w:rPr>
  </w:style>
  <w:style w:type="character" w:styleId="LineNumber">
    <w:name w:val="line number"/>
    <w:basedOn w:val="DefaultParagraphFont"/>
    <w:uiPriority w:val="49"/>
    <w:semiHidden/>
    <w:rsid w:val="00EE0268"/>
  </w:style>
  <w:style w:type="paragraph" w:styleId="MacroText">
    <w:name w:val="macro"/>
    <w:uiPriority w:val="49"/>
    <w:semiHidden/>
    <w:rsid w:val="00EE0268"/>
    <w:rPr>
      <w:rFonts w:ascii="Calibri" w:hAnsi="Calibri" w:cs="Calibri"/>
      <w:sz w:val="22"/>
      <w:szCs w:val="22"/>
    </w:rPr>
  </w:style>
  <w:style w:type="character" w:styleId="PageNumber">
    <w:name w:val="page number"/>
    <w:uiPriority w:val="49"/>
    <w:semiHidden/>
    <w:rsid w:val="00EE0268"/>
    <w:rPr>
      <w:b/>
      <w:color w:val="4C4C4C"/>
      <w:sz w:val="28"/>
    </w:rPr>
  </w:style>
  <w:style w:type="paragraph" w:customStyle="1" w:styleId="NormalIndentItalics">
    <w:name w:val="Normal Indent Italics"/>
    <w:basedOn w:val="NormalIndent"/>
    <w:uiPriority w:val="13"/>
    <w:semiHidden/>
    <w:qFormat/>
    <w:rsid w:val="00EE0268"/>
    <w:rPr>
      <w:i/>
    </w:rPr>
  </w:style>
  <w:style w:type="paragraph" w:styleId="TableofAuthorities">
    <w:name w:val="table of authorities"/>
    <w:basedOn w:val="Normal"/>
    <w:next w:val="Normal"/>
    <w:uiPriority w:val="39"/>
    <w:semiHidden/>
    <w:rsid w:val="00EE0268"/>
    <w:pPr>
      <w:tabs>
        <w:tab w:val="right" w:pos="9072"/>
      </w:tabs>
      <w:ind w:left="200" w:hanging="200"/>
    </w:pPr>
  </w:style>
  <w:style w:type="table" w:styleId="TableGrid">
    <w:name w:val="Table Grid"/>
    <w:basedOn w:val="TableNormal"/>
    <w:rsid w:val="00EE026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E0268"/>
    <w:pPr>
      <w:spacing w:before="0" w:after="120" w:line="240" w:lineRule="auto"/>
    </w:pPr>
    <w:rPr>
      <w:b/>
      <w:color w:val="660B68"/>
      <w:sz w:val="40"/>
    </w:rPr>
  </w:style>
  <w:style w:type="paragraph" w:styleId="TOC1">
    <w:name w:val="toc 1"/>
    <w:basedOn w:val="Normal"/>
    <w:next w:val="Normal"/>
    <w:uiPriority w:val="39"/>
    <w:semiHidden/>
    <w:rsid w:val="00EE0268"/>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E0268"/>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E0268"/>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E0268"/>
    <w:pPr>
      <w:tabs>
        <w:tab w:val="left" w:pos="1701"/>
      </w:tabs>
      <w:spacing w:before="0"/>
      <w:ind w:left="0" w:right="-7" w:firstLine="0"/>
    </w:pPr>
    <w:rPr>
      <w:caps/>
      <w:color w:val="800000"/>
    </w:rPr>
  </w:style>
  <w:style w:type="paragraph" w:styleId="Date">
    <w:name w:val="Date"/>
    <w:basedOn w:val="Normal"/>
    <w:next w:val="Normal"/>
    <w:uiPriority w:val="49"/>
    <w:semiHidden/>
    <w:rsid w:val="00EE0268"/>
    <w:pPr>
      <w:ind w:left="1411"/>
    </w:pPr>
  </w:style>
  <w:style w:type="paragraph" w:customStyle="1" w:styleId="Quotation">
    <w:name w:val="Quotation"/>
    <w:basedOn w:val="Normal"/>
    <w:next w:val="Normal"/>
    <w:uiPriority w:val="49"/>
    <w:semiHidden/>
    <w:rsid w:val="00EE0268"/>
    <w:pPr>
      <w:keepLines/>
      <w:spacing w:before="40"/>
      <w:jc w:val="center"/>
    </w:pPr>
    <w:rPr>
      <w:i/>
      <w:iCs/>
      <w:color w:val="003399"/>
      <w:sz w:val="18"/>
      <w:lang w:eastAsia="en-US"/>
    </w:rPr>
  </w:style>
  <w:style w:type="paragraph" w:styleId="TOC6">
    <w:name w:val="toc 6"/>
    <w:basedOn w:val="Normal"/>
    <w:next w:val="Normal"/>
    <w:autoRedefine/>
    <w:uiPriority w:val="49"/>
    <w:semiHidden/>
    <w:rsid w:val="00EE0268"/>
    <w:pPr>
      <w:spacing w:before="40" w:after="20"/>
      <w:ind w:left="1418" w:hanging="1418"/>
    </w:pPr>
    <w:rPr>
      <w:b/>
      <w:sz w:val="16"/>
    </w:rPr>
  </w:style>
  <w:style w:type="paragraph" w:styleId="TOC7">
    <w:name w:val="toc 7"/>
    <w:basedOn w:val="Normal"/>
    <w:next w:val="Normal"/>
    <w:autoRedefine/>
    <w:uiPriority w:val="49"/>
    <w:semiHidden/>
    <w:rsid w:val="00EE0268"/>
    <w:pPr>
      <w:ind w:left="1440"/>
    </w:pPr>
  </w:style>
  <w:style w:type="paragraph" w:styleId="TOC8">
    <w:name w:val="toc 8"/>
    <w:basedOn w:val="Normal"/>
    <w:next w:val="Normal"/>
    <w:autoRedefine/>
    <w:uiPriority w:val="49"/>
    <w:semiHidden/>
    <w:rsid w:val="00EE0268"/>
    <w:pPr>
      <w:ind w:left="1680"/>
    </w:pPr>
  </w:style>
  <w:style w:type="paragraph" w:styleId="TOC9">
    <w:name w:val="toc 9"/>
    <w:basedOn w:val="Normal"/>
    <w:next w:val="Normal"/>
    <w:autoRedefine/>
    <w:uiPriority w:val="49"/>
    <w:semiHidden/>
    <w:rsid w:val="00EE0268"/>
    <w:pPr>
      <w:ind w:left="2835" w:right="2835"/>
    </w:pPr>
  </w:style>
  <w:style w:type="numbering" w:styleId="111111">
    <w:name w:val="Outline List 2"/>
    <w:basedOn w:val="NoList"/>
    <w:uiPriority w:val="99"/>
    <w:semiHidden/>
    <w:unhideWhenUsed/>
    <w:rsid w:val="00EE0268"/>
    <w:pPr>
      <w:numPr>
        <w:numId w:val="13"/>
      </w:numPr>
    </w:pPr>
  </w:style>
  <w:style w:type="paragraph" w:styleId="BodyText2">
    <w:name w:val="Body Text 2"/>
    <w:basedOn w:val="Normal"/>
    <w:semiHidden/>
    <w:rsid w:val="00EE0268"/>
    <w:pPr>
      <w:spacing w:after="120" w:line="480" w:lineRule="auto"/>
    </w:pPr>
  </w:style>
  <w:style w:type="numbering" w:styleId="1ai">
    <w:name w:val="Outline List 1"/>
    <w:basedOn w:val="NoList"/>
    <w:uiPriority w:val="99"/>
    <w:semiHidden/>
    <w:unhideWhenUsed/>
    <w:rsid w:val="00EE0268"/>
    <w:pPr>
      <w:numPr>
        <w:numId w:val="14"/>
      </w:numPr>
    </w:pPr>
  </w:style>
  <w:style w:type="paragraph" w:customStyle="1" w:styleId="ListBulletBold">
    <w:name w:val="List Bullet Bold"/>
    <w:basedOn w:val="Normal"/>
    <w:next w:val="Normal"/>
    <w:uiPriority w:val="49"/>
    <w:semiHidden/>
    <w:rsid w:val="00EE0268"/>
    <w:rPr>
      <w:b/>
    </w:rPr>
  </w:style>
  <w:style w:type="paragraph" w:styleId="BalloonText">
    <w:name w:val="Balloon Text"/>
    <w:basedOn w:val="Normal"/>
    <w:uiPriority w:val="49"/>
    <w:semiHidden/>
    <w:rsid w:val="00EE0268"/>
    <w:rPr>
      <w:sz w:val="16"/>
      <w:szCs w:val="16"/>
    </w:rPr>
  </w:style>
  <w:style w:type="paragraph" w:styleId="BlockText">
    <w:name w:val="Block Text"/>
    <w:basedOn w:val="Normal"/>
    <w:uiPriority w:val="49"/>
    <w:semiHidden/>
    <w:rsid w:val="00EE0268"/>
    <w:pPr>
      <w:spacing w:after="120"/>
      <w:ind w:left="1440" w:right="1440"/>
    </w:pPr>
  </w:style>
  <w:style w:type="paragraph" w:styleId="BodyText3">
    <w:name w:val="Body Text 3"/>
    <w:basedOn w:val="Normal"/>
    <w:semiHidden/>
    <w:rsid w:val="00EE0268"/>
    <w:pPr>
      <w:spacing w:after="120"/>
    </w:pPr>
    <w:rPr>
      <w:sz w:val="16"/>
      <w:szCs w:val="16"/>
    </w:rPr>
  </w:style>
  <w:style w:type="paragraph" w:styleId="BodyTextFirstIndent">
    <w:name w:val="Body Text First Indent"/>
    <w:basedOn w:val="BodyText"/>
    <w:semiHidden/>
    <w:rsid w:val="00EE0268"/>
    <w:pPr>
      <w:ind w:firstLine="210"/>
    </w:pPr>
  </w:style>
  <w:style w:type="paragraph" w:styleId="BodyTextIndent">
    <w:name w:val="Body Text Indent"/>
    <w:basedOn w:val="Normal"/>
    <w:semiHidden/>
    <w:rsid w:val="00EE0268"/>
    <w:pPr>
      <w:spacing w:after="120"/>
      <w:ind w:left="283"/>
    </w:pPr>
  </w:style>
  <w:style w:type="paragraph" w:styleId="BodyTextFirstIndent2">
    <w:name w:val="Body Text First Indent 2"/>
    <w:basedOn w:val="BodyTextIndent"/>
    <w:semiHidden/>
    <w:rsid w:val="00EE0268"/>
    <w:pPr>
      <w:ind w:firstLine="210"/>
    </w:pPr>
  </w:style>
  <w:style w:type="paragraph" w:styleId="BodyTextIndent2">
    <w:name w:val="Body Text Indent 2"/>
    <w:basedOn w:val="Normal"/>
    <w:semiHidden/>
    <w:rsid w:val="00EE0268"/>
    <w:pPr>
      <w:spacing w:after="120" w:line="480" w:lineRule="auto"/>
      <w:ind w:left="283"/>
    </w:pPr>
  </w:style>
  <w:style w:type="paragraph" w:styleId="BodyTextIndent3">
    <w:name w:val="Body Text Indent 3"/>
    <w:basedOn w:val="Normal"/>
    <w:semiHidden/>
    <w:rsid w:val="00EE0268"/>
    <w:pPr>
      <w:spacing w:after="120"/>
      <w:ind w:left="283"/>
    </w:pPr>
    <w:rPr>
      <w:sz w:val="16"/>
      <w:szCs w:val="16"/>
    </w:rPr>
  </w:style>
  <w:style w:type="paragraph" w:styleId="NoteHeading">
    <w:name w:val="Note Heading"/>
    <w:basedOn w:val="Normal"/>
    <w:next w:val="Normal"/>
    <w:semiHidden/>
    <w:rsid w:val="00EE0268"/>
  </w:style>
  <w:style w:type="paragraph" w:styleId="Closing">
    <w:name w:val="Closing"/>
    <w:basedOn w:val="Normal"/>
    <w:uiPriority w:val="49"/>
    <w:semiHidden/>
    <w:rsid w:val="00EE0268"/>
    <w:pPr>
      <w:ind w:left="4252"/>
    </w:pPr>
  </w:style>
  <w:style w:type="paragraph" w:styleId="CommentSubject">
    <w:name w:val="annotation subject"/>
    <w:basedOn w:val="CommentText"/>
    <w:next w:val="CommentText"/>
    <w:uiPriority w:val="49"/>
    <w:semiHidden/>
    <w:rsid w:val="00EE0268"/>
    <w:rPr>
      <w:b/>
      <w:bCs/>
    </w:rPr>
  </w:style>
  <w:style w:type="paragraph" w:styleId="DocumentMap">
    <w:name w:val="Document Map"/>
    <w:basedOn w:val="Normal"/>
    <w:uiPriority w:val="49"/>
    <w:semiHidden/>
    <w:rsid w:val="00EE0268"/>
    <w:pPr>
      <w:shd w:val="clear" w:color="auto" w:fill="000080"/>
    </w:pPr>
  </w:style>
  <w:style w:type="paragraph" w:styleId="E-mailSignature">
    <w:name w:val="E-mail Signature"/>
    <w:basedOn w:val="Normal"/>
    <w:uiPriority w:val="49"/>
    <w:semiHidden/>
    <w:rsid w:val="00EE0268"/>
  </w:style>
  <w:style w:type="paragraph" w:styleId="EnvelopeAddress">
    <w:name w:val="envelope address"/>
    <w:basedOn w:val="Normal"/>
    <w:uiPriority w:val="49"/>
    <w:semiHidden/>
    <w:rsid w:val="00EE026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E0268"/>
  </w:style>
  <w:style w:type="paragraph" w:styleId="HTMLAddress">
    <w:name w:val="HTML Address"/>
    <w:basedOn w:val="Normal"/>
    <w:uiPriority w:val="49"/>
    <w:semiHidden/>
    <w:rsid w:val="00EE0268"/>
    <w:rPr>
      <w:i/>
      <w:iCs/>
    </w:rPr>
  </w:style>
  <w:style w:type="paragraph" w:styleId="HTMLPreformatted">
    <w:name w:val="HTML Preformatted"/>
    <w:basedOn w:val="Normal"/>
    <w:uiPriority w:val="49"/>
    <w:semiHidden/>
    <w:rsid w:val="00EE0268"/>
  </w:style>
  <w:style w:type="paragraph" w:styleId="Index1">
    <w:name w:val="index 1"/>
    <w:basedOn w:val="Normal"/>
    <w:next w:val="Normal"/>
    <w:autoRedefine/>
    <w:uiPriority w:val="49"/>
    <w:semiHidden/>
    <w:rsid w:val="00EE0268"/>
    <w:pPr>
      <w:ind w:left="200" w:hanging="200"/>
    </w:pPr>
  </w:style>
  <w:style w:type="paragraph" w:styleId="Index2">
    <w:name w:val="index 2"/>
    <w:basedOn w:val="Normal"/>
    <w:next w:val="Normal"/>
    <w:autoRedefine/>
    <w:uiPriority w:val="49"/>
    <w:semiHidden/>
    <w:rsid w:val="00EE0268"/>
    <w:pPr>
      <w:ind w:left="400" w:hanging="200"/>
    </w:pPr>
  </w:style>
  <w:style w:type="paragraph" w:styleId="Index3">
    <w:name w:val="index 3"/>
    <w:basedOn w:val="Normal"/>
    <w:next w:val="Normal"/>
    <w:autoRedefine/>
    <w:uiPriority w:val="49"/>
    <w:semiHidden/>
    <w:rsid w:val="00EE0268"/>
    <w:pPr>
      <w:ind w:left="600" w:hanging="200"/>
    </w:pPr>
  </w:style>
  <w:style w:type="paragraph" w:styleId="Index4">
    <w:name w:val="index 4"/>
    <w:basedOn w:val="Normal"/>
    <w:next w:val="Normal"/>
    <w:autoRedefine/>
    <w:uiPriority w:val="49"/>
    <w:semiHidden/>
    <w:rsid w:val="00EE0268"/>
    <w:pPr>
      <w:ind w:left="800" w:hanging="200"/>
    </w:pPr>
  </w:style>
  <w:style w:type="paragraph" w:styleId="Index5">
    <w:name w:val="index 5"/>
    <w:basedOn w:val="Normal"/>
    <w:next w:val="Normal"/>
    <w:autoRedefine/>
    <w:uiPriority w:val="49"/>
    <w:semiHidden/>
    <w:rsid w:val="00EE0268"/>
    <w:pPr>
      <w:ind w:left="1000" w:hanging="200"/>
    </w:pPr>
  </w:style>
  <w:style w:type="paragraph" w:styleId="Index6">
    <w:name w:val="index 6"/>
    <w:basedOn w:val="Normal"/>
    <w:next w:val="Normal"/>
    <w:autoRedefine/>
    <w:uiPriority w:val="49"/>
    <w:semiHidden/>
    <w:rsid w:val="00EE0268"/>
    <w:pPr>
      <w:ind w:left="1200" w:hanging="200"/>
    </w:pPr>
  </w:style>
  <w:style w:type="paragraph" w:styleId="Index7">
    <w:name w:val="index 7"/>
    <w:basedOn w:val="Normal"/>
    <w:next w:val="Normal"/>
    <w:autoRedefine/>
    <w:uiPriority w:val="49"/>
    <w:semiHidden/>
    <w:rsid w:val="00EE0268"/>
    <w:pPr>
      <w:ind w:left="1400" w:hanging="200"/>
    </w:pPr>
  </w:style>
  <w:style w:type="paragraph" w:styleId="Index8">
    <w:name w:val="index 8"/>
    <w:basedOn w:val="Normal"/>
    <w:next w:val="Normal"/>
    <w:autoRedefine/>
    <w:uiPriority w:val="49"/>
    <w:semiHidden/>
    <w:rsid w:val="00EE0268"/>
    <w:pPr>
      <w:ind w:left="1600" w:hanging="200"/>
    </w:pPr>
  </w:style>
  <w:style w:type="paragraph" w:styleId="Index9">
    <w:name w:val="index 9"/>
    <w:basedOn w:val="Normal"/>
    <w:next w:val="Normal"/>
    <w:autoRedefine/>
    <w:uiPriority w:val="49"/>
    <w:semiHidden/>
    <w:rsid w:val="00EE0268"/>
    <w:pPr>
      <w:ind w:left="1800" w:hanging="200"/>
    </w:pPr>
  </w:style>
  <w:style w:type="paragraph" w:styleId="IndexHeading">
    <w:name w:val="index heading"/>
    <w:basedOn w:val="Normal"/>
    <w:next w:val="Index1"/>
    <w:uiPriority w:val="49"/>
    <w:semiHidden/>
    <w:rsid w:val="00EE0268"/>
    <w:rPr>
      <w:b/>
      <w:bCs/>
    </w:rPr>
  </w:style>
  <w:style w:type="paragraph" w:styleId="List">
    <w:name w:val="List"/>
    <w:basedOn w:val="Normal"/>
    <w:uiPriority w:val="49"/>
    <w:semiHidden/>
    <w:rsid w:val="00EE0268"/>
    <w:pPr>
      <w:ind w:left="283" w:hanging="283"/>
    </w:pPr>
  </w:style>
  <w:style w:type="paragraph" w:styleId="List2">
    <w:name w:val="List 2"/>
    <w:basedOn w:val="Normal"/>
    <w:uiPriority w:val="49"/>
    <w:semiHidden/>
    <w:rsid w:val="00EE0268"/>
    <w:pPr>
      <w:ind w:left="566" w:hanging="283"/>
    </w:pPr>
  </w:style>
  <w:style w:type="paragraph" w:styleId="List3">
    <w:name w:val="List 3"/>
    <w:basedOn w:val="Normal"/>
    <w:uiPriority w:val="49"/>
    <w:semiHidden/>
    <w:rsid w:val="00EE0268"/>
    <w:pPr>
      <w:ind w:left="849" w:hanging="283"/>
    </w:pPr>
  </w:style>
  <w:style w:type="paragraph" w:styleId="List4">
    <w:name w:val="List 4"/>
    <w:basedOn w:val="Normal"/>
    <w:uiPriority w:val="49"/>
    <w:semiHidden/>
    <w:rsid w:val="00EE0268"/>
    <w:pPr>
      <w:ind w:left="1132" w:hanging="283"/>
    </w:pPr>
  </w:style>
  <w:style w:type="paragraph" w:styleId="List5">
    <w:name w:val="List 5"/>
    <w:basedOn w:val="Normal"/>
    <w:uiPriority w:val="49"/>
    <w:semiHidden/>
    <w:rsid w:val="00EE0268"/>
    <w:pPr>
      <w:ind w:left="1415" w:hanging="283"/>
    </w:pPr>
  </w:style>
  <w:style w:type="paragraph" w:styleId="ListBullet4">
    <w:name w:val="List Bullet 4"/>
    <w:basedOn w:val="Normal"/>
    <w:uiPriority w:val="49"/>
    <w:semiHidden/>
    <w:rsid w:val="00EE0268"/>
    <w:pPr>
      <w:tabs>
        <w:tab w:val="num" w:pos="1209"/>
      </w:tabs>
      <w:ind w:left="1209" w:hanging="360"/>
    </w:pPr>
  </w:style>
  <w:style w:type="paragraph" w:styleId="ListBullet5">
    <w:name w:val="List Bullet 5"/>
    <w:basedOn w:val="Normal"/>
    <w:uiPriority w:val="49"/>
    <w:semiHidden/>
    <w:rsid w:val="00EE0268"/>
    <w:pPr>
      <w:tabs>
        <w:tab w:val="num" w:pos="1492"/>
      </w:tabs>
      <w:ind w:left="1492" w:hanging="360"/>
    </w:pPr>
  </w:style>
  <w:style w:type="paragraph" w:styleId="ListContinue4">
    <w:name w:val="List Continue 4"/>
    <w:basedOn w:val="Normal"/>
    <w:uiPriority w:val="49"/>
    <w:semiHidden/>
    <w:rsid w:val="00EE0268"/>
    <w:pPr>
      <w:spacing w:after="120"/>
      <w:ind w:left="1132"/>
    </w:pPr>
  </w:style>
  <w:style w:type="paragraph" w:styleId="ListContinue5">
    <w:name w:val="List Continue 5"/>
    <w:basedOn w:val="Normal"/>
    <w:uiPriority w:val="49"/>
    <w:semiHidden/>
    <w:rsid w:val="00EE0268"/>
    <w:pPr>
      <w:spacing w:after="120"/>
      <w:ind w:left="1415"/>
    </w:pPr>
  </w:style>
  <w:style w:type="paragraph" w:styleId="ListNumber4">
    <w:name w:val="List Number 4"/>
    <w:basedOn w:val="Normal"/>
    <w:uiPriority w:val="49"/>
    <w:semiHidden/>
    <w:rsid w:val="00EE0268"/>
    <w:pPr>
      <w:tabs>
        <w:tab w:val="num" w:pos="1209"/>
      </w:tabs>
      <w:ind w:left="1209" w:hanging="360"/>
    </w:pPr>
  </w:style>
  <w:style w:type="paragraph" w:styleId="ListNumber5">
    <w:name w:val="List Number 5"/>
    <w:basedOn w:val="Normal"/>
    <w:uiPriority w:val="49"/>
    <w:semiHidden/>
    <w:rsid w:val="00EE0268"/>
    <w:pPr>
      <w:tabs>
        <w:tab w:val="num" w:pos="1492"/>
      </w:tabs>
      <w:ind w:left="1492" w:hanging="360"/>
    </w:pPr>
  </w:style>
  <w:style w:type="paragraph" w:styleId="MessageHeader">
    <w:name w:val="Message Header"/>
    <w:basedOn w:val="Normal"/>
    <w:uiPriority w:val="49"/>
    <w:semiHidden/>
    <w:rsid w:val="00EE026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E0268"/>
    <w:rPr>
      <w:sz w:val="24"/>
      <w:szCs w:val="24"/>
    </w:rPr>
  </w:style>
  <w:style w:type="paragraph" w:styleId="PlainText">
    <w:name w:val="Plain Text"/>
    <w:basedOn w:val="Normal"/>
    <w:uiPriority w:val="49"/>
    <w:semiHidden/>
    <w:rsid w:val="00EE0268"/>
  </w:style>
  <w:style w:type="paragraph" w:styleId="Salutation">
    <w:name w:val="Salutation"/>
    <w:basedOn w:val="Normal"/>
    <w:next w:val="Normal"/>
    <w:uiPriority w:val="49"/>
    <w:semiHidden/>
    <w:rsid w:val="00EE0268"/>
  </w:style>
  <w:style w:type="paragraph" w:styleId="Signature">
    <w:name w:val="Signature"/>
    <w:basedOn w:val="Normal"/>
    <w:uiPriority w:val="49"/>
    <w:semiHidden/>
    <w:rsid w:val="00EE0268"/>
    <w:pPr>
      <w:ind w:left="4252"/>
    </w:pPr>
  </w:style>
  <w:style w:type="paragraph" w:styleId="Subtitle">
    <w:name w:val="Subtitle"/>
    <w:basedOn w:val="Normal"/>
    <w:uiPriority w:val="29"/>
    <w:qFormat/>
    <w:rsid w:val="00EE0268"/>
    <w:pPr>
      <w:spacing w:before="0" w:line="240" w:lineRule="auto"/>
    </w:pPr>
    <w:rPr>
      <w:color w:val="4C4C4C"/>
      <w:sz w:val="30"/>
      <w:szCs w:val="24"/>
      <w:lang w:eastAsia="en-US"/>
    </w:rPr>
  </w:style>
  <w:style w:type="paragraph" w:styleId="TOAHeading">
    <w:name w:val="toa heading"/>
    <w:basedOn w:val="Normal"/>
    <w:next w:val="Normal"/>
    <w:uiPriority w:val="39"/>
    <w:semiHidden/>
    <w:rsid w:val="00EE0268"/>
    <w:pPr>
      <w:spacing w:before="120"/>
    </w:pPr>
    <w:rPr>
      <w:b/>
      <w:bCs/>
      <w:sz w:val="24"/>
      <w:szCs w:val="24"/>
    </w:rPr>
  </w:style>
  <w:style w:type="paragraph" w:styleId="TOCHeading">
    <w:name w:val="TOC Heading"/>
    <w:uiPriority w:val="29"/>
    <w:unhideWhenUsed/>
    <w:qFormat/>
    <w:rsid w:val="00EE0268"/>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E0268"/>
    <w:pPr>
      <w:numPr>
        <w:numId w:val="17"/>
      </w:numPr>
      <w:spacing w:before="0" w:after="0"/>
    </w:pPr>
  </w:style>
  <w:style w:type="paragraph" w:customStyle="1" w:styleId="QuoteName">
    <w:name w:val="Quote Name"/>
    <w:basedOn w:val="Normal"/>
    <w:uiPriority w:val="49"/>
    <w:semiHidden/>
    <w:rsid w:val="00EE0268"/>
    <w:pPr>
      <w:spacing w:after="0" w:line="240" w:lineRule="auto"/>
      <w:ind w:left="902" w:right="822"/>
      <w:jc w:val="right"/>
    </w:pPr>
    <w:rPr>
      <w:caps/>
      <w:color w:val="800000"/>
      <w:sz w:val="16"/>
    </w:rPr>
  </w:style>
  <w:style w:type="paragraph" w:styleId="Header">
    <w:name w:val="header"/>
    <w:basedOn w:val="Normal"/>
    <w:uiPriority w:val="24"/>
    <w:semiHidden/>
    <w:rsid w:val="00EE0268"/>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E0268"/>
    <w:pPr>
      <w:keepNext/>
      <w:keepLines/>
      <w:tabs>
        <w:tab w:val="left" w:pos="851"/>
      </w:tabs>
      <w:spacing w:before="240" w:after="120" w:line="240" w:lineRule="auto"/>
    </w:pPr>
    <w:rPr>
      <w:b/>
    </w:rPr>
  </w:style>
  <w:style w:type="paragraph" w:customStyle="1" w:styleId="TableDash">
    <w:name w:val="Table Dash"/>
    <w:basedOn w:val="Normal"/>
    <w:uiPriority w:val="10"/>
    <w:rsid w:val="00EE0268"/>
    <w:pPr>
      <w:numPr>
        <w:ilvl w:val="1"/>
        <w:numId w:val="17"/>
      </w:numPr>
      <w:spacing w:before="0" w:after="0"/>
    </w:pPr>
    <w:rPr>
      <w:sz w:val="20"/>
    </w:rPr>
  </w:style>
  <w:style w:type="paragraph" w:styleId="ListBullet">
    <w:name w:val="List Bullet"/>
    <w:basedOn w:val="Normal"/>
    <w:uiPriority w:val="99"/>
    <w:semiHidden/>
    <w:rsid w:val="00EE0268"/>
    <w:pPr>
      <w:numPr>
        <w:numId w:val="5"/>
      </w:numPr>
      <w:contextualSpacing/>
    </w:pPr>
  </w:style>
  <w:style w:type="paragraph" w:styleId="ListBullet2">
    <w:name w:val="List Bullet 2"/>
    <w:basedOn w:val="Normal"/>
    <w:uiPriority w:val="99"/>
    <w:semiHidden/>
    <w:rsid w:val="00EE0268"/>
    <w:pPr>
      <w:numPr>
        <w:numId w:val="6"/>
      </w:numPr>
      <w:contextualSpacing/>
    </w:pPr>
  </w:style>
  <w:style w:type="paragraph" w:styleId="ListContinue">
    <w:name w:val="List Continue"/>
    <w:basedOn w:val="Normal"/>
    <w:uiPriority w:val="8"/>
    <w:semiHidden/>
    <w:qFormat/>
    <w:rsid w:val="00EE0268"/>
    <w:pPr>
      <w:spacing w:before="0" w:after="0"/>
      <w:ind w:left="1077"/>
    </w:pPr>
  </w:style>
  <w:style w:type="paragraph" w:styleId="ListContinue2">
    <w:name w:val="List Continue 2"/>
    <w:basedOn w:val="Normal"/>
    <w:uiPriority w:val="8"/>
    <w:semiHidden/>
    <w:rsid w:val="00EE0268"/>
    <w:pPr>
      <w:spacing w:before="0" w:after="0"/>
      <w:ind w:left="1361"/>
    </w:pPr>
  </w:style>
  <w:style w:type="paragraph" w:customStyle="1" w:styleId="Spacer">
    <w:name w:val="Spacer"/>
    <w:basedOn w:val="Normal"/>
    <w:uiPriority w:val="13"/>
    <w:qFormat/>
    <w:rsid w:val="00EE0268"/>
    <w:pPr>
      <w:spacing w:before="0" w:after="0" w:line="120" w:lineRule="atLeast"/>
    </w:pPr>
    <w:rPr>
      <w:sz w:val="12"/>
    </w:rPr>
  </w:style>
  <w:style w:type="paragraph" w:customStyle="1" w:styleId="Pictwide">
    <w:name w:val="Pict wide"/>
    <w:basedOn w:val="Normal"/>
    <w:next w:val="Normal"/>
    <w:uiPriority w:val="13"/>
    <w:semiHidden/>
    <w:qFormat/>
    <w:rsid w:val="00EE0268"/>
    <w:pPr>
      <w:widowControl w:val="0"/>
      <w:spacing w:before="160" w:after="320" w:line="240" w:lineRule="auto"/>
    </w:pPr>
    <w:rPr>
      <w:sz w:val="24"/>
    </w:rPr>
  </w:style>
  <w:style w:type="paragraph" w:styleId="TOC4">
    <w:name w:val="toc 4"/>
    <w:basedOn w:val="Normal"/>
    <w:next w:val="Normal"/>
    <w:autoRedefine/>
    <w:uiPriority w:val="39"/>
    <w:semiHidden/>
    <w:unhideWhenUsed/>
    <w:rsid w:val="00EE0268"/>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E0268"/>
    <w:pPr>
      <w:spacing w:before="0" w:after="0"/>
      <w:ind w:left="1644"/>
    </w:pPr>
  </w:style>
  <w:style w:type="paragraph" w:styleId="ListBullet3">
    <w:name w:val="List Bullet 3"/>
    <w:basedOn w:val="Normal"/>
    <w:uiPriority w:val="99"/>
    <w:semiHidden/>
    <w:unhideWhenUsed/>
    <w:rsid w:val="00EE0268"/>
    <w:pPr>
      <w:numPr>
        <w:numId w:val="7"/>
      </w:numPr>
      <w:contextualSpacing/>
    </w:pPr>
  </w:style>
  <w:style w:type="paragraph" w:customStyle="1" w:styleId="TableText">
    <w:name w:val="Table Text"/>
    <w:basedOn w:val="Normal"/>
    <w:uiPriority w:val="15"/>
    <w:qFormat/>
    <w:rsid w:val="00EE0268"/>
    <w:pPr>
      <w:spacing w:before="60" w:after="60" w:line="240" w:lineRule="auto"/>
    </w:pPr>
    <w:rPr>
      <w:sz w:val="20"/>
    </w:rPr>
  </w:style>
  <w:style w:type="numbering" w:styleId="ArticleSection">
    <w:name w:val="Outline List 3"/>
    <w:basedOn w:val="NoList"/>
    <w:uiPriority w:val="99"/>
    <w:semiHidden/>
    <w:unhideWhenUsed/>
    <w:rsid w:val="00EE0268"/>
    <w:pPr>
      <w:numPr>
        <w:numId w:val="15"/>
      </w:numPr>
    </w:pPr>
  </w:style>
  <w:style w:type="paragraph" w:styleId="ListNumber">
    <w:name w:val="List Number"/>
    <w:basedOn w:val="Normal"/>
    <w:uiPriority w:val="7"/>
    <w:semiHidden/>
    <w:qFormat/>
    <w:rsid w:val="00EE0268"/>
    <w:pPr>
      <w:numPr>
        <w:numId w:val="18"/>
      </w:numPr>
      <w:contextualSpacing/>
    </w:pPr>
  </w:style>
  <w:style w:type="table" w:styleId="ColorfulGrid">
    <w:name w:val="Colorful Grid"/>
    <w:basedOn w:val="TableNormal"/>
    <w:uiPriority w:val="73"/>
    <w:semiHidden/>
    <w:rsid w:val="00EE026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E0268"/>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E0268"/>
    <w:pPr>
      <w:keepNext/>
      <w:spacing w:before="40" w:after="40"/>
    </w:pPr>
    <w:rPr>
      <w:color w:val="FFFFFF" w:themeColor="background1"/>
      <w:sz w:val="24"/>
    </w:rPr>
  </w:style>
  <w:style w:type="paragraph" w:customStyle="1" w:styleId="CaptionTable">
    <w:name w:val="Caption Table"/>
    <w:basedOn w:val="Normal"/>
    <w:uiPriority w:val="14"/>
    <w:semiHidden/>
    <w:rsid w:val="00EE0268"/>
    <w:rPr>
      <w:b/>
    </w:rPr>
  </w:style>
  <w:style w:type="paragraph" w:styleId="ListNumber2">
    <w:name w:val="List Number 2"/>
    <w:basedOn w:val="Normal"/>
    <w:uiPriority w:val="7"/>
    <w:semiHidden/>
    <w:rsid w:val="00EE0268"/>
    <w:pPr>
      <w:numPr>
        <w:ilvl w:val="1"/>
        <w:numId w:val="18"/>
      </w:numPr>
      <w:contextualSpacing/>
    </w:pPr>
  </w:style>
  <w:style w:type="table" w:styleId="ColorfulGrid-Accent2">
    <w:name w:val="Colorful Grid Accent 2"/>
    <w:basedOn w:val="TableNormal"/>
    <w:uiPriority w:val="73"/>
    <w:semiHidden/>
    <w:rsid w:val="00EE0268"/>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E026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0268"/>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E0268"/>
    <w:pPr>
      <w:numPr>
        <w:ilvl w:val="1"/>
      </w:numPr>
    </w:pPr>
  </w:style>
  <w:style w:type="paragraph" w:customStyle="1" w:styleId="Bullet3">
    <w:name w:val="Bullet 3"/>
    <w:basedOn w:val="Bullet2"/>
    <w:uiPriority w:val="11"/>
    <w:qFormat/>
    <w:rsid w:val="00EE0268"/>
    <w:pPr>
      <w:numPr>
        <w:ilvl w:val="2"/>
      </w:numPr>
    </w:pPr>
  </w:style>
  <w:style w:type="paragraph" w:styleId="TableofFigures">
    <w:name w:val="table of figures"/>
    <w:basedOn w:val="TOCHeading"/>
    <w:next w:val="Normal"/>
    <w:uiPriority w:val="99"/>
    <w:semiHidden/>
    <w:unhideWhenUsed/>
    <w:rsid w:val="00EE0268"/>
    <w:pPr>
      <w:spacing w:after="0"/>
      <w:ind w:left="0"/>
    </w:pPr>
  </w:style>
  <w:style w:type="paragraph" w:styleId="ListNumber3">
    <w:name w:val="List Number 3"/>
    <w:basedOn w:val="Normal"/>
    <w:uiPriority w:val="7"/>
    <w:semiHidden/>
    <w:rsid w:val="00EE0268"/>
    <w:pPr>
      <w:numPr>
        <w:ilvl w:val="2"/>
        <w:numId w:val="18"/>
      </w:numPr>
      <w:contextualSpacing/>
    </w:pPr>
  </w:style>
  <w:style w:type="table" w:styleId="LightShading-Accent1">
    <w:name w:val="Light Shading Accent 1"/>
    <w:basedOn w:val="TableNormal"/>
    <w:uiPriority w:val="60"/>
    <w:semiHidden/>
    <w:rsid w:val="00EE0268"/>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E0268"/>
    <w:pPr>
      <w:spacing w:after="120" w:line="240" w:lineRule="auto"/>
    </w:pPr>
    <w:rPr>
      <w:i/>
      <w:sz w:val="18"/>
    </w:rPr>
  </w:style>
  <w:style w:type="paragraph" w:customStyle="1" w:styleId="FrontPagesLeft">
    <w:name w:val="Front Pages Left"/>
    <w:basedOn w:val="Normal"/>
    <w:uiPriority w:val="31"/>
    <w:semiHidden/>
    <w:qFormat/>
    <w:rsid w:val="00EE0268"/>
    <w:pPr>
      <w:spacing w:before="0" w:after="0" w:line="200" w:lineRule="atLeast"/>
      <w:ind w:right="6237"/>
    </w:pPr>
    <w:rPr>
      <w:color w:val="000000"/>
      <w:sz w:val="18"/>
      <w:lang w:eastAsia="en-US"/>
    </w:rPr>
  </w:style>
  <w:style w:type="paragraph" w:styleId="ListParagraph">
    <w:name w:val="List Paragraph"/>
    <w:basedOn w:val="Normal"/>
    <w:uiPriority w:val="34"/>
    <w:qFormat/>
    <w:rsid w:val="00EE0268"/>
    <w:pPr>
      <w:ind w:left="720"/>
      <w:contextualSpacing/>
    </w:pPr>
  </w:style>
  <w:style w:type="paragraph" w:styleId="NormalIndent">
    <w:name w:val="Normal Indent"/>
    <w:basedOn w:val="Normal"/>
    <w:semiHidden/>
    <w:rsid w:val="00EE0268"/>
    <w:pPr>
      <w:spacing w:line="240" w:lineRule="exact"/>
      <w:ind w:left="1077" w:right="284"/>
    </w:pPr>
  </w:style>
  <w:style w:type="table" w:styleId="ColorfulGrid-Accent3">
    <w:name w:val="Colorful Grid Accent 3"/>
    <w:basedOn w:val="TableNormal"/>
    <w:uiPriority w:val="73"/>
    <w:semiHidden/>
    <w:rsid w:val="00EE0268"/>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E02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E0268"/>
    <w:rPr>
      <w:rFonts w:ascii="Calibri" w:hAnsi="Calibri"/>
      <w:b/>
      <w:bCs/>
      <w:smallCaps/>
      <w:spacing w:val="5"/>
    </w:rPr>
  </w:style>
  <w:style w:type="character" w:styleId="Emphasis">
    <w:name w:val="Emphasis"/>
    <w:uiPriority w:val="20"/>
    <w:semiHidden/>
    <w:qFormat/>
    <w:rsid w:val="00EE0268"/>
    <w:rPr>
      <w:i/>
      <w:iCs/>
    </w:rPr>
  </w:style>
  <w:style w:type="character" w:styleId="FollowedHyperlink">
    <w:name w:val="FollowedHyperlink"/>
    <w:uiPriority w:val="99"/>
    <w:semiHidden/>
    <w:unhideWhenUsed/>
    <w:rsid w:val="00EE0268"/>
    <w:rPr>
      <w:color w:val="800080"/>
      <w:u w:val="single"/>
    </w:rPr>
  </w:style>
  <w:style w:type="character" w:styleId="HTMLAcronym">
    <w:name w:val="HTML Acronym"/>
    <w:basedOn w:val="DefaultParagraphFont"/>
    <w:uiPriority w:val="99"/>
    <w:semiHidden/>
    <w:rsid w:val="00EE0268"/>
  </w:style>
  <w:style w:type="character" w:styleId="HTMLCite">
    <w:name w:val="HTML Cite"/>
    <w:uiPriority w:val="99"/>
    <w:semiHidden/>
    <w:rsid w:val="00EE0268"/>
    <w:rPr>
      <w:i/>
      <w:iCs/>
    </w:rPr>
  </w:style>
  <w:style w:type="character" w:styleId="HTMLCode">
    <w:name w:val="HTML Code"/>
    <w:uiPriority w:val="99"/>
    <w:semiHidden/>
    <w:rsid w:val="00EE0268"/>
    <w:rPr>
      <w:sz w:val="20"/>
      <w:szCs w:val="20"/>
    </w:rPr>
  </w:style>
  <w:style w:type="character" w:styleId="HTMLDefinition">
    <w:name w:val="HTML Definition"/>
    <w:uiPriority w:val="99"/>
    <w:semiHidden/>
    <w:rsid w:val="00EE0268"/>
    <w:rPr>
      <w:i/>
      <w:iCs/>
    </w:rPr>
  </w:style>
  <w:style w:type="character" w:styleId="HTMLKeyboard">
    <w:name w:val="HTML Keyboard"/>
    <w:uiPriority w:val="99"/>
    <w:semiHidden/>
    <w:rsid w:val="00EE0268"/>
    <w:rPr>
      <w:sz w:val="20"/>
      <w:szCs w:val="20"/>
    </w:rPr>
  </w:style>
  <w:style w:type="character" w:styleId="HTMLSample">
    <w:name w:val="HTML Sample"/>
    <w:uiPriority w:val="99"/>
    <w:semiHidden/>
    <w:rsid w:val="00EE0268"/>
    <w:rPr>
      <w:sz w:val="24"/>
      <w:szCs w:val="24"/>
    </w:rPr>
  </w:style>
  <w:style w:type="character" w:styleId="HTMLTypewriter">
    <w:name w:val="HTML Typewriter"/>
    <w:uiPriority w:val="99"/>
    <w:semiHidden/>
    <w:rsid w:val="00EE0268"/>
    <w:rPr>
      <w:sz w:val="20"/>
      <w:szCs w:val="20"/>
    </w:rPr>
  </w:style>
  <w:style w:type="character" w:styleId="HTMLVariable">
    <w:name w:val="HTML Variable"/>
    <w:uiPriority w:val="99"/>
    <w:semiHidden/>
    <w:rsid w:val="00EE0268"/>
    <w:rPr>
      <w:i/>
      <w:iCs/>
    </w:rPr>
  </w:style>
  <w:style w:type="character" w:styleId="PlaceholderText">
    <w:name w:val="Placeholder Text"/>
    <w:uiPriority w:val="99"/>
    <w:semiHidden/>
    <w:rsid w:val="00EE0268"/>
    <w:rPr>
      <w:color w:val="808080"/>
    </w:rPr>
  </w:style>
  <w:style w:type="paragraph" w:customStyle="1" w:styleId="Attachment1">
    <w:name w:val="Attachment 1"/>
    <w:next w:val="Normal"/>
    <w:uiPriority w:val="19"/>
    <w:semiHidden/>
    <w:qFormat/>
    <w:rsid w:val="00EE0268"/>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E0268"/>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E0268"/>
    <w:pPr>
      <w:spacing w:line="240" w:lineRule="auto"/>
      <w:contextualSpacing/>
    </w:pPr>
    <w:rPr>
      <w:b w:val="0"/>
      <w:sz w:val="40"/>
      <w:szCs w:val="40"/>
    </w:rPr>
  </w:style>
  <w:style w:type="paragraph" w:customStyle="1" w:styleId="NoteNormal">
    <w:name w:val="Note Normal"/>
    <w:basedOn w:val="Normal"/>
    <w:next w:val="Normal"/>
    <w:uiPriority w:val="49"/>
    <w:rsid w:val="00EE0268"/>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E0268"/>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E0268"/>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E0268"/>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E026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E026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E0268"/>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E026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E0268"/>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E0268"/>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E0268"/>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E026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E026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E026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E026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E026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E026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E026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E026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E026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E026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E026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E026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E026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E026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E026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E026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E026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E026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E026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E026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E026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E026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E026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E026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E026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E026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E026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E026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E0268"/>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E0268"/>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E0268"/>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E0268"/>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E0268"/>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E026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E026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E026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E026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E026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E026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E026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E02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E02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E02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E02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E02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E02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E02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E02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E026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E026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E026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E026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E026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E026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E026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E02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E02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E02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E02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E02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E02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E02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E026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E0268"/>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E0268"/>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E0268"/>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E0268"/>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E0268"/>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E026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E02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E0268"/>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0268"/>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0268"/>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0268"/>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0268"/>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0268"/>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0268"/>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0268"/>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0268"/>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0268"/>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0268"/>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0268"/>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0268"/>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0268"/>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0268"/>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0268"/>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E026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0268"/>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0268"/>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026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026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0268"/>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0268"/>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E0268"/>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0268"/>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0268"/>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0268"/>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026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026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0268"/>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0268"/>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E0268"/>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0268"/>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0268"/>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0268"/>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0268"/>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0268"/>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0268"/>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0268"/>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0268"/>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0268"/>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E0268"/>
    <w:pPr>
      <w:numPr>
        <w:ilvl w:val="0"/>
      </w:numPr>
    </w:pPr>
  </w:style>
  <w:style w:type="paragraph" w:customStyle="1" w:styleId="Num1">
    <w:name w:val="Num1"/>
    <w:basedOn w:val="Normal"/>
    <w:rsid w:val="00EE0268"/>
    <w:pPr>
      <w:numPr>
        <w:numId w:val="28"/>
      </w:numPr>
    </w:pPr>
  </w:style>
  <w:style w:type="character" w:customStyle="1" w:styleId="FooterChar">
    <w:name w:val="Footer Char"/>
    <w:basedOn w:val="DefaultParagraphFont"/>
    <w:link w:val="Footer"/>
    <w:uiPriority w:val="99"/>
    <w:rsid w:val="00EE0268"/>
    <w:rPr>
      <w:rFonts w:ascii="Calibri" w:hAnsi="Calibri" w:cs="Calibri"/>
      <w:noProof/>
      <w:szCs w:val="22"/>
    </w:rPr>
  </w:style>
  <w:style w:type="paragraph" w:customStyle="1" w:styleId="Num2">
    <w:name w:val="Num2"/>
    <w:basedOn w:val="Normal"/>
    <w:rsid w:val="00EE0268"/>
    <w:pPr>
      <w:numPr>
        <w:ilvl w:val="1"/>
        <w:numId w:val="28"/>
      </w:numPr>
    </w:pPr>
  </w:style>
  <w:style w:type="paragraph" w:customStyle="1" w:styleId="Num3">
    <w:name w:val="Num3"/>
    <w:basedOn w:val="Normal"/>
    <w:rsid w:val="00EE0268"/>
    <w:pPr>
      <w:numPr>
        <w:ilvl w:val="2"/>
        <w:numId w:val="28"/>
      </w:numPr>
    </w:pPr>
  </w:style>
  <w:style w:type="paragraph" w:customStyle="1" w:styleId="NoteNormalshaded">
    <w:name w:val="Note Normal shaded"/>
    <w:basedOn w:val="NoteNormal"/>
    <w:qFormat/>
    <w:rsid w:val="00EE0268"/>
    <w:pPr>
      <w:shd w:val="clear" w:color="auto" w:fill="D9D9D9" w:themeFill="background1" w:themeFillShade="D9"/>
    </w:pPr>
    <w:rPr>
      <w:sz w:val="20"/>
    </w:rPr>
  </w:style>
  <w:style w:type="paragraph" w:customStyle="1" w:styleId="NoteNormalshadedbullet">
    <w:name w:val="Note Normal shaded bullet"/>
    <w:basedOn w:val="NoteNormalshaded"/>
    <w:qFormat/>
    <w:rsid w:val="00EE0268"/>
    <w:pPr>
      <w:numPr>
        <w:numId w:val="29"/>
      </w:numPr>
      <w:ind w:left="360"/>
    </w:pPr>
  </w:style>
  <w:style w:type="character" w:customStyle="1" w:styleId="Heading4Char">
    <w:name w:val="Heading 4 Char"/>
    <w:basedOn w:val="DefaultParagraphFont"/>
    <w:link w:val="Heading4"/>
    <w:rsid w:val="005B0458"/>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FF340A"/>
    <w:rPr>
      <w:rFonts w:ascii="Calibri" w:hAnsi="Calibri" w:cs="Calibri"/>
      <w:sz w:val="22"/>
      <w:szCs w:val="22"/>
    </w:rPr>
  </w:style>
  <w:style w:type="character" w:styleId="UnresolvedMention">
    <w:name w:val="Unresolved Mention"/>
    <w:basedOn w:val="DefaultParagraphFont"/>
    <w:uiPriority w:val="99"/>
    <w:semiHidden/>
    <w:unhideWhenUsed/>
    <w:rsid w:val="00891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f.vic.gov.au/CIO" TargetMode="External"/><Relationship Id="rId18" Type="http://schemas.openxmlformats.org/officeDocument/2006/relationships/hyperlink" Target="mailto:IPpolicy@dtf.vic.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hyperlink" Target="http://creativecommons.org/licenses/by/3.0/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au/" TargetMode="External"/><Relationship Id="rId23" Type="http://schemas.openxmlformats.org/officeDocument/2006/relationships/fontTable" Target="fontTable.xml"/><Relationship Id="rId10" Type="http://schemas.openxmlformats.org/officeDocument/2006/relationships/oleObject" Target="embeddings/Microsoft_Visio_2003-2010_Drawing.vsd"/><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buyingfor.vic.gov.au/governance-goods-and-services-policy-and-guid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DA78-4322-4B07-84C5-6A4A6AB0B618}">
  <ds:schemaRefs>
    <ds:schemaRef ds:uri="http://www.w3.org/2001/XMLSchema"/>
  </ds:schemaRefs>
</ds:datastoreItem>
</file>

<file path=customXml/itemProps2.xml><?xml version="1.0" encoding="utf-8"?>
<ds:datastoreItem xmlns:ds="http://schemas.openxmlformats.org/officeDocument/2006/customXml" ds:itemID="{8288292A-F408-402D-8976-76D34F27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Lucy Wilby (DPC)</cp:lastModifiedBy>
  <cp:revision>2</cp:revision>
  <cp:lastPrinted>2014-10-09T05:06:00Z</cp:lastPrinted>
  <dcterms:created xsi:type="dcterms:W3CDTF">2019-11-20T02:46:00Z</dcterms:created>
  <dcterms:modified xsi:type="dcterms:W3CDTF">2019-11-20T02:46:00Z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2019-08-25T02:38:18.4140040Z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