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84FC0" w:rsidRDefault="00484FC0" w:rsidP="00484FC0">
      <w:pPr>
        <w:pStyle w:val="Title"/>
      </w:pPr>
      <w:bookmarkStart w:id="0" w:name="_GoBack"/>
      <w:bookmarkEnd w:id="0"/>
    </w:p>
    <w:p w:rsidR="00484FC0" w:rsidRDefault="00484FC0" w:rsidP="00484FC0">
      <w:pPr>
        <w:pStyle w:val="Title"/>
      </w:pPr>
    </w:p>
    <w:p w:rsidR="00484FC0" w:rsidRDefault="00484FC0" w:rsidP="00484FC0">
      <w:pPr>
        <w:pStyle w:val="Title"/>
      </w:pPr>
    </w:p>
    <w:p w:rsidR="00484FC0" w:rsidRDefault="00484FC0" w:rsidP="00484FC0">
      <w:pPr>
        <w:pStyle w:val="Title"/>
      </w:pPr>
    </w:p>
    <w:p w:rsidR="00484FC0" w:rsidRDefault="00484FC0" w:rsidP="00484FC0">
      <w:pPr>
        <w:pStyle w:val="Title"/>
      </w:pPr>
    </w:p>
    <w:p w:rsidR="00484FC0" w:rsidRDefault="00484FC0" w:rsidP="00484FC0">
      <w:pPr>
        <w:pStyle w:val="Title"/>
      </w:pPr>
    </w:p>
    <w:p w:rsidR="00484FC0" w:rsidRDefault="00484FC0" w:rsidP="00484FC0">
      <w:pPr>
        <w:pStyle w:val="Title"/>
      </w:pPr>
    </w:p>
    <w:p w:rsidR="00484FC0" w:rsidRDefault="00484FC0" w:rsidP="00484FC0">
      <w:pPr>
        <w:pStyle w:val="Title"/>
      </w:pPr>
    </w:p>
    <w:p w:rsidR="00484FC0" w:rsidRDefault="00484FC0" w:rsidP="00484FC0">
      <w:pPr>
        <w:pStyle w:val="Title"/>
      </w:pPr>
    </w:p>
    <w:p w:rsidR="00484FC0" w:rsidRDefault="00484FC0" w:rsidP="00484FC0">
      <w:pPr>
        <w:pStyle w:val="Title"/>
      </w:pPr>
    </w:p>
    <w:p w:rsidR="00484FC0" w:rsidRDefault="00484FC0" w:rsidP="00484FC0">
      <w:pPr>
        <w:pStyle w:val="Title"/>
      </w:pPr>
    </w:p>
    <w:p w:rsidR="00484FC0" w:rsidRDefault="00484FC0" w:rsidP="00484FC0">
      <w:pPr>
        <w:pStyle w:val="Title"/>
      </w:pPr>
    </w:p>
    <w:p w:rsidR="00484FC0" w:rsidRDefault="00484FC0" w:rsidP="00484FC0">
      <w:pPr>
        <w:pStyle w:val="Title"/>
      </w:pPr>
    </w:p>
    <w:p w:rsidR="001D56A3" w:rsidRDefault="001D56A3" w:rsidP="001D56A3">
      <w:pPr>
        <w:pStyle w:val="Title"/>
        <w:ind w:right="1212"/>
      </w:pPr>
    </w:p>
    <w:p w:rsidR="001D56A3" w:rsidRDefault="001D56A3" w:rsidP="001D56A3">
      <w:pPr>
        <w:pStyle w:val="Title"/>
        <w:ind w:right="1212"/>
      </w:pPr>
    </w:p>
    <w:p w:rsidR="00982570" w:rsidRDefault="00982570" w:rsidP="001D56A3">
      <w:pPr>
        <w:pStyle w:val="Title"/>
        <w:ind w:right="1212"/>
      </w:pPr>
      <w:r>
        <w:t xml:space="preserve">VGPB </w:t>
      </w:r>
      <w:r w:rsidR="001D56A3" w:rsidRPr="00CD6245">
        <w:t>Annual Report</w:t>
      </w:r>
      <w:r w:rsidR="00211FE8" w:rsidRPr="00CD6245">
        <w:t xml:space="preserve"> </w:t>
      </w:r>
      <w:r>
        <w:t>  </w:t>
      </w:r>
    </w:p>
    <w:p w:rsidR="008D4431" w:rsidRPr="00CD6245" w:rsidRDefault="00211FE8" w:rsidP="001D56A3">
      <w:pPr>
        <w:pStyle w:val="Title"/>
        <w:ind w:right="1212"/>
      </w:pPr>
      <w:r w:rsidRPr="00CD6245">
        <w:t>2015–</w:t>
      </w:r>
      <w:r w:rsidR="00907041" w:rsidRPr="00CD6245">
        <w:t>16</w:t>
      </w:r>
    </w:p>
    <w:p w:rsidR="00982570" w:rsidRDefault="00982570" w:rsidP="00982570">
      <w:pPr>
        <w:pStyle w:val="Subtitle"/>
      </w:pPr>
    </w:p>
    <w:p w:rsidR="00982570" w:rsidRPr="00CD6245" w:rsidRDefault="00982570" w:rsidP="00982570">
      <w:pPr>
        <w:pStyle w:val="Subtitle"/>
      </w:pPr>
      <w:r w:rsidRPr="00CD6245">
        <w:t>Victorian Government Purchasing Board</w:t>
      </w:r>
    </w:p>
    <w:p w:rsidR="00B971DE" w:rsidRPr="006F19A9" w:rsidRDefault="00B971DE" w:rsidP="00484FC0">
      <w:pPr>
        <w:pStyle w:val="Subtitle"/>
        <w:rPr>
          <w:sz w:val="32"/>
          <w:szCs w:val="32"/>
        </w:rPr>
      </w:pPr>
      <w:r w:rsidRPr="006F19A9">
        <w:rPr>
          <w:sz w:val="32"/>
          <w:szCs w:val="32"/>
        </w:rPr>
        <w:t>Achieving excellence in government procurement</w:t>
      </w:r>
    </w:p>
    <w:p w:rsidR="00B971DE" w:rsidRPr="00CD6245" w:rsidRDefault="00B971DE">
      <w:pPr>
        <w:rPr>
          <w:rFonts w:cs="Arial"/>
        </w:rPr>
      </w:pPr>
      <w:r w:rsidRPr="00CD6245">
        <w:rPr>
          <w:rFonts w:cs="Arial"/>
        </w:rPr>
        <w:br w:type="page"/>
      </w:r>
    </w:p>
    <w:p w:rsidR="00344686" w:rsidRPr="00CD6245" w:rsidRDefault="00344686" w:rsidP="00B971DE">
      <w:pPr>
        <w:rPr>
          <w:rFonts w:cs="Arial"/>
        </w:rPr>
      </w:pPr>
    </w:p>
    <w:p w:rsidR="00344686" w:rsidRPr="00CD6245" w:rsidRDefault="00344686" w:rsidP="00B971DE">
      <w:pPr>
        <w:rPr>
          <w:rFonts w:cs="Arial"/>
        </w:rPr>
      </w:pPr>
    </w:p>
    <w:p w:rsidR="00344686" w:rsidRPr="00CD6245" w:rsidRDefault="00344686" w:rsidP="00B971DE">
      <w:pPr>
        <w:rPr>
          <w:rFonts w:cs="Arial"/>
        </w:rPr>
      </w:pPr>
    </w:p>
    <w:p w:rsidR="00344686" w:rsidRPr="00CD6245" w:rsidRDefault="00344686" w:rsidP="00B971DE">
      <w:pPr>
        <w:rPr>
          <w:rFonts w:cs="Arial"/>
        </w:rPr>
      </w:pPr>
    </w:p>
    <w:p w:rsidR="00344686" w:rsidRPr="00CD6245" w:rsidRDefault="00344686" w:rsidP="00B971DE">
      <w:pPr>
        <w:rPr>
          <w:rFonts w:cs="Arial"/>
        </w:rPr>
      </w:pPr>
    </w:p>
    <w:p w:rsidR="00344686" w:rsidRPr="00CD6245" w:rsidRDefault="00344686" w:rsidP="00B971DE">
      <w:pPr>
        <w:rPr>
          <w:rFonts w:cs="Arial"/>
        </w:rPr>
      </w:pPr>
    </w:p>
    <w:p w:rsidR="00344686" w:rsidRPr="00CD6245" w:rsidRDefault="00344686" w:rsidP="00B971DE">
      <w:pPr>
        <w:rPr>
          <w:rFonts w:cs="Arial"/>
        </w:rPr>
      </w:pPr>
    </w:p>
    <w:p w:rsidR="00344686" w:rsidRPr="00CD6245" w:rsidRDefault="00344686" w:rsidP="005B127E">
      <w:pPr>
        <w:pStyle w:val="Normal1"/>
      </w:pPr>
    </w:p>
    <w:p w:rsidR="00344686" w:rsidRPr="00CD6245" w:rsidRDefault="00344686" w:rsidP="005B127E">
      <w:pPr>
        <w:pStyle w:val="Normal1"/>
      </w:pPr>
    </w:p>
    <w:p w:rsidR="00344686" w:rsidRPr="00CD6245" w:rsidRDefault="00344686" w:rsidP="005B127E">
      <w:pPr>
        <w:pStyle w:val="Normal1"/>
      </w:pPr>
    </w:p>
    <w:p w:rsidR="00344686" w:rsidRPr="00CD6245" w:rsidRDefault="00344686" w:rsidP="005B127E">
      <w:pPr>
        <w:pStyle w:val="Normal1"/>
      </w:pPr>
    </w:p>
    <w:p w:rsidR="00344686" w:rsidRPr="00CD6245" w:rsidRDefault="00344686" w:rsidP="005B127E">
      <w:pPr>
        <w:pStyle w:val="Normal1"/>
      </w:pPr>
    </w:p>
    <w:p w:rsidR="00344686" w:rsidRPr="00CD6245" w:rsidRDefault="00344686" w:rsidP="005B127E">
      <w:pPr>
        <w:pStyle w:val="Normal1"/>
      </w:pPr>
    </w:p>
    <w:p w:rsidR="00344686" w:rsidRPr="00CD6245" w:rsidRDefault="00344686" w:rsidP="005B127E">
      <w:pPr>
        <w:pStyle w:val="Normal1"/>
      </w:pPr>
    </w:p>
    <w:p w:rsidR="00344686" w:rsidRPr="00CD6245" w:rsidRDefault="00344686" w:rsidP="005B127E">
      <w:pPr>
        <w:pStyle w:val="Normal1"/>
      </w:pPr>
    </w:p>
    <w:p w:rsidR="003405D2" w:rsidRPr="00CD6245" w:rsidRDefault="003405D2" w:rsidP="005B127E">
      <w:pPr>
        <w:pStyle w:val="Normal1"/>
        <w:rPr>
          <w:b/>
        </w:rPr>
      </w:pPr>
    </w:p>
    <w:p w:rsidR="00B971DE" w:rsidRPr="00CD6245" w:rsidRDefault="00B971DE" w:rsidP="00982570">
      <w:pPr>
        <w:pStyle w:val="Normal1"/>
        <w:ind w:left="0"/>
        <w:rPr>
          <w:b/>
        </w:rPr>
      </w:pPr>
      <w:r w:rsidRPr="00CD6245">
        <w:rPr>
          <w:b/>
        </w:rPr>
        <w:t xml:space="preserve">Victorian Government Purchasing Board Annual Report </w:t>
      </w:r>
      <w:r w:rsidR="00907041" w:rsidRPr="00CD6245">
        <w:rPr>
          <w:b/>
        </w:rPr>
        <w:t>2015–16</w:t>
      </w:r>
    </w:p>
    <w:p w:rsidR="00344686" w:rsidRPr="00CD6245" w:rsidRDefault="00B971DE" w:rsidP="00982570">
      <w:pPr>
        <w:pStyle w:val="Normal1"/>
        <w:spacing w:before="0" w:after="0"/>
        <w:ind w:left="0"/>
      </w:pPr>
      <w:r w:rsidRPr="00CD6245">
        <w:t>Victorian Government Purchasing Board</w:t>
      </w:r>
    </w:p>
    <w:p w:rsidR="00344686" w:rsidRPr="00CD6245" w:rsidRDefault="00B971DE" w:rsidP="00982570">
      <w:pPr>
        <w:pStyle w:val="Normal1"/>
        <w:spacing w:before="0" w:after="0"/>
        <w:ind w:left="0"/>
      </w:pPr>
      <w:r w:rsidRPr="00CD6245">
        <w:t>Telephone: +61 3 9651 1699</w:t>
      </w:r>
    </w:p>
    <w:p w:rsidR="00B971DE" w:rsidRPr="00CD6245" w:rsidRDefault="00B971DE" w:rsidP="00982570">
      <w:pPr>
        <w:pStyle w:val="Normal1"/>
        <w:spacing w:before="0" w:after="0"/>
        <w:ind w:left="0"/>
      </w:pPr>
      <w:r w:rsidRPr="00CD6245">
        <w:t>Email: vgpb@dtf.vic.gov.au</w:t>
      </w:r>
    </w:p>
    <w:p w:rsidR="009022CB" w:rsidRPr="00CD6245" w:rsidRDefault="00B971DE" w:rsidP="00982570">
      <w:pPr>
        <w:pStyle w:val="Normal1"/>
        <w:spacing w:after="0"/>
        <w:ind w:left="0"/>
      </w:pPr>
      <w:r w:rsidRPr="00CD6245">
        <w:t>Authorised by the Victorian Government</w:t>
      </w:r>
    </w:p>
    <w:p w:rsidR="00B971DE" w:rsidRPr="00CD6245" w:rsidRDefault="001D56A3" w:rsidP="00982570">
      <w:pPr>
        <w:pStyle w:val="Normal1"/>
        <w:spacing w:before="0"/>
        <w:ind w:left="0"/>
      </w:pPr>
      <w:r w:rsidRPr="00CD6245">
        <w:t>1 Treasury Place Melbourne</w:t>
      </w:r>
      <w:r w:rsidR="00B971DE" w:rsidRPr="00CD6245">
        <w:t xml:space="preserve"> Victoria 3002</w:t>
      </w:r>
    </w:p>
    <w:p w:rsidR="00DF1ECB" w:rsidRPr="00CD6245" w:rsidRDefault="00DF1ECB" w:rsidP="00982570">
      <w:pPr>
        <w:pStyle w:val="Normal1"/>
        <w:spacing w:before="0" w:after="0"/>
        <w:ind w:left="0"/>
        <w:rPr>
          <w:lang w:val="en-US"/>
        </w:rPr>
      </w:pPr>
      <w:r w:rsidRPr="00CD6245">
        <w:rPr>
          <w:lang w:val="en-US"/>
        </w:rPr>
        <w:t xml:space="preserve">Printed by </w:t>
      </w:r>
      <w:r w:rsidR="00CD0E46" w:rsidRPr="00CD6245">
        <w:rPr>
          <w:lang w:val="en-US"/>
        </w:rPr>
        <w:t>Doculink</w:t>
      </w:r>
      <w:r w:rsidRPr="00CD6245">
        <w:rPr>
          <w:lang w:val="en-US"/>
        </w:rPr>
        <w:t>, Port Melbourne</w:t>
      </w:r>
    </w:p>
    <w:p w:rsidR="00DF1ECB" w:rsidRPr="00CD6245" w:rsidRDefault="00DF1ECB" w:rsidP="00982570">
      <w:pPr>
        <w:pStyle w:val="Normal1"/>
        <w:spacing w:before="0" w:after="0"/>
        <w:ind w:left="0"/>
        <w:rPr>
          <w:lang w:val="en-US"/>
        </w:rPr>
      </w:pPr>
      <w:r w:rsidRPr="00CD6245">
        <w:rPr>
          <w:lang w:val="en-US"/>
        </w:rPr>
        <w:t>Printed on 100 per cent recycled paper</w:t>
      </w:r>
    </w:p>
    <w:p w:rsidR="00DF1ECB" w:rsidRPr="00CD6245" w:rsidRDefault="00DF1ECB" w:rsidP="00982570">
      <w:pPr>
        <w:pStyle w:val="Normal1"/>
        <w:spacing w:before="0" w:after="0"/>
        <w:ind w:left="0"/>
        <w:rPr>
          <w:lang w:val="en-US"/>
        </w:rPr>
      </w:pPr>
    </w:p>
    <w:p w:rsidR="00DF1ECB" w:rsidRPr="00CD6245" w:rsidRDefault="00DF1ECB" w:rsidP="00982570">
      <w:pPr>
        <w:pStyle w:val="Normal1"/>
        <w:spacing w:before="0" w:after="0"/>
        <w:ind w:left="0"/>
        <w:rPr>
          <w:lang w:val="en-US"/>
        </w:rPr>
      </w:pPr>
      <w:r w:rsidRPr="00CD6245">
        <w:rPr>
          <w:noProof/>
        </w:rPr>
        <w:drawing>
          <wp:inline distT="0" distB="0" distL="0" distR="0" wp14:anchorId="44A7CB64" wp14:editId="743295C4">
            <wp:extent cx="1251984" cy="438194"/>
            <wp:effectExtent l="19050" t="0" r="5316" b="0"/>
            <wp:docPr id="4" name="Picture 1"/>
            <wp:cNvGraphicFramePr/>
            <a:graphic xmlns:a="http://schemas.openxmlformats.org/drawingml/2006/main">
              <a:graphicData uri="http://schemas.openxmlformats.org/drawingml/2006/picture">
                <pic:pic xmlns:pic="http://schemas.openxmlformats.org/drawingml/2006/picture">
                  <pic:nvPicPr>
                    <pic:cNvPr id="0" name="by.eps"/>
                    <pic:cNvPicPr/>
                  </pic:nvPicPr>
                  <pic:blipFill>
                    <a:blip r:embed="rId9">
                      <a:extLst>
                        <a:ext uri="{28A0092B-C50C-407E-A947-70E740481C1C}">
                          <a14:useLocalDpi xmlns:a14="http://schemas.microsoft.com/office/drawing/2010/main" val="0"/>
                        </a:ext>
                      </a:extLst>
                    </a:blip>
                    <a:stretch>
                      <a:fillRect/>
                    </a:stretch>
                  </pic:blipFill>
                  <pic:spPr>
                    <a:xfrm>
                      <a:off x="0" y="0"/>
                      <a:ext cx="1251984" cy="438194"/>
                    </a:xfrm>
                    <a:prstGeom prst="rect">
                      <a:avLst/>
                    </a:prstGeom>
                  </pic:spPr>
                </pic:pic>
              </a:graphicData>
            </a:graphic>
          </wp:inline>
        </w:drawing>
      </w:r>
    </w:p>
    <w:p w:rsidR="00B971DE" w:rsidRPr="00CD6245" w:rsidRDefault="00B971DE" w:rsidP="00982570">
      <w:pPr>
        <w:pStyle w:val="Normal1"/>
        <w:ind w:left="0"/>
      </w:pPr>
      <w:r w:rsidRPr="00CD6245">
        <w:t xml:space="preserve">© </w:t>
      </w:r>
      <w:r w:rsidR="001D56A3" w:rsidRPr="00CD6245">
        <w:t xml:space="preserve">State of Victoria </w:t>
      </w:r>
      <w:r w:rsidR="00DF1ECB" w:rsidRPr="00CD6245">
        <w:rPr>
          <w:lang w:val="en-US"/>
        </w:rPr>
        <w:t xml:space="preserve">(Victorian Government Purchasing Board) </w:t>
      </w:r>
      <w:r w:rsidR="006E1F03" w:rsidRPr="00CD6245">
        <w:t>2016</w:t>
      </w:r>
    </w:p>
    <w:p w:rsidR="00982570" w:rsidRPr="00982570" w:rsidRDefault="00982570" w:rsidP="00982570">
      <w:pPr>
        <w:pStyle w:val="Normal1"/>
        <w:spacing w:before="0"/>
        <w:ind w:left="0"/>
      </w:pPr>
      <w:r w:rsidRPr="00982570">
        <w:rPr>
          <w:lang w:val="en-US"/>
        </w:rPr>
        <w:t xml:space="preserve">You are free to re-use this work under a Creative Commons Attribution 4.0 licence, provided you credit the State of Victoria (Victorian Government Purchasing Board) as author, indicate if changes were made and comply with the other licence terms. The licence does not apply </w:t>
      </w:r>
      <w:r w:rsidRPr="00982570">
        <w:t>to any images, photographs or branding, including government logos.</w:t>
      </w:r>
    </w:p>
    <w:p w:rsidR="00982570" w:rsidRPr="00982570" w:rsidRDefault="00982570" w:rsidP="00982570">
      <w:pPr>
        <w:pStyle w:val="Normal1"/>
        <w:spacing w:before="0"/>
        <w:ind w:left="0"/>
      </w:pPr>
      <w:r w:rsidRPr="00982570">
        <w:t xml:space="preserve">Copyright queries may be directed to </w:t>
      </w:r>
      <w:hyperlink r:id="rId10" w:history="1">
        <w:r w:rsidRPr="00982570">
          <w:t>IPpolicy@dtf.vic.gov.au</w:t>
        </w:r>
      </w:hyperlink>
    </w:p>
    <w:p w:rsidR="00982570" w:rsidRPr="00982570" w:rsidRDefault="00982570" w:rsidP="00982570">
      <w:pPr>
        <w:pStyle w:val="Normal1"/>
        <w:spacing w:before="0"/>
        <w:ind w:left="0"/>
      </w:pPr>
      <w:r w:rsidRPr="00982570">
        <w:t>ISSN 1444-4097</w:t>
      </w:r>
    </w:p>
    <w:p w:rsidR="00982570" w:rsidRPr="00982570" w:rsidRDefault="00982570" w:rsidP="00982570">
      <w:pPr>
        <w:pStyle w:val="Normal1"/>
        <w:spacing w:before="0"/>
        <w:ind w:left="0"/>
      </w:pPr>
      <w:r w:rsidRPr="00982570">
        <w:t>Published October 2016</w:t>
      </w:r>
    </w:p>
    <w:p w:rsidR="00982570" w:rsidRPr="00982570" w:rsidRDefault="00982570" w:rsidP="00982570">
      <w:pPr>
        <w:pStyle w:val="Normal1"/>
        <w:spacing w:before="0"/>
        <w:ind w:left="0"/>
      </w:pPr>
      <w:r w:rsidRPr="00982570">
        <w:t>Designed by Cordial Creative</w:t>
      </w:r>
    </w:p>
    <w:p w:rsidR="00982570" w:rsidRPr="00982570" w:rsidRDefault="00982570" w:rsidP="00982570">
      <w:pPr>
        <w:pStyle w:val="Normal1"/>
        <w:spacing w:before="0"/>
        <w:ind w:left="0"/>
      </w:pPr>
      <w:r w:rsidRPr="00982570">
        <w:t>This document is available in PDF and Word format at www.procurement.vic.gov.au.</w:t>
      </w:r>
    </w:p>
    <w:p w:rsidR="005862F8" w:rsidRPr="00CD6245" w:rsidRDefault="005862F8" w:rsidP="0043686D">
      <w:pPr>
        <w:pStyle w:val="TOCHeading"/>
        <w:ind w:left="709"/>
      </w:pPr>
      <w:r w:rsidRPr="00CD6245">
        <w:lastRenderedPageBreak/>
        <w:t>Contents</w:t>
      </w:r>
    </w:p>
    <w:p w:rsidR="005862F8" w:rsidRPr="00CD6245" w:rsidRDefault="005862F8" w:rsidP="009F4D80">
      <w:pPr>
        <w:pStyle w:val="Normal1"/>
      </w:pPr>
      <w:r w:rsidRPr="00CD6245">
        <w:t xml:space="preserve">As required by section 54M of the </w:t>
      </w:r>
      <w:r w:rsidRPr="00CD6245">
        <w:rPr>
          <w:i/>
        </w:rPr>
        <w:t>Financial Management Act 1994</w:t>
      </w:r>
      <w:r w:rsidRPr="00CD6245">
        <w:t>, this annual report describes the work and activities of the Victorian Government P</w:t>
      </w:r>
      <w:r w:rsidR="00AE1EB4" w:rsidRPr="00CD6245">
        <w:t>urchasi</w:t>
      </w:r>
      <w:r w:rsidR="00303B8F" w:rsidRPr="00CD6245">
        <w:t>ng Board from 1 July 2015</w:t>
      </w:r>
      <w:r w:rsidRPr="00CD6245">
        <w:t xml:space="preserve"> to 30 June 201</w:t>
      </w:r>
      <w:r w:rsidR="00303B8F" w:rsidRPr="00CD6245">
        <w:t>6</w:t>
      </w:r>
      <w:r w:rsidRPr="00CD6245">
        <w:t xml:space="preserve">. This report has information about purchasing activity carried out by the </w:t>
      </w:r>
      <w:r w:rsidR="000749FD" w:rsidRPr="00CD6245">
        <w:t>seven</w:t>
      </w:r>
      <w:r w:rsidR="005D5A96" w:rsidRPr="00CD6245">
        <w:t xml:space="preserve"> </w:t>
      </w:r>
      <w:r w:rsidRPr="00CD6245">
        <w:t>Victorian Government departments</w:t>
      </w:r>
      <w:r w:rsidR="00303B8F" w:rsidRPr="00CD6245">
        <w:t xml:space="preserve">, </w:t>
      </w:r>
      <w:r w:rsidRPr="00CD6245">
        <w:t>Victoria Police</w:t>
      </w:r>
      <w:r w:rsidR="00303B8F" w:rsidRPr="00CD6245">
        <w:t xml:space="preserve"> and VicRoads</w:t>
      </w:r>
      <w:r w:rsidRPr="00CD6245">
        <w:t>.</w:t>
      </w:r>
    </w:p>
    <w:p w:rsidR="001D56A3" w:rsidRPr="00CD6245" w:rsidRDefault="001D56A3" w:rsidP="009F4D80">
      <w:pPr>
        <w:pStyle w:val="Normal1"/>
      </w:pPr>
    </w:p>
    <w:p w:rsidR="00387C16" w:rsidRDefault="002B07C2">
      <w:pPr>
        <w:pStyle w:val="TOC1"/>
        <w:tabs>
          <w:tab w:val="right" w:leader="dot" w:pos="8290"/>
        </w:tabs>
        <w:rPr>
          <w:rFonts w:asciiTheme="minorHAnsi" w:eastAsiaTheme="minorEastAsia" w:hAnsiTheme="minorHAnsi" w:cstheme="minorBidi"/>
          <w:noProof/>
          <w:szCs w:val="22"/>
          <w:lang w:val="en-US" w:eastAsia="en-US"/>
        </w:rPr>
      </w:pPr>
      <w:r w:rsidRPr="00CD6245">
        <w:rPr>
          <w:rFonts w:cs="Arial"/>
          <w:sz w:val="20"/>
        </w:rPr>
        <w:fldChar w:fldCharType="begin"/>
      </w:r>
      <w:r w:rsidR="0043686D" w:rsidRPr="00CD6245">
        <w:rPr>
          <w:rFonts w:cs="Arial"/>
        </w:rPr>
        <w:instrText xml:space="preserve"> TOC \o "1-2" \h \z \u </w:instrText>
      </w:r>
      <w:r w:rsidRPr="00CD6245">
        <w:rPr>
          <w:rFonts w:cs="Arial"/>
          <w:sz w:val="20"/>
        </w:rPr>
        <w:fldChar w:fldCharType="separate"/>
      </w:r>
      <w:hyperlink w:anchor="_Toc463527706" w:history="1">
        <w:r w:rsidR="00387C16" w:rsidRPr="00390CC1">
          <w:rPr>
            <w:rStyle w:val="Hyperlink"/>
            <w:noProof/>
          </w:rPr>
          <w:t>Message from the Chair</w:t>
        </w:r>
        <w:r w:rsidR="00387C16">
          <w:rPr>
            <w:noProof/>
            <w:webHidden/>
          </w:rPr>
          <w:tab/>
        </w:r>
        <w:r w:rsidR="00387C16">
          <w:rPr>
            <w:noProof/>
            <w:webHidden/>
          </w:rPr>
          <w:fldChar w:fldCharType="begin"/>
        </w:r>
        <w:r w:rsidR="00387C16">
          <w:rPr>
            <w:noProof/>
            <w:webHidden/>
          </w:rPr>
          <w:instrText xml:space="preserve"> PAGEREF _Toc463527706 \h </w:instrText>
        </w:r>
        <w:r w:rsidR="00387C16">
          <w:rPr>
            <w:noProof/>
            <w:webHidden/>
          </w:rPr>
        </w:r>
        <w:r w:rsidR="00387C16">
          <w:rPr>
            <w:noProof/>
            <w:webHidden/>
          </w:rPr>
          <w:fldChar w:fldCharType="separate"/>
        </w:r>
        <w:r w:rsidR="002E75B9">
          <w:rPr>
            <w:noProof/>
            <w:webHidden/>
          </w:rPr>
          <w:t>6</w:t>
        </w:r>
        <w:r w:rsidR="00387C16">
          <w:rPr>
            <w:noProof/>
            <w:webHidden/>
          </w:rPr>
          <w:fldChar w:fldCharType="end"/>
        </w:r>
      </w:hyperlink>
    </w:p>
    <w:p w:rsidR="00387C16" w:rsidRDefault="009B20D8">
      <w:pPr>
        <w:pStyle w:val="TOC1"/>
        <w:tabs>
          <w:tab w:val="right" w:leader="dot" w:pos="8290"/>
        </w:tabs>
        <w:rPr>
          <w:rFonts w:asciiTheme="minorHAnsi" w:eastAsiaTheme="minorEastAsia" w:hAnsiTheme="minorHAnsi" w:cstheme="minorBidi"/>
          <w:noProof/>
          <w:szCs w:val="22"/>
          <w:lang w:val="en-US" w:eastAsia="en-US"/>
        </w:rPr>
      </w:pPr>
      <w:hyperlink w:anchor="_Toc463527707" w:history="1">
        <w:r w:rsidR="00387C16" w:rsidRPr="00390CC1">
          <w:rPr>
            <w:rStyle w:val="Hyperlink"/>
            <w:noProof/>
          </w:rPr>
          <w:t>Year in review</w:t>
        </w:r>
        <w:r w:rsidR="00387C16">
          <w:rPr>
            <w:noProof/>
            <w:webHidden/>
          </w:rPr>
          <w:tab/>
        </w:r>
        <w:r w:rsidR="00387C16">
          <w:rPr>
            <w:noProof/>
            <w:webHidden/>
          </w:rPr>
          <w:fldChar w:fldCharType="begin"/>
        </w:r>
        <w:r w:rsidR="00387C16">
          <w:rPr>
            <w:noProof/>
            <w:webHidden/>
          </w:rPr>
          <w:instrText xml:space="preserve"> PAGEREF _Toc463527707 \h </w:instrText>
        </w:r>
        <w:r w:rsidR="00387C16">
          <w:rPr>
            <w:noProof/>
            <w:webHidden/>
          </w:rPr>
        </w:r>
        <w:r w:rsidR="00387C16">
          <w:rPr>
            <w:noProof/>
            <w:webHidden/>
          </w:rPr>
          <w:fldChar w:fldCharType="separate"/>
        </w:r>
        <w:r w:rsidR="002E75B9">
          <w:rPr>
            <w:noProof/>
            <w:webHidden/>
          </w:rPr>
          <w:t>7</w:t>
        </w:r>
        <w:r w:rsidR="00387C16">
          <w:rPr>
            <w:noProof/>
            <w:webHidden/>
          </w:rPr>
          <w:fldChar w:fldCharType="end"/>
        </w:r>
      </w:hyperlink>
    </w:p>
    <w:p w:rsidR="00387C16" w:rsidRDefault="009B20D8">
      <w:pPr>
        <w:pStyle w:val="TOC2"/>
        <w:tabs>
          <w:tab w:val="right" w:leader="dot" w:pos="8290"/>
        </w:tabs>
        <w:rPr>
          <w:rFonts w:asciiTheme="minorHAnsi" w:eastAsiaTheme="minorEastAsia" w:hAnsiTheme="minorHAnsi" w:cstheme="minorBidi"/>
          <w:noProof/>
          <w:sz w:val="22"/>
          <w:szCs w:val="22"/>
          <w:lang w:val="en-US" w:eastAsia="en-US"/>
        </w:rPr>
      </w:pPr>
      <w:hyperlink w:anchor="_Toc463527708" w:history="1">
        <w:r w:rsidR="00387C16" w:rsidRPr="00390CC1">
          <w:rPr>
            <w:rStyle w:val="Hyperlink"/>
            <w:noProof/>
          </w:rPr>
          <w:t>Strategic priorities in 2015–16</w:t>
        </w:r>
        <w:r w:rsidR="00387C16">
          <w:rPr>
            <w:noProof/>
            <w:webHidden/>
          </w:rPr>
          <w:tab/>
        </w:r>
        <w:r w:rsidR="00387C16">
          <w:rPr>
            <w:noProof/>
            <w:webHidden/>
          </w:rPr>
          <w:fldChar w:fldCharType="begin"/>
        </w:r>
        <w:r w:rsidR="00387C16">
          <w:rPr>
            <w:noProof/>
            <w:webHidden/>
          </w:rPr>
          <w:instrText xml:space="preserve"> PAGEREF _Toc463527708 \h </w:instrText>
        </w:r>
        <w:r w:rsidR="00387C16">
          <w:rPr>
            <w:noProof/>
            <w:webHidden/>
          </w:rPr>
        </w:r>
        <w:r w:rsidR="00387C16">
          <w:rPr>
            <w:noProof/>
            <w:webHidden/>
          </w:rPr>
          <w:fldChar w:fldCharType="separate"/>
        </w:r>
        <w:r w:rsidR="002E75B9">
          <w:rPr>
            <w:noProof/>
            <w:webHidden/>
          </w:rPr>
          <w:t>7</w:t>
        </w:r>
        <w:r w:rsidR="00387C16">
          <w:rPr>
            <w:noProof/>
            <w:webHidden/>
          </w:rPr>
          <w:fldChar w:fldCharType="end"/>
        </w:r>
      </w:hyperlink>
    </w:p>
    <w:p w:rsidR="00387C16" w:rsidRDefault="009B20D8">
      <w:pPr>
        <w:pStyle w:val="TOC2"/>
        <w:tabs>
          <w:tab w:val="right" w:leader="dot" w:pos="8290"/>
        </w:tabs>
        <w:rPr>
          <w:rFonts w:asciiTheme="minorHAnsi" w:eastAsiaTheme="minorEastAsia" w:hAnsiTheme="minorHAnsi" w:cstheme="minorBidi"/>
          <w:noProof/>
          <w:sz w:val="22"/>
          <w:szCs w:val="22"/>
          <w:lang w:val="en-US" w:eastAsia="en-US"/>
        </w:rPr>
      </w:pPr>
      <w:hyperlink w:anchor="_Toc463527709" w:history="1">
        <w:r w:rsidR="00387C16" w:rsidRPr="00390CC1">
          <w:rPr>
            <w:rStyle w:val="Hyperlink"/>
            <w:noProof/>
          </w:rPr>
          <w:t>Changes to the annual report in 2015–16</w:t>
        </w:r>
        <w:r w:rsidR="00387C16">
          <w:rPr>
            <w:noProof/>
            <w:webHidden/>
          </w:rPr>
          <w:tab/>
        </w:r>
        <w:r w:rsidR="00387C16">
          <w:rPr>
            <w:noProof/>
            <w:webHidden/>
          </w:rPr>
          <w:fldChar w:fldCharType="begin"/>
        </w:r>
        <w:r w:rsidR="00387C16">
          <w:rPr>
            <w:noProof/>
            <w:webHidden/>
          </w:rPr>
          <w:instrText xml:space="preserve"> PAGEREF _Toc463527709 \h </w:instrText>
        </w:r>
        <w:r w:rsidR="00387C16">
          <w:rPr>
            <w:noProof/>
            <w:webHidden/>
          </w:rPr>
        </w:r>
        <w:r w:rsidR="00387C16">
          <w:rPr>
            <w:noProof/>
            <w:webHidden/>
          </w:rPr>
          <w:fldChar w:fldCharType="separate"/>
        </w:r>
        <w:r w:rsidR="002E75B9">
          <w:rPr>
            <w:noProof/>
            <w:webHidden/>
          </w:rPr>
          <w:t>14</w:t>
        </w:r>
        <w:r w:rsidR="00387C16">
          <w:rPr>
            <w:noProof/>
            <w:webHidden/>
          </w:rPr>
          <w:fldChar w:fldCharType="end"/>
        </w:r>
      </w:hyperlink>
    </w:p>
    <w:p w:rsidR="00387C16" w:rsidRDefault="009B20D8">
      <w:pPr>
        <w:pStyle w:val="TOC2"/>
        <w:tabs>
          <w:tab w:val="right" w:leader="dot" w:pos="8290"/>
        </w:tabs>
        <w:rPr>
          <w:rFonts w:asciiTheme="minorHAnsi" w:eastAsiaTheme="minorEastAsia" w:hAnsiTheme="minorHAnsi" w:cstheme="minorBidi"/>
          <w:noProof/>
          <w:sz w:val="22"/>
          <w:szCs w:val="22"/>
          <w:lang w:val="en-US" w:eastAsia="en-US"/>
        </w:rPr>
      </w:pPr>
      <w:hyperlink w:anchor="_Toc463527710" w:history="1">
        <w:r w:rsidR="00387C16" w:rsidRPr="00390CC1">
          <w:rPr>
            <w:rStyle w:val="Hyperlink"/>
            <w:noProof/>
          </w:rPr>
          <w:t>Strategic priorities for 2016–21</w:t>
        </w:r>
        <w:r w:rsidR="00387C16">
          <w:rPr>
            <w:noProof/>
            <w:webHidden/>
          </w:rPr>
          <w:tab/>
        </w:r>
        <w:r w:rsidR="00387C16">
          <w:rPr>
            <w:noProof/>
            <w:webHidden/>
          </w:rPr>
          <w:fldChar w:fldCharType="begin"/>
        </w:r>
        <w:r w:rsidR="00387C16">
          <w:rPr>
            <w:noProof/>
            <w:webHidden/>
          </w:rPr>
          <w:instrText xml:space="preserve"> PAGEREF _Toc463527710 \h </w:instrText>
        </w:r>
        <w:r w:rsidR="00387C16">
          <w:rPr>
            <w:noProof/>
            <w:webHidden/>
          </w:rPr>
        </w:r>
        <w:r w:rsidR="00387C16">
          <w:rPr>
            <w:noProof/>
            <w:webHidden/>
          </w:rPr>
          <w:fldChar w:fldCharType="separate"/>
        </w:r>
        <w:r w:rsidR="002E75B9">
          <w:rPr>
            <w:noProof/>
            <w:webHidden/>
          </w:rPr>
          <w:t>14</w:t>
        </w:r>
        <w:r w:rsidR="00387C16">
          <w:rPr>
            <w:noProof/>
            <w:webHidden/>
          </w:rPr>
          <w:fldChar w:fldCharType="end"/>
        </w:r>
      </w:hyperlink>
    </w:p>
    <w:p w:rsidR="00387C16" w:rsidRDefault="009B20D8">
      <w:pPr>
        <w:pStyle w:val="TOC1"/>
        <w:tabs>
          <w:tab w:val="right" w:leader="dot" w:pos="8290"/>
        </w:tabs>
        <w:rPr>
          <w:rFonts w:asciiTheme="minorHAnsi" w:eastAsiaTheme="minorEastAsia" w:hAnsiTheme="minorHAnsi" w:cstheme="minorBidi"/>
          <w:noProof/>
          <w:szCs w:val="22"/>
          <w:lang w:val="en-US" w:eastAsia="en-US"/>
        </w:rPr>
      </w:pPr>
      <w:hyperlink w:anchor="_Toc463527711" w:history="1">
        <w:r w:rsidR="00387C16" w:rsidRPr="00390CC1">
          <w:rPr>
            <w:rStyle w:val="Hyperlink"/>
            <w:noProof/>
          </w:rPr>
          <w:t>About the VGPB</w:t>
        </w:r>
        <w:r w:rsidR="00387C16">
          <w:rPr>
            <w:noProof/>
            <w:webHidden/>
          </w:rPr>
          <w:tab/>
        </w:r>
        <w:r w:rsidR="00387C16">
          <w:rPr>
            <w:noProof/>
            <w:webHidden/>
          </w:rPr>
          <w:fldChar w:fldCharType="begin"/>
        </w:r>
        <w:r w:rsidR="00387C16">
          <w:rPr>
            <w:noProof/>
            <w:webHidden/>
          </w:rPr>
          <w:instrText xml:space="preserve"> PAGEREF _Toc463527711 \h </w:instrText>
        </w:r>
        <w:r w:rsidR="00387C16">
          <w:rPr>
            <w:noProof/>
            <w:webHidden/>
          </w:rPr>
        </w:r>
        <w:r w:rsidR="00387C16">
          <w:rPr>
            <w:noProof/>
            <w:webHidden/>
          </w:rPr>
          <w:fldChar w:fldCharType="separate"/>
        </w:r>
        <w:r w:rsidR="002E75B9">
          <w:rPr>
            <w:noProof/>
            <w:webHidden/>
          </w:rPr>
          <w:t>17</w:t>
        </w:r>
        <w:r w:rsidR="00387C16">
          <w:rPr>
            <w:noProof/>
            <w:webHidden/>
          </w:rPr>
          <w:fldChar w:fldCharType="end"/>
        </w:r>
      </w:hyperlink>
    </w:p>
    <w:p w:rsidR="00387C16" w:rsidRDefault="009B20D8">
      <w:pPr>
        <w:pStyle w:val="TOC2"/>
        <w:tabs>
          <w:tab w:val="right" w:leader="dot" w:pos="8290"/>
        </w:tabs>
        <w:rPr>
          <w:rFonts w:asciiTheme="minorHAnsi" w:eastAsiaTheme="minorEastAsia" w:hAnsiTheme="minorHAnsi" w:cstheme="minorBidi"/>
          <w:noProof/>
          <w:sz w:val="22"/>
          <w:szCs w:val="22"/>
          <w:lang w:val="en-US" w:eastAsia="en-US"/>
        </w:rPr>
      </w:pPr>
      <w:hyperlink w:anchor="_Toc463527712" w:history="1">
        <w:r w:rsidR="00387C16" w:rsidRPr="00390CC1">
          <w:rPr>
            <w:rStyle w:val="Hyperlink"/>
            <w:noProof/>
          </w:rPr>
          <w:t>Vision and mission</w:t>
        </w:r>
        <w:r w:rsidR="00387C16">
          <w:rPr>
            <w:noProof/>
            <w:webHidden/>
          </w:rPr>
          <w:tab/>
        </w:r>
        <w:r w:rsidR="00387C16">
          <w:rPr>
            <w:noProof/>
            <w:webHidden/>
          </w:rPr>
          <w:fldChar w:fldCharType="begin"/>
        </w:r>
        <w:r w:rsidR="00387C16">
          <w:rPr>
            <w:noProof/>
            <w:webHidden/>
          </w:rPr>
          <w:instrText xml:space="preserve"> PAGEREF _Toc463527712 \h </w:instrText>
        </w:r>
        <w:r w:rsidR="00387C16">
          <w:rPr>
            <w:noProof/>
            <w:webHidden/>
          </w:rPr>
        </w:r>
        <w:r w:rsidR="00387C16">
          <w:rPr>
            <w:noProof/>
            <w:webHidden/>
          </w:rPr>
          <w:fldChar w:fldCharType="separate"/>
        </w:r>
        <w:r w:rsidR="002E75B9">
          <w:rPr>
            <w:noProof/>
            <w:webHidden/>
          </w:rPr>
          <w:t>17</w:t>
        </w:r>
        <w:r w:rsidR="00387C16">
          <w:rPr>
            <w:noProof/>
            <w:webHidden/>
          </w:rPr>
          <w:fldChar w:fldCharType="end"/>
        </w:r>
      </w:hyperlink>
    </w:p>
    <w:p w:rsidR="00387C16" w:rsidRDefault="009B20D8">
      <w:pPr>
        <w:pStyle w:val="TOC2"/>
        <w:tabs>
          <w:tab w:val="right" w:leader="dot" w:pos="8290"/>
        </w:tabs>
        <w:rPr>
          <w:rFonts w:asciiTheme="minorHAnsi" w:eastAsiaTheme="minorEastAsia" w:hAnsiTheme="minorHAnsi" w:cstheme="minorBidi"/>
          <w:noProof/>
          <w:sz w:val="22"/>
          <w:szCs w:val="22"/>
          <w:lang w:val="en-US" w:eastAsia="en-US"/>
        </w:rPr>
      </w:pPr>
      <w:hyperlink w:anchor="_Toc463527713" w:history="1">
        <w:r w:rsidR="00387C16" w:rsidRPr="00390CC1">
          <w:rPr>
            <w:rStyle w:val="Hyperlink"/>
            <w:noProof/>
          </w:rPr>
          <w:t>Directives</w:t>
        </w:r>
        <w:r w:rsidR="00387C16">
          <w:rPr>
            <w:noProof/>
            <w:webHidden/>
          </w:rPr>
          <w:tab/>
        </w:r>
        <w:r w:rsidR="00387C16">
          <w:rPr>
            <w:noProof/>
            <w:webHidden/>
          </w:rPr>
          <w:fldChar w:fldCharType="begin"/>
        </w:r>
        <w:r w:rsidR="00387C16">
          <w:rPr>
            <w:noProof/>
            <w:webHidden/>
          </w:rPr>
          <w:instrText xml:space="preserve"> PAGEREF _Toc463527713 \h </w:instrText>
        </w:r>
        <w:r w:rsidR="00387C16">
          <w:rPr>
            <w:noProof/>
            <w:webHidden/>
          </w:rPr>
        </w:r>
        <w:r w:rsidR="00387C16">
          <w:rPr>
            <w:noProof/>
            <w:webHidden/>
          </w:rPr>
          <w:fldChar w:fldCharType="separate"/>
        </w:r>
        <w:r w:rsidR="002E75B9">
          <w:rPr>
            <w:noProof/>
            <w:webHidden/>
          </w:rPr>
          <w:t>17</w:t>
        </w:r>
        <w:r w:rsidR="00387C16">
          <w:rPr>
            <w:noProof/>
            <w:webHidden/>
          </w:rPr>
          <w:fldChar w:fldCharType="end"/>
        </w:r>
      </w:hyperlink>
    </w:p>
    <w:p w:rsidR="00387C16" w:rsidRDefault="009B20D8">
      <w:pPr>
        <w:pStyle w:val="TOC2"/>
        <w:tabs>
          <w:tab w:val="right" w:leader="dot" w:pos="8290"/>
        </w:tabs>
        <w:rPr>
          <w:rFonts w:asciiTheme="minorHAnsi" w:eastAsiaTheme="minorEastAsia" w:hAnsiTheme="minorHAnsi" w:cstheme="minorBidi"/>
          <w:noProof/>
          <w:sz w:val="22"/>
          <w:szCs w:val="22"/>
          <w:lang w:val="en-US" w:eastAsia="en-US"/>
        </w:rPr>
      </w:pPr>
      <w:hyperlink w:anchor="_Toc463527714" w:history="1">
        <w:r w:rsidR="00387C16" w:rsidRPr="00390CC1">
          <w:rPr>
            <w:rStyle w:val="Hyperlink"/>
            <w:noProof/>
          </w:rPr>
          <w:t>Functions and powers</w:t>
        </w:r>
        <w:r w:rsidR="00387C16">
          <w:rPr>
            <w:noProof/>
            <w:webHidden/>
          </w:rPr>
          <w:tab/>
        </w:r>
        <w:r w:rsidR="00387C16">
          <w:rPr>
            <w:noProof/>
            <w:webHidden/>
          </w:rPr>
          <w:fldChar w:fldCharType="begin"/>
        </w:r>
        <w:r w:rsidR="00387C16">
          <w:rPr>
            <w:noProof/>
            <w:webHidden/>
          </w:rPr>
          <w:instrText xml:space="preserve"> PAGEREF _Toc463527714 \h </w:instrText>
        </w:r>
        <w:r w:rsidR="00387C16">
          <w:rPr>
            <w:noProof/>
            <w:webHidden/>
          </w:rPr>
        </w:r>
        <w:r w:rsidR="00387C16">
          <w:rPr>
            <w:noProof/>
            <w:webHidden/>
          </w:rPr>
          <w:fldChar w:fldCharType="separate"/>
        </w:r>
        <w:r w:rsidR="002E75B9">
          <w:rPr>
            <w:noProof/>
            <w:webHidden/>
          </w:rPr>
          <w:t>18</w:t>
        </w:r>
        <w:r w:rsidR="00387C16">
          <w:rPr>
            <w:noProof/>
            <w:webHidden/>
          </w:rPr>
          <w:fldChar w:fldCharType="end"/>
        </w:r>
      </w:hyperlink>
    </w:p>
    <w:p w:rsidR="00387C16" w:rsidRDefault="009B20D8">
      <w:pPr>
        <w:pStyle w:val="TOC2"/>
        <w:tabs>
          <w:tab w:val="right" w:leader="dot" w:pos="8290"/>
        </w:tabs>
        <w:rPr>
          <w:rFonts w:asciiTheme="minorHAnsi" w:eastAsiaTheme="minorEastAsia" w:hAnsiTheme="minorHAnsi" w:cstheme="minorBidi"/>
          <w:noProof/>
          <w:sz w:val="22"/>
          <w:szCs w:val="22"/>
          <w:lang w:val="en-US" w:eastAsia="en-US"/>
        </w:rPr>
      </w:pPr>
      <w:hyperlink w:anchor="_Toc463527715" w:history="1">
        <w:r w:rsidR="00387C16" w:rsidRPr="00390CC1">
          <w:rPr>
            <w:rStyle w:val="Hyperlink"/>
            <w:noProof/>
          </w:rPr>
          <w:t>Scope of VGPB policies</w:t>
        </w:r>
        <w:r w:rsidR="00387C16">
          <w:rPr>
            <w:noProof/>
            <w:webHidden/>
          </w:rPr>
          <w:tab/>
        </w:r>
        <w:r w:rsidR="00387C16">
          <w:rPr>
            <w:noProof/>
            <w:webHidden/>
          </w:rPr>
          <w:fldChar w:fldCharType="begin"/>
        </w:r>
        <w:r w:rsidR="00387C16">
          <w:rPr>
            <w:noProof/>
            <w:webHidden/>
          </w:rPr>
          <w:instrText xml:space="preserve"> PAGEREF _Toc463527715 \h </w:instrText>
        </w:r>
        <w:r w:rsidR="00387C16">
          <w:rPr>
            <w:noProof/>
            <w:webHidden/>
          </w:rPr>
        </w:r>
        <w:r w:rsidR="00387C16">
          <w:rPr>
            <w:noProof/>
            <w:webHidden/>
          </w:rPr>
          <w:fldChar w:fldCharType="separate"/>
        </w:r>
        <w:r w:rsidR="002E75B9">
          <w:rPr>
            <w:noProof/>
            <w:webHidden/>
          </w:rPr>
          <w:t>19</w:t>
        </w:r>
        <w:r w:rsidR="00387C16">
          <w:rPr>
            <w:noProof/>
            <w:webHidden/>
          </w:rPr>
          <w:fldChar w:fldCharType="end"/>
        </w:r>
      </w:hyperlink>
    </w:p>
    <w:p w:rsidR="00387C16" w:rsidRDefault="009B20D8">
      <w:pPr>
        <w:pStyle w:val="TOC2"/>
        <w:tabs>
          <w:tab w:val="right" w:leader="dot" w:pos="8290"/>
        </w:tabs>
        <w:rPr>
          <w:rFonts w:asciiTheme="minorHAnsi" w:eastAsiaTheme="minorEastAsia" w:hAnsiTheme="minorHAnsi" w:cstheme="minorBidi"/>
          <w:noProof/>
          <w:sz w:val="22"/>
          <w:szCs w:val="22"/>
          <w:lang w:val="en-US" w:eastAsia="en-US"/>
        </w:rPr>
      </w:pPr>
      <w:hyperlink w:anchor="_Toc463527716" w:history="1">
        <w:r w:rsidR="00387C16" w:rsidRPr="00390CC1">
          <w:rPr>
            <w:rStyle w:val="Hyperlink"/>
            <w:noProof/>
          </w:rPr>
          <w:t>Compliance with VGPB policies</w:t>
        </w:r>
        <w:r w:rsidR="00387C16">
          <w:rPr>
            <w:noProof/>
            <w:webHidden/>
          </w:rPr>
          <w:tab/>
        </w:r>
        <w:r w:rsidR="00387C16">
          <w:rPr>
            <w:noProof/>
            <w:webHidden/>
          </w:rPr>
          <w:fldChar w:fldCharType="begin"/>
        </w:r>
        <w:r w:rsidR="00387C16">
          <w:rPr>
            <w:noProof/>
            <w:webHidden/>
          </w:rPr>
          <w:instrText xml:space="preserve"> PAGEREF _Toc463527716 \h </w:instrText>
        </w:r>
        <w:r w:rsidR="00387C16">
          <w:rPr>
            <w:noProof/>
            <w:webHidden/>
          </w:rPr>
        </w:r>
        <w:r w:rsidR="00387C16">
          <w:rPr>
            <w:noProof/>
            <w:webHidden/>
          </w:rPr>
          <w:fldChar w:fldCharType="separate"/>
        </w:r>
        <w:r w:rsidR="002E75B9">
          <w:rPr>
            <w:noProof/>
            <w:webHidden/>
          </w:rPr>
          <w:t>21</w:t>
        </w:r>
        <w:r w:rsidR="00387C16">
          <w:rPr>
            <w:noProof/>
            <w:webHidden/>
          </w:rPr>
          <w:fldChar w:fldCharType="end"/>
        </w:r>
      </w:hyperlink>
    </w:p>
    <w:p w:rsidR="00387C16" w:rsidRDefault="009B20D8">
      <w:pPr>
        <w:pStyle w:val="TOC2"/>
        <w:tabs>
          <w:tab w:val="right" w:leader="dot" w:pos="8290"/>
        </w:tabs>
        <w:rPr>
          <w:rFonts w:asciiTheme="minorHAnsi" w:eastAsiaTheme="minorEastAsia" w:hAnsiTheme="minorHAnsi" w:cstheme="minorBidi"/>
          <w:noProof/>
          <w:sz w:val="22"/>
          <w:szCs w:val="22"/>
          <w:lang w:val="en-US" w:eastAsia="en-US"/>
        </w:rPr>
      </w:pPr>
      <w:hyperlink w:anchor="_Toc463527717" w:history="1">
        <w:r w:rsidR="00387C16" w:rsidRPr="00390CC1">
          <w:rPr>
            <w:rStyle w:val="Hyperlink"/>
            <w:noProof/>
            <w:lang w:val="en-GB"/>
          </w:rPr>
          <w:t>VGPB members</w:t>
        </w:r>
        <w:r w:rsidR="00387C16">
          <w:rPr>
            <w:noProof/>
            <w:webHidden/>
          </w:rPr>
          <w:tab/>
        </w:r>
        <w:r w:rsidR="00387C16">
          <w:rPr>
            <w:noProof/>
            <w:webHidden/>
          </w:rPr>
          <w:fldChar w:fldCharType="begin"/>
        </w:r>
        <w:r w:rsidR="00387C16">
          <w:rPr>
            <w:noProof/>
            <w:webHidden/>
          </w:rPr>
          <w:instrText xml:space="preserve"> PAGEREF _Toc463527717 \h </w:instrText>
        </w:r>
        <w:r w:rsidR="00387C16">
          <w:rPr>
            <w:noProof/>
            <w:webHidden/>
          </w:rPr>
        </w:r>
        <w:r w:rsidR="00387C16">
          <w:rPr>
            <w:noProof/>
            <w:webHidden/>
          </w:rPr>
          <w:fldChar w:fldCharType="separate"/>
        </w:r>
        <w:r w:rsidR="002E75B9">
          <w:rPr>
            <w:noProof/>
            <w:webHidden/>
          </w:rPr>
          <w:t>22</w:t>
        </w:r>
        <w:r w:rsidR="00387C16">
          <w:rPr>
            <w:noProof/>
            <w:webHidden/>
          </w:rPr>
          <w:fldChar w:fldCharType="end"/>
        </w:r>
      </w:hyperlink>
    </w:p>
    <w:p w:rsidR="00387C16" w:rsidRDefault="009B20D8">
      <w:pPr>
        <w:pStyle w:val="TOC1"/>
        <w:tabs>
          <w:tab w:val="right" w:leader="dot" w:pos="8290"/>
        </w:tabs>
        <w:rPr>
          <w:rFonts w:asciiTheme="minorHAnsi" w:eastAsiaTheme="minorEastAsia" w:hAnsiTheme="minorHAnsi" w:cstheme="minorBidi"/>
          <w:noProof/>
          <w:szCs w:val="22"/>
          <w:lang w:val="en-US" w:eastAsia="en-US"/>
        </w:rPr>
      </w:pPr>
      <w:hyperlink w:anchor="_Toc463527718" w:history="1">
        <w:r w:rsidR="00387C16" w:rsidRPr="00390CC1">
          <w:rPr>
            <w:rStyle w:val="Hyperlink"/>
            <w:noProof/>
          </w:rPr>
          <w:t>Procurement spend</w:t>
        </w:r>
        <w:r w:rsidR="00387C16">
          <w:rPr>
            <w:noProof/>
            <w:webHidden/>
          </w:rPr>
          <w:tab/>
        </w:r>
        <w:r w:rsidR="00387C16">
          <w:rPr>
            <w:noProof/>
            <w:webHidden/>
          </w:rPr>
          <w:fldChar w:fldCharType="begin"/>
        </w:r>
        <w:r w:rsidR="00387C16">
          <w:rPr>
            <w:noProof/>
            <w:webHidden/>
          </w:rPr>
          <w:instrText xml:space="preserve"> PAGEREF _Toc463527718 \h </w:instrText>
        </w:r>
        <w:r w:rsidR="00387C16">
          <w:rPr>
            <w:noProof/>
            <w:webHidden/>
          </w:rPr>
        </w:r>
        <w:r w:rsidR="00387C16">
          <w:rPr>
            <w:noProof/>
            <w:webHidden/>
          </w:rPr>
          <w:fldChar w:fldCharType="separate"/>
        </w:r>
        <w:r w:rsidR="002E75B9">
          <w:rPr>
            <w:noProof/>
            <w:webHidden/>
          </w:rPr>
          <w:t>26</w:t>
        </w:r>
        <w:r w:rsidR="00387C16">
          <w:rPr>
            <w:noProof/>
            <w:webHidden/>
          </w:rPr>
          <w:fldChar w:fldCharType="end"/>
        </w:r>
      </w:hyperlink>
    </w:p>
    <w:p w:rsidR="00387C16" w:rsidRDefault="009B20D8">
      <w:pPr>
        <w:pStyle w:val="TOC2"/>
        <w:tabs>
          <w:tab w:val="right" w:leader="dot" w:pos="8290"/>
        </w:tabs>
        <w:rPr>
          <w:rFonts w:asciiTheme="minorHAnsi" w:eastAsiaTheme="minorEastAsia" w:hAnsiTheme="minorHAnsi" w:cstheme="minorBidi"/>
          <w:noProof/>
          <w:sz w:val="22"/>
          <w:szCs w:val="22"/>
          <w:lang w:val="en-US" w:eastAsia="en-US"/>
        </w:rPr>
      </w:pPr>
      <w:hyperlink w:anchor="_Toc463527719" w:history="1">
        <w:r w:rsidR="00387C16" w:rsidRPr="00390CC1">
          <w:rPr>
            <w:rStyle w:val="Hyperlink"/>
            <w:noProof/>
          </w:rPr>
          <w:t>Overview of procurement spend</w:t>
        </w:r>
        <w:r w:rsidR="00387C16">
          <w:rPr>
            <w:noProof/>
            <w:webHidden/>
          </w:rPr>
          <w:tab/>
        </w:r>
        <w:r w:rsidR="00387C16">
          <w:rPr>
            <w:noProof/>
            <w:webHidden/>
          </w:rPr>
          <w:fldChar w:fldCharType="begin"/>
        </w:r>
        <w:r w:rsidR="00387C16">
          <w:rPr>
            <w:noProof/>
            <w:webHidden/>
          </w:rPr>
          <w:instrText xml:space="preserve"> PAGEREF _Toc463527719 \h </w:instrText>
        </w:r>
        <w:r w:rsidR="00387C16">
          <w:rPr>
            <w:noProof/>
            <w:webHidden/>
          </w:rPr>
        </w:r>
        <w:r w:rsidR="00387C16">
          <w:rPr>
            <w:noProof/>
            <w:webHidden/>
          </w:rPr>
          <w:fldChar w:fldCharType="separate"/>
        </w:r>
        <w:r w:rsidR="002E75B9">
          <w:rPr>
            <w:noProof/>
            <w:webHidden/>
          </w:rPr>
          <w:t>26</w:t>
        </w:r>
        <w:r w:rsidR="00387C16">
          <w:rPr>
            <w:noProof/>
            <w:webHidden/>
          </w:rPr>
          <w:fldChar w:fldCharType="end"/>
        </w:r>
      </w:hyperlink>
    </w:p>
    <w:p w:rsidR="00387C16" w:rsidRDefault="009B20D8">
      <w:pPr>
        <w:pStyle w:val="TOC2"/>
        <w:tabs>
          <w:tab w:val="right" w:leader="dot" w:pos="8290"/>
        </w:tabs>
        <w:rPr>
          <w:rFonts w:asciiTheme="minorHAnsi" w:eastAsiaTheme="minorEastAsia" w:hAnsiTheme="minorHAnsi" w:cstheme="minorBidi"/>
          <w:noProof/>
          <w:sz w:val="22"/>
          <w:szCs w:val="22"/>
          <w:lang w:val="en-US" w:eastAsia="en-US"/>
        </w:rPr>
      </w:pPr>
      <w:hyperlink w:anchor="_Toc463527720" w:history="1">
        <w:r w:rsidR="00387C16" w:rsidRPr="00390CC1">
          <w:rPr>
            <w:rStyle w:val="Hyperlink"/>
            <w:noProof/>
          </w:rPr>
          <w:t>One-off supply contracts</w:t>
        </w:r>
        <w:r w:rsidR="00387C16">
          <w:rPr>
            <w:noProof/>
            <w:webHidden/>
          </w:rPr>
          <w:tab/>
        </w:r>
        <w:r w:rsidR="00387C16">
          <w:rPr>
            <w:noProof/>
            <w:webHidden/>
          </w:rPr>
          <w:fldChar w:fldCharType="begin"/>
        </w:r>
        <w:r w:rsidR="00387C16">
          <w:rPr>
            <w:noProof/>
            <w:webHidden/>
          </w:rPr>
          <w:instrText xml:space="preserve"> PAGEREF _Toc463527720 \h </w:instrText>
        </w:r>
        <w:r w:rsidR="00387C16">
          <w:rPr>
            <w:noProof/>
            <w:webHidden/>
          </w:rPr>
        </w:r>
        <w:r w:rsidR="00387C16">
          <w:rPr>
            <w:noProof/>
            <w:webHidden/>
          </w:rPr>
          <w:fldChar w:fldCharType="separate"/>
        </w:r>
        <w:r w:rsidR="002E75B9">
          <w:rPr>
            <w:noProof/>
            <w:webHidden/>
          </w:rPr>
          <w:t>27</w:t>
        </w:r>
        <w:r w:rsidR="00387C16">
          <w:rPr>
            <w:noProof/>
            <w:webHidden/>
          </w:rPr>
          <w:fldChar w:fldCharType="end"/>
        </w:r>
      </w:hyperlink>
    </w:p>
    <w:p w:rsidR="00387C16" w:rsidRDefault="009B20D8">
      <w:pPr>
        <w:pStyle w:val="TOC2"/>
        <w:tabs>
          <w:tab w:val="right" w:leader="dot" w:pos="8290"/>
        </w:tabs>
        <w:rPr>
          <w:rFonts w:asciiTheme="minorHAnsi" w:eastAsiaTheme="minorEastAsia" w:hAnsiTheme="minorHAnsi" w:cstheme="minorBidi"/>
          <w:noProof/>
          <w:sz w:val="22"/>
          <w:szCs w:val="22"/>
          <w:lang w:val="en-US" w:eastAsia="en-US"/>
        </w:rPr>
      </w:pPr>
      <w:hyperlink w:anchor="_Toc463527721" w:history="1">
        <w:r w:rsidR="00387C16" w:rsidRPr="00390CC1">
          <w:rPr>
            <w:rStyle w:val="Hyperlink"/>
            <w:noProof/>
          </w:rPr>
          <w:t>Aggregated purchasing arrangements</w:t>
        </w:r>
        <w:r w:rsidR="00387C16">
          <w:rPr>
            <w:noProof/>
            <w:webHidden/>
          </w:rPr>
          <w:tab/>
        </w:r>
        <w:r w:rsidR="00387C16">
          <w:rPr>
            <w:noProof/>
            <w:webHidden/>
          </w:rPr>
          <w:fldChar w:fldCharType="begin"/>
        </w:r>
        <w:r w:rsidR="00387C16">
          <w:rPr>
            <w:noProof/>
            <w:webHidden/>
          </w:rPr>
          <w:instrText xml:space="preserve"> PAGEREF _Toc463527721 \h </w:instrText>
        </w:r>
        <w:r w:rsidR="00387C16">
          <w:rPr>
            <w:noProof/>
            <w:webHidden/>
          </w:rPr>
        </w:r>
        <w:r w:rsidR="00387C16">
          <w:rPr>
            <w:noProof/>
            <w:webHidden/>
          </w:rPr>
          <w:fldChar w:fldCharType="separate"/>
        </w:r>
        <w:r w:rsidR="002E75B9">
          <w:rPr>
            <w:noProof/>
            <w:webHidden/>
          </w:rPr>
          <w:t>31</w:t>
        </w:r>
        <w:r w:rsidR="00387C16">
          <w:rPr>
            <w:noProof/>
            <w:webHidden/>
          </w:rPr>
          <w:fldChar w:fldCharType="end"/>
        </w:r>
      </w:hyperlink>
    </w:p>
    <w:p w:rsidR="00387C16" w:rsidRDefault="009B20D8">
      <w:pPr>
        <w:pStyle w:val="TOC2"/>
        <w:tabs>
          <w:tab w:val="right" w:leader="dot" w:pos="8290"/>
        </w:tabs>
        <w:rPr>
          <w:rFonts w:asciiTheme="minorHAnsi" w:eastAsiaTheme="minorEastAsia" w:hAnsiTheme="minorHAnsi" w:cstheme="minorBidi"/>
          <w:noProof/>
          <w:sz w:val="22"/>
          <w:szCs w:val="22"/>
          <w:lang w:val="en-US" w:eastAsia="en-US"/>
        </w:rPr>
      </w:pPr>
      <w:hyperlink w:anchor="_Toc463527722" w:history="1">
        <w:r w:rsidR="00387C16" w:rsidRPr="00390CC1">
          <w:rPr>
            <w:rStyle w:val="Hyperlink"/>
            <w:noProof/>
          </w:rPr>
          <w:t>Critical incident procurement</w:t>
        </w:r>
        <w:r w:rsidR="00387C16">
          <w:rPr>
            <w:noProof/>
            <w:webHidden/>
          </w:rPr>
          <w:tab/>
        </w:r>
        <w:r w:rsidR="00387C16">
          <w:rPr>
            <w:noProof/>
            <w:webHidden/>
          </w:rPr>
          <w:fldChar w:fldCharType="begin"/>
        </w:r>
        <w:r w:rsidR="00387C16">
          <w:rPr>
            <w:noProof/>
            <w:webHidden/>
          </w:rPr>
          <w:instrText xml:space="preserve"> PAGEREF _Toc463527722 \h </w:instrText>
        </w:r>
        <w:r w:rsidR="00387C16">
          <w:rPr>
            <w:noProof/>
            <w:webHidden/>
          </w:rPr>
        </w:r>
        <w:r w:rsidR="00387C16">
          <w:rPr>
            <w:noProof/>
            <w:webHidden/>
          </w:rPr>
          <w:fldChar w:fldCharType="separate"/>
        </w:r>
        <w:r w:rsidR="002E75B9">
          <w:rPr>
            <w:noProof/>
            <w:webHidden/>
          </w:rPr>
          <w:t>38</w:t>
        </w:r>
        <w:r w:rsidR="00387C16">
          <w:rPr>
            <w:noProof/>
            <w:webHidden/>
          </w:rPr>
          <w:fldChar w:fldCharType="end"/>
        </w:r>
      </w:hyperlink>
    </w:p>
    <w:p w:rsidR="00387C16" w:rsidRDefault="009B20D8">
      <w:pPr>
        <w:pStyle w:val="TOC1"/>
        <w:tabs>
          <w:tab w:val="right" w:leader="dot" w:pos="8290"/>
        </w:tabs>
        <w:rPr>
          <w:rFonts w:asciiTheme="minorHAnsi" w:eastAsiaTheme="minorEastAsia" w:hAnsiTheme="minorHAnsi" w:cstheme="minorBidi"/>
          <w:noProof/>
          <w:szCs w:val="22"/>
          <w:lang w:val="en-US" w:eastAsia="en-US"/>
        </w:rPr>
      </w:pPr>
      <w:hyperlink w:anchor="_Toc463527723" w:history="1">
        <w:r w:rsidR="00387C16" w:rsidRPr="00390CC1">
          <w:rPr>
            <w:rStyle w:val="Hyperlink"/>
            <w:noProof/>
          </w:rPr>
          <w:t>Procurement complexity and VGPB oversight</w:t>
        </w:r>
        <w:r w:rsidR="00387C16">
          <w:rPr>
            <w:noProof/>
            <w:webHidden/>
          </w:rPr>
          <w:tab/>
        </w:r>
        <w:r w:rsidR="00387C16">
          <w:rPr>
            <w:noProof/>
            <w:webHidden/>
          </w:rPr>
          <w:fldChar w:fldCharType="begin"/>
        </w:r>
        <w:r w:rsidR="00387C16">
          <w:rPr>
            <w:noProof/>
            <w:webHidden/>
          </w:rPr>
          <w:instrText xml:space="preserve"> PAGEREF _Toc463527723 \h </w:instrText>
        </w:r>
        <w:r w:rsidR="00387C16">
          <w:rPr>
            <w:noProof/>
            <w:webHidden/>
          </w:rPr>
        </w:r>
        <w:r w:rsidR="00387C16">
          <w:rPr>
            <w:noProof/>
            <w:webHidden/>
          </w:rPr>
          <w:fldChar w:fldCharType="separate"/>
        </w:r>
        <w:r w:rsidR="002E75B9">
          <w:rPr>
            <w:noProof/>
            <w:webHidden/>
          </w:rPr>
          <w:t>39</w:t>
        </w:r>
        <w:r w:rsidR="00387C16">
          <w:rPr>
            <w:noProof/>
            <w:webHidden/>
          </w:rPr>
          <w:fldChar w:fldCharType="end"/>
        </w:r>
      </w:hyperlink>
    </w:p>
    <w:p w:rsidR="00387C16" w:rsidRDefault="009B20D8">
      <w:pPr>
        <w:pStyle w:val="TOC2"/>
        <w:tabs>
          <w:tab w:val="right" w:leader="dot" w:pos="8290"/>
        </w:tabs>
        <w:rPr>
          <w:rFonts w:asciiTheme="minorHAnsi" w:eastAsiaTheme="minorEastAsia" w:hAnsiTheme="minorHAnsi" w:cstheme="minorBidi"/>
          <w:noProof/>
          <w:sz w:val="22"/>
          <w:szCs w:val="22"/>
          <w:lang w:val="en-US" w:eastAsia="en-US"/>
        </w:rPr>
      </w:pPr>
      <w:hyperlink w:anchor="_Toc463527724" w:history="1">
        <w:r w:rsidR="00387C16" w:rsidRPr="00390CC1">
          <w:rPr>
            <w:rStyle w:val="Hyperlink"/>
            <w:noProof/>
          </w:rPr>
          <w:t>Procurement complexity</w:t>
        </w:r>
        <w:r w:rsidR="00387C16">
          <w:rPr>
            <w:noProof/>
            <w:webHidden/>
          </w:rPr>
          <w:tab/>
        </w:r>
        <w:r w:rsidR="00387C16">
          <w:rPr>
            <w:noProof/>
            <w:webHidden/>
          </w:rPr>
          <w:fldChar w:fldCharType="begin"/>
        </w:r>
        <w:r w:rsidR="00387C16">
          <w:rPr>
            <w:noProof/>
            <w:webHidden/>
          </w:rPr>
          <w:instrText xml:space="preserve"> PAGEREF _Toc463527724 \h </w:instrText>
        </w:r>
        <w:r w:rsidR="00387C16">
          <w:rPr>
            <w:noProof/>
            <w:webHidden/>
          </w:rPr>
        </w:r>
        <w:r w:rsidR="00387C16">
          <w:rPr>
            <w:noProof/>
            <w:webHidden/>
          </w:rPr>
          <w:fldChar w:fldCharType="separate"/>
        </w:r>
        <w:r w:rsidR="002E75B9">
          <w:rPr>
            <w:noProof/>
            <w:webHidden/>
          </w:rPr>
          <w:t>39</w:t>
        </w:r>
        <w:r w:rsidR="00387C16">
          <w:rPr>
            <w:noProof/>
            <w:webHidden/>
          </w:rPr>
          <w:fldChar w:fldCharType="end"/>
        </w:r>
      </w:hyperlink>
    </w:p>
    <w:p w:rsidR="00387C16" w:rsidRDefault="009B20D8">
      <w:pPr>
        <w:pStyle w:val="TOC2"/>
        <w:tabs>
          <w:tab w:val="right" w:leader="dot" w:pos="8290"/>
        </w:tabs>
        <w:rPr>
          <w:rFonts w:asciiTheme="minorHAnsi" w:eastAsiaTheme="minorEastAsia" w:hAnsiTheme="minorHAnsi" w:cstheme="minorBidi"/>
          <w:noProof/>
          <w:sz w:val="22"/>
          <w:szCs w:val="22"/>
          <w:lang w:val="en-US" w:eastAsia="en-US"/>
        </w:rPr>
      </w:pPr>
      <w:hyperlink w:anchor="_Toc463527725" w:history="1">
        <w:r w:rsidR="00387C16" w:rsidRPr="00390CC1">
          <w:rPr>
            <w:rStyle w:val="Hyperlink"/>
            <w:noProof/>
          </w:rPr>
          <w:t>Procurement activity subject to VGPB oversight</w:t>
        </w:r>
        <w:r w:rsidR="00387C16">
          <w:rPr>
            <w:noProof/>
            <w:webHidden/>
          </w:rPr>
          <w:tab/>
        </w:r>
        <w:r w:rsidR="00387C16">
          <w:rPr>
            <w:noProof/>
            <w:webHidden/>
          </w:rPr>
          <w:fldChar w:fldCharType="begin"/>
        </w:r>
        <w:r w:rsidR="00387C16">
          <w:rPr>
            <w:noProof/>
            <w:webHidden/>
          </w:rPr>
          <w:instrText xml:space="preserve"> PAGEREF _Toc463527725 \h </w:instrText>
        </w:r>
        <w:r w:rsidR="00387C16">
          <w:rPr>
            <w:noProof/>
            <w:webHidden/>
          </w:rPr>
        </w:r>
        <w:r w:rsidR="00387C16">
          <w:rPr>
            <w:noProof/>
            <w:webHidden/>
          </w:rPr>
          <w:fldChar w:fldCharType="separate"/>
        </w:r>
        <w:r w:rsidR="002E75B9">
          <w:rPr>
            <w:noProof/>
            <w:webHidden/>
          </w:rPr>
          <w:t>43</w:t>
        </w:r>
        <w:r w:rsidR="00387C16">
          <w:rPr>
            <w:noProof/>
            <w:webHidden/>
          </w:rPr>
          <w:fldChar w:fldCharType="end"/>
        </w:r>
      </w:hyperlink>
    </w:p>
    <w:p w:rsidR="00387C16" w:rsidRDefault="009B20D8">
      <w:pPr>
        <w:pStyle w:val="TOC1"/>
        <w:tabs>
          <w:tab w:val="right" w:leader="dot" w:pos="8290"/>
        </w:tabs>
        <w:rPr>
          <w:rFonts w:asciiTheme="minorHAnsi" w:eastAsiaTheme="minorEastAsia" w:hAnsiTheme="minorHAnsi" w:cstheme="minorBidi"/>
          <w:noProof/>
          <w:szCs w:val="22"/>
          <w:lang w:val="en-US" w:eastAsia="en-US"/>
        </w:rPr>
      </w:pPr>
      <w:hyperlink w:anchor="_Toc463527726" w:history="1">
        <w:r w:rsidR="00387C16" w:rsidRPr="00390CC1">
          <w:rPr>
            <w:rStyle w:val="Hyperlink"/>
            <w:noProof/>
          </w:rPr>
          <w:t>Compliance with VGPB procurement policies</w:t>
        </w:r>
        <w:r w:rsidR="00387C16">
          <w:rPr>
            <w:noProof/>
            <w:webHidden/>
          </w:rPr>
          <w:tab/>
        </w:r>
        <w:r w:rsidR="00387C16">
          <w:rPr>
            <w:noProof/>
            <w:webHidden/>
          </w:rPr>
          <w:fldChar w:fldCharType="begin"/>
        </w:r>
        <w:r w:rsidR="00387C16">
          <w:rPr>
            <w:noProof/>
            <w:webHidden/>
          </w:rPr>
          <w:instrText xml:space="preserve"> PAGEREF _Toc463527726 \h </w:instrText>
        </w:r>
        <w:r w:rsidR="00387C16">
          <w:rPr>
            <w:noProof/>
            <w:webHidden/>
          </w:rPr>
        </w:r>
        <w:r w:rsidR="00387C16">
          <w:rPr>
            <w:noProof/>
            <w:webHidden/>
          </w:rPr>
          <w:fldChar w:fldCharType="separate"/>
        </w:r>
        <w:r w:rsidR="002E75B9">
          <w:rPr>
            <w:noProof/>
            <w:webHidden/>
          </w:rPr>
          <w:t>44</w:t>
        </w:r>
        <w:r w:rsidR="00387C16">
          <w:rPr>
            <w:noProof/>
            <w:webHidden/>
          </w:rPr>
          <w:fldChar w:fldCharType="end"/>
        </w:r>
      </w:hyperlink>
    </w:p>
    <w:p w:rsidR="00387C16" w:rsidRDefault="009B20D8">
      <w:pPr>
        <w:pStyle w:val="TOC2"/>
        <w:tabs>
          <w:tab w:val="right" w:leader="dot" w:pos="8290"/>
        </w:tabs>
        <w:rPr>
          <w:rFonts w:asciiTheme="minorHAnsi" w:eastAsiaTheme="minorEastAsia" w:hAnsiTheme="minorHAnsi" w:cstheme="minorBidi"/>
          <w:noProof/>
          <w:sz w:val="22"/>
          <w:szCs w:val="22"/>
          <w:lang w:val="en-US" w:eastAsia="en-US"/>
        </w:rPr>
      </w:pPr>
      <w:hyperlink w:anchor="_Toc463527727" w:history="1">
        <w:r w:rsidR="00387C16" w:rsidRPr="00390CC1">
          <w:rPr>
            <w:rStyle w:val="Hyperlink"/>
            <w:noProof/>
          </w:rPr>
          <w:t>Actions taken to ensure compliance</w:t>
        </w:r>
        <w:r w:rsidR="00387C16">
          <w:rPr>
            <w:noProof/>
            <w:webHidden/>
          </w:rPr>
          <w:tab/>
        </w:r>
        <w:r w:rsidR="00387C16">
          <w:rPr>
            <w:noProof/>
            <w:webHidden/>
          </w:rPr>
          <w:fldChar w:fldCharType="begin"/>
        </w:r>
        <w:r w:rsidR="00387C16">
          <w:rPr>
            <w:noProof/>
            <w:webHidden/>
          </w:rPr>
          <w:instrText xml:space="preserve"> PAGEREF _Toc463527727 \h </w:instrText>
        </w:r>
        <w:r w:rsidR="00387C16">
          <w:rPr>
            <w:noProof/>
            <w:webHidden/>
          </w:rPr>
        </w:r>
        <w:r w:rsidR="00387C16">
          <w:rPr>
            <w:noProof/>
            <w:webHidden/>
          </w:rPr>
          <w:fldChar w:fldCharType="separate"/>
        </w:r>
        <w:r w:rsidR="002E75B9">
          <w:rPr>
            <w:noProof/>
            <w:webHidden/>
          </w:rPr>
          <w:t>44</w:t>
        </w:r>
        <w:r w:rsidR="00387C16">
          <w:rPr>
            <w:noProof/>
            <w:webHidden/>
          </w:rPr>
          <w:fldChar w:fldCharType="end"/>
        </w:r>
      </w:hyperlink>
    </w:p>
    <w:p w:rsidR="00387C16" w:rsidRDefault="009B20D8">
      <w:pPr>
        <w:pStyle w:val="TOC2"/>
        <w:tabs>
          <w:tab w:val="right" w:leader="dot" w:pos="8290"/>
        </w:tabs>
        <w:rPr>
          <w:rFonts w:asciiTheme="minorHAnsi" w:eastAsiaTheme="minorEastAsia" w:hAnsiTheme="minorHAnsi" w:cstheme="minorBidi"/>
          <w:noProof/>
          <w:sz w:val="22"/>
          <w:szCs w:val="22"/>
          <w:lang w:val="en-US" w:eastAsia="en-US"/>
        </w:rPr>
      </w:pPr>
      <w:hyperlink w:anchor="_Toc463527728" w:history="1">
        <w:r w:rsidR="00387C16" w:rsidRPr="00390CC1">
          <w:rPr>
            <w:rStyle w:val="Hyperlink"/>
            <w:noProof/>
          </w:rPr>
          <w:t>Audits</w:t>
        </w:r>
        <w:r w:rsidR="00387C16">
          <w:rPr>
            <w:noProof/>
            <w:webHidden/>
          </w:rPr>
          <w:tab/>
        </w:r>
        <w:r w:rsidR="00387C16">
          <w:rPr>
            <w:noProof/>
            <w:webHidden/>
          </w:rPr>
          <w:fldChar w:fldCharType="begin"/>
        </w:r>
        <w:r w:rsidR="00387C16">
          <w:rPr>
            <w:noProof/>
            <w:webHidden/>
          </w:rPr>
          <w:instrText xml:space="preserve"> PAGEREF _Toc463527728 \h </w:instrText>
        </w:r>
        <w:r w:rsidR="00387C16">
          <w:rPr>
            <w:noProof/>
            <w:webHidden/>
          </w:rPr>
        </w:r>
        <w:r w:rsidR="00387C16">
          <w:rPr>
            <w:noProof/>
            <w:webHidden/>
          </w:rPr>
          <w:fldChar w:fldCharType="separate"/>
        </w:r>
        <w:r w:rsidR="002E75B9">
          <w:rPr>
            <w:noProof/>
            <w:webHidden/>
          </w:rPr>
          <w:t>48</w:t>
        </w:r>
        <w:r w:rsidR="00387C16">
          <w:rPr>
            <w:noProof/>
            <w:webHidden/>
          </w:rPr>
          <w:fldChar w:fldCharType="end"/>
        </w:r>
      </w:hyperlink>
    </w:p>
    <w:p w:rsidR="00387C16" w:rsidRDefault="009B20D8">
      <w:pPr>
        <w:pStyle w:val="TOC2"/>
        <w:tabs>
          <w:tab w:val="right" w:leader="dot" w:pos="8290"/>
        </w:tabs>
        <w:rPr>
          <w:rFonts w:asciiTheme="minorHAnsi" w:eastAsiaTheme="minorEastAsia" w:hAnsiTheme="minorHAnsi" w:cstheme="minorBidi"/>
          <w:noProof/>
          <w:sz w:val="22"/>
          <w:szCs w:val="22"/>
          <w:lang w:val="en-US" w:eastAsia="en-US"/>
        </w:rPr>
      </w:pPr>
      <w:hyperlink w:anchor="_Toc463527729" w:history="1">
        <w:r w:rsidR="00387C16" w:rsidRPr="00390CC1">
          <w:rPr>
            <w:rStyle w:val="Hyperlink"/>
            <w:noProof/>
          </w:rPr>
          <w:t>Complaints</w:t>
        </w:r>
        <w:r w:rsidR="00387C16">
          <w:rPr>
            <w:noProof/>
            <w:webHidden/>
          </w:rPr>
          <w:tab/>
        </w:r>
        <w:r w:rsidR="00387C16">
          <w:rPr>
            <w:noProof/>
            <w:webHidden/>
          </w:rPr>
          <w:fldChar w:fldCharType="begin"/>
        </w:r>
        <w:r w:rsidR="00387C16">
          <w:rPr>
            <w:noProof/>
            <w:webHidden/>
          </w:rPr>
          <w:instrText xml:space="preserve"> PAGEREF _Toc463527729 \h </w:instrText>
        </w:r>
        <w:r w:rsidR="00387C16">
          <w:rPr>
            <w:noProof/>
            <w:webHidden/>
          </w:rPr>
        </w:r>
        <w:r w:rsidR="00387C16">
          <w:rPr>
            <w:noProof/>
            <w:webHidden/>
          </w:rPr>
          <w:fldChar w:fldCharType="separate"/>
        </w:r>
        <w:r w:rsidR="002E75B9">
          <w:rPr>
            <w:noProof/>
            <w:webHidden/>
          </w:rPr>
          <w:t>48</w:t>
        </w:r>
        <w:r w:rsidR="00387C16">
          <w:rPr>
            <w:noProof/>
            <w:webHidden/>
          </w:rPr>
          <w:fldChar w:fldCharType="end"/>
        </w:r>
      </w:hyperlink>
    </w:p>
    <w:p w:rsidR="00387C16" w:rsidRDefault="009B20D8">
      <w:pPr>
        <w:pStyle w:val="TOC1"/>
        <w:tabs>
          <w:tab w:val="right" w:leader="dot" w:pos="8290"/>
        </w:tabs>
        <w:rPr>
          <w:rFonts w:asciiTheme="minorHAnsi" w:eastAsiaTheme="minorEastAsia" w:hAnsiTheme="minorHAnsi" w:cstheme="minorBidi"/>
          <w:noProof/>
          <w:szCs w:val="22"/>
          <w:lang w:val="en-US" w:eastAsia="en-US"/>
        </w:rPr>
      </w:pPr>
      <w:hyperlink w:anchor="_Toc463527730" w:history="1">
        <w:r w:rsidR="00387C16" w:rsidRPr="00390CC1">
          <w:rPr>
            <w:rStyle w:val="Hyperlink"/>
            <w:noProof/>
          </w:rPr>
          <w:t>Procurement profiles and performance by organisation</w:t>
        </w:r>
        <w:r w:rsidR="00387C16">
          <w:rPr>
            <w:noProof/>
            <w:webHidden/>
          </w:rPr>
          <w:tab/>
        </w:r>
        <w:r w:rsidR="00387C16">
          <w:rPr>
            <w:noProof/>
            <w:webHidden/>
          </w:rPr>
          <w:fldChar w:fldCharType="begin"/>
        </w:r>
        <w:r w:rsidR="00387C16">
          <w:rPr>
            <w:noProof/>
            <w:webHidden/>
          </w:rPr>
          <w:instrText xml:space="preserve"> PAGEREF _Toc463527730 \h </w:instrText>
        </w:r>
        <w:r w:rsidR="00387C16">
          <w:rPr>
            <w:noProof/>
            <w:webHidden/>
          </w:rPr>
        </w:r>
        <w:r w:rsidR="00387C16">
          <w:rPr>
            <w:noProof/>
            <w:webHidden/>
          </w:rPr>
          <w:fldChar w:fldCharType="separate"/>
        </w:r>
        <w:r w:rsidR="002E75B9">
          <w:rPr>
            <w:noProof/>
            <w:webHidden/>
          </w:rPr>
          <w:t>48</w:t>
        </w:r>
        <w:r w:rsidR="00387C16">
          <w:rPr>
            <w:noProof/>
            <w:webHidden/>
          </w:rPr>
          <w:fldChar w:fldCharType="end"/>
        </w:r>
      </w:hyperlink>
    </w:p>
    <w:p w:rsidR="00387C16" w:rsidRDefault="009B20D8">
      <w:pPr>
        <w:pStyle w:val="TOC2"/>
        <w:tabs>
          <w:tab w:val="right" w:leader="dot" w:pos="8290"/>
        </w:tabs>
        <w:rPr>
          <w:rFonts w:asciiTheme="minorHAnsi" w:eastAsiaTheme="minorEastAsia" w:hAnsiTheme="minorHAnsi" w:cstheme="minorBidi"/>
          <w:noProof/>
          <w:sz w:val="22"/>
          <w:szCs w:val="22"/>
          <w:lang w:val="en-US" w:eastAsia="en-US"/>
        </w:rPr>
      </w:pPr>
      <w:hyperlink w:anchor="_Toc463527731" w:history="1">
        <w:r w:rsidR="00387C16" w:rsidRPr="00390CC1">
          <w:rPr>
            <w:rStyle w:val="Hyperlink"/>
            <w:rFonts w:ascii="Calibri" w:hAnsi="Calibri" w:cs="Calibri"/>
            <w:noProof/>
            <w:kern w:val="28"/>
            <w:lang w:eastAsia="en-US"/>
          </w:rPr>
          <w:t>Department of Economic Development, Jobs, Transport and Resources</w:t>
        </w:r>
        <w:r w:rsidR="00387C16">
          <w:rPr>
            <w:noProof/>
            <w:webHidden/>
          </w:rPr>
          <w:tab/>
        </w:r>
        <w:r w:rsidR="00387C16">
          <w:rPr>
            <w:noProof/>
            <w:webHidden/>
          </w:rPr>
          <w:fldChar w:fldCharType="begin"/>
        </w:r>
        <w:r w:rsidR="00387C16">
          <w:rPr>
            <w:noProof/>
            <w:webHidden/>
          </w:rPr>
          <w:instrText xml:space="preserve"> PAGEREF _Toc463527731 \h </w:instrText>
        </w:r>
        <w:r w:rsidR="00387C16">
          <w:rPr>
            <w:noProof/>
            <w:webHidden/>
          </w:rPr>
        </w:r>
        <w:r w:rsidR="00387C16">
          <w:rPr>
            <w:noProof/>
            <w:webHidden/>
          </w:rPr>
          <w:fldChar w:fldCharType="separate"/>
        </w:r>
        <w:r w:rsidR="002E75B9">
          <w:rPr>
            <w:noProof/>
            <w:webHidden/>
          </w:rPr>
          <w:t>48</w:t>
        </w:r>
        <w:r w:rsidR="00387C16">
          <w:rPr>
            <w:noProof/>
            <w:webHidden/>
          </w:rPr>
          <w:fldChar w:fldCharType="end"/>
        </w:r>
      </w:hyperlink>
    </w:p>
    <w:p w:rsidR="00387C16" w:rsidRDefault="009B20D8">
      <w:pPr>
        <w:pStyle w:val="TOC2"/>
        <w:tabs>
          <w:tab w:val="right" w:leader="dot" w:pos="8290"/>
        </w:tabs>
        <w:rPr>
          <w:rFonts w:asciiTheme="minorHAnsi" w:eastAsiaTheme="minorEastAsia" w:hAnsiTheme="minorHAnsi" w:cstheme="minorBidi"/>
          <w:noProof/>
          <w:sz w:val="22"/>
          <w:szCs w:val="22"/>
          <w:lang w:val="en-US" w:eastAsia="en-US"/>
        </w:rPr>
      </w:pPr>
      <w:hyperlink w:anchor="_Toc463527732" w:history="1">
        <w:r w:rsidR="00387C16" w:rsidRPr="00390CC1">
          <w:rPr>
            <w:rStyle w:val="Hyperlink"/>
            <w:rFonts w:ascii="Calibri" w:hAnsi="Calibri" w:cs="Calibri"/>
            <w:noProof/>
            <w:kern w:val="28"/>
            <w:lang w:eastAsia="en-US"/>
          </w:rPr>
          <w:t>Department of Education and Training</w:t>
        </w:r>
        <w:r w:rsidR="00387C16">
          <w:rPr>
            <w:noProof/>
            <w:webHidden/>
          </w:rPr>
          <w:tab/>
        </w:r>
        <w:r w:rsidR="00387C16">
          <w:rPr>
            <w:noProof/>
            <w:webHidden/>
          </w:rPr>
          <w:fldChar w:fldCharType="begin"/>
        </w:r>
        <w:r w:rsidR="00387C16">
          <w:rPr>
            <w:noProof/>
            <w:webHidden/>
          </w:rPr>
          <w:instrText xml:space="preserve"> PAGEREF _Toc463527732 \h </w:instrText>
        </w:r>
        <w:r w:rsidR="00387C16">
          <w:rPr>
            <w:noProof/>
            <w:webHidden/>
          </w:rPr>
        </w:r>
        <w:r w:rsidR="00387C16">
          <w:rPr>
            <w:noProof/>
            <w:webHidden/>
          </w:rPr>
          <w:fldChar w:fldCharType="separate"/>
        </w:r>
        <w:r w:rsidR="002E75B9">
          <w:rPr>
            <w:noProof/>
            <w:webHidden/>
          </w:rPr>
          <w:t>48</w:t>
        </w:r>
        <w:r w:rsidR="00387C16">
          <w:rPr>
            <w:noProof/>
            <w:webHidden/>
          </w:rPr>
          <w:fldChar w:fldCharType="end"/>
        </w:r>
      </w:hyperlink>
    </w:p>
    <w:p w:rsidR="00387C16" w:rsidRDefault="009B20D8">
      <w:pPr>
        <w:pStyle w:val="TOC2"/>
        <w:tabs>
          <w:tab w:val="right" w:leader="dot" w:pos="8290"/>
        </w:tabs>
        <w:rPr>
          <w:rFonts w:asciiTheme="minorHAnsi" w:eastAsiaTheme="minorEastAsia" w:hAnsiTheme="minorHAnsi" w:cstheme="minorBidi"/>
          <w:noProof/>
          <w:sz w:val="22"/>
          <w:szCs w:val="22"/>
          <w:lang w:val="en-US" w:eastAsia="en-US"/>
        </w:rPr>
      </w:pPr>
      <w:hyperlink w:anchor="_Toc463527733" w:history="1">
        <w:r w:rsidR="00387C16" w:rsidRPr="00390CC1">
          <w:rPr>
            <w:rStyle w:val="Hyperlink"/>
            <w:noProof/>
          </w:rPr>
          <w:t>Department of Environment, Land, Water and Planning</w:t>
        </w:r>
        <w:r w:rsidR="00387C16">
          <w:rPr>
            <w:noProof/>
            <w:webHidden/>
          </w:rPr>
          <w:tab/>
        </w:r>
        <w:r w:rsidR="00387C16">
          <w:rPr>
            <w:noProof/>
            <w:webHidden/>
          </w:rPr>
          <w:fldChar w:fldCharType="begin"/>
        </w:r>
        <w:r w:rsidR="00387C16">
          <w:rPr>
            <w:noProof/>
            <w:webHidden/>
          </w:rPr>
          <w:instrText xml:space="preserve"> PAGEREF _Toc463527733 \h </w:instrText>
        </w:r>
        <w:r w:rsidR="00387C16">
          <w:rPr>
            <w:noProof/>
            <w:webHidden/>
          </w:rPr>
        </w:r>
        <w:r w:rsidR="00387C16">
          <w:rPr>
            <w:noProof/>
            <w:webHidden/>
          </w:rPr>
          <w:fldChar w:fldCharType="separate"/>
        </w:r>
        <w:r w:rsidR="002E75B9">
          <w:rPr>
            <w:noProof/>
            <w:webHidden/>
          </w:rPr>
          <w:t>48</w:t>
        </w:r>
        <w:r w:rsidR="00387C16">
          <w:rPr>
            <w:noProof/>
            <w:webHidden/>
          </w:rPr>
          <w:fldChar w:fldCharType="end"/>
        </w:r>
      </w:hyperlink>
    </w:p>
    <w:p w:rsidR="00387C16" w:rsidRDefault="009B20D8">
      <w:pPr>
        <w:pStyle w:val="TOC2"/>
        <w:tabs>
          <w:tab w:val="right" w:leader="dot" w:pos="8290"/>
        </w:tabs>
        <w:rPr>
          <w:rFonts w:asciiTheme="minorHAnsi" w:eastAsiaTheme="minorEastAsia" w:hAnsiTheme="minorHAnsi" w:cstheme="minorBidi"/>
          <w:noProof/>
          <w:sz w:val="22"/>
          <w:szCs w:val="22"/>
          <w:lang w:val="en-US" w:eastAsia="en-US"/>
        </w:rPr>
      </w:pPr>
      <w:hyperlink w:anchor="_Toc463527734" w:history="1">
        <w:r w:rsidR="00387C16" w:rsidRPr="00390CC1">
          <w:rPr>
            <w:rStyle w:val="Hyperlink"/>
            <w:noProof/>
          </w:rPr>
          <w:t>Department of Health and Human Services</w:t>
        </w:r>
        <w:r w:rsidR="00387C16">
          <w:rPr>
            <w:noProof/>
            <w:webHidden/>
          </w:rPr>
          <w:tab/>
        </w:r>
        <w:r w:rsidR="00387C16">
          <w:rPr>
            <w:noProof/>
            <w:webHidden/>
          </w:rPr>
          <w:fldChar w:fldCharType="begin"/>
        </w:r>
        <w:r w:rsidR="00387C16">
          <w:rPr>
            <w:noProof/>
            <w:webHidden/>
          </w:rPr>
          <w:instrText xml:space="preserve"> PAGEREF _Toc463527734 \h </w:instrText>
        </w:r>
        <w:r w:rsidR="00387C16">
          <w:rPr>
            <w:noProof/>
            <w:webHidden/>
          </w:rPr>
        </w:r>
        <w:r w:rsidR="00387C16">
          <w:rPr>
            <w:noProof/>
            <w:webHidden/>
          </w:rPr>
          <w:fldChar w:fldCharType="separate"/>
        </w:r>
        <w:r w:rsidR="002E75B9">
          <w:rPr>
            <w:noProof/>
            <w:webHidden/>
          </w:rPr>
          <w:t>48</w:t>
        </w:r>
        <w:r w:rsidR="00387C16">
          <w:rPr>
            <w:noProof/>
            <w:webHidden/>
          </w:rPr>
          <w:fldChar w:fldCharType="end"/>
        </w:r>
      </w:hyperlink>
    </w:p>
    <w:p w:rsidR="00387C16" w:rsidRDefault="009B20D8">
      <w:pPr>
        <w:pStyle w:val="TOC2"/>
        <w:tabs>
          <w:tab w:val="right" w:leader="dot" w:pos="8290"/>
        </w:tabs>
        <w:rPr>
          <w:rFonts w:asciiTheme="minorHAnsi" w:eastAsiaTheme="minorEastAsia" w:hAnsiTheme="minorHAnsi" w:cstheme="minorBidi"/>
          <w:noProof/>
          <w:sz w:val="22"/>
          <w:szCs w:val="22"/>
          <w:lang w:val="en-US" w:eastAsia="en-US"/>
        </w:rPr>
      </w:pPr>
      <w:hyperlink w:anchor="_Toc463527735" w:history="1">
        <w:r w:rsidR="00387C16" w:rsidRPr="00390CC1">
          <w:rPr>
            <w:rStyle w:val="Hyperlink"/>
            <w:rFonts w:ascii="Calibri" w:hAnsi="Calibri" w:cs="Calibri"/>
            <w:noProof/>
            <w:kern w:val="28"/>
            <w:lang w:eastAsia="en-US"/>
          </w:rPr>
          <w:t>Department of Justice and Regulation</w:t>
        </w:r>
        <w:r w:rsidR="00387C16">
          <w:rPr>
            <w:noProof/>
            <w:webHidden/>
          </w:rPr>
          <w:tab/>
        </w:r>
        <w:r w:rsidR="00387C16">
          <w:rPr>
            <w:noProof/>
            <w:webHidden/>
          </w:rPr>
          <w:fldChar w:fldCharType="begin"/>
        </w:r>
        <w:r w:rsidR="00387C16">
          <w:rPr>
            <w:noProof/>
            <w:webHidden/>
          </w:rPr>
          <w:instrText xml:space="preserve"> PAGEREF _Toc463527735 \h </w:instrText>
        </w:r>
        <w:r w:rsidR="00387C16">
          <w:rPr>
            <w:noProof/>
            <w:webHidden/>
          </w:rPr>
        </w:r>
        <w:r w:rsidR="00387C16">
          <w:rPr>
            <w:noProof/>
            <w:webHidden/>
          </w:rPr>
          <w:fldChar w:fldCharType="separate"/>
        </w:r>
        <w:r w:rsidR="002E75B9">
          <w:rPr>
            <w:noProof/>
            <w:webHidden/>
          </w:rPr>
          <w:t>48</w:t>
        </w:r>
        <w:r w:rsidR="00387C16">
          <w:rPr>
            <w:noProof/>
            <w:webHidden/>
          </w:rPr>
          <w:fldChar w:fldCharType="end"/>
        </w:r>
      </w:hyperlink>
    </w:p>
    <w:p w:rsidR="00387C16" w:rsidRDefault="009B20D8">
      <w:pPr>
        <w:pStyle w:val="TOC2"/>
        <w:tabs>
          <w:tab w:val="right" w:leader="dot" w:pos="8290"/>
        </w:tabs>
        <w:rPr>
          <w:rFonts w:asciiTheme="minorHAnsi" w:eastAsiaTheme="minorEastAsia" w:hAnsiTheme="minorHAnsi" w:cstheme="minorBidi"/>
          <w:noProof/>
          <w:sz w:val="22"/>
          <w:szCs w:val="22"/>
          <w:lang w:val="en-US" w:eastAsia="en-US"/>
        </w:rPr>
      </w:pPr>
      <w:hyperlink w:anchor="_Toc463527736" w:history="1">
        <w:r w:rsidR="00387C16" w:rsidRPr="00390CC1">
          <w:rPr>
            <w:rStyle w:val="Hyperlink"/>
            <w:noProof/>
          </w:rPr>
          <w:t>Department of Premier and Cabinet</w:t>
        </w:r>
        <w:r w:rsidR="00387C16">
          <w:rPr>
            <w:noProof/>
            <w:webHidden/>
          </w:rPr>
          <w:tab/>
        </w:r>
        <w:r w:rsidR="00387C16">
          <w:rPr>
            <w:noProof/>
            <w:webHidden/>
          </w:rPr>
          <w:fldChar w:fldCharType="begin"/>
        </w:r>
        <w:r w:rsidR="00387C16">
          <w:rPr>
            <w:noProof/>
            <w:webHidden/>
          </w:rPr>
          <w:instrText xml:space="preserve"> PAGEREF _Toc463527736 \h </w:instrText>
        </w:r>
        <w:r w:rsidR="00387C16">
          <w:rPr>
            <w:noProof/>
            <w:webHidden/>
          </w:rPr>
        </w:r>
        <w:r w:rsidR="00387C16">
          <w:rPr>
            <w:noProof/>
            <w:webHidden/>
          </w:rPr>
          <w:fldChar w:fldCharType="separate"/>
        </w:r>
        <w:r w:rsidR="002E75B9">
          <w:rPr>
            <w:noProof/>
            <w:webHidden/>
          </w:rPr>
          <w:t>48</w:t>
        </w:r>
        <w:r w:rsidR="00387C16">
          <w:rPr>
            <w:noProof/>
            <w:webHidden/>
          </w:rPr>
          <w:fldChar w:fldCharType="end"/>
        </w:r>
      </w:hyperlink>
    </w:p>
    <w:p w:rsidR="00387C16" w:rsidRDefault="009B20D8">
      <w:pPr>
        <w:pStyle w:val="TOC2"/>
        <w:tabs>
          <w:tab w:val="right" w:leader="dot" w:pos="8290"/>
        </w:tabs>
        <w:rPr>
          <w:rFonts w:asciiTheme="minorHAnsi" w:eastAsiaTheme="minorEastAsia" w:hAnsiTheme="minorHAnsi" w:cstheme="minorBidi"/>
          <w:noProof/>
          <w:sz w:val="22"/>
          <w:szCs w:val="22"/>
          <w:lang w:val="en-US" w:eastAsia="en-US"/>
        </w:rPr>
      </w:pPr>
      <w:hyperlink w:anchor="_Toc463527737" w:history="1">
        <w:r w:rsidR="00387C16" w:rsidRPr="00390CC1">
          <w:rPr>
            <w:rStyle w:val="Hyperlink"/>
            <w:noProof/>
          </w:rPr>
          <w:t>Department of Treasury and Finance</w:t>
        </w:r>
        <w:r w:rsidR="00387C16">
          <w:rPr>
            <w:noProof/>
            <w:webHidden/>
          </w:rPr>
          <w:tab/>
        </w:r>
        <w:r w:rsidR="00387C16">
          <w:rPr>
            <w:noProof/>
            <w:webHidden/>
          </w:rPr>
          <w:fldChar w:fldCharType="begin"/>
        </w:r>
        <w:r w:rsidR="00387C16">
          <w:rPr>
            <w:noProof/>
            <w:webHidden/>
          </w:rPr>
          <w:instrText xml:space="preserve"> PAGEREF _Toc463527737 \h </w:instrText>
        </w:r>
        <w:r w:rsidR="00387C16">
          <w:rPr>
            <w:noProof/>
            <w:webHidden/>
          </w:rPr>
        </w:r>
        <w:r w:rsidR="00387C16">
          <w:rPr>
            <w:noProof/>
            <w:webHidden/>
          </w:rPr>
          <w:fldChar w:fldCharType="separate"/>
        </w:r>
        <w:r w:rsidR="002E75B9">
          <w:rPr>
            <w:noProof/>
            <w:webHidden/>
          </w:rPr>
          <w:t>48</w:t>
        </w:r>
        <w:r w:rsidR="00387C16">
          <w:rPr>
            <w:noProof/>
            <w:webHidden/>
          </w:rPr>
          <w:fldChar w:fldCharType="end"/>
        </w:r>
      </w:hyperlink>
    </w:p>
    <w:p w:rsidR="00387C16" w:rsidRDefault="009B20D8">
      <w:pPr>
        <w:pStyle w:val="TOC2"/>
        <w:tabs>
          <w:tab w:val="right" w:leader="dot" w:pos="8290"/>
        </w:tabs>
        <w:rPr>
          <w:rFonts w:asciiTheme="minorHAnsi" w:eastAsiaTheme="minorEastAsia" w:hAnsiTheme="minorHAnsi" w:cstheme="minorBidi"/>
          <w:noProof/>
          <w:sz w:val="22"/>
          <w:szCs w:val="22"/>
          <w:lang w:val="en-US" w:eastAsia="en-US"/>
        </w:rPr>
      </w:pPr>
      <w:hyperlink w:anchor="_Toc463527738" w:history="1">
        <w:r w:rsidR="00387C16" w:rsidRPr="00390CC1">
          <w:rPr>
            <w:rStyle w:val="Hyperlink"/>
            <w:noProof/>
          </w:rPr>
          <w:t>VicRoads</w:t>
        </w:r>
        <w:r w:rsidR="00387C16">
          <w:rPr>
            <w:noProof/>
            <w:webHidden/>
          </w:rPr>
          <w:tab/>
        </w:r>
        <w:r w:rsidR="00387C16">
          <w:rPr>
            <w:noProof/>
            <w:webHidden/>
          </w:rPr>
          <w:fldChar w:fldCharType="begin"/>
        </w:r>
        <w:r w:rsidR="00387C16">
          <w:rPr>
            <w:noProof/>
            <w:webHidden/>
          </w:rPr>
          <w:instrText xml:space="preserve"> PAGEREF _Toc463527738 \h </w:instrText>
        </w:r>
        <w:r w:rsidR="00387C16">
          <w:rPr>
            <w:noProof/>
            <w:webHidden/>
          </w:rPr>
        </w:r>
        <w:r w:rsidR="00387C16">
          <w:rPr>
            <w:noProof/>
            <w:webHidden/>
          </w:rPr>
          <w:fldChar w:fldCharType="separate"/>
        </w:r>
        <w:r w:rsidR="002E75B9">
          <w:rPr>
            <w:noProof/>
            <w:webHidden/>
          </w:rPr>
          <w:t>48</w:t>
        </w:r>
        <w:r w:rsidR="00387C16">
          <w:rPr>
            <w:noProof/>
            <w:webHidden/>
          </w:rPr>
          <w:fldChar w:fldCharType="end"/>
        </w:r>
      </w:hyperlink>
    </w:p>
    <w:p w:rsidR="00387C16" w:rsidRDefault="009B20D8">
      <w:pPr>
        <w:pStyle w:val="TOC2"/>
        <w:tabs>
          <w:tab w:val="right" w:leader="dot" w:pos="8290"/>
        </w:tabs>
        <w:rPr>
          <w:rFonts w:asciiTheme="minorHAnsi" w:eastAsiaTheme="minorEastAsia" w:hAnsiTheme="minorHAnsi" w:cstheme="minorBidi"/>
          <w:noProof/>
          <w:sz w:val="22"/>
          <w:szCs w:val="22"/>
          <w:lang w:val="en-US" w:eastAsia="en-US"/>
        </w:rPr>
      </w:pPr>
      <w:hyperlink w:anchor="_Toc463527739" w:history="1">
        <w:r w:rsidR="00387C16" w:rsidRPr="00390CC1">
          <w:rPr>
            <w:rStyle w:val="Hyperlink"/>
            <w:noProof/>
          </w:rPr>
          <w:t>Victoria Police</w:t>
        </w:r>
        <w:r w:rsidR="00387C16">
          <w:rPr>
            <w:noProof/>
            <w:webHidden/>
          </w:rPr>
          <w:tab/>
        </w:r>
        <w:r w:rsidR="00387C16">
          <w:rPr>
            <w:noProof/>
            <w:webHidden/>
          </w:rPr>
          <w:fldChar w:fldCharType="begin"/>
        </w:r>
        <w:r w:rsidR="00387C16">
          <w:rPr>
            <w:noProof/>
            <w:webHidden/>
          </w:rPr>
          <w:instrText xml:space="preserve"> PAGEREF _Toc463527739 \h </w:instrText>
        </w:r>
        <w:r w:rsidR="00387C16">
          <w:rPr>
            <w:noProof/>
            <w:webHidden/>
          </w:rPr>
        </w:r>
        <w:r w:rsidR="00387C16">
          <w:rPr>
            <w:noProof/>
            <w:webHidden/>
          </w:rPr>
          <w:fldChar w:fldCharType="separate"/>
        </w:r>
        <w:r w:rsidR="002E75B9">
          <w:rPr>
            <w:noProof/>
            <w:webHidden/>
          </w:rPr>
          <w:t>48</w:t>
        </w:r>
        <w:r w:rsidR="00387C16">
          <w:rPr>
            <w:noProof/>
            <w:webHidden/>
          </w:rPr>
          <w:fldChar w:fldCharType="end"/>
        </w:r>
      </w:hyperlink>
    </w:p>
    <w:p w:rsidR="00387C16" w:rsidRDefault="009B20D8">
      <w:pPr>
        <w:pStyle w:val="TOC1"/>
        <w:tabs>
          <w:tab w:val="right" w:leader="dot" w:pos="8290"/>
        </w:tabs>
        <w:rPr>
          <w:rFonts w:asciiTheme="minorHAnsi" w:eastAsiaTheme="minorEastAsia" w:hAnsiTheme="minorHAnsi" w:cstheme="minorBidi"/>
          <w:noProof/>
          <w:szCs w:val="22"/>
          <w:lang w:val="en-US" w:eastAsia="en-US"/>
        </w:rPr>
      </w:pPr>
      <w:hyperlink w:anchor="_Toc463527740" w:history="1">
        <w:r w:rsidR="00387C16" w:rsidRPr="00390CC1">
          <w:rPr>
            <w:rStyle w:val="Hyperlink"/>
            <w:noProof/>
          </w:rPr>
          <w:t>Links and glossary</w:t>
        </w:r>
        <w:r w:rsidR="00387C16">
          <w:rPr>
            <w:noProof/>
            <w:webHidden/>
          </w:rPr>
          <w:tab/>
        </w:r>
        <w:r w:rsidR="00387C16">
          <w:rPr>
            <w:noProof/>
            <w:webHidden/>
          </w:rPr>
          <w:fldChar w:fldCharType="begin"/>
        </w:r>
        <w:r w:rsidR="00387C16">
          <w:rPr>
            <w:noProof/>
            <w:webHidden/>
          </w:rPr>
          <w:instrText xml:space="preserve"> PAGEREF _Toc463527740 \h </w:instrText>
        </w:r>
        <w:r w:rsidR="00387C16">
          <w:rPr>
            <w:noProof/>
            <w:webHidden/>
          </w:rPr>
        </w:r>
        <w:r w:rsidR="00387C16">
          <w:rPr>
            <w:noProof/>
            <w:webHidden/>
          </w:rPr>
          <w:fldChar w:fldCharType="separate"/>
        </w:r>
        <w:r w:rsidR="002E75B9">
          <w:rPr>
            <w:noProof/>
            <w:webHidden/>
          </w:rPr>
          <w:t>48</w:t>
        </w:r>
        <w:r w:rsidR="00387C16">
          <w:rPr>
            <w:noProof/>
            <w:webHidden/>
          </w:rPr>
          <w:fldChar w:fldCharType="end"/>
        </w:r>
      </w:hyperlink>
    </w:p>
    <w:p w:rsidR="00387C16" w:rsidRDefault="009B20D8">
      <w:pPr>
        <w:pStyle w:val="TOC2"/>
        <w:tabs>
          <w:tab w:val="right" w:leader="dot" w:pos="8290"/>
        </w:tabs>
        <w:rPr>
          <w:rFonts w:asciiTheme="minorHAnsi" w:eastAsiaTheme="minorEastAsia" w:hAnsiTheme="minorHAnsi" w:cstheme="minorBidi"/>
          <w:noProof/>
          <w:sz w:val="22"/>
          <w:szCs w:val="22"/>
          <w:lang w:val="en-US" w:eastAsia="en-US"/>
        </w:rPr>
      </w:pPr>
      <w:hyperlink w:anchor="_Toc463527741" w:history="1">
        <w:r w:rsidR="00387C16" w:rsidRPr="00390CC1">
          <w:rPr>
            <w:rStyle w:val="Hyperlink"/>
            <w:noProof/>
          </w:rPr>
          <w:t>Procurement websites</w:t>
        </w:r>
        <w:r w:rsidR="00387C16">
          <w:rPr>
            <w:noProof/>
            <w:webHidden/>
          </w:rPr>
          <w:tab/>
        </w:r>
        <w:r w:rsidR="00387C16">
          <w:rPr>
            <w:noProof/>
            <w:webHidden/>
          </w:rPr>
          <w:fldChar w:fldCharType="begin"/>
        </w:r>
        <w:r w:rsidR="00387C16">
          <w:rPr>
            <w:noProof/>
            <w:webHidden/>
          </w:rPr>
          <w:instrText xml:space="preserve"> PAGEREF _Toc463527741 \h </w:instrText>
        </w:r>
        <w:r w:rsidR="00387C16">
          <w:rPr>
            <w:noProof/>
            <w:webHidden/>
          </w:rPr>
        </w:r>
        <w:r w:rsidR="00387C16">
          <w:rPr>
            <w:noProof/>
            <w:webHidden/>
          </w:rPr>
          <w:fldChar w:fldCharType="separate"/>
        </w:r>
        <w:r w:rsidR="002E75B9">
          <w:rPr>
            <w:noProof/>
            <w:webHidden/>
          </w:rPr>
          <w:t>48</w:t>
        </w:r>
        <w:r w:rsidR="00387C16">
          <w:rPr>
            <w:noProof/>
            <w:webHidden/>
          </w:rPr>
          <w:fldChar w:fldCharType="end"/>
        </w:r>
      </w:hyperlink>
    </w:p>
    <w:p w:rsidR="00387C16" w:rsidRDefault="009B20D8">
      <w:pPr>
        <w:pStyle w:val="TOC2"/>
        <w:tabs>
          <w:tab w:val="right" w:leader="dot" w:pos="8290"/>
        </w:tabs>
        <w:rPr>
          <w:rFonts w:asciiTheme="minorHAnsi" w:eastAsiaTheme="minorEastAsia" w:hAnsiTheme="minorHAnsi" w:cstheme="minorBidi"/>
          <w:noProof/>
          <w:sz w:val="22"/>
          <w:szCs w:val="22"/>
          <w:lang w:val="en-US" w:eastAsia="en-US"/>
        </w:rPr>
      </w:pPr>
      <w:hyperlink w:anchor="_Toc463527742" w:history="1">
        <w:r w:rsidR="00387C16" w:rsidRPr="00390CC1">
          <w:rPr>
            <w:rStyle w:val="Hyperlink"/>
            <w:noProof/>
          </w:rPr>
          <w:t>Glossary</w:t>
        </w:r>
        <w:r w:rsidR="00387C16">
          <w:rPr>
            <w:noProof/>
            <w:webHidden/>
          </w:rPr>
          <w:tab/>
        </w:r>
        <w:r w:rsidR="00387C16">
          <w:rPr>
            <w:noProof/>
            <w:webHidden/>
          </w:rPr>
          <w:fldChar w:fldCharType="begin"/>
        </w:r>
        <w:r w:rsidR="00387C16">
          <w:rPr>
            <w:noProof/>
            <w:webHidden/>
          </w:rPr>
          <w:instrText xml:space="preserve"> PAGEREF _Toc463527742 \h </w:instrText>
        </w:r>
        <w:r w:rsidR="00387C16">
          <w:rPr>
            <w:noProof/>
            <w:webHidden/>
          </w:rPr>
        </w:r>
        <w:r w:rsidR="00387C16">
          <w:rPr>
            <w:noProof/>
            <w:webHidden/>
          </w:rPr>
          <w:fldChar w:fldCharType="separate"/>
        </w:r>
        <w:r w:rsidR="002E75B9">
          <w:rPr>
            <w:noProof/>
            <w:webHidden/>
          </w:rPr>
          <w:t>48</w:t>
        </w:r>
        <w:r w:rsidR="00387C16">
          <w:rPr>
            <w:noProof/>
            <w:webHidden/>
          </w:rPr>
          <w:fldChar w:fldCharType="end"/>
        </w:r>
      </w:hyperlink>
    </w:p>
    <w:p w:rsidR="00387C16" w:rsidRDefault="009B20D8">
      <w:pPr>
        <w:pStyle w:val="TOC2"/>
        <w:tabs>
          <w:tab w:val="right" w:leader="dot" w:pos="8290"/>
        </w:tabs>
        <w:rPr>
          <w:rFonts w:asciiTheme="minorHAnsi" w:eastAsiaTheme="minorEastAsia" w:hAnsiTheme="minorHAnsi" w:cstheme="minorBidi"/>
          <w:noProof/>
          <w:sz w:val="22"/>
          <w:szCs w:val="22"/>
          <w:lang w:val="en-US" w:eastAsia="en-US"/>
        </w:rPr>
      </w:pPr>
      <w:hyperlink w:anchor="_Toc463527743" w:history="1">
        <w:r w:rsidR="00387C16" w:rsidRPr="00390CC1">
          <w:rPr>
            <w:rStyle w:val="Hyperlink"/>
            <w:noProof/>
          </w:rPr>
          <w:t>Acronyms and abbreviations</w:t>
        </w:r>
        <w:r w:rsidR="00387C16">
          <w:rPr>
            <w:noProof/>
            <w:webHidden/>
          </w:rPr>
          <w:tab/>
        </w:r>
        <w:r w:rsidR="00387C16">
          <w:rPr>
            <w:noProof/>
            <w:webHidden/>
          </w:rPr>
          <w:fldChar w:fldCharType="begin"/>
        </w:r>
        <w:r w:rsidR="00387C16">
          <w:rPr>
            <w:noProof/>
            <w:webHidden/>
          </w:rPr>
          <w:instrText xml:space="preserve"> PAGEREF _Toc463527743 \h </w:instrText>
        </w:r>
        <w:r w:rsidR="00387C16">
          <w:rPr>
            <w:noProof/>
            <w:webHidden/>
          </w:rPr>
        </w:r>
        <w:r w:rsidR="00387C16">
          <w:rPr>
            <w:noProof/>
            <w:webHidden/>
          </w:rPr>
          <w:fldChar w:fldCharType="separate"/>
        </w:r>
        <w:r w:rsidR="002E75B9">
          <w:rPr>
            <w:noProof/>
            <w:webHidden/>
          </w:rPr>
          <w:t>48</w:t>
        </w:r>
        <w:r w:rsidR="00387C16">
          <w:rPr>
            <w:noProof/>
            <w:webHidden/>
          </w:rPr>
          <w:fldChar w:fldCharType="end"/>
        </w:r>
      </w:hyperlink>
    </w:p>
    <w:p w:rsidR="00812C89" w:rsidRPr="00CD6245" w:rsidRDefault="002B07C2" w:rsidP="009022CB">
      <w:pPr>
        <w:pStyle w:val="Normal1"/>
        <w:rPr>
          <w:color w:val="595959" w:themeColor="text1" w:themeTint="A6"/>
          <w:sz w:val="32"/>
          <w:szCs w:val="32"/>
        </w:rPr>
      </w:pPr>
      <w:r w:rsidRPr="00CD6245">
        <w:rPr>
          <w:rFonts w:asciiTheme="majorHAnsi" w:hAnsiTheme="majorHAnsi" w:cs="Arial"/>
        </w:rPr>
        <w:fldChar w:fldCharType="end"/>
      </w:r>
      <w:bookmarkStart w:id="1" w:name="_Toc366693289"/>
      <w:bookmarkStart w:id="2" w:name="_Toc366695194"/>
      <w:r w:rsidR="00812C89" w:rsidRPr="00CD6245">
        <w:rPr>
          <w:color w:val="595959" w:themeColor="text1" w:themeTint="A6"/>
          <w:sz w:val="32"/>
          <w:szCs w:val="32"/>
        </w:rPr>
        <w:t>Tables and figures</w:t>
      </w:r>
      <w:bookmarkEnd w:id="1"/>
      <w:bookmarkEnd w:id="2"/>
    </w:p>
    <w:p w:rsidR="00812C89" w:rsidRPr="00CD6245" w:rsidRDefault="009F4D80" w:rsidP="009F4D80">
      <w:pPr>
        <w:pStyle w:val="Heading3NoNum"/>
      </w:pPr>
      <w:bookmarkStart w:id="3" w:name="_Toc366693290"/>
      <w:r w:rsidRPr="00CD6245">
        <w:t>Tables</w:t>
      </w:r>
      <w:bookmarkEnd w:id="3"/>
    </w:p>
    <w:p w:rsidR="00387C16" w:rsidRDefault="002B07C2">
      <w:pPr>
        <w:pStyle w:val="TableofFigures"/>
        <w:tabs>
          <w:tab w:val="right" w:leader="dot" w:pos="8290"/>
        </w:tabs>
        <w:rPr>
          <w:rFonts w:asciiTheme="minorHAnsi" w:eastAsiaTheme="minorEastAsia" w:hAnsiTheme="minorHAnsi" w:cstheme="minorBidi"/>
          <w:noProof/>
          <w:sz w:val="22"/>
          <w:szCs w:val="22"/>
          <w:lang w:val="en-US" w:eastAsia="en-US"/>
        </w:rPr>
      </w:pPr>
      <w:r w:rsidRPr="00CD6245">
        <w:rPr>
          <w:rFonts w:cs="Arial"/>
        </w:rPr>
        <w:fldChar w:fldCharType="begin"/>
      </w:r>
      <w:r w:rsidR="009F4D80" w:rsidRPr="00CD6245">
        <w:rPr>
          <w:rFonts w:cs="Arial"/>
        </w:rPr>
        <w:instrText xml:space="preserve"> TOC \h \z \c "Table" </w:instrText>
      </w:r>
      <w:r w:rsidRPr="00CD6245">
        <w:rPr>
          <w:rFonts w:cs="Arial"/>
        </w:rPr>
        <w:fldChar w:fldCharType="separate"/>
      </w:r>
      <w:hyperlink w:anchor="_Toc463527836" w:history="1">
        <w:r w:rsidR="00387C16" w:rsidRPr="001A6BA6">
          <w:rPr>
            <w:rStyle w:val="Hyperlink"/>
            <w:noProof/>
          </w:rPr>
          <w:t>Table 1: VGPB projects and initiatives completed in 2015–16</w:t>
        </w:r>
        <w:r w:rsidR="00387C16">
          <w:rPr>
            <w:noProof/>
            <w:webHidden/>
          </w:rPr>
          <w:tab/>
        </w:r>
        <w:r w:rsidR="00387C16">
          <w:rPr>
            <w:noProof/>
            <w:webHidden/>
          </w:rPr>
          <w:fldChar w:fldCharType="begin"/>
        </w:r>
        <w:r w:rsidR="00387C16">
          <w:rPr>
            <w:noProof/>
            <w:webHidden/>
          </w:rPr>
          <w:instrText xml:space="preserve"> PAGEREF _Toc463527836 \h </w:instrText>
        </w:r>
        <w:r w:rsidR="00387C16">
          <w:rPr>
            <w:noProof/>
            <w:webHidden/>
          </w:rPr>
        </w:r>
        <w:r w:rsidR="00387C16">
          <w:rPr>
            <w:noProof/>
            <w:webHidden/>
          </w:rPr>
          <w:fldChar w:fldCharType="separate"/>
        </w:r>
        <w:r w:rsidR="002E75B9">
          <w:rPr>
            <w:noProof/>
            <w:webHidden/>
          </w:rPr>
          <w:t>7</w:t>
        </w:r>
        <w:r w:rsidR="00387C16">
          <w:rPr>
            <w:noProof/>
            <w:webHidden/>
          </w:rPr>
          <w:fldChar w:fldCharType="end"/>
        </w:r>
      </w:hyperlink>
    </w:p>
    <w:p w:rsidR="00387C16" w:rsidRDefault="009B20D8">
      <w:pPr>
        <w:pStyle w:val="TableofFigures"/>
        <w:tabs>
          <w:tab w:val="right" w:leader="dot" w:pos="8290"/>
        </w:tabs>
        <w:rPr>
          <w:rFonts w:asciiTheme="minorHAnsi" w:eastAsiaTheme="minorEastAsia" w:hAnsiTheme="minorHAnsi" w:cstheme="minorBidi"/>
          <w:noProof/>
          <w:sz w:val="22"/>
          <w:szCs w:val="22"/>
          <w:lang w:val="en-US" w:eastAsia="en-US"/>
        </w:rPr>
      </w:pPr>
      <w:hyperlink w:anchor="_Toc463527837" w:history="1">
        <w:r w:rsidR="00387C16" w:rsidRPr="001A6BA6">
          <w:rPr>
            <w:rStyle w:val="Hyperlink"/>
            <w:noProof/>
          </w:rPr>
          <w:t>Table 2: VGPB guides produced in 2015–16</w:t>
        </w:r>
        <w:r w:rsidR="00387C16">
          <w:rPr>
            <w:noProof/>
            <w:webHidden/>
          </w:rPr>
          <w:tab/>
        </w:r>
        <w:r w:rsidR="00387C16">
          <w:rPr>
            <w:noProof/>
            <w:webHidden/>
          </w:rPr>
          <w:fldChar w:fldCharType="begin"/>
        </w:r>
        <w:r w:rsidR="00387C16">
          <w:rPr>
            <w:noProof/>
            <w:webHidden/>
          </w:rPr>
          <w:instrText xml:space="preserve"> PAGEREF _Toc463527837 \h </w:instrText>
        </w:r>
        <w:r w:rsidR="00387C16">
          <w:rPr>
            <w:noProof/>
            <w:webHidden/>
          </w:rPr>
        </w:r>
        <w:r w:rsidR="00387C16">
          <w:rPr>
            <w:noProof/>
            <w:webHidden/>
          </w:rPr>
          <w:fldChar w:fldCharType="separate"/>
        </w:r>
        <w:r w:rsidR="002E75B9">
          <w:rPr>
            <w:noProof/>
            <w:webHidden/>
          </w:rPr>
          <w:t>12</w:t>
        </w:r>
        <w:r w:rsidR="00387C16">
          <w:rPr>
            <w:noProof/>
            <w:webHidden/>
          </w:rPr>
          <w:fldChar w:fldCharType="end"/>
        </w:r>
      </w:hyperlink>
    </w:p>
    <w:p w:rsidR="00387C16" w:rsidRDefault="009B20D8">
      <w:pPr>
        <w:pStyle w:val="TableofFigures"/>
        <w:tabs>
          <w:tab w:val="right" w:leader="dot" w:pos="8290"/>
        </w:tabs>
        <w:rPr>
          <w:rFonts w:asciiTheme="minorHAnsi" w:eastAsiaTheme="minorEastAsia" w:hAnsiTheme="minorHAnsi" w:cstheme="minorBidi"/>
          <w:noProof/>
          <w:sz w:val="22"/>
          <w:szCs w:val="22"/>
          <w:lang w:val="en-US" w:eastAsia="en-US"/>
        </w:rPr>
      </w:pPr>
      <w:hyperlink w:anchor="_Toc463527838" w:history="1">
        <w:r w:rsidR="00387C16" w:rsidRPr="001A6BA6">
          <w:rPr>
            <w:rStyle w:val="Hyperlink"/>
            <w:b/>
            <w:noProof/>
          </w:rPr>
          <w:t>Table 3: Victorian Government public service bodies bound by VGPB policies as at 30 June 2016</w:t>
        </w:r>
        <w:r w:rsidR="00387C16">
          <w:rPr>
            <w:noProof/>
            <w:webHidden/>
          </w:rPr>
          <w:tab/>
        </w:r>
        <w:r w:rsidR="00387C16">
          <w:rPr>
            <w:noProof/>
            <w:webHidden/>
          </w:rPr>
          <w:fldChar w:fldCharType="begin"/>
        </w:r>
        <w:r w:rsidR="00387C16">
          <w:rPr>
            <w:noProof/>
            <w:webHidden/>
          </w:rPr>
          <w:instrText xml:space="preserve"> PAGEREF _Toc463527838 \h </w:instrText>
        </w:r>
        <w:r w:rsidR="00387C16">
          <w:rPr>
            <w:noProof/>
            <w:webHidden/>
          </w:rPr>
        </w:r>
        <w:r w:rsidR="00387C16">
          <w:rPr>
            <w:noProof/>
            <w:webHidden/>
          </w:rPr>
          <w:fldChar w:fldCharType="separate"/>
        </w:r>
        <w:r w:rsidR="002E75B9">
          <w:rPr>
            <w:noProof/>
            <w:webHidden/>
          </w:rPr>
          <w:t>21</w:t>
        </w:r>
        <w:r w:rsidR="00387C16">
          <w:rPr>
            <w:noProof/>
            <w:webHidden/>
          </w:rPr>
          <w:fldChar w:fldCharType="end"/>
        </w:r>
      </w:hyperlink>
    </w:p>
    <w:p w:rsidR="00387C16" w:rsidRDefault="009B20D8">
      <w:pPr>
        <w:pStyle w:val="TableofFigures"/>
        <w:tabs>
          <w:tab w:val="right" w:leader="dot" w:pos="8290"/>
        </w:tabs>
        <w:rPr>
          <w:rFonts w:asciiTheme="minorHAnsi" w:eastAsiaTheme="minorEastAsia" w:hAnsiTheme="minorHAnsi" w:cstheme="minorBidi"/>
          <w:noProof/>
          <w:sz w:val="22"/>
          <w:szCs w:val="22"/>
          <w:lang w:val="en-US" w:eastAsia="en-US"/>
        </w:rPr>
      </w:pPr>
      <w:hyperlink w:anchor="_Toc463527839" w:history="1">
        <w:r w:rsidR="00387C16" w:rsidRPr="001A6BA6">
          <w:rPr>
            <w:rStyle w:val="Hyperlink"/>
            <w:noProof/>
          </w:rPr>
          <w:t>Table 4: VGPB members as at 30 June 2016</w:t>
        </w:r>
        <w:r w:rsidR="00387C16">
          <w:rPr>
            <w:noProof/>
            <w:webHidden/>
          </w:rPr>
          <w:tab/>
        </w:r>
        <w:r w:rsidR="00387C16">
          <w:rPr>
            <w:noProof/>
            <w:webHidden/>
          </w:rPr>
          <w:fldChar w:fldCharType="begin"/>
        </w:r>
        <w:r w:rsidR="00387C16">
          <w:rPr>
            <w:noProof/>
            <w:webHidden/>
          </w:rPr>
          <w:instrText xml:space="preserve"> PAGEREF _Toc463527839 \h </w:instrText>
        </w:r>
        <w:r w:rsidR="00387C16">
          <w:rPr>
            <w:noProof/>
            <w:webHidden/>
          </w:rPr>
        </w:r>
        <w:r w:rsidR="00387C16">
          <w:rPr>
            <w:noProof/>
            <w:webHidden/>
          </w:rPr>
          <w:fldChar w:fldCharType="separate"/>
        </w:r>
        <w:r w:rsidR="002E75B9">
          <w:rPr>
            <w:noProof/>
            <w:webHidden/>
          </w:rPr>
          <w:t>23</w:t>
        </w:r>
        <w:r w:rsidR="00387C16">
          <w:rPr>
            <w:noProof/>
            <w:webHidden/>
          </w:rPr>
          <w:fldChar w:fldCharType="end"/>
        </w:r>
      </w:hyperlink>
    </w:p>
    <w:p w:rsidR="00387C16" w:rsidRDefault="009B20D8">
      <w:pPr>
        <w:pStyle w:val="TableofFigures"/>
        <w:tabs>
          <w:tab w:val="right" w:leader="dot" w:pos="8290"/>
        </w:tabs>
        <w:rPr>
          <w:rFonts w:asciiTheme="minorHAnsi" w:eastAsiaTheme="minorEastAsia" w:hAnsiTheme="minorHAnsi" w:cstheme="minorBidi"/>
          <w:noProof/>
          <w:sz w:val="22"/>
          <w:szCs w:val="22"/>
          <w:lang w:val="en-US" w:eastAsia="en-US"/>
        </w:rPr>
      </w:pPr>
      <w:hyperlink w:anchor="_Toc463527840" w:history="1">
        <w:r w:rsidR="00387C16" w:rsidRPr="001A6BA6">
          <w:rPr>
            <w:rStyle w:val="Hyperlink"/>
            <w:noProof/>
          </w:rPr>
          <w:t>Table 5: Total number and value of one-off supply, SEPC and SPC approvals in 2015–16 by goods and services</w:t>
        </w:r>
        <w:r w:rsidR="00387C16">
          <w:rPr>
            <w:noProof/>
            <w:webHidden/>
          </w:rPr>
          <w:tab/>
        </w:r>
        <w:r w:rsidR="00387C16">
          <w:rPr>
            <w:noProof/>
            <w:webHidden/>
          </w:rPr>
          <w:fldChar w:fldCharType="begin"/>
        </w:r>
        <w:r w:rsidR="00387C16">
          <w:rPr>
            <w:noProof/>
            <w:webHidden/>
          </w:rPr>
          <w:instrText xml:space="preserve"> PAGEREF _Toc463527840 \h </w:instrText>
        </w:r>
        <w:r w:rsidR="00387C16">
          <w:rPr>
            <w:noProof/>
            <w:webHidden/>
          </w:rPr>
        </w:r>
        <w:r w:rsidR="00387C16">
          <w:rPr>
            <w:noProof/>
            <w:webHidden/>
          </w:rPr>
          <w:fldChar w:fldCharType="separate"/>
        </w:r>
        <w:r w:rsidR="002E75B9">
          <w:rPr>
            <w:noProof/>
            <w:webHidden/>
          </w:rPr>
          <w:t>26</w:t>
        </w:r>
        <w:r w:rsidR="00387C16">
          <w:rPr>
            <w:noProof/>
            <w:webHidden/>
          </w:rPr>
          <w:fldChar w:fldCharType="end"/>
        </w:r>
      </w:hyperlink>
    </w:p>
    <w:p w:rsidR="00387C16" w:rsidRDefault="009B20D8">
      <w:pPr>
        <w:pStyle w:val="TableofFigures"/>
        <w:tabs>
          <w:tab w:val="right" w:leader="dot" w:pos="8290"/>
        </w:tabs>
        <w:rPr>
          <w:rFonts w:asciiTheme="minorHAnsi" w:eastAsiaTheme="minorEastAsia" w:hAnsiTheme="minorHAnsi" w:cstheme="minorBidi"/>
          <w:noProof/>
          <w:sz w:val="22"/>
          <w:szCs w:val="22"/>
          <w:lang w:val="en-US" w:eastAsia="en-US"/>
        </w:rPr>
      </w:pPr>
      <w:hyperlink w:anchor="_Toc463527841" w:history="1">
        <w:r w:rsidR="00387C16" w:rsidRPr="001A6BA6">
          <w:rPr>
            <w:rStyle w:val="Hyperlink"/>
            <w:noProof/>
          </w:rPr>
          <w:t>Table 6: Total number and value of one-off supply, SEPC and SPC approvals from 2013–14 to 2015–16</w:t>
        </w:r>
        <w:r w:rsidR="00387C16">
          <w:rPr>
            <w:noProof/>
            <w:webHidden/>
          </w:rPr>
          <w:tab/>
        </w:r>
        <w:r w:rsidR="00387C16">
          <w:rPr>
            <w:noProof/>
            <w:webHidden/>
          </w:rPr>
          <w:fldChar w:fldCharType="begin"/>
        </w:r>
        <w:r w:rsidR="00387C16">
          <w:rPr>
            <w:noProof/>
            <w:webHidden/>
          </w:rPr>
          <w:instrText xml:space="preserve"> PAGEREF _Toc463527841 \h </w:instrText>
        </w:r>
        <w:r w:rsidR="00387C16">
          <w:rPr>
            <w:noProof/>
            <w:webHidden/>
          </w:rPr>
        </w:r>
        <w:r w:rsidR="00387C16">
          <w:rPr>
            <w:noProof/>
            <w:webHidden/>
          </w:rPr>
          <w:fldChar w:fldCharType="separate"/>
        </w:r>
        <w:r w:rsidR="002E75B9">
          <w:rPr>
            <w:noProof/>
            <w:webHidden/>
          </w:rPr>
          <w:t>27</w:t>
        </w:r>
        <w:r w:rsidR="00387C16">
          <w:rPr>
            <w:noProof/>
            <w:webHidden/>
          </w:rPr>
          <w:fldChar w:fldCharType="end"/>
        </w:r>
      </w:hyperlink>
    </w:p>
    <w:p w:rsidR="00387C16" w:rsidRDefault="009B20D8">
      <w:pPr>
        <w:pStyle w:val="TableofFigures"/>
        <w:tabs>
          <w:tab w:val="right" w:leader="dot" w:pos="8290"/>
        </w:tabs>
        <w:rPr>
          <w:rFonts w:asciiTheme="minorHAnsi" w:eastAsiaTheme="minorEastAsia" w:hAnsiTheme="minorHAnsi" w:cstheme="minorBidi"/>
          <w:noProof/>
          <w:sz w:val="22"/>
          <w:szCs w:val="22"/>
          <w:lang w:val="en-US" w:eastAsia="en-US"/>
        </w:rPr>
      </w:pPr>
      <w:hyperlink w:anchor="_Toc463527842" w:history="1">
        <w:r w:rsidR="00387C16" w:rsidRPr="001A6BA6">
          <w:rPr>
            <w:rStyle w:val="Hyperlink"/>
            <w:noProof/>
          </w:rPr>
          <w:t>Table 7: Number and value of one-off supply approvals by organisation and by goods and services in 2015–16</w:t>
        </w:r>
        <w:r w:rsidR="00387C16">
          <w:rPr>
            <w:noProof/>
            <w:webHidden/>
          </w:rPr>
          <w:tab/>
        </w:r>
        <w:r w:rsidR="00387C16">
          <w:rPr>
            <w:noProof/>
            <w:webHidden/>
          </w:rPr>
          <w:fldChar w:fldCharType="begin"/>
        </w:r>
        <w:r w:rsidR="00387C16">
          <w:rPr>
            <w:noProof/>
            <w:webHidden/>
          </w:rPr>
          <w:instrText xml:space="preserve"> PAGEREF _Toc463527842 \h </w:instrText>
        </w:r>
        <w:r w:rsidR="00387C16">
          <w:rPr>
            <w:noProof/>
            <w:webHidden/>
          </w:rPr>
        </w:r>
        <w:r w:rsidR="00387C16">
          <w:rPr>
            <w:noProof/>
            <w:webHidden/>
          </w:rPr>
          <w:fldChar w:fldCharType="separate"/>
        </w:r>
        <w:r w:rsidR="002E75B9">
          <w:rPr>
            <w:noProof/>
            <w:webHidden/>
          </w:rPr>
          <w:t>29</w:t>
        </w:r>
        <w:r w:rsidR="00387C16">
          <w:rPr>
            <w:noProof/>
            <w:webHidden/>
          </w:rPr>
          <w:fldChar w:fldCharType="end"/>
        </w:r>
      </w:hyperlink>
    </w:p>
    <w:p w:rsidR="00387C16" w:rsidRDefault="009B20D8">
      <w:pPr>
        <w:pStyle w:val="TableofFigures"/>
        <w:tabs>
          <w:tab w:val="right" w:leader="dot" w:pos="8290"/>
        </w:tabs>
        <w:rPr>
          <w:rFonts w:asciiTheme="minorHAnsi" w:eastAsiaTheme="minorEastAsia" w:hAnsiTheme="minorHAnsi" w:cstheme="minorBidi"/>
          <w:noProof/>
          <w:sz w:val="22"/>
          <w:szCs w:val="22"/>
          <w:lang w:val="en-US" w:eastAsia="en-US"/>
        </w:rPr>
      </w:pPr>
      <w:hyperlink w:anchor="_Toc463527843" w:history="1">
        <w:r w:rsidR="00387C16" w:rsidRPr="001A6BA6">
          <w:rPr>
            <w:rStyle w:val="Hyperlink"/>
            <w:noProof/>
          </w:rPr>
          <w:t>Table 8: Number and estimated potential value of SEPC approvals by organisation and by goods and services in 2015–16</w:t>
        </w:r>
        <w:r w:rsidR="00387C16">
          <w:rPr>
            <w:noProof/>
            <w:webHidden/>
          </w:rPr>
          <w:tab/>
        </w:r>
        <w:r w:rsidR="00387C16">
          <w:rPr>
            <w:noProof/>
            <w:webHidden/>
          </w:rPr>
          <w:fldChar w:fldCharType="begin"/>
        </w:r>
        <w:r w:rsidR="00387C16">
          <w:rPr>
            <w:noProof/>
            <w:webHidden/>
          </w:rPr>
          <w:instrText xml:space="preserve"> PAGEREF _Toc463527843 \h </w:instrText>
        </w:r>
        <w:r w:rsidR="00387C16">
          <w:rPr>
            <w:noProof/>
            <w:webHidden/>
          </w:rPr>
        </w:r>
        <w:r w:rsidR="00387C16">
          <w:rPr>
            <w:noProof/>
            <w:webHidden/>
          </w:rPr>
          <w:fldChar w:fldCharType="separate"/>
        </w:r>
        <w:r w:rsidR="002E75B9">
          <w:rPr>
            <w:noProof/>
            <w:webHidden/>
          </w:rPr>
          <w:t>31</w:t>
        </w:r>
        <w:r w:rsidR="00387C16">
          <w:rPr>
            <w:noProof/>
            <w:webHidden/>
          </w:rPr>
          <w:fldChar w:fldCharType="end"/>
        </w:r>
      </w:hyperlink>
    </w:p>
    <w:p w:rsidR="00387C16" w:rsidRDefault="009B20D8">
      <w:pPr>
        <w:pStyle w:val="TableofFigures"/>
        <w:tabs>
          <w:tab w:val="right" w:leader="dot" w:pos="8290"/>
        </w:tabs>
        <w:rPr>
          <w:rFonts w:asciiTheme="minorHAnsi" w:eastAsiaTheme="minorEastAsia" w:hAnsiTheme="minorHAnsi" w:cstheme="minorBidi"/>
          <w:noProof/>
          <w:sz w:val="22"/>
          <w:szCs w:val="22"/>
          <w:lang w:val="en-US" w:eastAsia="en-US"/>
        </w:rPr>
      </w:pPr>
      <w:hyperlink w:anchor="_Toc463527844" w:history="1">
        <w:r w:rsidR="00387C16" w:rsidRPr="001A6BA6">
          <w:rPr>
            <w:rStyle w:val="Hyperlink"/>
            <w:noProof/>
          </w:rPr>
          <w:t>Table 9: Breakdown of SEPCs approved in 2015–16</w:t>
        </w:r>
        <w:r w:rsidR="00387C16">
          <w:rPr>
            <w:noProof/>
            <w:webHidden/>
          </w:rPr>
          <w:tab/>
        </w:r>
        <w:r w:rsidR="00387C16">
          <w:rPr>
            <w:noProof/>
            <w:webHidden/>
          </w:rPr>
          <w:fldChar w:fldCharType="begin"/>
        </w:r>
        <w:r w:rsidR="00387C16">
          <w:rPr>
            <w:noProof/>
            <w:webHidden/>
          </w:rPr>
          <w:instrText xml:space="preserve"> PAGEREF _Toc463527844 \h </w:instrText>
        </w:r>
        <w:r w:rsidR="00387C16">
          <w:rPr>
            <w:noProof/>
            <w:webHidden/>
          </w:rPr>
        </w:r>
        <w:r w:rsidR="00387C16">
          <w:rPr>
            <w:noProof/>
            <w:webHidden/>
          </w:rPr>
          <w:fldChar w:fldCharType="separate"/>
        </w:r>
        <w:r w:rsidR="002E75B9">
          <w:rPr>
            <w:noProof/>
            <w:webHidden/>
          </w:rPr>
          <w:t>33</w:t>
        </w:r>
        <w:r w:rsidR="00387C16">
          <w:rPr>
            <w:noProof/>
            <w:webHidden/>
          </w:rPr>
          <w:fldChar w:fldCharType="end"/>
        </w:r>
      </w:hyperlink>
    </w:p>
    <w:p w:rsidR="00387C16" w:rsidRDefault="009B20D8">
      <w:pPr>
        <w:pStyle w:val="TableofFigures"/>
        <w:tabs>
          <w:tab w:val="right" w:leader="dot" w:pos="8290"/>
        </w:tabs>
        <w:rPr>
          <w:rFonts w:asciiTheme="minorHAnsi" w:eastAsiaTheme="minorEastAsia" w:hAnsiTheme="minorHAnsi" w:cstheme="minorBidi"/>
          <w:noProof/>
          <w:sz w:val="22"/>
          <w:szCs w:val="22"/>
          <w:lang w:val="en-US" w:eastAsia="en-US"/>
        </w:rPr>
      </w:pPr>
      <w:hyperlink w:anchor="_Toc463527845" w:history="1">
        <w:r w:rsidR="00387C16" w:rsidRPr="001A6BA6">
          <w:rPr>
            <w:rStyle w:val="Hyperlink"/>
            <w:noProof/>
          </w:rPr>
          <w:t>Table 10: Breakdown of SPCs approved in 2015–16</w:t>
        </w:r>
        <w:r w:rsidR="00387C16">
          <w:rPr>
            <w:noProof/>
            <w:webHidden/>
          </w:rPr>
          <w:tab/>
        </w:r>
        <w:r w:rsidR="00387C16">
          <w:rPr>
            <w:noProof/>
            <w:webHidden/>
          </w:rPr>
          <w:fldChar w:fldCharType="begin"/>
        </w:r>
        <w:r w:rsidR="00387C16">
          <w:rPr>
            <w:noProof/>
            <w:webHidden/>
          </w:rPr>
          <w:instrText xml:space="preserve"> PAGEREF _Toc463527845 \h </w:instrText>
        </w:r>
        <w:r w:rsidR="00387C16">
          <w:rPr>
            <w:noProof/>
            <w:webHidden/>
          </w:rPr>
        </w:r>
        <w:r w:rsidR="00387C16">
          <w:rPr>
            <w:noProof/>
            <w:webHidden/>
          </w:rPr>
          <w:fldChar w:fldCharType="separate"/>
        </w:r>
        <w:r w:rsidR="002E75B9">
          <w:rPr>
            <w:noProof/>
            <w:webHidden/>
          </w:rPr>
          <w:t>36</w:t>
        </w:r>
        <w:r w:rsidR="00387C16">
          <w:rPr>
            <w:noProof/>
            <w:webHidden/>
          </w:rPr>
          <w:fldChar w:fldCharType="end"/>
        </w:r>
      </w:hyperlink>
    </w:p>
    <w:p w:rsidR="00387C16" w:rsidRDefault="009B20D8">
      <w:pPr>
        <w:pStyle w:val="TableofFigures"/>
        <w:tabs>
          <w:tab w:val="right" w:leader="dot" w:pos="8290"/>
        </w:tabs>
        <w:rPr>
          <w:rFonts w:asciiTheme="minorHAnsi" w:eastAsiaTheme="minorEastAsia" w:hAnsiTheme="minorHAnsi" w:cstheme="minorBidi"/>
          <w:noProof/>
          <w:sz w:val="22"/>
          <w:szCs w:val="22"/>
          <w:lang w:val="en-US" w:eastAsia="en-US"/>
        </w:rPr>
      </w:pPr>
      <w:hyperlink w:anchor="_Toc463527846" w:history="1">
        <w:r w:rsidR="00387C16" w:rsidRPr="001A6BA6">
          <w:rPr>
            <w:rStyle w:val="Hyperlink"/>
            <w:noProof/>
          </w:rPr>
          <w:t>Table 11: Critical incident procurement in 2015–16</w:t>
        </w:r>
        <w:r w:rsidR="00387C16">
          <w:rPr>
            <w:noProof/>
            <w:webHidden/>
          </w:rPr>
          <w:tab/>
        </w:r>
        <w:r w:rsidR="00387C16">
          <w:rPr>
            <w:noProof/>
            <w:webHidden/>
          </w:rPr>
          <w:fldChar w:fldCharType="begin"/>
        </w:r>
        <w:r w:rsidR="00387C16">
          <w:rPr>
            <w:noProof/>
            <w:webHidden/>
          </w:rPr>
          <w:instrText xml:space="preserve"> PAGEREF _Toc463527846 \h </w:instrText>
        </w:r>
        <w:r w:rsidR="00387C16">
          <w:rPr>
            <w:noProof/>
            <w:webHidden/>
          </w:rPr>
        </w:r>
        <w:r w:rsidR="00387C16">
          <w:rPr>
            <w:noProof/>
            <w:webHidden/>
          </w:rPr>
          <w:fldChar w:fldCharType="separate"/>
        </w:r>
        <w:r w:rsidR="002E75B9">
          <w:rPr>
            <w:noProof/>
            <w:webHidden/>
          </w:rPr>
          <w:t>38</w:t>
        </w:r>
        <w:r w:rsidR="00387C16">
          <w:rPr>
            <w:noProof/>
            <w:webHidden/>
          </w:rPr>
          <w:fldChar w:fldCharType="end"/>
        </w:r>
      </w:hyperlink>
    </w:p>
    <w:p w:rsidR="00387C16" w:rsidRDefault="009B20D8">
      <w:pPr>
        <w:pStyle w:val="TableofFigures"/>
        <w:tabs>
          <w:tab w:val="right" w:leader="dot" w:pos="8290"/>
        </w:tabs>
        <w:rPr>
          <w:rFonts w:asciiTheme="minorHAnsi" w:eastAsiaTheme="minorEastAsia" w:hAnsiTheme="minorHAnsi" w:cstheme="minorBidi"/>
          <w:noProof/>
          <w:sz w:val="22"/>
          <w:szCs w:val="22"/>
          <w:lang w:val="en-US" w:eastAsia="en-US"/>
        </w:rPr>
      </w:pPr>
      <w:hyperlink w:anchor="_Toc463527847" w:history="1">
        <w:r w:rsidR="00387C16" w:rsidRPr="001A6BA6">
          <w:rPr>
            <w:rStyle w:val="Hyperlink"/>
            <w:noProof/>
          </w:rPr>
          <w:t>Table 12: Description of complexity quadrants</w:t>
        </w:r>
        <w:r w:rsidR="00387C16">
          <w:rPr>
            <w:noProof/>
            <w:webHidden/>
          </w:rPr>
          <w:tab/>
        </w:r>
        <w:r w:rsidR="00387C16">
          <w:rPr>
            <w:noProof/>
            <w:webHidden/>
          </w:rPr>
          <w:fldChar w:fldCharType="begin"/>
        </w:r>
        <w:r w:rsidR="00387C16">
          <w:rPr>
            <w:noProof/>
            <w:webHidden/>
          </w:rPr>
          <w:instrText xml:space="preserve"> PAGEREF _Toc463527847 \h </w:instrText>
        </w:r>
        <w:r w:rsidR="00387C16">
          <w:rPr>
            <w:noProof/>
            <w:webHidden/>
          </w:rPr>
        </w:r>
        <w:r w:rsidR="00387C16">
          <w:rPr>
            <w:noProof/>
            <w:webHidden/>
          </w:rPr>
          <w:fldChar w:fldCharType="separate"/>
        </w:r>
        <w:r w:rsidR="002E75B9">
          <w:rPr>
            <w:noProof/>
            <w:webHidden/>
          </w:rPr>
          <w:t>39</w:t>
        </w:r>
        <w:r w:rsidR="00387C16">
          <w:rPr>
            <w:noProof/>
            <w:webHidden/>
          </w:rPr>
          <w:fldChar w:fldCharType="end"/>
        </w:r>
      </w:hyperlink>
    </w:p>
    <w:p w:rsidR="00387C16" w:rsidRDefault="009B20D8">
      <w:pPr>
        <w:pStyle w:val="TableofFigures"/>
        <w:tabs>
          <w:tab w:val="right" w:leader="dot" w:pos="8290"/>
        </w:tabs>
        <w:rPr>
          <w:rFonts w:asciiTheme="minorHAnsi" w:eastAsiaTheme="minorEastAsia" w:hAnsiTheme="minorHAnsi" w:cstheme="minorBidi"/>
          <w:noProof/>
          <w:sz w:val="22"/>
          <w:szCs w:val="22"/>
          <w:lang w:val="en-US" w:eastAsia="en-US"/>
        </w:rPr>
      </w:pPr>
      <w:hyperlink w:anchor="_Toc463527848" w:history="1">
        <w:r w:rsidR="00387C16" w:rsidRPr="001A6BA6">
          <w:rPr>
            <w:rStyle w:val="Hyperlink"/>
            <w:noProof/>
          </w:rPr>
          <w:t>Table 13: Number of one-off supply, SEPC and SPC approvals by complexity quadrant in 2015–16</w:t>
        </w:r>
        <w:r w:rsidR="00387C16">
          <w:rPr>
            <w:noProof/>
            <w:webHidden/>
          </w:rPr>
          <w:tab/>
        </w:r>
        <w:r w:rsidR="00387C16">
          <w:rPr>
            <w:noProof/>
            <w:webHidden/>
          </w:rPr>
          <w:fldChar w:fldCharType="begin"/>
        </w:r>
        <w:r w:rsidR="00387C16">
          <w:rPr>
            <w:noProof/>
            <w:webHidden/>
          </w:rPr>
          <w:instrText xml:space="preserve"> PAGEREF _Toc463527848 \h </w:instrText>
        </w:r>
        <w:r w:rsidR="00387C16">
          <w:rPr>
            <w:noProof/>
            <w:webHidden/>
          </w:rPr>
        </w:r>
        <w:r w:rsidR="00387C16">
          <w:rPr>
            <w:noProof/>
            <w:webHidden/>
          </w:rPr>
          <w:fldChar w:fldCharType="separate"/>
        </w:r>
        <w:r w:rsidR="002E75B9">
          <w:rPr>
            <w:noProof/>
            <w:webHidden/>
          </w:rPr>
          <w:t>39</w:t>
        </w:r>
        <w:r w:rsidR="00387C16">
          <w:rPr>
            <w:noProof/>
            <w:webHidden/>
          </w:rPr>
          <w:fldChar w:fldCharType="end"/>
        </w:r>
      </w:hyperlink>
    </w:p>
    <w:p w:rsidR="00387C16" w:rsidRDefault="009B20D8">
      <w:pPr>
        <w:pStyle w:val="TableofFigures"/>
        <w:tabs>
          <w:tab w:val="right" w:leader="dot" w:pos="8290"/>
        </w:tabs>
        <w:rPr>
          <w:rFonts w:asciiTheme="minorHAnsi" w:eastAsiaTheme="minorEastAsia" w:hAnsiTheme="minorHAnsi" w:cstheme="minorBidi"/>
          <w:noProof/>
          <w:sz w:val="22"/>
          <w:szCs w:val="22"/>
          <w:lang w:val="en-US" w:eastAsia="en-US"/>
        </w:rPr>
      </w:pPr>
      <w:hyperlink w:anchor="_Toc463527849" w:history="1">
        <w:r w:rsidR="00387C16" w:rsidRPr="001A6BA6">
          <w:rPr>
            <w:rStyle w:val="Hyperlink"/>
            <w:noProof/>
          </w:rPr>
          <w:t>Table 14: Complexity quadrants (number) by organisation</w:t>
        </w:r>
        <w:r w:rsidR="00387C16">
          <w:rPr>
            <w:noProof/>
            <w:webHidden/>
          </w:rPr>
          <w:tab/>
        </w:r>
        <w:r w:rsidR="00387C16">
          <w:rPr>
            <w:noProof/>
            <w:webHidden/>
          </w:rPr>
          <w:fldChar w:fldCharType="begin"/>
        </w:r>
        <w:r w:rsidR="00387C16">
          <w:rPr>
            <w:noProof/>
            <w:webHidden/>
          </w:rPr>
          <w:instrText xml:space="preserve"> PAGEREF _Toc463527849 \h </w:instrText>
        </w:r>
        <w:r w:rsidR="00387C16">
          <w:rPr>
            <w:noProof/>
            <w:webHidden/>
          </w:rPr>
        </w:r>
        <w:r w:rsidR="00387C16">
          <w:rPr>
            <w:noProof/>
            <w:webHidden/>
          </w:rPr>
          <w:fldChar w:fldCharType="separate"/>
        </w:r>
        <w:r w:rsidR="002E75B9">
          <w:rPr>
            <w:noProof/>
            <w:webHidden/>
          </w:rPr>
          <w:t>40</w:t>
        </w:r>
        <w:r w:rsidR="00387C16">
          <w:rPr>
            <w:noProof/>
            <w:webHidden/>
          </w:rPr>
          <w:fldChar w:fldCharType="end"/>
        </w:r>
      </w:hyperlink>
    </w:p>
    <w:p w:rsidR="00387C16" w:rsidRDefault="009B20D8">
      <w:pPr>
        <w:pStyle w:val="TableofFigures"/>
        <w:tabs>
          <w:tab w:val="right" w:leader="dot" w:pos="8290"/>
        </w:tabs>
        <w:rPr>
          <w:rFonts w:asciiTheme="minorHAnsi" w:eastAsiaTheme="minorEastAsia" w:hAnsiTheme="minorHAnsi" w:cstheme="minorBidi"/>
          <w:noProof/>
          <w:sz w:val="22"/>
          <w:szCs w:val="22"/>
          <w:lang w:val="en-US" w:eastAsia="en-US"/>
        </w:rPr>
      </w:pPr>
      <w:hyperlink w:anchor="_Toc463527850" w:history="1">
        <w:r w:rsidR="00387C16" w:rsidRPr="001A6BA6">
          <w:rPr>
            <w:rStyle w:val="Hyperlink"/>
            <w:noProof/>
          </w:rPr>
          <w:t>Table 15: Trends in procurement complexity</w:t>
        </w:r>
        <w:r w:rsidR="00387C16">
          <w:rPr>
            <w:noProof/>
            <w:webHidden/>
          </w:rPr>
          <w:tab/>
        </w:r>
        <w:r w:rsidR="00387C16">
          <w:rPr>
            <w:noProof/>
            <w:webHidden/>
          </w:rPr>
          <w:fldChar w:fldCharType="begin"/>
        </w:r>
        <w:r w:rsidR="00387C16">
          <w:rPr>
            <w:noProof/>
            <w:webHidden/>
          </w:rPr>
          <w:instrText xml:space="preserve"> PAGEREF _Toc463527850 \h </w:instrText>
        </w:r>
        <w:r w:rsidR="00387C16">
          <w:rPr>
            <w:noProof/>
            <w:webHidden/>
          </w:rPr>
        </w:r>
        <w:r w:rsidR="00387C16">
          <w:rPr>
            <w:noProof/>
            <w:webHidden/>
          </w:rPr>
          <w:fldChar w:fldCharType="separate"/>
        </w:r>
        <w:r w:rsidR="002E75B9">
          <w:rPr>
            <w:noProof/>
            <w:webHidden/>
          </w:rPr>
          <w:t>42</w:t>
        </w:r>
        <w:r w:rsidR="00387C16">
          <w:rPr>
            <w:noProof/>
            <w:webHidden/>
          </w:rPr>
          <w:fldChar w:fldCharType="end"/>
        </w:r>
      </w:hyperlink>
    </w:p>
    <w:p w:rsidR="00387C16" w:rsidRDefault="009B20D8">
      <w:pPr>
        <w:pStyle w:val="TableofFigures"/>
        <w:tabs>
          <w:tab w:val="right" w:leader="dot" w:pos="8290"/>
        </w:tabs>
        <w:rPr>
          <w:rFonts w:asciiTheme="minorHAnsi" w:eastAsiaTheme="minorEastAsia" w:hAnsiTheme="minorHAnsi" w:cstheme="minorBidi"/>
          <w:noProof/>
          <w:sz w:val="22"/>
          <w:szCs w:val="22"/>
          <w:lang w:val="en-US" w:eastAsia="en-US"/>
        </w:rPr>
      </w:pPr>
      <w:hyperlink w:anchor="_Toc463527851" w:history="1">
        <w:r w:rsidR="00387C16" w:rsidRPr="001A6BA6">
          <w:rPr>
            <w:rStyle w:val="Hyperlink"/>
            <w:noProof/>
          </w:rPr>
          <w:t>Table 16: Trends in complexity quadrants by organisation</w:t>
        </w:r>
        <w:r w:rsidR="00387C16">
          <w:rPr>
            <w:noProof/>
            <w:webHidden/>
          </w:rPr>
          <w:tab/>
        </w:r>
        <w:r w:rsidR="00387C16">
          <w:rPr>
            <w:noProof/>
            <w:webHidden/>
          </w:rPr>
          <w:fldChar w:fldCharType="begin"/>
        </w:r>
        <w:r w:rsidR="00387C16">
          <w:rPr>
            <w:noProof/>
            <w:webHidden/>
          </w:rPr>
          <w:instrText xml:space="preserve"> PAGEREF _Toc463527851 \h </w:instrText>
        </w:r>
        <w:r w:rsidR="00387C16">
          <w:rPr>
            <w:noProof/>
            <w:webHidden/>
          </w:rPr>
        </w:r>
        <w:r w:rsidR="00387C16">
          <w:rPr>
            <w:noProof/>
            <w:webHidden/>
          </w:rPr>
          <w:fldChar w:fldCharType="separate"/>
        </w:r>
        <w:r w:rsidR="002E75B9">
          <w:rPr>
            <w:noProof/>
            <w:webHidden/>
          </w:rPr>
          <w:t>42</w:t>
        </w:r>
        <w:r w:rsidR="00387C16">
          <w:rPr>
            <w:noProof/>
            <w:webHidden/>
          </w:rPr>
          <w:fldChar w:fldCharType="end"/>
        </w:r>
      </w:hyperlink>
    </w:p>
    <w:p w:rsidR="00387C16" w:rsidRDefault="009B20D8">
      <w:pPr>
        <w:pStyle w:val="TableofFigures"/>
        <w:tabs>
          <w:tab w:val="right" w:leader="dot" w:pos="8290"/>
        </w:tabs>
        <w:rPr>
          <w:rFonts w:asciiTheme="minorHAnsi" w:eastAsiaTheme="minorEastAsia" w:hAnsiTheme="minorHAnsi" w:cstheme="minorBidi"/>
          <w:noProof/>
          <w:sz w:val="22"/>
          <w:szCs w:val="22"/>
          <w:lang w:val="en-US" w:eastAsia="en-US"/>
        </w:rPr>
      </w:pPr>
      <w:hyperlink w:anchor="_Toc463527852" w:history="1">
        <w:r w:rsidR="00387C16" w:rsidRPr="001A6BA6">
          <w:rPr>
            <w:rStyle w:val="Hyperlink"/>
            <w:noProof/>
          </w:rPr>
          <w:t>Table 17: Number and estimated value of procurement activities subject to VGPB oversight in 2015–16</w:t>
        </w:r>
        <w:r w:rsidR="00387C16">
          <w:rPr>
            <w:noProof/>
            <w:webHidden/>
          </w:rPr>
          <w:tab/>
        </w:r>
        <w:r w:rsidR="00387C16">
          <w:rPr>
            <w:noProof/>
            <w:webHidden/>
          </w:rPr>
          <w:fldChar w:fldCharType="begin"/>
        </w:r>
        <w:r w:rsidR="00387C16">
          <w:rPr>
            <w:noProof/>
            <w:webHidden/>
          </w:rPr>
          <w:instrText xml:space="preserve"> PAGEREF _Toc463527852 \h </w:instrText>
        </w:r>
        <w:r w:rsidR="00387C16">
          <w:rPr>
            <w:noProof/>
            <w:webHidden/>
          </w:rPr>
        </w:r>
        <w:r w:rsidR="00387C16">
          <w:rPr>
            <w:noProof/>
            <w:webHidden/>
          </w:rPr>
          <w:fldChar w:fldCharType="separate"/>
        </w:r>
        <w:r w:rsidR="002E75B9">
          <w:rPr>
            <w:noProof/>
            <w:webHidden/>
          </w:rPr>
          <w:t>43</w:t>
        </w:r>
        <w:r w:rsidR="00387C16">
          <w:rPr>
            <w:noProof/>
            <w:webHidden/>
          </w:rPr>
          <w:fldChar w:fldCharType="end"/>
        </w:r>
      </w:hyperlink>
    </w:p>
    <w:p w:rsidR="00387C16" w:rsidRDefault="009B20D8">
      <w:pPr>
        <w:pStyle w:val="TableofFigures"/>
        <w:tabs>
          <w:tab w:val="right" w:leader="dot" w:pos="8290"/>
        </w:tabs>
        <w:rPr>
          <w:rFonts w:asciiTheme="minorHAnsi" w:eastAsiaTheme="minorEastAsia" w:hAnsiTheme="minorHAnsi" w:cstheme="minorBidi"/>
          <w:noProof/>
          <w:sz w:val="22"/>
          <w:szCs w:val="22"/>
          <w:lang w:val="en-US" w:eastAsia="en-US"/>
        </w:rPr>
      </w:pPr>
      <w:hyperlink w:anchor="_Toc463527853" w:history="1">
        <w:r w:rsidR="00387C16" w:rsidRPr="001A6BA6">
          <w:rPr>
            <w:rStyle w:val="Hyperlink"/>
            <w:noProof/>
          </w:rPr>
          <w:t>Table 18: Summary of actions taken by organisations to comply with VGPB supply policies in 2015–16</w:t>
        </w:r>
        <w:r w:rsidR="00387C16">
          <w:rPr>
            <w:noProof/>
            <w:webHidden/>
          </w:rPr>
          <w:tab/>
        </w:r>
        <w:r w:rsidR="00387C16">
          <w:rPr>
            <w:noProof/>
            <w:webHidden/>
          </w:rPr>
          <w:fldChar w:fldCharType="begin"/>
        </w:r>
        <w:r w:rsidR="00387C16">
          <w:rPr>
            <w:noProof/>
            <w:webHidden/>
          </w:rPr>
          <w:instrText xml:space="preserve"> PAGEREF _Toc463527853 \h </w:instrText>
        </w:r>
        <w:r w:rsidR="00387C16">
          <w:rPr>
            <w:noProof/>
            <w:webHidden/>
          </w:rPr>
        </w:r>
        <w:r w:rsidR="00387C16">
          <w:rPr>
            <w:noProof/>
            <w:webHidden/>
          </w:rPr>
          <w:fldChar w:fldCharType="separate"/>
        </w:r>
        <w:r w:rsidR="002E75B9">
          <w:rPr>
            <w:noProof/>
            <w:webHidden/>
          </w:rPr>
          <w:t>45</w:t>
        </w:r>
        <w:r w:rsidR="00387C16">
          <w:rPr>
            <w:noProof/>
            <w:webHidden/>
          </w:rPr>
          <w:fldChar w:fldCharType="end"/>
        </w:r>
      </w:hyperlink>
    </w:p>
    <w:p w:rsidR="00387C16" w:rsidRDefault="009B20D8">
      <w:pPr>
        <w:pStyle w:val="TableofFigures"/>
        <w:tabs>
          <w:tab w:val="right" w:leader="dot" w:pos="8290"/>
        </w:tabs>
        <w:rPr>
          <w:rFonts w:asciiTheme="minorHAnsi" w:eastAsiaTheme="minorEastAsia" w:hAnsiTheme="minorHAnsi" w:cstheme="minorBidi"/>
          <w:noProof/>
          <w:sz w:val="22"/>
          <w:szCs w:val="22"/>
          <w:lang w:val="en-US" w:eastAsia="en-US"/>
        </w:rPr>
      </w:pPr>
      <w:hyperlink w:anchor="_Toc463527854" w:history="1">
        <w:r w:rsidR="00387C16" w:rsidRPr="001A6BA6">
          <w:rPr>
            <w:rStyle w:val="Hyperlink"/>
            <w:noProof/>
          </w:rPr>
          <w:t>Table 19: Audit program schedule and results as at 30 June 2016</w:t>
        </w:r>
        <w:r w:rsidR="00387C16">
          <w:rPr>
            <w:noProof/>
            <w:webHidden/>
          </w:rPr>
          <w:tab/>
        </w:r>
        <w:r w:rsidR="00387C16">
          <w:rPr>
            <w:noProof/>
            <w:webHidden/>
          </w:rPr>
          <w:fldChar w:fldCharType="begin"/>
        </w:r>
        <w:r w:rsidR="00387C16">
          <w:rPr>
            <w:noProof/>
            <w:webHidden/>
          </w:rPr>
          <w:instrText xml:space="preserve"> PAGEREF _Toc463527854 \h </w:instrText>
        </w:r>
        <w:r w:rsidR="00387C16">
          <w:rPr>
            <w:noProof/>
            <w:webHidden/>
          </w:rPr>
        </w:r>
        <w:r w:rsidR="00387C16">
          <w:rPr>
            <w:noProof/>
            <w:webHidden/>
          </w:rPr>
          <w:fldChar w:fldCharType="separate"/>
        </w:r>
        <w:r w:rsidR="002E75B9">
          <w:rPr>
            <w:noProof/>
            <w:webHidden/>
          </w:rPr>
          <w:t>48</w:t>
        </w:r>
        <w:r w:rsidR="00387C16">
          <w:rPr>
            <w:noProof/>
            <w:webHidden/>
          </w:rPr>
          <w:fldChar w:fldCharType="end"/>
        </w:r>
      </w:hyperlink>
    </w:p>
    <w:p w:rsidR="00387C16" w:rsidRDefault="009B20D8">
      <w:pPr>
        <w:pStyle w:val="TableofFigures"/>
        <w:tabs>
          <w:tab w:val="right" w:leader="dot" w:pos="8290"/>
        </w:tabs>
        <w:rPr>
          <w:rFonts w:asciiTheme="minorHAnsi" w:eastAsiaTheme="minorEastAsia" w:hAnsiTheme="minorHAnsi" w:cstheme="minorBidi"/>
          <w:noProof/>
          <w:sz w:val="22"/>
          <w:szCs w:val="22"/>
          <w:lang w:val="en-US" w:eastAsia="en-US"/>
        </w:rPr>
      </w:pPr>
      <w:hyperlink w:anchor="_Toc463527855" w:history="1">
        <w:r w:rsidR="00387C16" w:rsidRPr="001A6BA6">
          <w:rPr>
            <w:rStyle w:val="Hyperlink"/>
            <w:noProof/>
          </w:rPr>
          <w:t>Table 20: Complaints related to procurement activity in 2015–16</w:t>
        </w:r>
        <w:r w:rsidR="00387C16">
          <w:rPr>
            <w:noProof/>
            <w:webHidden/>
          </w:rPr>
          <w:tab/>
        </w:r>
        <w:r w:rsidR="00387C16">
          <w:rPr>
            <w:noProof/>
            <w:webHidden/>
          </w:rPr>
          <w:fldChar w:fldCharType="begin"/>
        </w:r>
        <w:r w:rsidR="00387C16">
          <w:rPr>
            <w:noProof/>
            <w:webHidden/>
          </w:rPr>
          <w:instrText xml:space="preserve"> PAGEREF _Toc463527855 \h </w:instrText>
        </w:r>
        <w:r w:rsidR="00387C16">
          <w:rPr>
            <w:noProof/>
            <w:webHidden/>
          </w:rPr>
        </w:r>
        <w:r w:rsidR="00387C16">
          <w:rPr>
            <w:noProof/>
            <w:webHidden/>
          </w:rPr>
          <w:fldChar w:fldCharType="separate"/>
        </w:r>
        <w:r w:rsidR="002E75B9">
          <w:rPr>
            <w:noProof/>
            <w:webHidden/>
          </w:rPr>
          <w:t>48</w:t>
        </w:r>
        <w:r w:rsidR="00387C16">
          <w:rPr>
            <w:noProof/>
            <w:webHidden/>
          </w:rPr>
          <w:fldChar w:fldCharType="end"/>
        </w:r>
      </w:hyperlink>
    </w:p>
    <w:p w:rsidR="00387C16" w:rsidRDefault="009B20D8">
      <w:pPr>
        <w:pStyle w:val="TableofFigures"/>
        <w:tabs>
          <w:tab w:val="right" w:leader="dot" w:pos="8290"/>
        </w:tabs>
        <w:rPr>
          <w:rFonts w:asciiTheme="minorHAnsi" w:eastAsiaTheme="minorEastAsia" w:hAnsiTheme="minorHAnsi" w:cstheme="minorBidi"/>
          <w:noProof/>
          <w:sz w:val="22"/>
          <w:szCs w:val="22"/>
          <w:lang w:val="en-US" w:eastAsia="en-US"/>
        </w:rPr>
      </w:pPr>
      <w:hyperlink w:anchor="_Toc463527856" w:history="1">
        <w:r w:rsidR="00387C16" w:rsidRPr="001A6BA6">
          <w:rPr>
            <w:rStyle w:val="Hyperlink"/>
            <w:noProof/>
          </w:rPr>
          <w:t>Table 21: Key performance measures to assess the benefits of procurement reform</w:t>
        </w:r>
        <w:r w:rsidR="00387C16">
          <w:rPr>
            <w:noProof/>
            <w:webHidden/>
          </w:rPr>
          <w:tab/>
        </w:r>
        <w:r w:rsidR="00387C16">
          <w:rPr>
            <w:noProof/>
            <w:webHidden/>
          </w:rPr>
          <w:fldChar w:fldCharType="begin"/>
        </w:r>
        <w:r w:rsidR="00387C16">
          <w:rPr>
            <w:noProof/>
            <w:webHidden/>
          </w:rPr>
          <w:instrText xml:space="preserve"> PAGEREF _Toc463527856 \h </w:instrText>
        </w:r>
        <w:r w:rsidR="00387C16">
          <w:rPr>
            <w:noProof/>
            <w:webHidden/>
          </w:rPr>
        </w:r>
        <w:r w:rsidR="00387C16">
          <w:rPr>
            <w:noProof/>
            <w:webHidden/>
          </w:rPr>
          <w:fldChar w:fldCharType="separate"/>
        </w:r>
        <w:r w:rsidR="002E75B9">
          <w:rPr>
            <w:noProof/>
            <w:webHidden/>
          </w:rPr>
          <w:t>48</w:t>
        </w:r>
        <w:r w:rsidR="00387C16">
          <w:rPr>
            <w:noProof/>
            <w:webHidden/>
          </w:rPr>
          <w:fldChar w:fldCharType="end"/>
        </w:r>
      </w:hyperlink>
    </w:p>
    <w:p w:rsidR="00387C16" w:rsidRDefault="009B20D8">
      <w:pPr>
        <w:pStyle w:val="TableofFigures"/>
        <w:tabs>
          <w:tab w:val="right" w:leader="dot" w:pos="8290"/>
        </w:tabs>
        <w:rPr>
          <w:rFonts w:asciiTheme="minorHAnsi" w:eastAsiaTheme="minorEastAsia" w:hAnsiTheme="minorHAnsi" w:cstheme="minorBidi"/>
          <w:noProof/>
          <w:sz w:val="22"/>
          <w:szCs w:val="22"/>
          <w:lang w:val="en-US" w:eastAsia="en-US"/>
        </w:rPr>
      </w:pPr>
      <w:hyperlink w:anchor="_Toc463527857" w:history="1">
        <w:r w:rsidR="00387C16" w:rsidRPr="001A6BA6">
          <w:rPr>
            <w:rStyle w:val="Hyperlink"/>
            <w:noProof/>
          </w:rPr>
          <w:t>Table 22: DEDJTR performance in 2015–16</w:t>
        </w:r>
        <w:r w:rsidR="00387C16">
          <w:rPr>
            <w:noProof/>
            <w:webHidden/>
          </w:rPr>
          <w:tab/>
        </w:r>
        <w:r w:rsidR="00387C16">
          <w:rPr>
            <w:noProof/>
            <w:webHidden/>
          </w:rPr>
          <w:fldChar w:fldCharType="begin"/>
        </w:r>
        <w:r w:rsidR="00387C16">
          <w:rPr>
            <w:noProof/>
            <w:webHidden/>
          </w:rPr>
          <w:instrText xml:space="preserve"> PAGEREF _Toc463527857 \h </w:instrText>
        </w:r>
        <w:r w:rsidR="00387C16">
          <w:rPr>
            <w:noProof/>
            <w:webHidden/>
          </w:rPr>
        </w:r>
        <w:r w:rsidR="00387C16">
          <w:rPr>
            <w:noProof/>
            <w:webHidden/>
          </w:rPr>
          <w:fldChar w:fldCharType="separate"/>
        </w:r>
        <w:r w:rsidR="002E75B9">
          <w:rPr>
            <w:noProof/>
            <w:webHidden/>
          </w:rPr>
          <w:t>48</w:t>
        </w:r>
        <w:r w:rsidR="00387C16">
          <w:rPr>
            <w:noProof/>
            <w:webHidden/>
          </w:rPr>
          <w:fldChar w:fldCharType="end"/>
        </w:r>
      </w:hyperlink>
    </w:p>
    <w:p w:rsidR="00387C16" w:rsidRDefault="009B20D8">
      <w:pPr>
        <w:pStyle w:val="TableofFigures"/>
        <w:tabs>
          <w:tab w:val="right" w:leader="dot" w:pos="8290"/>
        </w:tabs>
        <w:rPr>
          <w:rFonts w:asciiTheme="minorHAnsi" w:eastAsiaTheme="minorEastAsia" w:hAnsiTheme="minorHAnsi" w:cstheme="minorBidi"/>
          <w:noProof/>
          <w:sz w:val="22"/>
          <w:szCs w:val="22"/>
          <w:lang w:val="en-US" w:eastAsia="en-US"/>
        </w:rPr>
      </w:pPr>
      <w:hyperlink w:anchor="_Toc463527858" w:history="1">
        <w:r w:rsidR="00387C16" w:rsidRPr="001A6BA6">
          <w:rPr>
            <w:rStyle w:val="Hyperlink"/>
            <w:noProof/>
          </w:rPr>
          <w:t>Table 23: DET performance in 2015–16</w:t>
        </w:r>
        <w:r w:rsidR="00387C16">
          <w:rPr>
            <w:noProof/>
            <w:webHidden/>
          </w:rPr>
          <w:tab/>
        </w:r>
        <w:r w:rsidR="00387C16">
          <w:rPr>
            <w:noProof/>
            <w:webHidden/>
          </w:rPr>
          <w:fldChar w:fldCharType="begin"/>
        </w:r>
        <w:r w:rsidR="00387C16">
          <w:rPr>
            <w:noProof/>
            <w:webHidden/>
          </w:rPr>
          <w:instrText xml:space="preserve"> PAGEREF _Toc463527858 \h </w:instrText>
        </w:r>
        <w:r w:rsidR="00387C16">
          <w:rPr>
            <w:noProof/>
            <w:webHidden/>
          </w:rPr>
        </w:r>
        <w:r w:rsidR="00387C16">
          <w:rPr>
            <w:noProof/>
            <w:webHidden/>
          </w:rPr>
          <w:fldChar w:fldCharType="separate"/>
        </w:r>
        <w:r w:rsidR="002E75B9">
          <w:rPr>
            <w:noProof/>
            <w:webHidden/>
          </w:rPr>
          <w:t>48</w:t>
        </w:r>
        <w:r w:rsidR="00387C16">
          <w:rPr>
            <w:noProof/>
            <w:webHidden/>
          </w:rPr>
          <w:fldChar w:fldCharType="end"/>
        </w:r>
      </w:hyperlink>
    </w:p>
    <w:p w:rsidR="00387C16" w:rsidRDefault="009B20D8">
      <w:pPr>
        <w:pStyle w:val="TableofFigures"/>
        <w:tabs>
          <w:tab w:val="right" w:leader="dot" w:pos="8290"/>
        </w:tabs>
        <w:rPr>
          <w:rFonts w:asciiTheme="minorHAnsi" w:eastAsiaTheme="minorEastAsia" w:hAnsiTheme="minorHAnsi" w:cstheme="minorBidi"/>
          <w:noProof/>
          <w:sz w:val="22"/>
          <w:szCs w:val="22"/>
          <w:lang w:val="en-US" w:eastAsia="en-US"/>
        </w:rPr>
      </w:pPr>
      <w:hyperlink w:anchor="_Toc463527859" w:history="1">
        <w:r w:rsidR="00387C16" w:rsidRPr="001A6BA6">
          <w:rPr>
            <w:rStyle w:val="Hyperlink"/>
            <w:noProof/>
          </w:rPr>
          <w:t>Table 24: DELWP performance in 2015–16</w:t>
        </w:r>
        <w:r w:rsidR="00387C16">
          <w:rPr>
            <w:noProof/>
            <w:webHidden/>
          </w:rPr>
          <w:tab/>
        </w:r>
        <w:r w:rsidR="00387C16">
          <w:rPr>
            <w:noProof/>
            <w:webHidden/>
          </w:rPr>
          <w:fldChar w:fldCharType="begin"/>
        </w:r>
        <w:r w:rsidR="00387C16">
          <w:rPr>
            <w:noProof/>
            <w:webHidden/>
          </w:rPr>
          <w:instrText xml:space="preserve"> PAGEREF _Toc463527859 \h </w:instrText>
        </w:r>
        <w:r w:rsidR="00387C16">
          <w:rPr>
            <w:noProof/>
            <w:webHidden/>
          </w:rPr>
        </w:r>
        <w:r w:rsidR="00387C16">
          <w:rPr>
            <w:noProof/>
            <w:webHidden/>
          </w:rPr>
          <w:fldChar w:fldCharType="separate"/>
        </w:r>
        <w:r w:rsidR="002E75B9">
          <w:rPr>
            <w:noProof/>
            <w:webHidden/>
          </w:rPr>
          <w:t>48</w:t>
        </w:r>
        <w:r w:rsidR="00387C16">
          <w:rPr>
            <w:noProof/>
            <w:webHidden/>
          </w:rPr>
          <w:fldChar w:fldCharType="end"/>
        </w:r>
      </w:hyperlink>
    </w:p>
    <w:p w:rsidR="00387C16" w:rsidRDefault="009B20D8">
      <w:pPr>
        <w:pStyle w:val="TableofFigures"/>
        <w:tabs>
          <w:tab w:val="right" w:leader="dot" w:pos="8290"/>
        </w:tabs>
        <w:rPr>
          <w:rFonts w:asciiTheme="minorHAnsi" w:eastAsiaTheme="minorEastAsia" w:hAnsiTheme="minorHAnsi" w:cstheme="minorBidi"/>
          <w:noProof/>
          <w:sz w:val="22"/>
          <w:szCs w:val="22"/>
          <w:lang w:val="en-US" w:eastAsia="en-US"/>
        </w:rPr>
      </w:pPr>
      <w:hyperlink w:anchor="_Toc463527860" w:history="1">
        <w:r w:rsidR="00387C16" w:rsidRPr="001A6BA6">
          <w:rPr>
            <w:rStyle w:val="Hyperlink"/>
            <w:noProof/>
          </w:rPr>
          <w:t>Table 25: DHHS performance in 2015–16</w:t>
        </w:r>
        <w:r w:rsidR="00387C16">
          <w:rPr>
            <w:noProof/>
            <w:webHidden/>
          </w:rPr>
          <w:tab/>
        </w:r>
        <w:r w:rsidR="00387C16">
          <w:rPr>
            <w:noProof/>
            <w:webHidden/>
          </w:rPr>
          <w:fldChar w:fldCharType="begin"/>
        </w:r>
        <w:r w:rsidR="00387C16">
          <w:rPr>
            <w:noProof/>
            <w:webHidden/>
          </w:rPr>
          <w:instrText xml:space="preserve"> PAGEREF _Toc463527860 \h </w:instrText>
        </w:r>
        <w:r w:rsidR="00387C16">
          <w:rPr>
            <w:noProof/>
            <w:webHidden/>
          </w:rPr>
        </w:r>
        <w:r w:rsidR="00387C16">
          <w:rPr>
            <w:noProof/>
            <w:webHidden/>
          </w:rPr>
          <w:fldChar w:fldCharType="separate"/>
        </w:r>
        <w:r w:rsidR="002E75B9">
          <w:rPr>
            <w:noProof/>
            <w:webHidden/>
          </w:rPr>
          <w:t>48</w:t>
        </w:r>
        <w:r w:rsidR="00387C16">
          <w:rPr>
            <w:noProof/>
            <w:webHidden/>
          </w:rPr>
          <w:fldChar w:fldCharType="end"/>
        </w:r>
      </w:hyperlink>
    </w:p>
    <w:p w:rsidR="00387C16" w:rsidRDefault="009B20D8">
      <w:pPr>
        <w:pStyle w:val="TableofFigures"/>
        <w:tabs>
          <w:tab w:val="right" w:leader="dot" w:pos="8290"/>
        </w:tabs>
        <w:rPr>
          <w:rFonts w:asciiTheme="minorHAnsi" w:eastAsiaTheme="minorEastAsia" w:hAnsiTheme="minorHAnsi" w:cstheme="minorBidi"/>
          <w:noProof/>
          <w:sz w:val="22"/>
          <w:szCs w:val="22"/>
          <w:lang w:val="en-US" w:eastAsia="en-US"/>
        </w:rPr>
      </w:pPr>
      <w:hyperlink w:anchor="_Toc463527861" w:history="1">
        <w:r w:rsidR="00387C16" w:rsidRPr="001A6BA6">
          <w:rPr>
            <w:rStyle w:val="Hyperlink"/>
            <w:noProof/>
          </w:rPr>
          <w:t>Table 26: DJR performance in 2015–16</w:t>
        </w:r>
        <w:r w:rsidR="00387C16">
          <w:rPr>
            <w:noProof/>
            <w:webHidden/>
          </w:rPr>
          <w:tab/>
        </w:r>
        <w:r w:rsidR="00387C16">
          <w:rPr>
            <w:noProof/>
            <w:webHidden/>
          </w:rPr>
          <w:fldChar w:fldCharType="begin"/>
        </w:r>
        <w:r w:rsidR="00387C16">
          <w:rPr>
            <w:noProof/>
            <w:webHidden/>
          </w:rPr>
          <w:instrText xml:space="preserve"> PAGEREF _Toc463527861 \h </w:instrText>
        </w:r>
        <w:r w:rsidR="00387C16">
          <w:rPr>
            <w:noProof/>
            <w:webHidden/>
          </w:rPr>
        </w:r>
        <w:r w:rsidR="00387C16">
          <w:rPr>
            <w:noProof/>
            <w:webHidden/>
          </w:rPr>
          <w:fldChar w:fldCharType="separate"/>
        </w:r>
        <w:r w:rsidR="002E75B9">
          <w:rPr>
            <w:noProof/>
            <w:webHidden/>
          </w:rPr>
          <w:t>48</w:t>
        </w:r>
        <w:r w:rsidR="00387C16">
          <w:rPr>
            <w:noProof/>
            <w:webHidden/>
          </w:rPr>
          <w:fldChar w:fldCharType="end"/>
        </w:r>
      </w:hyperlink>
    </w:p>
    <w:p w:rsidR="00387C16" w:rsidRDefault="009B20D8">
      <w:pPr>
        <w:pStyle w:val="TableofFigures"/>
        <w:tabs>
          <w:tab w:val="right" w:leader="dot" w:pos="8290"/>
        </w:tabs>
        <w:rPr>
          <w:rFonts w:asciiTheme="minorHAnsi" w:eastAsiaTheme="minorEastAsia" w:hAnsiTheme="minorHAnsi" w:cstheme="minorBidi"/>
          <w:noProof/>
          <w:sz w:val="22"/>
          <w:szCs w:val="22"/>
          <w:lang w:val="en-US" w:eastAsia="en-US"/>
        </w:rPr>
      </w:pPr>
      <w:hyperlink w:anchor="_Toc463527862" w:history="1">
        <w:r w:rsidR="00387C16" w:rsidRPr="001A6BA6">
          <w:rPr>
            <w:rStyle w:val="Hyperlink"/>
            <w:noProof/>
          </w:rPr>
          <w:t>Table 27: DPC performance in 2015–16</w:t>
        </w:r>
        <w:r w:rsidR="00387C16">
          <w:rPr>
            <w:noProof/>
            <w:webHidden/>
          </w:rPr>
          <w:tab/>
        </w:r>
        <w:r w:rsidR="00387C16">
          <w:rPr>
            <w:noProof/>
            <w:webHidden/>
          </w:rPr>
          <w:fldChar w:fldCharType="begin"/>
        </w:r>
        <w:r w:rsidR="00387C16">
          <w:rPr>
            <w:noProof/>
            <w:webHidden/>
          </w:rPr>
          <w:instrText xml:space="preserve"> PAGEREF _Toc463527862 \h </w:instrText>
        </w:r>
        <w:r w:rsidR="00387C16">
          <w:rPr>
            <w:noProof/>
            <w:webHidden/>
          </w:rPr>
        </w:r>
        <w:r w:rsidR="00387C16">
          <w:rPr>
            <w:noProof/>
            <w:webHidden/>
          </w:rPr>
          <w:fldChar w:fldCharType="separate"/>
        </w:r>
        <w:r w:rsidR="002E75B9">
          <w:rPr>
            <w:noProof/>
            <w:webHidden/>
          </w:rPr>
          <w:t>48</w:t>
        </w:r>
        <w:r w:rsidR="00387C16">
          <w:rPr>
            <w:noProof/>
            <w:webHidden/>
          </w:rPr>
          <w:fldChar w:fldCharType="end"/>
        </w:r>
      </w:hyperlink>
    </w:p>
    <w:p w:rsidR="00387C16" w:rsidRDefault="009B20D8">
      <w:pPr>
        <w:pStyle w:val="TableofFigures"/>
        <w:tabs>
          <w:tab w:val="right" w:leader="dot" w:pos="8290"/>
        </w:tabs>
        <w:rPr>
          <w:rFonts w:asciiTheme="minorHAnsi" w:eastAsiaTheme="minorEastAsia" w:hAnsiTheme="minorHAnsi" w:cstheme="minorBidi"/>
          <w:noProof/>
          <w:sz w:val="22"/>
          <w:szCs w:val="22"/>
          <w:lang w:val="en-US" w:eastAsia="en-US"/>
        </w:rPr>
      </w:pPr>
      <w:hyperlink w:anchor="_Toc463527863" w:history="1">
        <w:r w:rsidR="00387C16" w:rsidRPr="001A6BA6">
          <w:rPr>
            <w:rStyle w:val="Hyperlink"/>
            <w:noProof/>
          </w:rPr>
          <w:t>Table 28: DTF performance in 2015–16</w:t>
        </w:r>
        <w:r w:rsidR="00387C16">
          <w:rPr>
            <w:noProof/>
            <w:webHidden/>
          </w:rPr>
          <w:tab/>
        </w:r>
        <w:r w:rsidR="00387C16">
          <w:rPr>
            <w:noProof/>
            <w:webHidden/>
          </w:rPr>
          <w:fldChar w:fldCharType="begin"/>
        </w:r>
        <w:r w:rsidR="00387C16">
          <w:rPr>
            <w:noProof/>
            <w:webHidden/>
          </w:rPr>
          <w:instrText xml:space="preserve"> PAGEREF _Toc463527863 \h </w:instrText>
        </w:r>
        <w:r w:rsidR="00387C16">
          <w:rPr>
            <w:noProof/>
            <w:webHidden/>
          </w:rPr>
        </w:r>
        <w:r w:rsidR="00387C16">
          <w:rPr>
            <w:noProof/>
            <w:webHidden/>
          </w:rPr>
          <w:fldChar w:fldCharType="separate"/>
        </w:r>
        <w:r w:rsidR="002E75B9">
          <w:rPr>
            <w:noProof/>
            <w:webHidden/>
          </w:rPr>
          <w:t>48</w:t>
        </w:r>
        <w:r w:rsidR="00387C16">
          <w:rPr>
            <w:noProof/>
            <w:webHidden/>
          </w:rPr>
          <w:fldChar w:fldCharType="end"/>
        </w:r>
      </w:hyperlink>
    </w:p>
    <w:p w:rsidR="00387C16" w:rsidRDefault="009B20D8">
      <w:pPr>
        <w:pStyle w:val="TableofFigures"/>
        <w:tabs>
          <w:tab w:val="right" w:leader="dot" w:pos="8290"/>
        </w:tabs>
        <w:rPr>
          <w:rFonts w:asciiTheme="minorHAnsi" w:eastAsiaTheme="minorEastAsia" w:hAnsiTheme="minorHAnsi" w:cstheme="minorBidi"/>
          <w:noProof/>
          <w:sz w:val="22"/>
          <w:szCs w:val="22"/>
          <w:lang w:val="en-US" w:eastAsia="en-US"/>
        </w:rPr>
      </w:pPr>
      <w:hyperlink w:anchor="_Toc463527864" w:history="1">
        <w:r w:rsidR="00387C16" w:rsidRPr="001A6BA6">
          <w:rPr>
            <w:rStyle w:val="Hyperlink"/>
            <w:noProof/>
          </w:rPr>
          <w:t>Table 29: VicRoads performance in 2015–16</w:t>
        </w:r>
        <w:r w:rsidR="00387C16">
          <w:rPr>
            <w:noProof/>
            <w:webHidden/>
          </w:rPr>
          <w:tab/>
        </w:r>
        <w:r w:rsidR="00387C16">
          <w:rPr>
            <w:noProof/>
            <w:webHidden/>
          </w:rPr>
          <w:fldChar w:fldCharType="begin"/>
        </w:r>
        <w:r w:rsidR="00387C16">
          <w:rPr>
            <w:noProof/>
            <w:webHidden/>
          </w:rPr>
          <w:instrText xml:space="preserve"> PAGEREF _Toc463527864 \h </w:instrText>
        </w:r>
        <w:r w:rsidR="00387C16">
          <w:rPr>
            <w:noProof/>
            <w:webHidden/>
          </w:rPr>
        </w:r>
        <w:r w:rsidR="00387C16">
          <w:rPr>
            <w:noProof/>
            <w:webHidden/>
          </w:rPr>
          <w:fldChar w:fldCharType="separate"/>
        </w:r>
        <w:r w:rsidR="002E75B9">
          <w:rPr>
            <w:noProof/>
            <w:webHidden/>
          </w:rPr>
          <w:t>48</w:t>
        </w:r>
        <w:r w:rsidR="00387C16">
          <w:rPr>
            <w:noProof/>
            <w:webHidden/>
          </w:rPr>
          <w:fldChar w:fldCharType="end"/>
        </w:r>
      </w:hyperlink>
    </w:p>
    <w:p w:rsidR="00387C16" w:rsidRDefault="009B20D8">
      <w:pPr>
        <w:pStyle w:val="TableofFigures"/>
        <w:tabs>
          <w:tab w:val="right" w:leader="dot" w:pos="8290"/>
        </w:tabs>
        <w:rPr>
          <w:rFonts w:asciiTheme="minorHAnsi" w:eastAsiaTheme="minorEastAsia" w:hAnsiTheme="minorHAnsi" w:cstheme="minorBidi"/>
          <w:noProof/>
          <w:sz w:val="22"/>
          <w:szCs w:val="22"/>
          <w:lang w:val="en-US" w:eastAsia="en-US"/>
        </w:rPr>
      </w:pPr>
      <w:hyperlink w:anchor="_Toc463527865" w:history="1">
        <w:r w:rsidR="00387C16" w:rsidRPr="001A6BA6">
          <w:rPr>
            <w:rStyle w:val="Hyperlink"/>
            <w:noProof/>
          </w:rPr>
          <w:t>Table 30: Victoria Police performance in 2015–16</w:t>
        </w:r>
        <w:r w:rsidR="00387C16">
          <w:rPr>
            <w:noProof/>
            <w:webHidden/>
          </w:rPr>
          <w:tab/>
        </w:r>
        <w:r w:rsidR="00387C16">
          <w:rPr>
            <w:noProof/>
            <w:webHidden/>
          </w:rPr>
          <w:fldChar w:fldCharType="begin"/>
        </w:r>
        <w:r w:rsidR="00387C16">
          <w:rPr>
            <w:noProof/>
            <w:webHidden/>
          </w:rPr>
          <w:instrText xml:space="preserve"> PAGEREF _Toc463527865 \h </w:instrText>
        </w:r>
        <w:r w:rsidR="00387C16">
          <w:rPr>
            <w:noProof/>
            <w:webHidden/>
          </w:rPr>
        </w:r>
        <w:r w:rsidR="00387C16">
          <w:rPr>
            <w:noProof/>
            <w:webHidden/>
          </w:rPr>
          <w:fldChar w:fldCharType="separate"/>
        </w:r>
        <w:r w:rsidR="002E75B9">
          <w:rPr>
            <w:noProof/>
            <w:webHidden/>
          </w:rPr>
          <w:t>48</w:t>
        </w:r>
        <w:r w:rsidR="00387C16">
          <w:rPr>
            <w:noProof/>
            <w:webHidden/>
          </w:rPr>
          <w:fldChar w:fldCharType="end"/>
        </w:r>
      </w:hyperlink>
    </w:p>
    <w:p w:rsidR="00812C89" w:rsidRPr="00CD6245" w:rsidRDefault="002B07C2" w:rsidP="007C2A1B">
      <w:pPr>
        <w:ind w:left="851"/>
        <w:rPr>
          <w:rFonts w:cs="Arial"/>
        </w:rPr>
      </w:pPr>
      <w:r w:rsidRPr="00CD6245">
        <w:rPr>
          <w:rFonts w:cs="Arial"/>
        </w:rPr>
        <w:fldChar w:fldCharType="end"/>
      </w:r>
    </w:p>
    <w:p w:rsidR="00812C89" w:rsidRPr="00CD6245" w:rsidRDefault="00812C89" w:rsidP="009F4D80">
      <w:pPr>
        <w:pStyle w:val="Heading3NoNum"/>
      </w:pPr>
      <w:bookmarkStart w:id="4" w:name="_Toc366693291"/>
      <w:r w:rsidRPr="00CD6245">
        <w:t>Figures</w:t>
      </w:r>
      <w:bookmarkEnd w:id="4"/>
    </w:p>
    <w:p w:rsidR="00387C16" w:rsidRDefault="002B07C2">
      <w:pPr>
        <w:pStyle w:val="TableofFigures"/>
        <w:tabs>
          <w:tab w:val="right" w:leader="dot" w:pos="8290"/>
        </w:tabs>
        <w:rPr>
          <w:rFonts w:asciiTheme="minorHAnsi" w:eastAsiaTheme="minorEastAsia" w:hAnsiTheme="minorHAnsi" w:cstheme="minorBidi"/>
          <w:noProof/>
          <w:sz w:val="22"/>
          <w:szCs w:val="22"/>
          <w:lang w:val="en-US" w:eastAsia="en-US"/>
        </w:rPr>
      </w:pPr>
      <w:r w:rsidRPr="00CD6245">
        <w:rPr>
          <w:rFonts w:cs="Arial"/>
        </w:rPr>
        <w:fldChar w:fldCharType="begin"/>
      </w:r>
      <w:r w:rsidR="009F4D80" w:rsidRPr="00CD6245">
        <w:rPr>
          <w:rFonts w:cs="Arial"/>
        </w:rPr>
        <w:instrText xml:space="preserve"> TOC \h \z \c "Figure" </w:instrText>
      </w:r>
      <w:r w:rsidRPr="00CD6245">
        <w:rPr>
          <w:rFonts w:cs="Arial"/>
        </w:rPr>
        <w:fldChar w:fldCharType="separate"/>
      </w:r>
      <w:hyperlink w:anchor="_Toc463527866" w:history="1">
        <w:r w:rsidR="00387C16" w:rsidRPr="002B01AF">
          <w:rPr>
            <w:rStyle w:val="Hyperlink"/>
            <w:noProof/>
          </w:rPr>
          <w:t>Figure 1: Key performance measures to assess the benefits of procurement reform</w:t>
        </w:r>
        <w:r w:rsidR="00387C16">
          <w:rPr>
            <w:noProof/>
            <w:webHidden/>
          </w:rPr>
          <w:tab/>
        </w:r>
        <w:r w:rsidR="00387C16">
          <w:rPr>
            <w:noProof/>
            <w:webHidden/>
          </w:rPr>
          <w:fldChar w:fldCharType="begin"/>
        </w:r>
        <w:r w:rsidR="00387C16">
          <w:rPr>
            <w:noProof/>
            <w:webHidden/>
          </w:rPr>
          <w:instrText xml:space="preserve"> PAGEREF _Toc463527866 \h </w:instrText>
        </w:r>
        <w:r w:rsidR="00387C16">
          <w:rPr>
            <w:noProof/>
            <w:webHidden/>
          </w:rPr>
        </w:r>
        <w:r w:rsidR="00387C16">
          <w:rPr>
            <w:noProof/>
            <w:webHidden/>
          </w:rPr>
          <w:fldChar w:fldCharType="separate"/>
        </w:r>
        <w:r w:rsidR="002E75B9">
          <w:rPr>
            <w:noProof/>
            <w:webHidden/>
          </w:rPr>
          <w:t>10</w:t>
        </w:r>
        <w:r w:rsidR="00387C16">
          <w:rPr>
            <w:noProof/>
            <w:webHidden/>
          </w:rPr>
          <w:fldChar w:fldCharType="end"/>
        </w:r>
      </w:hyperlink>
    </w:p>
    <w:p w:rsidR="00387C16" w:rsidRDefault="009B20D8">
      <w:pPr>
        <w:pStyle w:val="TableofFigures"/>
        <w:tabs>
          <w:tab w:val="right" w:leader="dot" w:pos="8290"/>
        </w:tabs>
        <w:rPr>
          <w:rFonts w:asciiTheme="minorHAnsi" w:eastAsiaTheme="minorEastAsia" w:hAnsiTheme="minorHAnsi" w:cstheme="minorBidi"/>
          <w:noProof/>
          <w:sz w:val="22"/>
          <w:szCs w:val="22"/>
          <w:lang w:val="en-US" w:eastAsia="en-US"/>
        </w:rPr>
      </w:pPr>
      <w:hyperlink w:anchor="_Toc463527867" w:history="1">
        <w:r w:rsidR="00387C16" w:rsidRPr="002B01AF">
          <w:rPr>
            <w:rStyle w:val="Hyperlink"/>
            <w:noProof/>
          </w:rPr>
          <w:t>Figure 2: VGPB 2016–21 strategy overview</w:t>
        </w:r>
        <w:r w:rsidR="00387C16">
          <w:rPr>
            <w:noProof/>
            <w:webHidden/>
          </w:rPr>
          <w:tab/>
        </w:r>
        <w:r w:rsidR="00387C16">
          <w:rPr>
            <w:noProof/>
            <w:webHidden/>
          </w:rPr>
          <w:fldChar w:fldCharType="begin"/>
        </w:r>
        <w:r w:rsidR="00387C16">
          <w:rPr>
            <w:noProof/>
            <w:webHidden/>
          </w:rPr>
          <w:instrText xml:space="preserve"> PAGEREF _Toc463527867 \h </w:instrText>
        </w:r>
        <w:r w:rsidR="00387C16">
          <w:rPr>
            <w:noProof/>
            <w:webHidden/>
          </w:rPr>
        </w:r>
        <w:r w:rsidR="00387C16">
          <w:rPr>
            <w:noProof/>
            <w:webHidden/>
          </w:rPr>
          <w:fldChar w:fldCharType="separate"/>
        </w:r>
        <w:r w:rsidR="002E75B9">
          <w:rPr>
            <w:noProof/>
            <w:webHidden/>
          </w:rPr>
          <w:t>16</w:t>
        </w:r>
        <w:r w:rsidR="00387C16">
          <w:rPr>
            <w:noProof/>
            <w:webHidden/>
          </w:rPr>
          <w:fldChar w:fldCharType="end"/>
        </w:r>
      </w:hyperlink>
    </w:p>
    <w:p w:rsidR="00387C16" w:rsidRDefault="009B20D8">
      <w:pPr>
        <w:pStyle w:val="TableofFigures"/>
        <w:tabs>
          <w:tab w:val="right" w:leader="dot" w:pos="8290"/>
        </w:tabs>
        <w:rPr>
          <w:rFonts w:asciiTheme="minorHAnsi" w:eastAsiaTheme="minorEastAsia" w:hAnsiTheme="minorHAnsi" w:cstheme="minorBidi"/>
          <w:noProof/>
          <w:sz w:val="22"/>
          <w:szCs w:val="22"/>
          <w:lang w:val="en-US" w:eastAsia="en-US"/>
        </w:rPr>
      </w:pPr>
      <w:hyperlink w:anchor="_Toc463527868" w:history="1">
        <w:r w:rsidR="00387C16" w:rsidRPr="002B01AF">
          <w:rPr>
            <w:rStyle w:val="Hyperlink"/>
            <w:noProof/>
          </w:rPr>
          <w:t>Figure 3: VGPB reporting relationship</w:t>
        </w:r>
        <w:r w:rsidR="00387C16">
          <w:rPr>
            <w:noProof/>
            <w:webHidden/>
          </w:rPr>
          <w:tab/>
        </w:r>
        <w:r w:rsidR="00387C16">
          <w:rPr>
            <w:noProof/>
            <w:webHidden/>
          </w:rPr>
          <w:fldChar w:fldCharType="begin"/>
        </w:r>
        <w:r w:rsidR="00387C16">
          <w:rPr>
            <w:noProof/>
            <w:webHidden/>
          </w:rPr>
          <w:instrText xml:space="preserve"> PAGEREF _Toc463527868 \h </w:instrText>
        </w:r>
        <w:r w:rsidR="00387C16">
          <w:rPr>
            <w:noProof/>
            <w:webHidden/>
          </w:rPr>
        </w:r>
        <w:r w:rsidR="00387C16">
          <w:rPr>
            <w:noProof/>
            <w:webHidden/>
          </w:rPr>
          <w:fldChar w:fldCharType="separate"/>
        </w:r>
        <w:r w:rsidR="002E75B9">
          <w:rPr>
            <w:noProof/>
            <w:webHidden/>
          </w:rPr>
          <w:t>19</w:t>
        </w:r>
        <w:r w:rsidR="00387C16">
          <w:rPr>
            <w:noProof/>
            <w:webHidden/>
          </w:rPr>
          <w:fldChar w:fldCharType="end"/>
        </w:r>
      </w:hyperlink>
    </w:p>
    <w:p w:rsidR="00387C16" w:rsidRDefault="009B20D8">
      <w:pPr>
        <w:pStyle w:val="TableofFigures"/>
        <w:tabs>
          <w:tab w:val="right" w:leader="dot" w:pos="8290"/>
        </w:tabs>
        <w:rPr>
          <w:rFonts w:asciiTheme="minorHAnsi" w:eastAsiaTheme="minorEastAsia" w:hAnsiTheme="minorHAnsi" w:cstheme="minorBidi"/>
          <w:noProof/>
          <w:sz w:val="22"/>
          <w:szCs w:val="22"/>
          <w:lang w:val="en-US" w:eastAsia="en-US"/>
        </w:rPr>
      </w:pPr>
      <w:hyperlink w:anchor="_Toc463527869" w:history="1">
        <w:r w:rsidR="00387C16" w:rsidRPr="002B01AF">
          <w:rPr>
            <w:rStyle w:val="Hyperlink"/>
            <w:noProof/>
          </w:rPr>
          <w:t>Figure 4: Number of one-off supply approvals by organisation and by goods and services in 2015–16</w:t>
        </w:r>
        <w:r w:rsidR="00387C16">
          <w:rPr>
            <w:noProof/>
            <w:webHidden/>
          </w:rPr>
          <w:tab/>
        </w:r>
        <w:r w:rsidR="00387C16">
          <w:rPr>
            <w:noProof/>
            <w:webHidden/>
          </w:rPr>
          <w:fldChar w:fldCharType="begin"/>
        </w:r>
        <w:r w:rsidR="00387C16">
          <w:rPr>
            <w:noProof/>
            <w:webHidden/>
          </w:rPr>
          <w:instrText xml:space="preserve"> PAGEREF _Toc463527869 \h </w:instrText>
        </w:r>
        <w:r w:rsidR="00387C16">
          <w:rPr>
            <w:noProof/>
            <w:webHidden/>
          </w:rPr>
        </w:r>
        <w:r w:rsidR="00387C16">
          <w:rPr>
            <w:noProof/>
            <w:webHidden/>
          </w:rPr>
          <w:fldChar w:fldCharType="separate"/>
        </w:r>
        <w:r w:rsidR="002E75B9">
          <w:rPr>
            <w:noProof/>
            <w:webHidden/>
          </w:rPr>
          <w:t>29</w:t>
        </w:r>
        <w:r w:rsidR="00387C16">
          <w:rPr>
            <w:noProof/>
            <w:webHidden/>
          </w:rPr>
          <w:fldChar w:fldCharType="end"/>
        </w:r>
      </w:hyperlink>
    </w:p>
    <w:p w:rsidR="00387C16" w:rsidRDefault="009B20D8">
      <w:pPr>
        <w:pStyle w:val="TableofFigures"/>
        <w:tabs>
          <w:tab w:val="right" w:leader="dot" w:pos="8290"/>
        </w:tabs>
        <w:rPr>
          <w:rFonts w:asciiTheme="minorHAnsi" w:eastAsiaTheme="minorEastAsia" w:hAnsiTheme="minorHAnsi" w:cstheme="minorBidi"/>
          <w:noProof/>
          <w:sz w:val="22"/>
          <w:szCs w:val="22"/>
          <w:lang w:val="en-US" w:eastAsia="en-US"/>
        </w:rPr>
      </w:pPr>
      <w:hyperlink w:anchor="_Toc463527870" w:history="1">
        <w:r w:rsidR="00387C16" w:rsidRPr="002B01AF">
          <w:rPr>
            <w:rStyle w:val="Hyperlink"/>
            <w:noProof/>
          </w:rPr>
          <w:t>Figure 5: Value of one-off supply approvals by organisation and by goods and services in 2015–16</w:t>
        </w:r>
        <w:r w:rsidR="00387C16">
          <w:rPr>
            <w:noProof/>
            <w:webHidden/>
          </w:rPr>
          <w:tab/>
        </w:r>
        <w:r w:rsidR="00387C16">
          <w:rPr>
            <w:noProof/>
            <w:webHidden/>
          </w:rPr>
          <w:fldChar w:fldCharType="begin"/>
        </w:r>
        <w:r w:rsidR="00387C16">
          <w:rPr>
            <w:noProof/>
            <w:webHidden/>
          </w:rPr>
          <w:instrText xml:space="preserve"> PAGEREF _Toc463527870 \h </w:instrText>
        </w:r>
        <w:r w:rsidR="00387C16">
          <w:rPr>
            <w:noProof/>
            <w:webHidden/>
          </w:rPr>
        </w:r>
        <w:r w:rsidR="00387C16">
          <w:rPr>
            <w:noProof/>
            <w:webHidden/>
          </w:rPr>
          <w:fldChar w:fldCharType="separate"/>
        </w:r>
        <w:r w:rsidR="002E75B9">
          <w:rPr>
            <w:noProof/>
            <w:webHidden/>
          </w:rPr>
          <w:t>30</w:t>
        </w:r>
        <w:r w:rsidR="00387C16">
          <w:rPr>
            <w:noProof/>
            <w:webHidden/>
          </w:rPr>
          <w:fldChar w:fldCharType="end"/>
        </w:r>
      </w:hyperlink>
    </w:p>
    <w:p w:rsidR="00387C16" w:rsidRDefault="009B20D8">
      <w:pPr>
        <w:pStyle w:val="TableofFigures"/>
        <w:tabs>
          <w:tab w:val="right" w:leader="dot" w:pos="8290"/>
        </w:tabs>
        <w:rPr>
          <w:rFonts w:asciiTheme="minorHAnsi" w:eastAsiaTheme="minorEastAsia" w:hAnsiTheme="minorHAnsi" w:cstheme="minorBidi"/>
          <w:noProof/>
          <w:sz w:val="22"/>
          <w:szCs w:val="22"/>
          <w:lang w:val="en-US" w:eastAsia="en-US"/>
        </w:rPr>
      </w:pPr>
      <w:hyperlink w:anchor="_Toc463527871" w:history="1">
        <w:r w:rsidR="00387C16" w:rsidRPr="002B01AF">
          <w:rPr>
            <w:rStyle w:val="Hyperlink"/>
            <w:noProof/>
          </w:rPr>
          <w:t>Figure 6: Number of SEPC approvals by organisation and by goods and services in 2015–16</w:t>
        </w:r>
        <w:r w:rsidR="00387C16">
          <w:rPr>
            <w:noProof/>
            <w:webHidden/>
          </w:rPr>
          <w:tab/>
        </w:r>
        <w:r w:rsidR="00387C16">
          <w:rPr>
            <w:noProof/>
            <w:webHidden/>
          </w:rPr>
          <w:fldChar w:fldCharType="begin"/>
        </w:r>
        <w:r w:rsidR="00387C16">
          <w:rPr>
            <w:noProof/>
            <w:webHidden/>
          </w:rPr>
          <w:instrText xml:space="preserve"> PAGEREF _Toc463527871 \h </w:instrText>
        </w:r>
        <w:r w:rsidR="00387C16">
          <w:rPr>
            <w:noProof/>
            <w:webHidden/>
          </w:rPr>
        </w:r>
        <w:r w:rsidR="00387C16">
          <w:rPr>
            <w:noProof/>
            <w:webHidden/>
          </w:rPr>
          <w:fldChar w:fldCharType="separate"/>
        </w:r>
        <w:r w:rsidR="002E75B9">
          <w:rPr>
            <w:noProof/>
            <w:webHidden/>
          </w:rPr>
          <w:t>32</w:t>
        </w:r>
        <w:r w:rsidR="00387C16">
          <w:rPr>
            <w:noProof/>
            <w:webHidden/>
          </w:rPr>
          <w:fldChar w:fldCharType="end"/>
        </w:r>
      </w:hyperlink>
    </w:p>
    <w:p w:rsidR="00387C16" w:rsidRDefault="009B20D8">
      <w:pPr>
        <w:pStyle w:val="TableofFigures"/>
        <w:tabs>
          <w:tab w:val="right" w:leader="dot" w:pos="8290"/>
        </w:tabs>
        <w:rPr>
          <w:rFonts w:asciiTheme="minorHAnsi" w:eastAsiaTheme="minorEastAsia" w:hAnsiTheme="minorHAnsi" w:cstheme="minorBidi"/>
          <w:noProof/>
          <w:sz w:val="22"/>
          <w:szCs w:val="22"/>
          <w:lang w:val="en-US" w:eastAsia="en-US"/>
        </w:rPr>
      </w:pPr>
      <w:hyperlink w:anchor="_Toc463527872" w:history="1">
        <w:r w:rsidR="00387C16" w:rsidRPr="002B01AF">
          <w:rPr>
            <w:rStyle w:val="Hyperlink"/>
            <w:noProof/>
          </w:rPr>
          <w:t>Figure 7: Value of SEPC approvals by organisation and by goods and services in 2015–16</w:t>
        </w:r>
        <w:r w:rsidR="00387C16">
          <w:rPr>
            <w:noProof/>
            <w:webHidden/>
          </w:rPr>
          <w:tab/>
        </w:r>
        <w:r w:rsidR="00387C16">
          <w:rPr>
            <w:noProof/>
            <w:webHidden/>
          </w:rPr>
          <w:fldChar w:fldCharType="begin"/>
        </w:r>
        <w:r w:rsidR="00387C16">
          <w:rPr>
            <w:noProof/>
            <w:webHidden/>
          </w:rPr>
          <w:instrText xml:space="preserve"> PAGEREF _Toc463527872 \h </w:instrText>
        </w:r>
        <w:r w:rsidR="00387C16">
          <w:rPr>
            <w:noProof/>
            <w:webHidden/>
          </w:rPr>
        </w:r>
        <w:r w:rsidR="00387C16">
          <w:rPr>
            <w:noProof/>
            <w:webHidden/>
          </w:rPr>
          <w:fldChar w:fldCharType="separate"/>
        </w:r>
        <w:r w:rsidR="002E75B9">
          <w:rPr>
            <w:noProof/>
            <w:webHidden/>
          </w:rPr>
          <w:t>32</w:t>
        </w:r>
        <w:r w:rsidR="00387C16">
          <w:rPr>
            <w:noProof/>
            <w:webHidden/>
          </w:rPr>
          <w:fldChar w:fldCharType="end"/>
        </w:r>
      </w:hyperlink>
    </w:p>
    <w:p w:rsidR="00387C16" w:rsidRDefault="009B20D8">
      <w:pPr>
        <w:pStyle w:val="TableofFigures"/>
        <w:tabs>
          <w:tab w:val="right" w:leader="dot" w:pos="8290"/>
        </w:tabs>
        <w:rPr>
          <w:rFonts w:asciiTheme="minorHAnsi" w:eastAsiaTheme="minorEastAsia" w:hAnsiTheme="minorHAnsi" w:cstheme="minorBidi"/>
          <w:noProof/>
          <w:sz w:val="22"/>
          <w:szCs w:val="22"/>
          <w:lang w:val="en-US" w:eastAsia="en-US"/>
        </w:rPr>
      </w:pPr>
      <w:hyperlink w:anchor="_Toc463527873" w:history="1">
        <w:r w:rsidR="00387C16" w:rsidRPr="002B01AF">
          <w:rPr>
            <w:rStyle w:val="Hyperlink"/>
            <w:noProof/>
          </w:rPr>
          <w:t>Figure 8: Number of procurement approvals by complexity quadrant in 2015–16</w:t>
        </w:r>
        <w:r w:rsidR="00387C16">
          <w:rPr>
            <w:noProof/>
            <w:webHidden/>
          </w:rPr>
          <w:tab/>
        </w:r>
        <w:r w:rsidR="00387C16">
          <w:rPr>
            <w:noProof/>
            <w:webHidden/>
          </w:rPr>
          <w:fldChar w:fldCharType="begin"/>
        </w:r>
        <w:r w:rsidR="00387C16">
          <w:rPr>
            <w:noProof/>
            <w:webHidden/>
          </w:rPr>
          <w:instrText xml:space="preserve"> PAGEREF _Toc463527873 \h </w:instrText>
        </w:r>
        <w:r w:rsidR="00387C16">
          <w:rPr>
            <w:noProof/>
            <w:webHidden/>
          </w:rPr>
        </w:r>
        <w:r w:rsidR="00387C16">
          <w:rPr>
            <w:noProof/>
            <w:webHidden/>
          </w:rPr>
          <w:fldChar w:fldCharType="separate"/>
        </w:r>
        <w:r w:rsidR="002E75B9">
          <w:rPr>
            <w:noProof/>
            <w:webHidden/>
          </w:rPr>
          <w:t>40</w:t>
        </w:r>
        <w:r w:rsidR="00387C16">
          <w:rPr>
            <w:noProof/>
            <w:webHidden/>
          </w:rPr>
          <w:fldChar w:fldCharType="end"/>
        </w:r>
      </w:hyperlink>
    </w:p>
    <w:p w:rsidR="00387C16" w:rsidRDefault="009B20D8">
      <w:pPr>
        <w:pStyle w:val="TableofFigures"/>
        <w:tabs>
          <w:tab w:val="right" w:leader="dot" w:pos="8290"/>
        </w:tabs>
        <w:rPr>
          <w:rFonts w:asciiTheme="minorHAnsi" w:eastAsiaTheme="minorEastAsia" w:hAnsiTheme="minorHAnsi" w:cstheme="minorBidi"/>
          <w:noProof/>
          <w:sz w:val="22"/>
          <w:szCs w:val="22"/>
          <w:lang w:val="en-US" w:eastAsia="en-US"/>
        </w:rPr>
      </w:pPr>
      <w:hyperlink w:anchor="_Toc463527874" w:history="1">
        <w:r w:rsidR="00387C16" w:rsidRPr="002B01AF">
          <w:rPr>
            <w:rStyle w:val="Hyperlink"/>
            <w:noProof/>
          </w:rPr>
          <w:t>Figure 9: Value of procurement approvals by complexity quadrant in 2015–16</w:t>
        </w:r>
        <w:r w:rsidR="00387C16">
          <w:rPr>
            <w:noProof/>
            <w:webHidden/>
          </w:rPr>
          <w:tab/>
        </w:r>
        <w:r w:rsidR="00387C16">
          <w:rPr>
            <w:noProof/>
            <w:webHidden/>
          </w:rPr>
          <w:fldChar w:fldCharType="begin"/>
        </w:r>
        <w:r w:rsidR="00387C16">
          <w:rPr>
            <w:noProof/>
            <w:webHidden/>
          </w:rPr>
          <w:instrText xml:space="preserve"> PAGEREF _Toc463527874 \h </w:instrText>
        </w:r>
        <w:r w:rsidR="00387C16">
          <w:rPr>
            <w:noProof/>
            <w:webHidden/>
          </w:rPr>
        </w:r>
        <w:r w:rsidR="00387C16">
          <w:rPr>
            <w:noProof/>
            <w:webHidden/>
          </w:rPr>
          <w:fldChar w:fldCharType="separate"/>
        </w:r>
        <w:r w:rsidR="002E75B9">
          <w:rPr>
            <w:noProof/>
            <w:webHidden/>
          </w:rPr>
          <w:t>41</w:t>
        </w:r>
        <w:r w:rsidR="00387C16">
          <w:rPr>
            <w:noProof/>
            <w:webHidden/>
          </w:rPr>
          <w:fldChar w:fldCharType="end"/>
        </w:r>
      </w:hyperlink>
    </w:p>
    <w:p w:rsidR="009F4D80" w:rsidRPr="00CD6245" w:rsidRDefault="002B07C2" w:rsidP="007C2A1B">
      <w:pPr>
        <w:ind w:left="851"/>
        <w:rPr>
          <w:rFonts w:cs="Arial"/>
        </w:rPr>
        <w:sectPr w:rsidR="009F4D80" w:rsidRPr="00CD6245">
          <w:headerReference w:type="default" r:id="rId11"/>
          <w:footerReference w:type="even" r:id="rId12"/>
          <w:footerReference w:type="default" r:id="rId13"/>
          <w:footerReference w:type="first" r:id="rId14"/>
          <w:pgSz w:w="11900" w:h="16840"/>
          <w:pgMar w:top="1440" w:right="1800" w:bottom="1440" w:left="1800" w:header="708" w:footer="708" w:gutter="0"/>
          <w:pgNumType w:fmt="lowerRoman" w:start="1"/>
          <w:cols w:space="708"/>
          <w:docGrid w:linePitch="360"/>
        </w:sectPr>
      </w:pPr>
      <w:r w:rsidRPr="00CD6245">
        <w:rPr>
          <w:rFonts w:cs="Arial"/>
        </w:rPr>
        <w:fldChar w:fldCharType="end"/>
      </w:r>
    </w:p>
    <w:p w:rsidR="002F7CF6" w:rsidRPr="00CD6245" w:rsidRDefault="00E07B86" w:rsidP="006F7C68">
      <w:pPr>
        <w:pStyle w:val="Heading1NoNum"/>
        <w:spacing w:after="400"/>
      </w:pPr>
      <w:bookmarkStart w:id="7" w:name="_Toc463527706"/>
      <w:bookmarkStart w:id="8" w:name="_Toc366693292"/>
      <w:r w:rsidRPr="00CD6245">
        <w:lastRenderedPageBreak/>
        <w:t>Message from the Chair</w:t>
      </w:r>
      <w:bookmarkEnd w:id="7"/>
    </w:p>
    <w:bookmarkEnd w:id="8"/>
    <w:p w:rsidR="00E07B86" w:rsidRPr="00CD6245" w:rsidRDefault="00E07B86" w:rsidP="00E07B86">
      <w:pPr>
        <w:spacing w:before="100" w:after="100"/>
        <w:ind w:left="794"/>
        <w:rPr>
          <w:rFonts w:ascii="Calibri" w:hAnsi="Calibri" w:cs="Calibri"/>
          <w:sz w:val="22"/>
          <w:szCs w:val="22"/>
          <w:lang w:eastAsia="en-US"/>
        </w:rPr>
      </w:pPr>
      <w:r w:rsidRPr="00CD6245">
        <w:rPr>
          <w:rFonts w:ascii="Calibri" w:hAnsi="Calibri" w:cs="Calibri"/>
          <w:sz w:val="22"/>
          <w:szCs w:val="22"/>
          <w:lang w:eastAsia="en-US"/>
        </w:rPr>
        <w:t xml:space="preserve">Procurement is coming under increased focus across government. Against this background, the </w:t>
      </w:r>
      <w:r w:rsidR="003F177F" w:rsidRPr="00CD6245">
        <w:rPr>
          <w:rFonts w:ascii="Calibri" w:hAnsi="Calibri" w:cs="Calibri"/>
          <w:sz w:val="22"/>
          <w:szCs w:val="22"/>
          <w:lang w:eastAsia="en-US"/>
        </w:rPr>
        <w:t>Victorian Government Purchasing Board (</w:t>
      </w:r>
      <w:r w:rsidRPr="00CD6245">
        <w:rPr>
          <w:rFonts w:ascii="Calibri" w:hAnsi="Calibri" w:cs="Calibri"/>
          <w:sz w:val="22"/>
          <w:szCs w:val="22"/>
          <w:lang w:eastAsia="en-US"/>
        </w:rPr>
        <w:t>VGPB</w:t>
      </w:r>
      <w:r w:rsidR="003F177F" w:rsidRPr="00CD6245">
        <w:rPr>
          <w:rFonts w:ascii="Calibri" w:hAnsi="Calibri" w:cs="Calibri"/>
          <w:sz w:val="22"/>
          <w:szCs w:val="22"/>
          <w:lang w:eastAsia="en-US"/>
        </w:rPr>
        <w:t>)</w:t>
      </w:r>
      <w:r w:rsidRPr="00CD6245">
        <w:rPr>
          <w:rFonts w:ascii="Calibri" w:hAnsi="Calibri" w:cs="Calibri"/>
          <w:sz w:val="22"/>
          <w:szCs w:val="22"/>
          <w:lang w:eastAsia="en-US"/>
        </w:rPr>
        <w:t xml:space="preserve"> has raised its strategic leadership role, advising </w:t>
      </w:r>
      <w:r w:rsidR="00735C7E" w:rsidRPr="00CD6245">
        <w:rPr>
          <w:rFonts w:ascii="Calibri" w:hAnsi="Calibri" w:cs="Calibri"/>
          <w:sz w:val="22"/>
          <w:szCs w:val="22"/>
          <w:lang w:eastAsia="en-US"/>
        </w:rPr>
        <w:br/>
      </w:r>
      <w:r w:rsidRPr="00CD6245">
        <w:rPr>
          <w:rFonts w:ascii="Calibri" w:hAnsi="Calibri" w:cs="Calibri"/>
          <w:sz w:val="22"/>
          <w:szCs w:val="22"/>
          <w:lang w:eastAsia="en-US"/>
        </w:rPr>
        <w:t>in-scope organisations on how best to achieve procurement efficiencies. During the year, the VGPB published a revised set of supply policies to continue</w:t>
      </w:r>
      <w:r w:rsidR="00164C63" w:rsidRPr="00CD6245">
        <w:rPr>
          <w:rFonts w:ascii="Calibri" w:hAnsi="Calibri" w:cs="Calibri"/>
          <w:sz w:val="22"/>
          <w:szCs w:val="22"/>
          <w:lang w:eastAsia="en-US"/>
        </w:rPr>
        <w:t xml:space="preserve"> to</w:t>
      </w:r>
      <w:r w:rsidRPr="00CD6245">
        <w:rPr>
          <w:rFonts w:ascii="Calibri" w:hAnsi="Calibri" w:cs="Calibri"/>
          <w:sz w:val="22"/>
          <w:szCs w:val="22"/>
          <w:lang w:eastAsia="en-US"/>
        </w:rPr>
        <w:t xml:space="preserve"> support the </w:t>
      </w:r>
      <w:r w:rsidR="00246564">
        <w:rPr>
          <w:rFonts w:ascii="Calibri" w:hAnsi="Calibri" w:cs="Calibri"/>
          <w:sz w:val="22"/>
          <w:szCs w:val="22"/>
          <w:lang w:eastAsia="en-US"/>
        </w:rPr>
        <w:t>Victorian G</w:t>
      </w:r>
      <w:r w:rsidRPr="00CD6245">
        <w:rPr>
          <w:rFonts w:ascii="Calibri" w:hAnsi="Calibri" w:cs="Calibri"/>
          <w:sz w:val="22"/>
          <w:szCs w:val="22"/>
          <w:lang w:eastAsia="en-US"/>
        </w:rPr>
        <w:t>overnment in delivering value</w:t>
      </w:r>
      <w:r w:rsidR="00356746" w:rsidRPr="00CD6245">
        <w:rPr>
          <w:rFonts w:ascii="Calibri" w:hAnsi="Calibri" w:cs="Calibri"/>
          <w:sz w:val="22"/>
          <w:szCs w:val="22"/>
          <w:lang w:eastAsia="en-US"/>
        </w:rPr>
        <w:t>-for-</w:t>
      </w:r>
      <w:r w:rsidRPr="00CD6245">
        <w:rPr>
          <w:rFonts w:ascii="Calibri" w:hAnsi="Calibri" w:cs="Calibri"/>
          <w:sz w:val="22"/>
          <w:szCs w:val="22"/>
          <w:lang w:eastAsia="en-US"/>
        </w:rPr>
        <w:t>money procurement outcomes. These policies are based on a comprehensive review incorporating feedback</w:t>
      </w:r>
      <w:r w:rsidRPr="00CD6245" w:rsidDel="00CF2846">
        <w:rPr>
          <w:rFonts w:ascii="Calibri" w:hAnsi="Calibri" w:cs="Calibri"/>
          <w:sz w:val="22"/>
          <w:szCs w:val="22"/>
          <w:lang w:eastAsia="en-US"/>
        </w:rPr>
        <w:t xml:space="preserve"> </w:t>
      </w:r>
      <w:r w:rsidRPr="00CD6245">
        <w:rPr>
          <w:rFonts w:ascii="Calibri" w:hAnsi="Calibri" w:cs="Calibri"/>
          <w:sz w:val="22"/>
          <w:szCs w:val="22"/>
          <w:lang w:eastAsia="en-US"/>
        </w:rPr>
        <w:t xml:space="preserve">from in-scope organisations, and the </w:t>
      </w:r>
      <w:r w:rsidR="00246564">
        <w:rPr>
          <w:rFonts w:ascii="Calibri" w:hAnsi="Calibri" w:cs="Calibri"/>
          <w:sz w:val="22"/>
          <w:szCs w:val="22"/>
          <w:lang w:eastAsia="en-US"/>
        </w:rPr>
        <w:t>G</w:t>
      </w:r>
      <w:r w:rsidRPr="00CD6245">
        <w:rPr>
          <w:rFonts w:ascii="Calibri" w:hAnsi="Calibri" w:cs="Calibri"/>
          <w:sz w:val="22"/>
          <w:szCs w:val="22"/>
          <w:lang w:eastAsia="en-US"/>
        </w:rPr>
        <w:t>overnment’s election commitments. The review also identified several broader procurement initiatives for 2016–17.</w:t>
      </w:r>
    </w:p>
    <w:p w:rsidR="00E07B86" w:rsidRPr="00CD6245" w:rsidRDefault="00E07B86" w:rsidP="00E07B86">
      <w:pPr>
        <w:spacing w:before="100" w:after="100"/>
        <w:ind w:left="794"/>
        <w:rPr>
          <w:rFonts w:ascii="Calibri" w:hAnsi="Calibri" w:cs="Calibri"/>
          <w:sz w:val="22"/>
          <w:szCs w:val="22"/>
          <w:lang w:eastAsia="en-US"/>
        </w:rPr>
      </w:pPr>
      <w:r w:rsidRPr="00CD6245">
        <w:rPr>
          <w:rFonts w:ascii="Calibri" w:hAnsi="Calibri" w:cs="Calibri"/>
          <w:sz w:val="22"/>
          <w:szCs w:val="22"/>
          <w:lang w:eastAsia="en-US"/>
        </w:rPr>
        <w:t xml:space="preserve">The VGPB worked closely with chief procurement officers (CPOs) to roll out the audit program and performance measures developed in 2014–15. It is a testament to the hard work of the in-scope organisations </w:t>
      </w:r>
      <w:r w:rsidR="00164C63" w:rsidRPr="00CD6245">
        <w:rPr>
          <w:rFonts w:ascii="Calibri" w:hAnsi="Calibri" w:cs="Calibri"/>
          <w:sz w:val="22"/>
          <w:szCs w:val="22"/>
          <w:lang w:eastAsia="en-US"/>
        </w:rPr>
        <w:t xml:space="preserve">and the VGPB </w:t>
      </w:r>
      <w:r w:rsidRPr="00CD6245">
        <w:rPr>
          <w:rFonts w:ascii="Calibri" w:hAnsi="Calibri" w:cs="Calibri"/>
          <w:sz w:val="22"/>
          <w:szCs w:val="22"/>
          <w:lang w:eastAsia="en-US"/>
        </w:rPr>
        <w:t>that we were able to include the year one outcomes of the performance measures in this year’s report to establish a baseline for future reporting.</w:t>
      </w:r>
    </w:p>
    <w:p w:rsidR="00E07B86" w:rsidRPr="00CD6245" w:rsidRDefault="00E07B86" w:rsidP="00E07B86">
      <w:pPr>
        <w:spacing w:before="100" w:after="100"/>
        <w:ind w:left="794"/>
        <w:rPr>
          <w:rFonts w:ascii="Calibri" w:hAnsi="Calibri" w:cs="Calibri"/>
          <w:sz w:val="22"/>
          <w:szCs w:val="22"/>
          <w:lang w:eastAsia="en-US"/>
        </w:rPr>
      </w:pPr>
      <w:r w:rsidRPr="00CD6245">
        <w:rPr>
          <w:rFonts w:ascii="Calibri" w:hAnsi="Calibri" w:cs="Calibri"/>
          <w:sz w:val="22"/>
          <w:szCs w:val="22"/>
          <w:lang w:eastAsia="en-US"/>
        </w:rPr>
        <w:t>Looking into the longer term, the VGPB developed a five-year strategic plan that includes five priorities. These priorities focus on areas where the VGPB can play an active role as a catalyst to support organisations’ procurement activity, and can work with stakeholders to drive greater value procurement across government.</w:t>
      </w:r>
    </w:p>
    <w:p w:rsidR="00E07B86" w:rsidRPr="00CD6245" w:rsidRDefault="00E07B86" w:rsidP="00E07B86">
      <w:pPr>
        <w:spacing w:before="100" w:after="100"/>
        <w:ind w:left="794"/>
        <w:rPr>
          <w:rFonts w:ascii="Calibri" w:hAnsi="Calibri" w:cs="Calibri"/>
          <w:sz w:val="22"/>
          <w:szCs w:val="22"/>
          <w:lang w:eastAsia="en-US"/>
        </w:rPr>
      </w:pPr>
      <w:r w:rsidRPr="00CD6245">
        <w:rPr>
          <w:rFonts w:ascii="Calibri" w:hAnsi="Calibri" w:cs="Calibri"/>
          <w:sz w:val="22"/>
          <w:szCs w:val="22"/>
          <w:lang w:eastAsia="en-US"/>
        </w:rPr>
        <w:t>The VGPB continues to broaden its influence across government and I would like to formally welcome VicRoads following its successful accreditation to the VGPB supply policies on 1 July 2015. The VGPB was impressed by the enthusiasm and appetite of VicRoads to adopt the policy framework.</w:t>
      </w:r>
    </w:p>
    <w:p w:rsidR="00E07B86" w:rsidRPr="00CD6245" w:rsidRDefault="00E07B86" w:rsidP="00E07B86">
      <w:pPr>
        <w:spacing w:before="100" w:after="100"/>
        <w:ind w:left="794"/>
        <w:rPr>
          <w:rFonts w:ascii="Calibri" w:hAnsi="Calibri" w:cs="Calibri"/>
          <w:sz w:val="22"/>
          <w:szCs w:val="22"/>
          <w:lang w:eastAsia="en-US"/>
        </w:rPr>
      </w:pPr>
      <w:r w:rsidRPr="00CD6245">
        <w:rPr>
          <w:rFonts w:ascii="Calibri" w:hAnsi="Calibri" w:cs="Calibri"/>
          <w:sz w:val="22"/>
          <w:szCs w:val="22"/>
          <w:lang w:eastAsia="en-US"/>
        </w:rPr>
        <w:t>On behalf of the VGPB, I would like to thank the Minister for Finance,</w:t>
      </w:r>
      <w:r w:rsidR="00E77627" w:rsidRPr="00CD6245">
        <w:rPr>
          <w:rFonts w:ascii="Calibri" w:hAnsi="Calibri" w:cs="Calibri"/>
          <w:sz w:val="22"/>
          <w:szCs w:val="22"/>
          <w:lang w:eastAsia="en-US"/>
        </w:rPr>
        <w:t xml:space="preserve"> Robin Scott, MP</w:t>
      </w:r>
      <w:r w:rsidRPr="00CD6245">
        <w:rPr>
          <w:rFonts w:ascii="Calibri" w:hAnsi="Calibri" w:cs="Calibri"/>
          <w:sz w:val="22"/>
          <w:szCs w:val="22"/>
          <w:lang w:eastAsia="en-US"/>
        </w:rPr>
        <w:t xml:space="preserve"> for his support of the VGPB’s policy review and strategic priorities. This support was instrumental in securing much needed resources for the VGPB’s Secretariat to implement the policy review’s recommendations.</w:t>
      </w:r>
    </w:p>
    <w:p w:rsidR="00E07B86" w:rsidRPr="00CD6245" w:rsidRDefault="00E07B86" w:rsidP="00E07B86">
      <w:pPr>
        <w:spacing w:before="100" w:after="100"/>
        <w:ind w:left="794"/>
        <w:rPr>
          <w:rFonts w:ascii="Calibri" w:hAnsi="Calibri" w:cs="Calibri"/>
          <w:sz w:val="22"/>
          <w:szCs w:val="22"/>
          <w:lang w:eastAsia="en-US"/>
        </w:rPr>
      </w:pPr>
      <w:r w:rsidRPr="00CD6245">
        <w:rPr>
          <w:rFonts w:ascii="Calibri" w:hAnsi="Calibri" w:cs="Calibri"/>
          <w:sz w:val="22"/>
          <w:szCs w:val="22"/>
          <w:lang w:eastAsia="en-US"/>
        </w:rPr>
        <w:t>I would like to thank all VGPB members for their ongoing high quality input throughout what has been another busy year, and for the time each has given to ensuring continuous improvement in government procurement policies and delivery of particular projects.</w:t>
      </w:r>
    </w:p>
    <w:p w:rsidR="00E07B86" w:rsidRPr="00CD6245" w:rsidRDefault="00E07B86" w:rsidP="00E07B86">
      <w:pPr>
        <w:spacing w:before="100" w:after="100"/>
        <w:ind w:left="794"/>
        <w:rPr>
          <w:rFonts w:ascii="Calibri" w:hAnsi="Calibri" w:cs="Calibri"/>
          <w:sz w:val="22"/>
          <w:szCs w:val="22"/>
          <w:lang w:eastAsia="en-US"/>
        </w:rPr>
      </w:pPr>
      <w:r w:rsidRPr="00CD6245">
        <w:rPr>
          <w:rFonts w:ascii="Calibri" w:hAnsi="Calibri" w:cs="Calibri"/>
          <w:sz w:val="22"/>
          <w:szCs w:val="22"/>
          <w:lang w:eastAsia="en-US"/>
        </w:rPr>
        <w:t>I would like in particular to thank outgoing members Mr Neil Lucas and Ms Julie Freeman who both made outstanding contributions to the Board during their tenure. I would also like to formally welcome new members Ms Antoinette Brandi and Mr Timothy Lyons. Both members joined the Board in October 2015 and have already made valuable contributions. On 1 July 2016 Ms Leanne Price, from the Department of Health and Human Services, joined the VGPB. On behalf of all Board members, I would like to welcome Ms Price and look forward to her contributions.</w:t>
      </w:r>
    </w:p>
    <w:p w:rsidR="00E07B86" w:rsidRPr="00CD6245" w:rsidRDefault="00E07B86" w:rsidP="00E07B86">
      <w:pPr>
        <w:spacing w:before="100" w:after="100"/>
        <w:ind w:left="794"/>
        <w:rPr>
          <w:rFonts w:ascii="Calibri" w:hAnsi="Calibri" w:cs="Calibri"/>
          <w:sz w:val="22"/>
          <w:szCs w:val="22"/>
          <w:lang w:eastAsia="en-US"/>
        </w:rPr>
      </w:pPr>
      <w:r w:rsidRPr="00CD6245">
        <w:rPr>
          <w:rFonts w:ascii="Calibri" w:hAnsi="Calibri" w:cs="Calibri"/>
          <w:sz w:val="22"/>
          <w:szCs w:val="22"/>
          <w:lang w:eastAsia="en-US"/>
        </w:rPr>
        <w:t xml:space="preserve">The VGPB has again been supported by the professional and dedicated work of the Secretariat in the Department of Treasury and Finance </w:t>
      </w:r>
      <w:r w:rsidR="00246564">
        <w:rPr>
          <w:rFonts w:ascii="Calibri" w:hAnsi="Calibri" w:cs="Calibri"/>
          <w:sz w:val="22"/>
          <w:szCs w:val="22"/>
          <w:lang w:eastAsia="en-US"/>
        </w:rPr>
        <w:t xml:space="preserve">(DTF). The Secretariat </w:t>
      </w:r>
      <w:r w:rsidRPr="00CD6245">
        <w:rPr>
          <w:rFonts w:ascii="Calibri" w:hAnsi="Calibri" w:cs="Calibri"/>
          <w:sz w:val="22"/>
          <w:szCs w:val="22"/>
          <w:lang w:eastAsia="en-US"/>
        </w:rPr>
        <w:t>continued to manage an ever increasing workload and set of responsibilities efficiently and with good humour. Thank you also to all the organisations, and especially the CPOs, who worked collaboratively with the VGPB throughout the year to deliver key projects: your ongoing commitment to the reform is much appreciated.</w:t>
      </w:r>
    </w:p>
    <w:p w:rsidR="00E07B86" w:rsidRPr="00CD6245" w:rsidRDefault="00E07B86" w:rsidP="00E07B86">
      <w:pPr>
        <w:spacing w:before="100" w:after="100"/>
        <w:ind w:left="794"/>
        <w:rPr>
          <w:rFonts w:ascii="Calibri" w:hAnsi="Calibri" w:cs="Calibri"/>
          <w:sz w:val="22"/>
          <w:szCs w:val="22"/>
          <w:lang w:eastAsia="en-US"/>
        </w:rPr>
      </w:pPr>
      <w:r w:rsidRPr="00CD6245">
        <w:rPr>
          <w:rFonts w:ascii="Calibri" w:hAnsi="Calibri" w:cs="Calibri"/>
          <w:sz w:val="22"/>
          <w:szCs w:val="22"/>
          <w:lang w:eastAsia="en-US"/>
        </w:rPr>
        <w:t>It is with confidence that we look to the future. As the VGPB moves to a partnership model with CPOs, the VGPB will be uniquely positioned to champion innovative procurement priorities and initiatives designed to increase capability across the Victorian Government. I look forward to the year ahead.</w:t>
      </w:r>
    </w:p>
    <w:p w:rsidR="00E07B86" w:rsidRPr="00CD6245" w:rsidRDefault="00E07B86" w:rsidP="00E07B86">
      <w:pPr>
        <w:pStyle w:val="Normal1"/>
        <w:rPr>
          <w:lang w:eastAsia="en-US"/>
        </w:rPr>
      </w:pPr>
      <w:r w:rsidRPr="00CD6245">
        <w:rPr>
          <w:lang w:eastAsia="en-US"/>
        </w:rPr>
        <w:t>(Dr) Lynne Williams</w:t>
      </w:r>
      <w:r w:rsidRPr="00CD6245">
        <w:rPr>
          <w:lang w:eastAsia="en-US"/>
        </w:rPr>
        <w:br/>
        <w:t>Chair, Victorian Government Purchasing Board</w:t>
      </w:r>
    </w:p>
    <w:p w:rsidR="00E07B86" w:rsidRPr="00CD6245" w:rsidRDefault="00E07B86" w:rsidP="00E07B86">
      <w:pPr>
        <w:pStyle w:val="Heading1NoNum"/>
      </w:pPr>
      <w:bookmarkStart w:id="9" w:name="_Toc463527707"/>
      <w:r w:rsidRPr="00CD6245">
        <w:lastRenderedPageBreak/>
        <w:t>Year in review</w:t>
      </w:r>
      <w:bookmarkEnd w:id="9"/>
    </w:p>
    <w:p w:rsidR="00A15393" w:rsidRPr="00CD6245" w:rsidRDefault="00E07B86" w:rsidP="00A15393">
      <w:pPr>
        <w:pStyle w:val="Heading2NoNum"/>
      </w:pPr>
      <w:bookmarkStart w:id="10" w:name="_Toc463527708"/>
      <w:r w:rsidRPr="00CD6245">
        <w:t>S</w:t>
      </w:r>
      <w:r w:rsidR="00A15393" w:rsidRPr="00CD6245">
        <w:t>trategic priorities in 201</w:t>
      </w:r>
      <w:r w:rsidR="001D7822" w:rsidRPr="00CD6245">
        <w:t>5–16</w:t>
      </w:r>
      <w:bookmarkEnd w:id="10"/>
    </w:p>
    <w:p w:rsidR="00E07B86" w:rsidRPr="00CD6245" w:rsidRDefault="00E07B86" w:rsidP="00E07B86">
      <w:pPr>
        <w:pStyle w:val="Normal1"/>
        <w:rPr>
          <w:lang w:eastAsia="en-US"/>
        </w:rPr>
      </w:pPr>
      <w:r w:rsidRPr="00CD6245">
        <w:rPr>
          <w:lang w:eastAsia="en-US"/>
        </w:rPr>
        <w:t>In 2015–16, the VGPB continued to work with organisations to progress its strategic priorities. Strategic priorities are focused on working with organisations to continue to embed procurement reform to gain efficiencies and improve procurement outcomes. To achieve this, the VGPB has completed several projects as summarised in Table 1.</w:t>
      </w:r>
    </w:p>
    <w:p w:rsidR="00A15393" w:rsidRPr="00CD6245" w:rsidRDefault="00A15393" w:rsidP="00C30E6E">
      <w:pPr>
        <w:pStyle w:val="Caption"/>
      </w:pPr>
      <w:bookmarkStart w:id="11" w:name="_Ref423787145"/>
      <w:bookmarkStart w:id="12" w:name="_Toc463527836"/>
      <w:r w:rsidRPr="00CD6245">
        <w:t xml:space="preserve">Table </w:t>
      </w:r>
      <w:r w:rsidR="002B07C2" w:rsidRPr="00CD6245">
        <w:fldChar w:fldCharType="begin"/>
      </w:r>
      <w:r w:rsidRPr="00CD6245">
        <w:instrText xml:space="preserve"> SEQ Table \* ARABIC </w:instrText>
      </w:r>
      <w:r w:rsidR="002B07C2" w:rsidRPr="00CD6245">
        <w:fldChar w:fldCharType="separate"/>
      </w:r>
      <w:r w:rsidR="002E75B9">
        <w:rPr>
          <w:noProof/>
        </w:rPr>
        <w:t>1</w:t>
      </w:r>
      <w:r w:rsidR="002B07C2" w:rsidRPr="00CD6245">
        <w:fldChar w:fldCharType="end"/>
      </w:r>
      <w:bookmarkEnd w:id="11"/>
      <w:r w:rsidRPr="00CD6245">
        <w:t>: VGPB projects and initiatives completed in 201</w:t>
      </w:r>
      <w:r w:rsidR="001D7822" w:rsidRPr="00CD6245">
        <w:t>5–16</w:t>
      </w:r>
      <w:bookmarkEnd w:id="12"/>
    </w:p>
    <w:tbl>
      <w:tblPr>
        <w:tblStyle w:val="TableGrid"/>
        <w:tblW w:w="8561" w:type="dxa"/>
        <w:tblInd w:w="894" w:type="dxa"/>
        <w:tblLook w:val="04A0" w:firstRow="1" w:lastRow="0" w:firstColumn="1" w:lastColumn="0" w:noHBand="0" w:noVBand="1"/>
      </w:tblPr>
      <w:tblGrid>
        <w:gridCol w:w="2410"/>
        <w:gridCol w:w="4819"/>
        <w:gridCol w:w="1332"/>
      </w:tblGrid>
      <w:tr w:rsidR="00E07B86" w:rsidRPr="00CD6245" w:rsidTr="003F177F">
        <w:tc>
          <w:tcPr>
            <w:tcW w:w="2410" w:type="dxa"/>
            <w:shd w:val="clear" w:color="auto" w:fill="BFBFBF" w:themeFill="background1" w:themeFillShade="BF"/>
          </w:tcPr>
          <w:p w:rsidR="00E07B86" w:rsidRPr="00CD6245" w:rsidRDefault="00E07B86" w:rsidP="00E07B86">
            <w:pPr>
              <w:pStyle w:val="TableHeader"/>
            </w:pPr>
            <w:r w:rsidRPr="00CD6245">
              <w:t>Project</w:t>
            </w:r>
          </w:p>
        </w:tc>
        <w:tc>
          <w:tcPr>
            <w:tcW w:w="4819" w:type="dxa"/>
            <w:shd w:val="clear" w:color="auto" w:fill="BFBFBF" w:themeFill="background1" w:themeFillShade="BF"/>
          </w:tcPr>
          <w:p w:rsidR="00E07B86" w:rsidRPr="00CD6245" w:rsidRDefault="00E07B86" w:rsidP="00E07B86">
            <w:pPr>
              <w:pStyle w:val="TableHeader"/>
            </w:pPr>
            <w:r w:rsidRPr="00CD6245">
              <w:t>Result</w:t>
            </w:r>
          </w:p>
        </w:tc>
        <w:tc>
          <w:tcPr>
            <w:tcW w:w="1332" w:type="dxa"/>
            <w:shd w:val="clear" w:color="auto" w:fill="BFBFBF" w:themeFill="background1" w:themeFillShade="BF"/>
          </w:tcPr>
          <w:p w:rsidR="00E07B86" w:rsidRPr="00CD6245" w:rsidRDefault="00E07B86" w:rsidP="00E07B86">
            <w:pPr>
              <w:pStyle w:val="TableHeader"/>
            </w:pPr>
            <w:r w:rsidRPr="00CD6245">
              <w:t>Status</w:t>
            </w:r>
          </w:p>
        </w:tc>
      </w:tr>
      <w:tr w:rsidR="00E07B86" w:rsidRPr="00CD6245" w:rsidTr="003F177F">
        <w:tc>
          <w:tcPr>
            <w:tcW w:w="2410" w:type="dxa"/>
          </w:tcPr>
          <w:p w:rsidR="00E07B86" w:rsidRPr="00CD6245" w:rsidRDefault="00E07B86" w:rsidP="003F177F">
            <w:pPr>
              <w:pStyle w:val="TableText"/>
            </w:pPr>
            <w:r w:rsidRPr="00CD6245">
              <w:t>Five-year strategic plan</w:t>
            </w:r>
          </w:p>
        </w:tc>
        <w:tc>
          <w:tcPr>
            <w:tcW w:w="4819" w:type="dxa"/>
          </w:tcPr>
          <w:p w:rsidR="00E07B86" w:rsidRPr="00CD6245" w:rsidRDefault="00E07B86" w:rsidP="003F177F">
            <w:pPr>
              <w:pStyle w:val="TableText"/>
            </w:pPr>
            <w:r w:rsidRPr="00CD6245">
              <w:t>Developed a five-year strategic plan to establish a set of longer term priorities and initiatives.</w:t>
            </w:r>
          </w:p>
        </w:tc>
        <w:tc>
          <w:tcPr>
            <w:tcW w:w="1332" w:type="dxa"/>
          </w:tcPr>
          <w:p w:rsidR="00E07B86" w:rsidRPr="00CD6245" w:rsidRDefault="00E07B86" w:rsidP="003F177F">
            <w:pPr>
              <w:pStyle w:val="TableText"/>
            </w:pPr>
            <w:r w:rsidRPr="00CD6245">
              <w:t>Complete</w:t>
            </w:r>
          </w:p>
        </w:tc>
      </w:tr>
      <w:tr w:rsidR="00E07B86" w:rsidRPr="00CD6245" w:rsidTr="003F177F">
        <w:tc>
          <w:tcPr>
            <w:tcW w:w="8561" w:type="dxa"/>
            <w:gridSpan w:val="3"/>
            <w:shd w:val="clear" w:color="auto" w:fill="808080" w:themeFill="background1" w:themeFillShade="80"/>
          </w:tcPr>
          <w:p w:rsidR="00E07B86" w:rsidRPr="00CD6245" w:rsidRDefault="00E07B86" w:rsidP="003F177F">
            <w:pPr>
              <w:spacing w:before="40" w:after="40"/>
              <w:rPr>
                <w:rFonts w:asciiTheme="majorHAnsi" w:hAnsiTheme="majorHAnsi"/>
                <w:color w:val="FFFFFF" w:themeColor="background1"/>
                <w:sz w:val="21"/>
                <w:szCs w:val="21"/>
                <w:lang w:eastAsia="en-US"/>
              </w:rPr>
            </w:pPr>
            <w:r w:rsidRPr="00CD6245">
              <w:rPr>
                <w:rFonts w:asciiTheme="majorHAnsi" w:hAnsiTheme="majorHAnsi"/>
                <w:color w:val="FFFFFF" w:themeColor="background1"/>
                <w:sz w:val="21"/>
                <w:szCs w:val="21"/>
                <w:lang w:eastAsia="en-US"/>
              </w:rPr>
              <w:t>Strategic priority 1: Enhancing the VGPB supply policies to reflect the government’s election commitments</w:t>
            </w:r>
          </w:p>
        </w:tc>
      </w:tr>
      <w:tr w:rsidR="00E07B86" w:rsidRPr="00CD6245" w:rsidTr="003F177F">
        <w:tc>
          <w:tcPr>
            <w:tcW w:w="2410" w:type="dxa"/>
          </w:tcPr>
          <w:p w:rsidR="00E07B86" w:rsidRPr="00CD6245" w:rsidRDefault="00E07B86" w:rsidP="003F177F">
            <w:pPr>
              <w:pStyle w:val="TableText"/>
            </w:pPr>
            <w:r w:rsidRPr="00CD6245">
              <w:t>Policy review</w:t>
            </w:r>
          </w:p>
        </w:tc>
        <w:tc>
          <w:tcPr>
            <w:tcW w:w="4819" w:type="dxa"/>
          </w:tcPr>
          <w:p w:rsidR="00E07B86" w:rsidRPr="00CD6245" w:rsidRDefault="00E07B86" w:rsidP="003F177F">
            <w:pPr>
              <w:pStyle w:val="TableText"/>
            </w:pPr>
            <w:r w:rsidRPr="00CD6245">
              <w:t>Revised VGPB supply policies in line with the government’s election commitments and organisational feedback.</w:t>
            </w:r>
          </w:p>
        </w:tc>
        <w:tc>
          <w:tcPr>
            <w:tcW w:w="1332" w:type="dxa"/>
          </w:tcPr>
          <w:p w:rsidR="00E07B86" w:rsidRPr="00CD6245" w:rsidRDefault="00E07B86" w:rsidP="003F177F">
            <w:pPr>
              <w:pStyle w:val="TableText"/>
            </w:pPr>
            <w:r w:rsidRPr="00CD6245">
              <w:t>Complete</w:t>
            </w:r>
          </w:p>
        </w:tc>
      </w:tr>
      <w:tr w:rsidR="00E07B86" w:rsidRPr="00CD6245" w:rsidTr="003F177F">
        <w:tc>
          <w:tcPr>
            <w:tcW w:w="2410" w:type="dxa"/>
          </w:tcPr>
          <w:p w:rsidR="00E07B86" w:rsidRPr="00CD6245" w:rsidRDefault="00E07B86" w:rsidP="003F177F">
            <w:pPr>
              <w:pStyle w:val="TableText"/>
            </w:pPr>
            <w:r w:rsidRPr="00CD6245">
              <w:t>Policy review communications strategy</w:t>
            </w:r>
          </w:p>
        </w:tc>
        <w:tc>
          <w:tcPr>
            <w:tcW w:w="4819" w:type="dxa"/>
          </w:tcPr>
          <w:p w:rsidR="00E07B86" w:rsidRPr="00CD6245" w:rsidRDefault="00E07B86" w:rsidP="003F177F">
            <w:pPr>
              <w:pStyle w:val="TableText"/>
            </w:pPr>
            <w:r w:rsidRPr="00CD6245">
              <w:t xml:space="preserve">Developed a change management and communications strategy to inform organisations about the policy review and revoking the pre-2013 policies. </w:t>
            </w:r>
          </w:p>
        </w:tc>
        <w:tc>
          <w:tcPr>
            <w:tcW w:w="1332" w:type="dxa"/>
          </w:tcPr>
          <w:p w:rsidR="00E07B86" w:rsidRPr="00CD6245" w:rsidRDefault="00E07B86" w:rsidP="003F177F">
            <w:pPr>
              <w:pStyle w:val="TableText"/>
            </w:pPr>
            <w:r w:rsidRPr="00CD6245">
              <w:t>Complete</w:t>
            </w:r>
          </w:p>
        </w:tc>
      </w:tr>
      <w:tr w:rsidR="00E07B86" w:rsidRPr="00CD6245" w:rsidTr="003F177F">
        <w:tc>
          <w:tcPr>
            <w:tcW w:w="2410" w:type="dxa"/>
          </w:tcPr>
          <w:p w:rsidR="00E07B86" w:rsidRPr="00CD6245" w:rsidRDefault="00E07B86" w:rsidP="003F177F">
            <w:pPr>
              <w:pStyle w:val="TableText"/>
            </w:pPr>
            <w:r w:rsidRPr="00CD6245">
              <w:t>Revoking pre-2013 policies</w:t>
            </w:r>
          </w:p>
        </w:tc>
        <w:tc>
          <w:tcPr>
            <w:tcW w:w="4819" w:type="dxa"/>
          </w:tcPr>
          <w:p w:rsidR="00E07B86" w:rsidRPr="00CD6245" w:rsidRDefault="00E07B86" w:rsidP="003F177F">
            <w:pPr>
              <w:pStyle w:val="TableText"/>
            </w:pPr>
            <w:r w:rsidRPr="00CD6245">
              <w:t>Revoked the pre-2013 supply policies on 30 June 2016.</w:t>
            </w:r>
          </w:p>
        </w:tc>
        <w:tc>
          <w:tcPr>
            <w:tcW w:w="1332" w:type="dxa"/>
          </w:tcPr>
          <w:p w:rsidR="00E07B86" w:rsidRPr="00CD6245" w:rsidRDefault="00E07B86" w:rsidP="003F177F">
            <w:pPr>
              <w:pStyle w:val="TableText"/>
            </w:pPr>
            <w:r w:rsidRPr="00CD6245">
              <w:t>Complete</w:t>
            </w:r>
          </w:p>
        </w:tc>
      </w:tr>
      <w:tr w:rsidR="00E07B86" w:rsidRPr="00CD6245" w:rsidTr="003F177F">
        <w:tc>
          <w:tcPr>
            <w:tcW w:w="2410" w:type="dxa"/>
          </w:tcPr>
          <w:p w:rsidR="00E07B86" w:rsidRPr="00CD6245" w:rsidRDefault="00E07B86" w:rsidP="003F177F">
            <w:pPr>
              <w:pStyle w:val="TableText"/>
            </w:pPr>
            <w:r w:rsidRPr="00CD6245">
              <w:t>Supplier code of conduct</w:t>
            </w:r>
          </w:p>
        </w:tc>
        <w:tc>
          <w:tcPr>
            <w:tcW w:w="4819" w:type="dxa"/>
          </w:tcPr>
          <w:p w:rsidR="00E07B86" w:rsidRPr="00CD6245" w:rsidRDefault="00E07B86" w:rsidP="003F177F">
            <w:pPr>
              <w:pStyle w:val="TableText"/>
            </w:pPr>
            <w:r w:rsidRPr="00CD6245">
              <w:t xml:space="preserve">Began developing a supplier code of conduct to ensure a consistent Victorian Government standard in ethical, sustainable and socially responsible procurement. </w:t>
            </w:r>
          </w:p>
        </w:tc>
        <w:tc>
          <w:tcPr>
            <w:tcW w:w="1332" w:type="dxa"/>
          </w:tcPr>
          <w:p w:rsidR="00E07B86" w:rsidRPr="00CD6245" w:rsidRDefault="00E07B86" w:rsidP="003F177F">
            <w:pPr>
              <w:pStyle w:val="TableText"/>
            </w:pPr>
            <w:r w:rsidRPr="00CD6245">
              <w:t>In progress</w:t>
            </w:r>
          </w:p>
        </w:tc>
      </w:tr>
      <w:tr w:rsidR="00E07B86" w:rsidRPr="00CD6245" w:rsidTr="003F177F">
        <w:tc>
          <w:tcPr>
            <w:tcW w:w="2410" w:type="dxa"/>
          </w:tcPr>
          <w:p w:rsidR="00E07B86" w:rsidRPr="00CD6245" w:rsidRDefault="00E07B86" w:rsidP="003F177F">
            <w:pPr>
              <w:pStyle w:val="TableText"/>
            </w:pPr>
            <w:r w:rsidRPr="00CD6245">
              <w:t>Social procurement initiatives</w:t>
            </w:r>
          </w:p>
        </w:tc>
        <w:tc>
          <w:tcPr>
            <w:tcW w:w="4819" w:type="dxa"/>
          </w:tcPr>
          <w:p w:rsidR="00E07B86" w:rsidRPr="00CD6245" w:rsidRDefault="00E07B86" w:rsidP="003F177F">
            <w:pPr>
              <w:pStyle w:val="TableText"/>
            </w:pPr>
            <w:r w:rsidRPr="00CD6245">
              <w:t>Began engaging across government on initiatives to improve access for minority groups, including promoting social procurement bodies through the VGPB website</w:t>
            </w:r>
            <w:r w:rsidR="00190D60" w:rsidRPr="00CD6245">
              <w:rPr>
                <w:rStyle w:val="Hyperlink"/>
              </w:rPr>
              <w:t xml:space="preserve"> (www.procurement.vic.gov.au)</w:t>
            </w:r>
            <w:r w:rsidRPr="00CD6245">
              <w:t xml:space="preserve">. </w:t>
            </w:r>
          </w:p>
        </w:tc>
        <w:tc>
          <w:tcPr>
            <w:tcW w:w="1332" w:type="dxa"/>
          </w:tcPr>
          <w:p w:rsidR="00E07B86" w:rsidRPr="00CD6245" w:rsidRDefault="00E07B86" w:rsidP="003F177F">
            <w:pPr>
              <w:pStyle w:val="TableText"/>
            </w:pPr>
            <w:r w:rsidRPr="00CD6245">
              <w:t>In progress</w:t>
            </w:r>
          </w:p>
        </w:tc>
      </w:tr>
      <w:tr w:rsidR="00E07B86" w:rsidRPr="00CD6245" w:rsidTr="003F177F">
        <w:tc>
          <w:tcPr>
            <w:tcW w:w="8561" w:type="dxa"/>
            <w:gridSpan w:val="3"/>
            <w:shd w:val="clear" w:color="auto" w:fill="808080" w:themeFill="background1" w:themeFillShade="80"/>
          </w:tcPr>
          <w:p w:rsidR="00E07B86" w:rsidRPr="00CD6245" w:rsidRDefault="00E07B86" w:rsidP="003F177F">
            <w:pPr>
              <w:spacing w:before="40" w:after="40"/>
              <w:rPr>
                <w:rFonts w:asciiTheme="majorHAnsi" w:hAnsiTheme="majorHAnsi"/>
                <w:color w:val="FFFFFF" w:themeColor="background1"/>
                <w:sz w:val="21"/>
                <w:szCs w:val="21"/>
                <w:lang w:eastAsia="en-US"/>
              </w:rPr>
            </w:pPr>
            <w:r w:rsidRPr="00CD6245">
              <w:rPr>
                <w:rFonts w:asciiTheme="majorHAnsi" w:hAnsiTheme="majorHAnsi"/>
                <w:color w:val="FFFFFF" w:themeColor="background1"/>
                <w:sz w:val="21"/>
                <w:szCs w:val="21"/>
                <w:lang w:eastAsia="en-US"/>
              </w:rPr>
              <w:t>Strategic priority 2: Measuring the benefits of procurement reform</w:t>
            </w:r>
          </w:p>
        </w:tc>
      </w:tr>
      <w:tr w:rsidR="00E07B86" w:rsidRPr="00CD6245" w:rsidTr="003F177F">
        <w:tc>
          <w:tcPr>
            <w:tcW w:w="2410" w:type="dxa"/>
          </w:tcPr>
          <w:p w:rsidR="00E07B86" w:rsidRPr="00CD6245" w:rsidRDefault="00E07B86" w:rsidP="003F177F">
            <w:pPr>
              <w:pStyle w:val="TableText"/>
            </w:pPr>
            <w:r w:rsidRPr="00CD6245">
              <w:t>Audit program</w:t>
            </w:r>
          </w:p>
        </w:tc>
        <w:tc>
          <w:tcPr>
            <w:tcW w:w="4819" w:type="dxa"/>
          </w:tcPr>
          <w:p w:rsidR="00E07B86" w:rsidRPr="00CD6245" w:rsidRDefault="00E07B86" w:rsidP="003F177F">
            <w:pPr>
              <w:pStyle w:val="TableText"/>
            </w:pPr>
            <w:r w:rsidRPr="00CD6245">
              <w:t>The DTF audit is complete and the Victoria Police audit is under</w:t>
            </w:r>
            <w:r w:rsidR="00E765C4" w:rsidRPr="00CD6245">
              <w:t xml:space="preserve"> way</w:t>
            </w:r>
            <w:r w:rsidRPr="00CD6245">
              <w:t xml:space="preserve"> and due for completion in the second half of 2016. </w:t>
            </w:r>
          </w:p>
        </w:tc>
        <w:tc>
          <w:tcPr>
            <w:tcW w:w="1332" w:type="dxa"/>
          </w:tcPr>
          <w:p w:rsidR="00E07B86" w:rsidRPr="00CD6245" w:rsidRDefault="00E07B86" w:rsidP="003F177F">
            <w:pPr>
              <w:pStyle w:val="TableText"/>
            </w:pPr>
            <w:r w:rsidRPr="00CD6245">
              <w:t xml:space="preserve">Complete/In progress </w:t>
            </w:r>
          </w:p>
        </w:tc>
      </w:tr>
      <w:tr w:rsidR="00E07B86" w:rsidRPr="00CD6245" w:rsidTr="003F177F">
        <w:tc>
          <w:tcPr>
            <w:tcW w:w="2410" w:type="dxa"/>
          </w:tcPr>
          <w:p w:rsidR="00E07B86" w:rsidRPr="00CD6245" w:rsidRDefault="00E07B86" w:rsidP="003F177F">
            <w:pPr>
              <w:pStyle w:val="TableText"/>
            </w:pPr>
            <w:r w:rsidRPr="00CD6245">
              <w:t>Performance measures</w:t>
            </w:r>
          </w:p>
        </w:tc>
        <w:tc>
          <w:tcPr>
            <w:tcW w:w="4819" w:type="dxa"/>
          </w:tcPr>
          <w:p w:rsidR="00E07B86" w:rsidRPr="00CD6245" w:rsidRDefault="00E07B86" w:rsidP="003F177F">
            <w:pPr>
              <w:pStyle w:val="TableText"/>
            </w:pPr>
            <w:r w:rsidRPr="00CD6245">
              <w:t>Worked with CPOs to implement year one performance measures. Performance measures will be progressively implemented over a three-year period.</w:t>
            </w:r>
          </w:p>
        </w:tc>
        <w:tc>
          <w:tcPr>
            <w:tcW w:w="1332" w:type="dxa"/>
          </w:tcPr>
          <w:p w:rsidR="00E07B86" w:rsidRPr="00CD6245" w:rsidRDefault="00E07B86" w:rsidP="003F177F">
            <w:pPr>
              <w:pStyle w:val="TableText"/>
            </w:pPr>
            <w:r w:rsidRPr="00CD6245">
              <w:t>Complete</w:t>
            </w:r>
          </w:p>
        </w:tc>
      </w:tr>
      <w:tr w:rsidR="00E07B86" w:rsidRPr="00CD6245" w:rsidTr="003F177F">
        <w:tc>
          <w:tcPr>
            <w:tcW w:w="2410" w:type="dxa"/>
          </w:tcPr>
          <w:p w:rsidR="00E07B86" w:rsidRPr="00CD6245" w:rsidRDefault="00E07B86" w:rsidP="003F177F">
            <w:pPr>
              <w:pStyle w:val="TableText"/>
            </w:pPr>
            <w:r w:rsidRPr="00CD6245">
              <w:t>Supplier satisfaction survey</w:t>
            </w:r>
          </w:p>
        </w:tc>
        <w:tc>
          <w:tcPr>
            <w:tcW w:w="4819" w:type="dxa"/>
          </w:tcPr>
          <w:p w:rsidR="00E07B86" w:rsidRPr="00CD6245" w:rsidRDefault="00E07B86" w:rsidP="003F177F">
            <w:pPr>
              <w:pStyle w:val="TableText"/>
            </w:pPr>
            <w:r w:rsidRPr="00CD6245">
              <w:t xml:space="preserve">Launched a supplier satisfaction survey to establish a benchmark across government to improve supplier engagement and deliver on key performance measure five: Supplier satisfaction assessment. </w:t>
            </w:r>
          </w:p>
        </w:tc>
        <w:tc>
          <w:tcPr>
            <w:tcW w:w="1332" w:type="dxa"/>
          </w:tcPr>
          <w:p w:rsidR="00E07B86" w:rsidRPr="00CD6245" w:rsidRDefault="00E07B86" w:rsidP="003F177F">
            <w:pPr>
              <w:pStyle w:val="TableText"/>
            </w:pPr>
            <w:r w:rsidRPr="00CD6245">
              <w:t>Complete</w:t>
            </w:r>
          </w:p>
        </w:tc>
      </w:tr>
      <w:tr w:rsidR="00E07B86" w:rsidRPr="00CD6245" w:rsidTr="003F177F">
        <w:trPr>
          <w:trHeight w:val="484"/>
        </w:trPr>
        <w:tc>
          <w:tcPr>
            <w:tcW w:w="8561" w:type="dxa"/>
            <w:gridSpan w:val="3"/>
            <w:shd w:val="clear" w:color="auto" w:fill="808080" w:themeFill="background1" w:themeFillShade="80"/>
          </w:tcPr>
          <w:p w:rsidR="00E07B86" w:rsidRPr="00CD6245" w:rsidRDefault="00E07B86" w:rsidP="003F177F">
            <w:pPr>
              <w:spacing w:before="40" w:after="40"/>
              <w:rPr>
                <w:rFonts w:asciiTheme="majorHAnsi" w:hAnsiTheme="majorHAnsi"/>
                <w:color w:val="FFFFFF" w:themeColor="background1"/>
                <w:sz w:val="21"/>
                <w:szCs w:val="21"/>
                <w:lang w:eastAsia="en-US"/>
              </w:rPr>
            </w:pPr>
            <w:r w:rsidRPr="00CD6245">
              <w:rPr>
                <w:rFonts w:asciiTheme="majorHAnsi" w:hAnsiTheme="majorHAnsi"/>
                <w:color w:val="FFFFFF" w:themeColor="background1"/>
                <w:sz w:val="21"/>
                <w:szCs w:val="21"/>
                <w:lang w:eastAsia="en-US"/>
              </w:rPr>
              <w:t>Strategic priority 3: Improving procurement capability across government</w:t>
            </w:r>
          </w:p>
        </w:tc>
      </w:tr>
      <w:tr w:rsidR="00E07B86" w:rsidRPr="00CD6245" w:rsidTr="003F177F">
        <w:trPr>
          <w:trHeight w:val="968"/>
        </w:trPr>
        <w:tc>
          <w:tcPr>
            <w:tcW w:w="2410" w:type="dxa"/>
          </w:tcPr>
          <w:p w:rsidR="00E07B86" w:rsidRPr="00CD6245" w:rsidRDefault="00E07B86" w:rsidP="003F177F">
            <w:pPr>
              <w:pStyle w:val="TableText"/>
            </w:pPr>
            <w:r w:rsidRPr="00CD6245">
              <w:t>Victorian Public Service procurement capability framework</w:t>
            </w:r>
          </w:p>
        </w:tc>
        <w:tc>
          <w:tcPr>
            <w:tcW w:w="4819" w:type="dxa"/>
          </w:tcPr>
          <w:p w:rsidR="00E07B86" w:rsidRPr="00CD6245" w:rsidRDefault="00E07B86" w:rsidP="003F177F">
            <w:pPr>
              <w:pStyle w:val="TableText"/>
            </w:pPr>
            <w:r w:rsidRPr="00CD6245">
              <w:t>Commenced research to begin benchmarking capability against the framework to identify procurement capability shortfalls across government.</w:t>
            </w:r>
          </w:p>
        </w:tc>
        <w:tc>
          <w:tcPr>
            <w:tcW w:w="1332" w:type="dxa"/>
          </w:tcPr>
          <w:p w:rsidR="00E07B86" w:rsidRPr="00CD6245" w:rsidRDefault="00E07B86" w:rsidP="003F177F">
            <w:pPr>
              <w:pStyle w:val="TableText"/>
            </w:pPr>
            <w:r w:rsidRPr="00CD6245">
              <w:t>In progress</w:t>
            </w:r>
          </w:p>
        </w:tc>
      </w:tr>
      <w:tr w:rsidR="00E07B86" w:rsidRPr="00CD6245" w:rsidTr="003F177F">
        <w:trPr>
          <w:trHeight w:val="684"/>
        </w:trPr>
        <w:tc>
          <w:tcPr>
            <w:tcW w:w="2410" w:type="dxa"/>
          </w:tcPr>
          <w:p w:rsidR="00E07B86" w:rsidRPr="00CD6245" w:rsidRDefault="00E07B86" w:rsidP="003F177F">
            <w:pPr>
              <w:pStyle w:val="TableText"/>
            </w:pPr>
            <w:r w:rsidRPr="00CD6245">
              <w:t>VGPB guides</w:t>
            </w:r>
          </w:p>
        </w:tc>
        <w:tc>
          <w:tcPr>
            <w:tcW w:w="4819" w:type="dxa"/>
          </w:tcPr>
          <w:p w:rsidR="00E07B86" w:rsidRPr="00CD6245" w:rsidRDefault="00E07B86" w:rsidP="003F177F">
            <w:pPr>
              <w:pStyle w:val="TableText"/>
            </w:pPr>
            <w:r w:rsidRPr="00CD6245">
              <w:t>Enhanced nine procurement guides to ensure a consistent approach to procurement and developed three new guides.</w:t>
            </w:r>
          </w:p>
        </w:tc>
        <w:tc>
          <w:tcPr>
            <w:tcW w:w="1332" w:type="dxa"/>
          </w:tcPr>
          <w:p w:rsidR="00E07B86" w:rsidRPr="00CD6245" w:rsidRDefault="00E07B86" w:rsidP="003F177F">
            <w:pPr>
              <w:pStyle w:val="TableText"/>
            </w:pPr>
            <w:r w:rsidRPr="00CD6245">
              <w:t>Complete</w:t>
            </w:r>
          </w:p>
          <w:p w:rsidR="00E07B86" w:rsidRPr="00CD6245" w:rsidRDefault="00E07B86" w:rsidP="003F177F">
            <w:pPr>
              <w:pStyle w:val="TableText"/>
            </w:pPr>
          </w:p>
        </w:tc>
      </w:tr>
      <w:tr w:rsidR="00E07B86" w:rsidRPr="00CD6245" w:rsidTr="003F177F">
        <w:tc>
          <w:tcPr>
            <w:tcW w:w="2410" w:type="dxa"/>
          </w:tcPr>
          <w:p w:rsidR="00E07B86" w:rsidRPr="00CD6245" w:rsidRDefault="00E07B86" w:rsidP="003F177F">
            <w:pPr>
              <w:pStyle w:val="TableText"/>
            </w:pPr>
            <w:r w:rsidRPr="00CD6245">
              <w:t>Standard form contracts</w:t>
            </w:r>
          </w:p>
        </w:tc>
        <w:tc>
          <w:tcPr>
            <w:tcW w:w="4819" w:type="dxa"/>
          </w:tcPr>
          <w:p w:rsidR="00E07B86" w:rsidRPr="00CD6245" w:rsidRDefault="00E07B86" w:rsidP="003F177F">
            <w:pPr>
              <w:pStyle w:val="TableText"/>
            </w:pPr>
            <w:r w:rsidRPr="00CD6245">
              <w:t>Enhanced standard form contracts to reflect the better off overall test and applicable legislative requirements.</w:t>
            </w:r>
          </w:p>
        </w:tc>
        <w:tc>
          <w:tcPr>
            <w:tcW w:w="1332" w:type="dxa"/>
          </w:tcPr>
          <w:p w:rsidR="00E07B86" w:rsidRPr="00CD6245" w:rsidRDefault="00E07B86" w:rsidP="003F177F">
            <w:pPr>
              <w:pStyle w:val="TableText"/>
            </w:pPr>
            <w:r w:rsidRPr="00CD6245">
              <w:t xml:space="preserve">Complete </w:t>
            </w:r>
          </w:p>
        </w:tc>
      </w:tr>
      <w:tr w:rsidR="00E07B86" w:rsidRPr="00CD6245" w:rsidTr="003F177F">
        <w:tc>
          <w:tcPr>
            <w:tcW w:w="8561" w:type="dxa"/>
            <w:gridSpan w:val="3"/>
            <w:shd w:val="clear" w:color="auto" w:fill="808080" w:themeFill="background1" w:themeFillShade="80"/>
          </w:tcPr>
          <w:p w:rsidR="00E07B86" w:rsidRPr="00CD6245" w:rsidRDefault="00E07B86" w:rsidP="003F177F">
            <w:pPr>
              <w:spacing w:before="40" w:after="40"/>
              <w:rPr>
                <w:rFonts w:asciiTheme="majorHAnsi" w:hAnsiTheme="majorHAnsi"/>
                <w:color w:val="FFFFFF" w:themeColor="background1"/>
                <w:sz w:val="21"/>
                <w:szCs w:val="21"/>
                <w:lang w:eastAsia="en-US"/>
              </w:rPr>
            </w:pPr>
            <w:r w:rsidRPr="00CD6245">
              <w:rPr>
                <w:rFonts w:asciiTheme="majorHAnsi" w:hAnsiTheme="majorHAnsi"/>
                <w:color w:val="FFFFFF" w:themeColor="background1"/>
                <w:sz w:val="21"/>
                <w:szCs w:val="21"/>
                <w:lang w:eastAsia="en-US"/>
              </w:rPr>
              <w:lastRenderedPageBreak/>
              <w:t>Strategic priority 4: Broadening the VGPB’s influence</w:t>
            </w:r>
          </w:p>
        </w:tc>
      </w:tr>
      <w:tr w:rsidR="00E07B86" w:rsidRPr="00CD6245" w:rsidTr="003F177F">
        <w:tc>
          <w:tcPr>
            <w:tcW w:w="2410" w:type="dxa"/>
          </w:tcPr>
          <w:p w:rsidR="00E07B86" w:rsidRPr="00CD6245" w:rsidRDefault="00E07B86" w:rsidP="003F177F">
            <w:pPr>
              <w:pStyle w:val="TableText"/>
            </w:pPr>
            <w:r w:rsidRPr="00CD6245">
              <w:t>Accreditation to operate under VGPB policy</w:t>
            </w:r>
          </w:p>
        </w:tc>
        <w:tc>
          <w:tcPr>
            <w:tcW w:w="4819" w:type="dxa"/>
          </w:tcPr>
          <w:p w:rsidR="00E07B86" w:rsidRPr="00CD6245" w:rsidRDefault="00E07B86" w:rsidP="000D7385">
            <w:pPr>
              <w:pStyle w:val="TableText"/>
            </w:pPr>
            <w:r w:rsidRPr="00CD6245">
              <w:t>Worked with organisations to bring their goods and services spend in scope. Public Transport Victoria accreditation is still under</w:t>
            </w:r>
            <w:r w:rsidR="00E765C4" w:rsidRPr="00CD6245">
              <w:t xml:space="preserve"> way</w:t>
            </w:r>
            <w:r w:rsidRPr="00CD6245">
              <w:t>.</w:t>
            </w:r>
          </w:p>
        </w:tc>
        <w:tc>
          <w:tcPr>
            <w:tcW w:w="1332" w:type="dxa"/>
          </w:tcPr>
          <w:p w:rsidR="00E07B86" w:rsidRPr="00CD6245" w:rsidRDefault="00E07B86" w:rsidP="003F177F">
            <w:pPr>
              <w:pStyle w:val="TableText"/>
            </w:pPr>
            <w:r w:rsidRPr="00CD6245">
              <w:t>Ongoing</w:t>
            </w:r>
          </w:p>
        </w:tc>
      </w:tr>
      <w:tr w:rsidR="00E07B86" w:rsidRPr="00CD6245" w:rsidTr="003F177F">
        <w:tc>
          <w:tcPr>
            <w:tcW w:w="2410" w:type="dxa"/>
          </w:tcPr>
          <w:p w:rsidR="00E07B86" w:rsidRPr="00CD6245" w:rsidRDefault="00E07B86" w:rsidP="003F177F">
            <w:pPr>
              <w:pStyle w:val="TableText"/>
            </w:pPr>
            <w:r w:rsidRPr="00CD6245">
              <w:t xml:space="preserve">Victorian Government goods and services procurement </w:t>
            </w:r>
          </w:p>
        </w:tc>
        <w:tc>
          <w:tcPr>
            <w:tcW w:w="4819" w:type="dxa"/>
          </w:tcPr>
          <w:p w:rsidR="00E07B86" w:rsidRPr="00CD6245" w:rsidRDefault="00E07B86" w:rsidP="003F177F">
            <w:pPr>
              <w:pStyle w:val="TableText"/>
            </w:pPr>
            <w:r w:rsidRPr="00CD6245">
              <w:t>Began researching the next wave of entities to be brought under the scope of the VGPB supply policies.</w:t>
            </w:r>
          </w:p>
        </w:tc>
        <w:tc>
          <w:tcPr>
            <w:tcW w:w="1332" w:type="dxa"/>
          </w:tcPr>
          <w:p w:rsidR="00E07B86" w:rsidRPr="00CD6245" w:rsidRDefault="00E07B86" w:rsidP="003F177F">
            <w:pPr>
              <w:pStyle w:val="TableText"/>
            </w:pPr>
            <w:r w:rsidRPr="00CD6245">
              <w:t>Ongoing</w:t>
            </w:r>
          </w:p>
        </w:tc>
      </w:tr>
      <w:tr w:rsidR="00E07B86" w:rsidRPr="00CD6245" w:rsidTr="003F177F">
        <w:tc>
          <w:tcPr>
            <w:tcW w:w="2410" w:type="dxa"/>
          </w:tcPr>
          <w:p w:rsidR="00E07B86" w:rsidRPr="00CD6245" w:rsidRDefault="00E07B86" w:rsidP="003F177F">
            <w:pPr>
              <w:pStyle w:val="TableText"/>
            </w:pPr>
            <w:r w:rsidRPr="00CD6245">
              <w:t xml:space="preserve">Other engagement </w:t>
            </w:r>
          </w:p>
        </w:tc>
        <w:tc>
          <w:tcPr>
            <w:tcW w:w="4819" w:type="dxa"/>
          </w:tcPr>
          <w:p w:rsidR="00E07B86" w:rsidRPr="00CD6245" w:rsidRDefault="00E07B86" w:rsidP="003F177F">
            <w:pPr>
              <w:pStyle w:val="TableText"/>
            </w:pPr>
            <w:r w:rsidRPr="00CD6245">
              <w:t xml:space="preserve">Continued to engage broadly across the Victorian Government and other </w:t>
            </w:r>
            <w:r w:rsidRPr="00CD6245">
              <w:rPr>
                <w:lang w:eastAsia="en-US"/>
              </w:rPr>
              <w:t>jurisdictions to embed procurement reform.</w:t>
            </w:r>
          </w:p>
        </w:tc>
        <w:tc>
          <w:tcPr>
            <w:tcW w:w="1332" w:type="dxa"/>
          </w:tcPr>
          <w:p w:rsidR="00E07B86" w:rsidRPr="00CD6245" w:rsidRDefault="00E07B86" w:rsidP="003F177F">
            <w:pPr>
              <w:pStyle w:val="TableText"/>
            </w:pPr>
            <w:r w:rsidRPr="00CD6245">
              <w:t>Ongoing</w:t>
            </w:r>
          </w:p>
        </w:tc>
      </w:tr>
    </w:tbl>
    <w:p w:rsidR="00E07B86" w:rsidRPr="00CD6245" w:rsidRDefault="00E07B86" w:rsidP="00E07B86">
      <w:pPr>
        <w:pStyle w:val="Heading3NoNum"/>
      </w:pPr>
      <w:r w:rsidRPr="00CD6245">
        <w:t>Strategic priority 1: Enhancing the VGPB supply policies to reflect the government’s election commitments</w:t>
      </w:r>
    </w:p>
    <w:p w:rsidR="00E07B86" w:rsidRPr="00CD6245" w:rsidRDefault="00E07B86" w:rsidP="00E07B86">
      <w:pPr>
        <w:pStyle w:val="Heading4NoNum"/>
      </w:pPr>
      <w:r w:rsidRPr="00CD6245">
        <w:t>Policy review</w:t>
      </w:r>
    </w:p>
    <w:p w:rsidR="00E07B86" w:rsidRPr="00CD6245" w:rsidRDefault="00E07B86" w:rsidP="00E07B86">
      <w:pPr>
        <w:pStyle w:val="Normal1"/>
      </w:pPr>
      <w:r w:rsidRPr="00CD6245">
        <w:t>The VGPB reviewed its supply policies t</w:t>
      </w:r>
      <w:r w:rsidR="00246564">
        <w:t>o ensure that they reflect the G</w:t>
      </w:r>
      <w:r w:rsidRPr="00CD6245">
        <w:t>overnment’s election commitments. The revised policies also incorporate operational feedback received from organisations since the reform policies were first implemented in February 2013.</w:t>
      </w:r>
    </w:p>
    <w:p w:rsidR="00E07B86" w:rsidRPr="00CD6245" w:rsidRDefault="00E07B86" w:rsidP="00E07B86">
      <w:pPr>
        <w:pStyle w:val="Normal1"/>
      </w:pPr>
      <w:r w:rsidRPr="00CD6245">
        <w:t xml:space="preserve">The VGPB consulted widely across government to ensure the supply policies continue to reflect good governance, accountability and strategic planning to elevate the procurement function </w:t>
      </w:r>
      <w:r w:rsidR="00246564">
        <w:t>and</w:t>
      </w:r>
      <w:r w:rsidRPr="00CD6245">
        <w:t xml:space="preserve"> align with broader government objectives. The review identified a number of policy changes as well as recommendations for several initiatives</w:t>
      </w:r>
      <w:r w:rsidRPr="00CD6245" w:rsidDel="00C6690D">
        <w:t xml:space="preserve"> </w:t>
      </w:r>
      <w:r w:rsidRPr="00CD6245">
        <w:t>to be implemented by the VGPB.</w:t>
      </w:r>
    </w:p>
    <w:p w:rsidR="00E07B86" w:rsidRPr="00CD6245" w:rsidRDefault="00E07B86" w:rsidP="00E07B86">
      <w:pPr>
        <w:pStyle w:val="Heading4NoNum"/>
      </w:pPr>
      <w:r w:rsidRPr="00CD6245">
        <w:t>Policy review communications strategy</w:t>
      </w:r>
    </w:p>
    <w:p w:rsidR="00E07B86" w:rsidRPr="00CD6245" w:rsidRDefault="00E07B86" w:rsidP="00E07B86">
      <w:pPr>
        <w:pStyle w:val="Normal1"/>
        <w:rPr>
          <w:b/>
        </w:rPr>
      </w:pPr>
      <w:r w:rsidRPr="00CD6245">
        <w:t>The VGPB developed a change management and communications strategy to inform organisations about the policy review and revoking the pre-2013 policies. The strategy will continue to be implemented throughout 2016–17 as the VGPB delivers on initiatives recommended in the policy review.</w:t>
      </w:r>
    </w:p>
    <w:p w:rsidR="00E07B86" w:rsidRPr="00CD6245" w:rsidRDefault="00E07B86" w:rsidP="00E07B86">
      <w:pPr>
        <w:pStyle w:val="Heading4NoNum"/>
      </w:pPr>
      <w:r w:rsidRPr="00CD6245">
        <w:t>Revoking pre-2013 policies</w:t>
      </w:r>
    </w:p>
    <w:p w:rsidR="00E07B86" w:rsidRPr="00CD6245" w:rsidRDefault="00E07B86" w:rsidP="00E07B86">
      <w:pPr>
        <w:pStyle w:val="Normal1"/>
        <w:rPr>
          <w:lang w:eastAsia="en-US"/>
        </w:rPr>
      </w:pPr>
      <w:r w:rsidRPr="00CD6245">
        <w:t>The VGPB’s revised supply policies and revocation of the pre-2013 supply policies came into effect on 1 July 2016.</w:t>
      </w:r>
    </w:p>
    <w:p w:rsidR="00E07B86" w:rsidRPr="00CD6245" w:rsidRDefault="00E07B86" w:rsidP="00E07B86">
      <w:pPr>
        <w:pStyle w:val="Heading4NoNum"/>
      </w:pPr>
      <w:r w:rsidRPr="00CD6245">
        <w:t>Supplier code of conduct</w:t>
      </w:r>
    </w:p>
    <w:p w:rsidR="00E07B86" w:rsidRPr="00CD6245" w:rsidRDefault="00E07B86" w:rsidP="00E07B86">
      <w:pPr>
        <w:pStyle w:val="Normal1"/>
      </w:pPr>
      <w:r w:rsidRPr="00CD6245">
        <w:t>The VGPB recognises the importance of procurement in driving wider government initiatives and regularly works with broader groups across government to achieve this. In 2015–16</w:t>
      </w:r>
      <w:r w:rsidR="008A718C" w:rsidRPr="00CD6245">
        <w:t>,</w:t>
      </w:r>
      <w:r w:rsidRPr="00CD6245">
        <w:t xml:space="preserve"> the VGPB began developing a supplier code of conduct in collaboration with the Department of Justice and Regulation.</w:t>
      </w:r>
    </w:p>
    <w:p w:rsidR="00E07B86" w:rsidRPr="00CD6245" w:rsidRDefault="00E07B86" w:rsidP="00E07B86">
      <w:pPr>
        <w:pStyle w:val="Normal1"/>
      </w:pPr>
      <w:r w:rsidRPr="00CD6245">
        <w:t xml:space="preserve">The code of conduct reinforces the Victorian Government’s commitment to ethical, sustainable and socially responsible procurement and sets a minimum standard. </w:t>
      </w:r>
    </w:p>
    <w:p w:rsidR="00E07B86" w:rsidRPr="00CD6245" w:rsidRDefault="00E07B86" w:rsidP="00E07B86">
      <w:pPr>
        <w:pStyle w:val="Heading4NoNum"/>
      </w:pPr>
      <w:r w:rsidRPr="00CD6245">
        <w:t>Social procurement initiatives</w:t>
      </w:r>
    </w:p>
    <w:p w:rsidR="00E07B86" w:rsidRPr="00CD6245" w:rsidRDefault="00E07B86" w:rsidP="00E07B86">
      <w:pPr>
        <w:pStyle w:val="Normal1"/>
      </w:pPr>
      <w:r w:rsidRPr="00CD6245">
        <w:t>The VGPB also collaborated across government to increase engagement with small to medium enterprises and minority groups. The supplier satisfaction survey will also inform the VGPB of potential areas to improve future engagement.</w:t>
      </w:r>
    </w:p>
    <w:p w:rsidR="00E07B86" w:rsidRPr="00CD6245" w:rsidRDefault="00E07B86" w:rsidP="00E07B86">
      <w:pPr>
        <w:pStyle w:val="Normal1"/>
      </w:pPr>
      <w:r w:rsidRPr="00CD6245">
        <w:t>The VGPB supply policies were developed with these groups in mind. Under the policies, organisations must take a strategic approach to procurement through upfront planning and stronger market engagement in order to consider the supply market and how all businesses – irrespective of size or location – can participate.</w:t>
      </w:r>
    </w:p>
    <w:p w:rsidR="00E07B86" w:rsidRPr="00CD6245" w:rsidRDefault="00E07B86" w:rsidP="00E07B86">
      <w:pPr>
        <w:pStyle w:val="Normal1"/>
      </w:pPr>
      <w:r w:rsidRPr="00CD6245">
        <w:t>To improve and encourage greater engagement with these groups the VGPB has enhanced its guidance material and promotes minority group directories through the VGPB website</w:t>
      </w:r>
      <w:r w:rsidRPr="00CD6245">
        <w:rPr>
          <w:rStyle w:val="CommentReference"/>
        </w:rPr>
        <w:t xml:space="preserve"> (</w:t>
      </w:r>
      <w:hyperlink r:id="rId15" w:history="1">
        <w:r w:rsidRPr="00CD6245">
          <w:rPr>
            <w:rStyle w:val="Hyperlink"/>
          </w:rPr>
          <w:t>www.procurement.vic.gov.au</w:t>
        </w:r>
      </w:hyperlink>
      <w:r w:rsidRPr="00CD6245">
        <w:rPr>
          <w:rStyle w:val="CommentReference"/>
        </w:rPr>
        <w:t>)</w:t>
      </w:r>
      <w:r w:rsidRPr="00CD6245">
        <w:t xml:space="preserve">. </w:t>
      </w:r>
    </w:p>
    <w:p w:rsidR="00190D60" w:rsidRPr="00CD6245" w:rsidRDefault="009B20D8" w:rsidP="00E07B86">
      <w:pPr>
        <w:pStyle w:val="Heading3NoNum"/>
      </w:pPr>
      <w:r>
        <w:rPr>
          <w:noProof/>
          <w:lang w:eastAsia="en-AU"/>
        </w:rPr>
      </w:r>
      <w:r>
        <w:rPr>
          <w:noProof/>
          <w:lang w:eastAsia="en-AU"/>
        </w:rPr>
        <w:pict>
          <v:shapetype id="_x0000_t202" coordsize="21600,21600" o:spt="202" path="m,l,21600r21600,l21600,xe">
            <v:stroke joinstyle="miter"/>
            <v:path gradientshapeok="t" o:connecttype="rect"/>
          </v:shapetype>
          <v:shape id="Text Box 16" o:spid="_x0000_s1034" type="#_x0000_t202" style="width:428.05pt;height:275.1pt;visibility:visible;mso-left-percent:-10001;mso-top-percent:-10001;mso-position-horizontal:absolute;mso-position-horizontal-relative:char;mso-position-vertical:absolute;mso-position-vertical-relative:line;mso-left-percent:-10001;mso-top-percent:-10001" fillcolor="white [3201]" strokecolor="#8064a2 [3207]" strokeweight="5pt">
            <v:stroke linestyle="thickThin"/>
            <v:shadow color="#868686"/>
            <v:textbox style="mso-fit-shape-to-text:t">
              <w:txbxContent>
                <w:p w:rsidR="003B0515" w:rsidRDefault="003B0515" w:rsidP="00246564">
                  <w:pPr>
                    <w:pStyle w:val="Normal1"/>
                    <w:ind w:left="0" w:right="201"/>
                  </w:pPr>
                  <w:r w:rsidRPr="00805F89">
                    <w:rPr>
                      <w:b/>
                      <w:sz w:val="24"/>
                      <w:szCs w:val="24"/>
                    </w:rPr>
                    <w:t xml:space="preserve">Social procurement in action </w:t>
                  </w:r>
                  <w:r w:rsidRPr="00190D60">
                    <w:br/>
                  </w:r>
                  <w:r>
                    <w:t xml:space="preserve">The Department of Environment, Land, Water and Planning (DELWP) procurement team worked with other areas of the department to develop its Aboriginal Inclusion Plan. The plan is titled Munganin – Gadhaba: ‘Achieve Together’ and sets out DELWP’s approach for inclusion from 2016 to 2020. </w:t>
                  </w:r>
                </w:p>
                <w:p w:rsidR="003B0515" w:rsidRDefault="003B0515" w:rsidP="00246564">
                  <w:pPr>
                    <w:pStyle w:val="Normal1"/>
                    <w:ind w:left="0" w:right="201"/>
                  </w:pPr>
                  <w:r>
                    <w:t>The name Munganin – Gadhaba is from the Taungurung language, and brings to life the aim of working together with Traditional Owners and Aboriginal communities across Victoria. The Plan has 60 separate actions for the department that it hopes will increase opportunities for Aboriginal employment, cultural wellbeing and economic prosperity while bringing Aboriginal knowledge of country to DELWP’s management of land, water, the natural landscape and built environments.</w:t>
                  </w:r>
                </w:p>
                <w:p w:rsidR="003B0515" w:rsidRPr="00CD75A3" w:rsidRDefault="003B0515" w:rsidP="00246564">
                  <w:pPr>
                    <w:pStyle w:val="Normal1"/>
                    <w:ind w:left="0" w:right="201"/>
                  </w:pPr>
                  <w:r>
                    <w:t>The procurement team and DELWP’s regional Indigenous coordinators identified around 200 Aboriginal businesses in Victoria that had previously provided goods or services to DELWP or have the potential to provide goods and services in the future. The procurement team is promoting this listing across the department to highlight opportunities for engaging with Aboriginal businesses. DELWP will continue to promote this in training and awareness sessions as a key component of DELWP’s culture, procurement practices and values and behaviours.</w:t>
                  </w:r>
                </w:p>
              </w:txbxContent>
            </v:textbox>
            <w10:wrap type="none"/>
            <w10:anchorlock/>
          </v:shape>
        </w:pict>
      </w:r>
    </w:p>
    <w:p w:rsidR="00E07B86" w:rsidRPr="00CD6245" w:rsidRDefault="00E07B86" w:rsidP="00E07B86">
      <w:pPr>
        <w:pStyle w:val="Heading3NoNum"/>
      </w:pPr>
      <w:r w:rsidRPr="00CD6245">
        <w:t>Strategic priority 2: Measuring the benefits of procurement reform</w:t>
      </w:r>
    </w:p>
    <w:p w:rsidR="00E07B86" w:rsidRPr="00CD6245" w:rsidRDefault="00E07B86" w:rsidP="00E07B86">
      <w:pPr>
        <w:pStyle w:val="Heading4NoNum"/>
      </w:pPr>
      <w:r w:rsidRPr="00CD6245">
        <w:t>Audit program</w:t>
      </w:r>
    </w:p>
    <w:p w:rsidR="00E07B86" w:rsidRPr="00CD6245" w:rsidRDefault="00E07B86" w:rsidP="00E07B86">
      <w:pPr>
        <w:pStyle w:val="Normal1"/>
      </w:pPr>
      <w:r w:rsidRPr="00CD6245">
        <w:t xml:space="preserve">The VGPB continues to fulfil its legislative role of monitoring compliance with the VGPB supply policies by requiring organisations to </w:t>
      </w:r>
      <w:r w:rsidR="00246564">
        <w:t>report</w:t>
      </w:r>
      <w:r w:rsidRPr="00CD6245">
        <w:t xml:space="preserve"> each year that they comply with these policies and provide evidence of compliance-related initiatives and activities.</w:t>
      </w:r>
    </w:p>
    <w:p w:rsidR="00E07B86" w:rsidRPr="00CD6245" w:rsidRDefault="00E07B86" w:rsidP="00E07B86">
      <w:pPr>
        <w:pStyle w:val="Normal1"/>
      </w:pPr>
      <w:r w:rsidRPr="00CD6245">
        <w:t>The VGPB has implemented an audit program to verify compliance with the supply policies. The aim of the audit program is to minimise risks and improve processes to drive better procurement outcomes.</w:t>
      </w:r>
    </w:p>
    <w:p w:rsidR="00E07B86" w:rsidRPr="00CD6245" w:rsidRDefault="00E07B86" w:rsidP="00E07B86">
      <w:pPr>
        <w:pStyle w:val="Normal1"/>
      </w:pPr>
      <w:r w:rsidRPr="00CD6245">
        <w:t>The audit program is based on a three-year rolling audit schedule. DTF was the first organisation to undertake an audit</w:t>
      </w:r>
      <w:r w:rsidRPr="00CD6245" w:rsidDel="00DD4584">
        <w:t xml:space="preserve"> </w:t>
      </w:r>
      <w:r w:rsidRPr="00CD6245">
        <w:t xml:space="preserve">in 2016. The VGPB concluded that the audit was very thorough and the overall findings were positive with minimal recommendations for improvement. More information on audit results is available under </w:t>
      </w:r>
      <w:r w:rsidR="00AB1374" w:rsidRPr="00CD6245">
        <w:rPr>
          <w:i/>
        </w:rPr>
        <w:t>Compliance with VGPB procurement policies</w:t>
      </w:r>
      <w:r w:rsidRPr="00CD6245">
        <w:rPr>
          <w:i/>
        </w:rPr>
        <w:t xml:space="preserve"> </w:t>
      </w:r>
      <w:r w:rsidRPr="00CD6245">
        <w:t>later in this report.</w:t>
      </w:r>
    </w:p>
    <w:p w:rsidR="00B233EF" w:rsidRPr="00246564" w:rsidRDefault="00E07B86" w:rsidP="00246564">
      <w:pPr>
        <w:pStyle w:val="Normal1"/>
      </w:pPr>
      <w:r w:rsidRPr="00CD6245">
        <w:t xml:space="preserve">The Victoria Police audit </w:t>
      </w:r>
      <w:r w:rsidR="00B233EF" w:rsidRPr="00246564">
        <w:t xml:space="preserve">was noted by the Victoria Police Procurement Board and submitted to the VGPB in early July 2016. </w:t>
      </w:r>
    </w:p>
    <w:p w:rsidR="00E07B86" w:rsidRPr="00CD6245" w:rsidRDefault="00E07B86" w:rsidP="00E07B86">
      <w:pPr>
        <w:pStyle w:val="Normal1"/>
      </w:pPr>
    </w:p>
    <w:p w:rsidR="00571152" w:rsidRDefault="00571152">
      <w:pPr>
        <w:rPr>
          <w:rFonts w:ascii="Calibri" w:hAnsi="Calibri" w:cs="Calibri"/>
          <w:b/>
          <w:color w:val="4D4D4D"/>
          <w:kern w:val="28"/>
          <w:sz w:val="22"/>
          <w:szCs w:val="22"/>
          <w:lang w:eastAsia="en-US"/>
        </w:rPr>
      </w:pPr>
      <w:r>
        <w:br w:type="page"/>
      </w:r>
    </w:p>
    <w:p w:rsidR="00E07B86" w:rsidRPr="00CD6245" w:rsidRDefault="00E07B86" w:rsidP="00E07B86">
      <w:pPr>
        <w:pStyle w:val="Heading4NoNum"/>
      </w:pPr>
      <w:r w:rsidRPr="00CD6245">
        <w:lastRenderedPageBreak/>
        <w:t>Performance measures</w:t>
      </w:r>
    </w:p>
    <w:p w:rsidR="00E07B86" w:rsidRPr="00CD6245" w:rsidRDefault="00E07B86" w:rsidP="00E07B86">
      <w:pPr>
        <w:pStyle w:val="Normal1"/>
      </w:pPr>
      <w:r w:rsidRPr="00CD6245">
        <w:t>In 2014–15</w:t>
      </w:r>
      <w:r w:rsidR="00246564">
        <w:t>,</w:t>
      </w:r>
      <w:r w:rsidRPr="00CD6245">
        <w:t xml:space="preserve"> the VGPB worked with organisations to develop six key performance measures (see Figure 1) to achieve a consistent, quantifiable approach to measuring reform benefits. This is the first reporting year for these measures. Performance measures will be implemented over three years with year one results providing a baseline against subsequent years.</w:t>
      </w:r>
    </w:p>
    <w:p w:rsidR="00E07B86" w:rsidRPr="00CD6245" w:rsidRDefault="00E07B86" w:rsidP="00E07B86">
      <w:pPr>
        <w:pStyle w:val="Normal1"/>
      </w:pPr>
      <w:r w:rsidRPr="00CD6245">
        <w:t>There is significant work involved in putting processes in place to capture the data needed to report on performance measures. With this in mind, year one results reflect a ‘best endeavours’ approach as organisations prepare their portfolios for future reporting. Following the year one results, the VGPB will work with organisations to refine the measures before commencing data collection for year two in early 2016–17.</w:t>
      </w:r>
    </w:p>
    <w:p w:rsidR="00E07B86" w:rsidRPr="00CD6245" w:rsidRDefault="00E07B86" w:rsidP="00E07B86">
      <w:pPr>
        <w:pStyle w:val="Caption"/>
        <w:rPr>
          <w:b w:val="0"/>
        </w:rPr>
      </w:pPr>
      <w:bookmarkStart w:id="13" w:name="_Toc463527866"/>
      <w:r w:rsidRPr="00CD6245">
        <w:t xml:space="preserve">Figure </w:t>
      </w:r>
      <w:r w:rsidR="002B07C2" w:rsidRPr="00CD6245">
        <w:fldChar w:fldCharType="begin"/>
      </w:r>
      <w:r w:rsidRPr="00CD6245">
        <w:instrText xml:space="preserve"> SEQ Figure \* ARABIC </w:instrText>
      </w:r>
      <w:r w:rsidR="002B07C2" w:rsidRPr="00CD6245">
        <w:fldChar w:fldCharType="separate"/>
      </w:r>
      <w:r w:rsidR="002E75B9">
        <w:rPr>
          <w:noProof/>
        </w:rPr>
        <w:t>1</w:t>
      </w:r>
      <w:r w:rsidR="002B07C2" w:rsidRPr="00CD6245">
        <w:fldChar w:fldCharType="end"/>
      </w:r>
      <w:r w:rsidRPr="00CD6245">
        <w:t>: Key performance measures to assess the benefits of procurement reform</w:t>
      </w:r>
      <w:bookmarkEnd w:id="13"/>
    </w:p>
    <w:p w:rsidR="00E07B86" w:rsidRPr="00CD6245" w:rsidRDefault="009B20D8" w:rsidP="00E07B86">
      <w:pPr>
        <w:ind w:left="709"/>
        <w:rPr>
          <w:i/>
        </w:rPr>
      </w:pPr>
      <w:r>
        <w:rPr>
          <w:i/>
          <w:noProof/>
        </w:rPr>
      </w:r>
      <w:r>
        <w:rPr>
          <w:i/>
          <w:noProof/>
        </w:rPr>
        <w:pict>
          <v:shape id="Text Box 6" o:spid="_x0000_s1033" type="#_x0000_t202" style="width:425.85pt;height:129.6pt;visibility:visible;mso-left-percent:-10001;mso-top-percent:-10001;mso-position-horizontal:absolute;mso-position-horizontal-relative:char;mso-position-vertical:absolute;mso-position-vertical-relative:line;mso-left-percent:-10001;mso-top-percent:-10001" fillcolor="white [3201]" strokecolor="#8064a2 [3207]" strokeweight="5pt">
            <v:stroke linestyle="thickThin"/>
            <v:shadow color="#868686"/>
            <v:textbox style="mso-fit-shape-to-text:t">
              <w:txbxContent>
                <w:p w:rsidR="003B0515" w:rsidRDefault="003B0515" w:rsidP="00E07B86">
                  <w:pPr>
                    <w:pStyle w:val="ListParagraph"/>
                    <w:numPr>
                      <w:ilvl w:val="0"/>
                      <w:numId w:val="22"/>
                    </w:numPr>
                  </w:pPr>
                  <w:r w:rsidRPr="004072A5">
                    <w:t>Value created as a consequence of department procurement activity</w:t>
                  </w:r>
                  <w:r>
                    <w:t xml:space="preserve"> </w:t>
                  </w:r>
                </w:p>
                <w:p w:rsidR="003B0515" w:rsidRPr="004072A5" w:rsidRDefault="003B0515" w:rsidP="00E07B86">
                  <w:pPr>
                    <w:pStyle w:val="ListParagraph"/>
                    <w:numPr>
                      <w:ilvl w:val="0"/>
                      <w:numId w:val="22"/>
                    </w:numPr>
                  </w:pPr>
                  <w:r w:rsidRPr="004072A5">
                    <w:t>Proportion of the number</w:t>
                  </w:r>
                  <w:r>
                    <w:t xml:space="preserve"> of transactions at or below $2 </w:t>
                  </w:r>
                  <w:r w:rsidRPr="004072A5">
                    <w:t>000 through a P-Card or equivalent</w:t>
                  </w:r>
                </w:p>
                <w:p w:rsidR="003B0515" w:rsidRPr="004072A5" w:rsidRDefault="003B0515" w:rsidP="00E07B86">
                  <w:pPr>
                    <w:pStyle w:val="ListParagraph"/>
                    <w:numPr>
                      <w:ilvl w:val="0"/>
                      <w:numId w:val="22"/>
                    </w:numPr>
                  </w:pPr>
                  <w:r w:rsidRPr="004072A5">
                    <w:t>Increase in procurement capability</w:t>
                  </w:r>
                </w:p>
                <w:p w:rsidR="003B0515" w:rsidRPr="004072A5" w:rsidRDefault="003B0515" w:rsidP="00E07B86">
                  <w:pPr>
                    <w:pStyle w:val="ListParagraph"/>
                    <w:numPr>
                      <w:ilvl w:val="0"/>
                      <w:numId w:val="22"/>
                    </w:numPr>
                  </w:pPr>
                  <w:r w:rsidRPr="004072A5">
                    <w:t>Cost of department’s procurement resources as a percentage of total contract spend</w:t>
                  </w:r>
                </w:p>
                <w:p w:rsidR="003B0515" w:rsidRPr="004072A5" w:rsidRDefault="003B0515" w:rsidP="00E07B86">
                  <w:pPr>
                    <w:pStyle w:val="ListParagraph"/>
                    <w:numPr>
                      <w:ilvl w:val="0"/>
                      <w:numId w:val="22"/>
                    </w:numPr>
                  </w:pPr>
                  <w:r w:rsidRPr="004072A5">
                    <w:t xml:space="preserve">Supplier satisfaction assessment </w:t>
                  </w:r>
                </w:p>
                <w:p w:rsidR="003B0515" w:rsidRPr="00A022F6" w:rsidRDefault="003B0515" w:rsidP="00E07B86">
                  <w:pPr>
                    <w:pStyle w:val="ListParagraph"/>
                    <w:numPr>
                      <w:ilvl w:val="0"/>
                      <w:numId w:val="22"/>
                    </w:numPr>
                  </w:pPr>
                  <w:r w:rsidRPr="004072A5">
                    <w:t>Planned procurement activity as a percentage of actual procurement activity</w:t>
                  </w:r>
                </w:p>
              </w:txbxContent>
            </v:textbox>
            <w10:wrap type="none"/>
            <w10:anchorlock/>
          </v:shape>
        </w:pict>
      </w:r>
    </w:p>
    <w:p w:rsidR="00A06B68" w:rsidRPr="00CD6245" w:rsidRDefault="00A06B68" w:rsidP="00A06B68">
      <w:pPr>
        <w:pStyle w:val="Heading4NoNum"/>
      </w:pPr>
      <w:r w:rsidRPr="00CD6245">
        <w:t>Supplier satisfaction survey</w:t>
      </w:r>
    </w:p>
    <w:p w:rsidR="0003409C" w:rsidRPr="00CD6245" w:rsidRDefault="00A06B68" w:rsidP="0003409C">
      <w:pPr>
        <w:pStyle w:val="Normal1"/>
      </w:pPr>
      <w:r w:rsidRPr="00CD6245">
        <w:t xml:space="preserve">The VGPB took a lead role in managing the delivery of </w:t>
      </w:r>
      <w:r w:rsidR="00246564">
        <w:t>key performance measure five;</w:t>
      </w:r>
      <w:r w:rsidRPr="00CD6245">
        <w:t xml:space="preserve"> the supplier satisfaction assessment. This measure gives government a holistic view of supplier satisfaction and identifies areas for future refinement.</w:t>
      </w:r>
      <w:r w:rsidR="0003409C" w:rsidRPr="00CD6245">
        <w:t xml:space="preserve"> </w:t>
      </w:r>
    </w:p>
    <w:p w:rsidR="00A06B68" w:rsidRPr="00CD6245" w:rsidRDefault="00A06B68" w:rsidP="0003409C">
      <w:pPr>
        <w:pStyle w:val="Normal1"/>
      </w:pPr>
      <w:r w:rsidRPr="00CD6245">
        <w:t xml:space="preserve">To measure supplier satisfaction, organisations surveyed successful and unsuccessful suppliers. The VGPB and organisations </w:t>
      </w:r>
      <w:r w:rsidR="00246564">
        <w:t xml:space="preserve">will use the survey results </w:t>
      </w:r>
      <w:r w:rsidRPr="00CD6245">
        <w:t xml:space="preserve">to improve how government engages with suppliers (see </w:t>
      </w:r>
      <w:r w:rsidR="003075AA" w:rsidRPr="00CD6245">
        <w:rPr>
          <w:i/>
        </w:rPr>
        <w:t>Procurement profiles and performance by organisation</w:t>
      </w:r>
      <w:r w:rsidR="003075AA" w:rsidRPr="00CD6245">
        <w:t xml:space="preserve"> </w:t>
      </w:r>
      <w:r w:rsidRPr="00CD6245">
        <w:t>later in this report for survey results).</w:t>
      </w:r>
    </w:p>
    <w:p w:rsidR="002E7423" w:rsidRPr="00CD6245" w:rsidRDefault="009B20D8" w:rsidP="00A06B68">
      <w:pPr>
        <w:pStyle w:val="Normal1"/>
        <w:spacing w:before="240"/>
      </w:pPr>
      <w:r>
        <w:rPr>
          <w:noProof/>
        </w:rPr>
      </w:r>
      <w:r>
        <w:rPr>
          <w:noProof/>
        </w:rPr>
        <w:pict>
          <v:shape id="Text Box 14" o:spid="_x0000_s1032" type="#_x0000_t202" style="width:402.85pt;height:436.05pt;visibility:visible;mso-left-percent:-10001;mso-top-percent:-10001;mso-position-horizontal:absolute;mso-position-horizontal-relative:char;mso-position-vertical:absolute;mso-position-vertical-relative:line;mso-left-percent:-10001;mso-top-percent:-10001" fillcolor="white [3201]" strokecolor="#8064a2 [3207]" strokeweight="5pt">
            <v:stroke linestyle="thickThin"/>
            <v:shadow color="#868686"/>
            <v:textbox style="mso-fit-shape-to-text:t">
              <w:txbxContent>
                <w:p w:rsidR="003B0515" w:rsidRPr="00805F89" w:rsidRDefault="003B0515" w:rsidP="002E7423">
                  <w:pPr>
                    <w:rPr>
                      <w:b/>
                    </w:rPr>
                  </w:pPr>
                  <w:r>
                    <w:rPr>
                      <w:b/>
                    </w:rPr>
                    <w:t>Benefits of procurement reform in action</w:t>
                  </w:r>
                </w:p>
                <w:p w:rsidR="003B0515" w:rsidRPr="00A64F1B" w:rsidRDefault="003B0515" w:rsidP="00246564">
                  <w:pPr>
                    <w:pStyle w:val="Bullet1"/>
                    <w:numPr>
                      <w:ilvl w:val="0"/>
                      <w:numId w:val="0"/>
                    </w:numPr>
                  </w:pPr>
                  <w:r w:rsidRPr="00246564">
                    <w:rPr>
                      <w:rStyle w:val="NormalChar"/>
                    </w:rPr>
                    <w:t xml:space="preserve">In January 2015, the Department of Premier and Cabinet released the </w:t>
                  </w:r>
                  <w:r w:rsidRPr="00A64F1B">
                    <w:t>new multifunction device state purchase contract (SPC) which comprised a managed service model compared to historic supply arrangements.</w:t>
                  </w:r>
                </w:p>
                <w:p w:rsidR="003B0515" w:rsidRPr="00A64F1B" w:rsidRDefault="003B0515" w:rsidP="00246564">
                  <w:pPr>
                    <w:pStyle w:val="Bullet1"/>
                    <w:numPr>
                      <w:ilvl w:val="0"/>
                      <w:numId w:val="0"/>
                    </w:numPr>
                  </w:pPr>
                  <w:r w:rsidRPr="00A64F1B">
                    <w:t>In preparation for the new SPC, the Department of Health and Human Services (DHHS) surveyed its fleet of some 1 500 devices (eight brands and more than 100 models) located throughout Victoria. Following several small trials to better understand the new supply model, the department released a request for quote to the three nominated suppliers in late June 2015. DHHS contracted Fuji Xerox in late September as its managed supplier for multi-function devices.</w:t>
                  </w:r>
                </w:p>
                <w:p w:rsidR="003B0515" w:rsidRPr="00A64F1B" w:rsidRDefault="003B0515" w:rsidP="00246564">
                  <w:pPr>
                    <w:pStyle w:val="Bullet1"/>
                    <w:numPr>
                      <w:ilvl w:val="0"/>
                      <w:numId w:val="0"/>
                    </w:numPr>
                  </w:pPr>
                  <w:r w:rsidRPr="00A64F1B">
                    <w:t>The managed service model gave DHHS the impetus to move from a devolved management model (each business owned or leased devices from and paid with their own budget) to a centralised model (single point of management across the whole state with central budget and overall contract management responsibility).</w:t>
                  </w:r>
                </w:p>
                <w:p w:rsidR="003B0515" w:rsidRPr="00A64F1B" w:rsidRDefault="003B0515" w:rsidP="00246564">
                  <w:pPr>
                    <w:pStyle w:val="Bullet1"/>
                    <w:numPr>
                      <w:ilvl w:val="0"/>
                      <w:numId w:val="0"/>
                    </w:numPr>
                  </w:pPr>
                  <w:r w:rsidRPr="00A64F1B">
                    <w:t>The new contract resulted in considerable supply savings but also significant back-of-house administration savings including:</w:t>
                  </w:r>
                </w:p>
                <w:p w:rsidR="003B0515" w:rsidRPr="00805F89" w:rsidRDefault="003B0515" w:rsidP="002E7423">
                  <w:pPr>
                    <w:pStyle w:val="Bullet1"/>
                    <w:ind w:left="284"/>
                  </w:pPr>
                  <w:r w:rsidRPr="00805F89">
                    <w:t>centralised billing, eliminating the cost of processing multiple monthly invoices for individual devices around the state;</w:t>
                  </w:r>
                </w:p>
                <w:p w:rsidR="003B0515" w:rsidRPr="00805F89" w:rsidRDefault="003B0515" w:rsidP="002E7423">
                  <w:pPr>
                    <w:pStyle w:val="Bullet1"/>
                    <w:ind w:left="284"/>
                  </w:pPr>
                  <w:r w:rsidRPr="00805F89">
                    <w:t>streamlined ordering arrangements</w:t>
                  </w:r>
                  <w:r>
                    <w:t>,</w:t>
                  </w:r>
                  <w:r w:rsidRPr="00805F89">
                    <w:t xml:space="preserve"> eliminating the need to obtain and analyse quotations;</w:t>
                  </w:r>
                </w:p>
                <w:p w:rsidR="003B0515" w:rsidRPr="00805F89" w:rsidRDefault="003B0515" w:rsidP="002E7423">
                  <w:pPr>
                    <w:pStyle w:val="Bullet1"/>
                    <w:ind w:left="284"/>
                  </w:pPr>
                  <w:r w:rsidRPr="00805F89">
                    <w:t>simplified installation arrangements driven by the limited range of models and standardised print drivers;</w:t>
                  </w:r>
                </w:p>
                <w:p w:rsidR="003B0515" w:rsidRPr="00805F89" w:rsidRDefault="003B0515" w:rsidP="002E7423">
                  <w:pPr>
                    <w:pStyle w:val="Bullet1"/>
                    <w:ind w:left="284"/>
                  </w:pPr>
                  <w:r w:rsidRPr="00805F89">
                    <w:t>compliance with the department’s paper and printing policy</w:t>
                  </w:r>
                  <w:r>
                    <w:t>,</w:t>
                  </w:r>
                  <w:r w:rsidRPr="00805F89">
                    <w:t xml:space="preserve"> which seeks to drive a printer-to-computer ratio of 1:20 by 2016</w:t>
                  </w:r>
                  <w:r>
                    <w:t>;</w:t>
                  </w:r>
                </w:p>
                <w:p w:rsidR="003B0515" w:rsidRPr="00805F89" w:rsidRDefault="003B0515" w:rsidP="002E7423">
                  <w:pPr>
                    <w:pStyle w:val="Bullet1"/>
                    <w:ind w:left="284"/>
                  </w:pPr>
                  <w:r w:rsidRPr="00805F89">
                    <w:t xml:space="preserve">a concierge service at sites that exceed a set threshold of devices, increasing device availability; and </w:t>
                  </w:r>
                </w:p>
                <w:p w:rsidR="003B0515" w:rsidRDefault="003B0515" w:rsidP="002E7423">
                  <w:pPr>
                    <w:pStyle w:val="Bullet1"/>
                    <w:ind w:left="284"/>
                  </w:pPr>
                  <w:r w:rsidRPr="00805F89">
                    <w:t>a fleet fit for purpose to implement a ‘</w:t>
                  </w:r>
                  <w:r w:rsidRPr="00805F89">
                    <w:rPr>
                      <w:iCs/>
                    </w:rPr>
                    <w:t>Follow</w:t>
                  </w:r>
                  <w:r w:rsidRPr="00805F89">
                    <w:t xml:space="preserve">-You </w:t>
                  </w:r>
                  <w:r w:rsidRPr="00805F89">
                    <w:rPr>
                      <w:iCs/>
                    </w:rPr>
                    <w:t>Printing</w:t>
                  </w:r>
                  <w:r w:rsidRPr="00805F89">
                    <w:t>’ solution (Equitrac)</w:t>
                  </w:r>
                  <w:r>
                    <w:t>,</w:t>
                  </w:r>
                  <w:r w:rsidRPr="00805F89">
                    <w:t xml:space="preserve"> which is currently being evaluated.</w:t>
                  </w:r>
                </w:p>
              </w:txbxContent>
            </v:textbox>
            <w10:wrap type="none"/>
            <w10:anchorlock/>
          </v:shape>
        </w:pict>
      </w:r>
    </w:p>
    <w:p w:rsidR="0003409C" w:rsidRPr="00CD6245" w:rsidRDefault="0003409C">
      <w:pPr>
        <w:rPr>
          <w:rFonts w:ascii="Calibri" w:hAnsi="Calibri" w:cs="Calibri"/>
          <w:b/>
          <w:color w:val="4D4D4D"/>
          <w:kern w:val="28"/>
          <w:sz w:val="26"/>
          <w:szCs w:val="22"/>
          <w:lang w:eastAsia="en-US"/>
        </w:rPr>
      </w:pPr>
      <w:r w:rsidRPr="00CD6245">
        <w:br w:type="page"/>
      </w:r>
    </w:p>
    <w:p w:rsidR="00E07B86" w:rsidRPr="00CD6245" w:rsidRDefault="00E07B86" w:rsidP="00E07B86">
      <w:pPr>
        <w:pStyle w:val="Heading3NoNum"/>
      </w:pPr>
      <w:r w:rsidRPr="00CD6245">
        <w:lastRenderedPageBreak/>
        <w:t>Strategic priority 3: Improving procurement capability across government</w:t>
      </w:r>
    </w:p>
    <w:p w:rsidR="00E07B86" w:rsidRPr="00CD6245" w:rsidRDefault="00E07B86" w:rsidP="00E07B86">
      <w:pPr>
        <w:pStyle w:val="Heading4NoNum"/>
      </w:pPr>
      <w:r w:rsidRPr="00CD6245">
        <w:t>Victorian Public Service procurement capability framework</w:t>
      </w:r>
    </w:p>
    <w:p w:rsidR="00E07B86" w:rsidRPr="00CD6245" w:rsidRDefault="00E07B86" w:rsidP="00E07B86">
      <w:pPr>
        <w:pStyle w:val="Normal1"/>
      </w:pPr>
      <w:r w:rsidRPr="00CD6245">
        <w:t xml:space="preserve">The VGPB continues to focus on improving procurement capability across government. In 2013, in collaboration with the Victorian Public Sector Commission and the Australian Procurement </w:t>
      </w:r>
      <w:r w:rsidR="001B7A9F">
        <w:t xml:space="preserve">and </w:t>
      </w:r>
      <w:r w:rsidRPr="00CD6245">
        <w:t>Construction Council, the VGPB released the Victorian Public Service procurement capability framework. Research has begun to benchmark capability against this framework to identify procurement capability shortfalls across government. This will lead to development of a strategy to lift procurement capability across the Victorian Government.</w:t>
      </w:r>
    </w:p>
    <w:p w:rsidR="00E07B86" w:rsidRPr="00CD6245" w:rsidRDefault="00E07B86" w:rsidP="00E07B86">
      <w:pPr>
        <w:pStyle w:val="Heading4NoNum"/>
      </w:pPr>
      <w:r w:rsidRPr="00CD6245">
        <w:t>VGPB guides</w:t>
      </w:r>
    </w:p>
    <w:p w:rsidR="00E07B86" w:rsidRPr="00CD6245" w:rsidRDefault="009B20D8" w:rsidP="00E07B86">
      <w:pPr>
        <w:pStyle w:val="Normal1"/>
      </w:pPr>
      <w:r>
        <w:rPr>
          <w:noProof/>
        </w:rPr>
        <w:pict>
          <v:shape id="Text Box 5" o:spid="_x0000_s1029" type="#_x0000_t202" style="position:absolute;left:0;text-align:left;margin-left:323.6pt;margin-top:163.05pt;width:183.7pt;height:119.8pt;z-index:251661312;visibility:visible;mso-wrap-style:non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">
            <v:textbox style="mso-fit-shape-to-text:t">
              <w:txbxContent>
                <w:p w:rsidR="003B0515" w:rsidRPr="003B479A" w:rsidRDefault="003B0515" w:rsidP="00E07B86">
                  <w:pPr>
                    <w:pStyle w:val="TableText"/>
                    <w:rPr>
                      <w:b/>
                    </w:rPr>
                  </w:pPr>
                  <w:r w:rsidRPr="003B479A">
                    <w:rPr>
                      <w:b/>
                    </w:rPr>
                    <w:t>Procurement guides updated in 2015–16</w:t>
                  </w:r>
                </w:p>
                <w:p w:rsidR="003B0515" w:rsidRDefault="003B0515" w:rsidP="00E07B86">
                  <w:pPr>
                    <w:pStyle w:val="TableBullet"/>
                  </w:pPr>
                  <w:r>
                    <w:t>Market approach</w:t>
                  </w:r>
                </w:p>
                <w:p w:rsidR="003B0515" w:rsidRDefault="003B0515" w:rsidP="00E07B86">
                  <w:pPr>
                    <w:pStyle w:val="TableBullet"/>
                  </w:pPr>
                  <w:r>
                    <w:t>Aggregated demand</w:t>
                  </w:r>
                </w:p>
                <w:p w:rsidR="003B0515" w:rsidRDefault="003B0515" w:rsidP="00E07B86">
                  <w:pPr>
                    <w:pStyle w:val="TableBullet"/>
                  </w:pPr>
                  <w:r>
                    <w:t>Creating a supplier engagement plan</w:t>
                  </w:r>
                </w:p>
                <w:p w:rsidR="003B0515" w:rsidRDefault="003B0515" w:rsidP="00E07B86">
                  <w:pPr>
                    <w:pStyle w:val="TableBullet"/>
                  </w:pPr>
                  <w:r>
                    <w:t>Pre-qualified supplier arrangements</w:t>
                  </w:r>
                </w:p>
                <w:p w:rsidR="003B0515" w:rsidRDefault="003B0515" w:rsidP="00E07B86">
                  <w:pPr>
                    <w:pStyle w:val="TableBullet"/>
                  </w:pPr>
                  <w:r>
                    <w:t>Specification writing</w:t>
                  </w:r>
                </w:p>
                <w:p w:rsidR="003B0515" w:rsidRDefault="003B0515" w:rsidP="00E07B86">
                  <w:pPr>
                    <w:pStyle w:val="TableBullet"/>
                  </w:pPr>
                  <w:r>
                    <w:t>Developing an offer template</w:t>
                  </w:r>
                </w:p>
                <w:p w:rsidR="003B0515" w:rsidRDefault="003B0515" w:rsidP="00E07B86">
                  <w:pPr>
                    <w:pStyle w:val="TableBullet"/>
                  </w:pPr>
                  <w:r>
                    <w:t>Market analysis and review</w:t>
                  </w:r>
                </w:p>
                <w:p w:rsidR="003B0515" w:rsidRPr="00E5221D" w:rsidRDefault="003B0515" w:rsidP="00E07B86">
                  <w:pPr>
                    <w:pStyle w:val="TableBullet"/>
                  </w:pPr>
                  <w:r>
                    <w:t>Evaluation, negotiation and selection</w:t>
                  </w:r>
                </w:p>
              </w:txbxContent>
            </v:textbox>
            <w10:wrap type="square" anchorx="margin" anchory="margin"/>
          </v:shape>
        </w:pict>
      </w:r>
      <w:r w:rsidR="00E07B86" w:rsidRPr="00CD6245">
        <w:t>The VGPB has numerous guides, tools and templates to support its supply policies. Guidance material provides a standardised approach to procurement across government to simplify the process for buyers and suppliers. All guidance material is thoroughly researched and developed in collaboration with broader government to ensure a best practice approach.</w:t>
      </w:r>
    </w:p>
    <w:p w:rsidR="00E07B86" w:rsidRPr="00CD6245" w:rsidRDefault="00E07B86" w:rsidP="00E07B86">
      <w:pPr>
        <w:pStyle w:val="Normal1"/>
      </w:pPr>
      <w:r w:rsidRPr="00CD6245">
        <w:t>In 2015–16</w:t>
      </w:r>
      <w:r w:rsidR="008A718C" w:rsidRPr="00CD6245">
        <w:t>,</w:t>
      </w:r>
      <w:r w:rsidRPr="00CD6245">
        <w:t xml:space="preserve"> the VGPB updated multiple guides to reflect the government’s election commitments and legislative requirements. The VGPB also developed three new guides to help organisations understand the market in greater depth, as shown in Table </w:t>
      </w:r>
      <w:r w:rsidR="001B7A9F">
        <w:t>2</w:t>
      </w:r>
      <w:r w:rsidRPr="00CD6245">
        <w:t>.</w:t>
      </w:r>
    </w:p>
    <w:p w:rsidR="00E07B86" w:rsidRPr="00CD6245" w:rsidRDefault="00E07B86" w:rsidP="00E07B86">
      <w:pPr>
        <w:pStyle w:val="Caption"/>
      </w:pPr>
      <w:bookmarkStart w:id="14" w:name="_Toc463527837"/>
      <w:r w:rsidRPr="00CD6245">
        <w:t xml:space="preserve">Table </w:t>
      </w:r>
      <w:r w:rsidR="002B07C2" w:rsidRPr="00CD6245">
        <w:fldChar w:fldCharType="begin"/>
      </w:r>
      <w:r w:rsidRPr="00CD6245">
        <w:instrText xml:space="preserve"> SEQ Table \* ARABIC </w:instrText>
      </w:r>
      <w:r w:rsidR="002B07C2" w:rsidRPr="00CD6245">
        <w:fldChar w:fldCharType="separate"/>
      </w:r>
      <w:r w:rsidR="002E75B9">
        <w:rPr>
          <w:noProof/>
        </w:rPr>
        <w:t>2</w:t>
      </w:r>
      <w:r w:rsidR="002B07C2" w:rsidRPr="00CD6245">
        <w:fldChar w:fldCharType="end"/>
      </w:r>
      <w:r w:rsidRPr="00CD6245">
        <w:t>: VGPB guides produced in 2015–16</w:t>
      </w:r>
      <w:bookmarkEnd w:id="14"/>
    </w:p>
    <w:tbl>
      <w:tblPr>
        <w:tblStyle w:val="TableGrid"/>
        <w:tblW w:w="8911" w:type="dxa"/>
        <w:tblInd w:w="894" w:type="dxa"/>
        <w:tblLook w:val="04A0" w:firstRow="1" w:lastRow="0" w:firstColumn="1" w:lastColumn="0" w:noHBand="0" w:noVBand="1"/>
      </w:tblPr>
      <w:tblGrid>
        <w:gridCol w:w="2835"/>
        <w:gridCol w:w="4248"/>
        <w:gridCol w:w="1828"/>
      </w:tblGrid>
      <w:tr w:rsidR="00E07B86" w:rsidRPr="00CD6245" w:rsidTr="0034536C">
        <w:tc>
          <w:tcPr>
            <w:tcW w:w="2835" w:type="dxa"/>
            <w:shd w:val="clear" w:color="auto" w:fill="BFBFBF" w:themeFill="background1" w:themeFillShade="BF"/>
          </w:tcPr>
          <w:p w:rsidR="00E07B86" w:rsidRPr="00CD6245" w:rsidRDefault="00E07B86" w:rsidP="003F177F">
            <w:pPr>
              <w:pStyle w:val="TableHeader"/>
            </w:pPr>
            <w:r w:rsidRPr="00CD6245">
              <w:t>Guide</w:t>
            </w:r>
          </w:p>
        </w:tc>
        <w:tc>
          <w:tcPr>
            <w:tcW w:w="4248" w:type="dxa"/>
            <w:shd w:val="clear" w:color="auto" w:fill="BFBFBF" w:themeFill="background1" w:themeFillShade="BF"/>
          </w:tcPr>
          <w:p w:rsidR="00E07B86" w:rsidRPr="00CD6245" w:rsidRDefault="00E07B86" w:rsidP="003F177F">
            <w:pPr>
              <w:pStyle w:val="TableHeader"/>
            </w:pPr>
            <w:r w:rsidRPr="00CD6245">
              <w:t>Benefit</w:t>
            </w:r>
          </w:p>
        </w:tc>
        <w:tc>
          <w:tcPr>
            <w:tcW w:w="1828" w:type="dxa"/>
            <w:shd w:val="clear" w:color="auto" w:fill="BFBFBF" w:themeFill="background1" w:themeFillShade="BF"/>
          </w:tcPr>
          <w:p w:rsidR="00E07B86" w:rsidRPr="00CD6245" w:rsidRDefault="00E07B86" w:rsidP="003F177F">
            <w:pPr>
              <w:pStyle w:val="TableHeader"/>
            </w:pPr>
            <w:r w:rsidRPr="00CD6245">
              <w:t>Release date</w:t>
            </w:r>
          </w:p>
        </w:tc>
      </w:tr>
      <w:tr w:rsidR="00E07B86" w:rsidRPr="00CD6245" w:rsidTr="0034536C">
        <w:tc>
          <w:tcPr>
            <w:tcW w:w="2835" w:type="dxa"/>
          </w:tcPr>
          <w:p w:rsidR="00E07B86" w:rsidRPr="00CD6245" w:rsidRDefault="001B7A9F" w:rsidP="003F177F">
            <w:pPr>
              <w:pStyle w:val="TableText"/>
            </w:pPr>
            <w:r>
              <w:t>VGPB o</w:t>
            </w:r>
            <w:r w:rsidR="00E07B86" w:rsidRPr="00CD6245">
              <w:t>versight of strategic procurement</w:t>
            </w:r>
          </w:p>
        </w:tc>
        <w:tc>
          <w:tcPr>
            <w:tcW w:w="4248" w:type="dxa"/>
          </w:tcPr>
          <w:p w:rsidR="00E07B86" w:rsidRPr="00CD6245" w:rsidRDefault="00E07B86" w:rsidP="003F177F">
            <w:pPr>
              <w:pStyle w:val="TableText"/>
            </w:pPr>
            <w:r w:rsidRPr="00CD6245">
              <w:t>Provides an overview of the VGPB’s strategic oversight process for project nomination and ongoing management</w:t>
            </w:r>
          </w:p>
        </w:tc>
        <w:tc>
          <w:tcPr>
            <w:tcW w:w="1828" w:type="dxa"/>
          </w:tcPr>
          <w:p w:rsidR="00E07B86" w:rsidRPr="00CD6245" w:rsidRDefault="00E07B86" w:rsidP="003F177F">
            <w:pPr>
              <w:pStyle w:val="TableText"/>
            </w:pPr>
            <w:r w:rsidRPr="00CD6245">
              <w:t>April 2016</w:t>
            </w:r>
          </w:p>
        </w:tc>
      </w:tr>
      <w:tr w:rsidR="00E07B86" w:rsidRPr="00CD6245" w:rsidTr="0034536C">
        <w:tc>
          <w:tcPr>
            <w:tcW w:w="2835" w:type="dxa"/>
          </w:tcPr>
          <w:p w:rsidR="00E07B86" w:rsidRPr="00CD6245" w:rsidRDefault="00E85016" w:rsidP="003F177F">
            <w:pPr>
              <w:pStyle w:val="TableText"/>
            </w:pPr>
            <w:r w:rsidRPr="00CD6245">
              <w:t>U</w:t>
            </w:r>
            <w:r w:rsidR="00E07B86" w:rsidRPr="00CD6245">
              <w:t>nderstanding the supply chain</w:t>
            </w:r>
          </w:p>
        </w:tc>
        <w:tc>
          <w:tcPr>
            <w:tcW w:w="4248" w:type="dxa"/>
          </w:tcPr>
          <w:p w:rsidR="00E07B86" w:rsidRPr="00CD6245" w:rsidRDefault="00E07B86" w:rsidP="003F177F">
            <w:pPr>
              <w:pStyle w:val="TableText"/>
            </w:pPr>
            <w:r w:rsidRPr="00CD6245">
              <w:t>Articulates how to manage goods and services throughout the procurement lifecycle, with a holistic approach to planning and monitoring the supply chain to identify risks and opportunities</w:t>
            </w:r>
          </w:p>
        </w:tc>
        <w:tc>
          <w:tcPr>
            <w:tcW w:w="1828" w:type="dxa"/>
          </w:tcPr>
          <w:p w:rsidR="00E07B86" w:rsidRPr="00CD6245" w:rsidRDefault="00E07B86" w:rsidP="003F177F">
            <w:pPr>
              <w:pStyle w:val="TableText"/>
            </w:pPr>
            <w:r w:rsidRPr="00CD6245">
              <w:t>June 2016</w:t>
            </w:r>
          </w:p>
        </w:tc>
      </w:tr>
      <w:tr w:rsidR="00E07B86" w:rsidRPr="00CD6245" w:rsidTr="0034536C">
        <w:tc>
          <w:tcPr>
            <w:tcW w:w="2835" w:type="dxa"/>
          </w:tcPr>
          <w:p w:rsidR="00E07B86" w:rsidRPr="00CD6245" w:rsidRDefault="00E85016" w:rsidP="003F177F">
            <w:pPr>
              <w:pStyle w:val="TableText"/>
            </w:pPr>
            <w:r w:rsidRPr="00CD6245">
              <w:t>C</w:t>
            </w:r>
            <w:r w:rsidR="00E07B86" w:rsidRPr="00CD6245">
              <w:t>ategory management</w:t>
            </w:r>
          </w:p>
        </w:tc>
        <w:tc>
          <w:tcPr>
            <w:tcW w:w="4248" w:type="dxa"/>
          </w:tcPr>
          <w:p w:rsidR="00E07B86" w:rsidRPr="00CD6245" w:rsidRDefault="00E07B86" w:rsidP="007D6AE0">
            <w:pPr>
              <w:pStyle w:val="TableText"/>
            </w:pPr>
            <w:r w:rsidRPr="00CD6245">
              <w:t>Explains how to identify categories and create a strategic category plan to deliver the best value</w:t>
            </w:r>
            <w:r w:rsidR="00356746" w:rsidRPr="00CD6245">
              <w:t>-</w:t>
            </w:r>
            <w:r w:rsidRPr="00CD6245">
              <w:t>for</w:t>
            </w:r>
            <w:r w:rsidR="00356746" w:rsidRPr="00CD6245">
              <w:t>-</w:t>
            </w:r>
            <w:r w:rsidRPr="00CD6245">
              <w:t xml:space="preserve">money outcomes </w:t>
            </w:r>
          </w:p>
        </w:tc>
        <w:tc>
          <w:tcPr>
            <w:tcW w:w="1828" w:type="dxa"/>
          </w:tcPr>
          <w:p w:rsidR="00E07B86" w:rsidRPr="00CD6245" w:rsidRDefault="00E07B86" w:rsidP="003F177F">
            <w:pPr>
              <w:pStyle w:val="TableText"/>
            </w:pPr>
            <w:r w:rsidRPr="00CD6245">
              <w:t>Out for consultation</w:t>
            </w:r>
          </w:p>
        </w:tc>
      </w:tr>
    </w:tbl>
    <w:p w:rsidR="00E07B86" w:rsidRPr="00CD6245" w:rsidRDefault="00E07B86" w:rsidP="00E07B86">
      <w:pPr>
        <w:pStyle w:val="Heading4NoNum"/>
      </w:pPr>
      <w:r w:rsidRPr="00CD6245">
        <w:t>Standard form contracts</w:t>
      </w:r>
    </w:p>
    <w:p w:rsidR="00E07B86" w:rsidRPr="00CD6245" w:rsidRDefault="009B20D8" w:rsidP="00E07B86">
      <w:pPr>
        <w:pStyle w:val="Normal1"/>
      </w:pPr>
      <w:r>
        <w:rPr>
          <w:noProof/>
        </w:rPr>
        <w:pict>
          <v:shape id="Text Box 4" o:spid="_x0000_s1030" type="#_x0000_t202" style="position:absolute;left:0;text-align:left;margin-left:313.95pt;margin-top:533.55pt;width:193.35pt;height:147.75pt;z-index:251663360;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">
            <v:textbox>
              <w:txbxContent>
                <w:p w:rsidR="003B0515" w:rsidRPr="00BC32F5" w:rsidRDefault="003B0515" w:rsidP="002E7423">
                  <w:pPr>
                    <w:pStyle w:val="TableText"/>
                    <w:rPr>
                      <w:b/>
                    </w:rPr>
                  </w:pPr>
                  <w:r>
                    <w:rPr>
                      <w:b/>
                    </w:rPr>
                    <w:t>S</w:t>
                  </w:r>
                  <w:r w:rsidRPr="00BC32F5">
                    <w:rPr>
                      <w:b/>
                    </w:rPr>
                    <w:t>tandard form contracts</w:t>
                  </w:r>
                  <w:r w:rsidRPr="003B479A">
                    <w:rPr>
                      <w:b/>
                    </w:rPr>
                    <w:t xml:space="preserve"> </w:t>
                  </w:r>
                  <w:r>
                    <w:rPr>
                      <w:b/>
                    </w:rPr>
                    <w:t>a</w:t>
                  </w:r>
                  <w:r w:rsidRPr="00BC32F5">
                    <w:rPr>
                      <w:b/>
                    </w:rPr>
                    <w:t>mended</w:t>
                  </w:r>
                  <w:r>
                    <w:rPr>
                      <w:b/>
                    </w:rPr>
                    <w:t xml:space="preserve"> in 2015–16</w:t>
                  </w:r>
                </w:p>
                <w:p w:rsidR="003B0515" w:rsidRDefault="003B0515" w:rsidP="002E7423">
                  <w:pPr>
                    <w:pStyle w:val="TableBullet"/>
                  </w:pPr>
                  <w:r>
                    <w:t>Invitation to supply</w:t>
                  </w:r>
                </w:p>
                <w:p w:rsidR="003B0515" w:rsidRDefault="003B0515" w:rsidP="002E7423">
                  <w:pPr>
                    <w:pStyle w:val="TableBullet"/>
                  </w:pPr>
                  <w:r>
                    <w:t>Expression of interest (EOI)</w:t>
                  </w:r>
                </w:p>
                <w:p w:rsidR="003B0515" w:rsidRDefault="003B0515" w:rsidP="002E7423">
                  <w:pPr>
                    <w:pStyle w:val="TableBullet"/>
                  </w:pPr>
                  <w:r>
                    <w:t>EOI – Part C – invitees response</w:t>
                  </w:r>
                </w:p>
                <w:p w:rsidR="003B0515" w:rsidRDefault="003B0515" w:rsidP="002E7423">
                  <w:pPr>
                    <w:pStyle w:val="TableBullet"/>
                  </w:pPr>
                  <w:r>
                    <w:t>General condition of goods</w:t>
                  </w:r>
                </w:p>
                <w:p w:rsidR="003B0515" w:rsidRDefault="003B0515" w:rsidP="002E7423">
                  <w:pPr>
                    <w:pStyle w:val="TableBullet"/>
                  </w:pPr>
                  <w:r>
                    <w:t>General conditions of service</w:t>
                  </w:r>
                </w:p>
                <w:p w:rsidR="003B0515" w:rsidRDefault="003B0515" w:rsidP="002E7423">
                  <w:pPr>
                    <w:pStyle w:val="TableBullet"/>
                  </w:pPr>
                  <w:r>
                    <w:t>Supply of goods – one off purchase</w:t>
                  </w:r>
                </w:p>
                <w:p w:rsidR="003B0515" w:rsidRDefault="003B0515" w:rsidP="002E7423">
                  <w:pPr>
                    <w:pStyle w:val="TableBullet"/>
                  </w:pPr>
                  <w:r>
                    <w:t>Provision of services – one off purchase</w:t>
                  </w:r>
                </w:p>
                <w:p w:rsidR="003B0515" w:rsidRDefault="003B0515" w:rsidP="002E7423">
                  <w:pPr>
                    <w:pStyle w:val="TableBullet"/>
                  </w:pPr>
                  <w:r>
                    <w:t>Supply of goods – sole entity purchase</w:t>
                  </w:r>
                </w:p>
                <w:p w:rsidR="003B0515" w:rsidRPr="006C2A95" w:rsidRDefault="003B0515" w:rsidP="002E7423">
                  <w:pPr>
                    <w:pStyle w:val="TableBullet"/>
                  </w:pPr>
                  <w:r>
                    <w:t>Supply of service – sole entity purchase</w:t>
                  </w:r>
                </w:p>
              </w:txbxContent>
            </v:textbox>
            <w10:wrap type="square" anchorx="margin" anchory="margin"/>
          </v:shape>
        </w:pict>
      </w:r>
      <w:r w:rsidR="00E07B86" w:rsidRPr="00CD6245">
        <w:t>All VGPB standard form contracts were amended to reflect the better off overall test (BOOT) and relevant legislative changes.</w:t>
      </w:r>
    </w:p>
    <w:p w:rsidR="00E07B86" w:rsidRPr="00CD6245" w:rsidRDefault="001B7A9F" w:rsidP="00E07B86">
      <w:pPr>
        <w:pStyle w:val="Normal1"/>
      </w:pPr>
      <w:r>
        <w:rPr>
          <w:rStyle w:val="content"/>
        </w:rPr>
        <w:t>The BOOT</w:t>
      </w:r>
      <w:r w:rsidR="00E07B86" w:rsidRPr="00CD6245">
        <w:rPr>
          <w:rStyle w:val="content"/>
        </w:rPr>
        <w:t xml:space="preserve"> is based on the relevant modern award that covers any employees covered by the proposed enterprise agreement. </w:t>
      </w:r>
      <w:r w:rsidR="00E07B86" w:rsidRPr="00CD6245">
        <w:t>Under BOOT, each ‘award covered’ employee and ea</w:t>
      </w:r>
      <w:r w:rsidR="003F177F" w:rsidRPr="00CD6245">
        <w:t xml:space="preserve">ch prospective award </w:t>
      </w:r>
      <w:r w:rsidR="00E07B86" w:rsidRPr="00CD6245">
        <w:t>covered employee must be better off under the agreement than they would be if the relevant modern award applied to them.</w:t>
      </w:r>
    </w:p>
    <w:p w:rsidR="00E07B86" w:rsidRPr="00CD6245" w:rsidRDefault="00E07B86" w:rsidP="00E07B86">
      <w:pPr>
        <w:pStyle w:val="Normal1"/>
      </w:pPr>
      <w:r w:rsidRPr="00CD6245">
        <w:t xml:space="preserve">Contracts were also amended to reflect relevant legislative requirements such as the introduction of the </w:t>
      </w:r>
      <w:r w:rsidRPr="00CD6245">
        <w:rPr>
          <w:i/>
        </w:rPr>
        <w:t>Privacy and Data Protection Act 2014</w:t>
      </w:r>
      <w:r w:rsidRPr="00CD6245">
        <w:t>.</w:t>
      </w:r>
    </w:p>
    <w:p w:rsidR="00E07B86" w:rsidRPr="00CD6245" w:rsidRDefault="00E07B86" w:rsidP="00E07B86">
      <w:pPr>
        <w:pStyle w:val="Heading3NoNum"/>
      </w:pPr>
      <w:r w:rsidRPr="00CD6245">
        <w:lastRenderedPageBreak/>
        <w:t>Strategic priority 4: Broadening the VGPB’s influence</w:t>
      </w:r>
    </w:p>
    <w:p w:rsidR="00E07B86" w:rsidRPr="00CD6245" w:rsidRDefault="00E07B86" w:rsidP="00E07B86">
      <w:pPr>
        <w:pStyle w:val="Heading4NoNum"/>
      </w:pPr>
      <w:r w:rsidRPr="00CD6245">
        <w:t>Accreditation to operate under VGPB policy</w:t>
      </w:r>
    </w:p>
    <w:p w:rsidR="00E07B86" w:rsidRPr="00CD6245" w:rsidRDefault="00E07B86" w:rsidP="00E07B86">
      <w:pPr>
        <w:pStyle w:val="Normal1"/>
      </w:pPr>
      <w:r w:rsidRPr="00CD6245">
        <w:t xml:space="preserve">The VGPB is committed to bringing more government entities under its scope to improve procurement efficiencies across government. To achieve this, the VGPB engages with key stakeholders to bring out-of-scope entities </w:t>
      </w:r>
      <w:r w:rsidR="000D7385" w:rsidRPr="00CD6245">
        <w:t>under</w:t>
      </w:r>
      <w:r w:rsidRPr="00CD6245">
        <w:t xml:space="preserve"> the scope of the VGPB supply policies. A strategic, systematic approach is currently being developed to identify the next wave of entities by researching procurement spend and risk profiles. This will enable the VGPB to target its resources to accredit relevant entities.</w:t>
      </w:r>
    </w:p>
    <w:p w:rsidR="00E07B86" w:rsidRPr="00CD6245" w:rsidRDefault="00E07B86" w:rsidP="00E07B86">
      <w:pPr>
        <w:pStyle w:val="Normal1"/>
      </w:pPr>
      <w:r w:rsidRPr="00CD6245">
        <w:t>On 1 July 2015</w:t>
      </w:r>
      <w:r w:rsidR="001B7A9F">
        <w:t>,</w:t>
      </w:r>
      <w:r w:rsidRPr="00CD6245">
        <w:t xml:space="preserve"> VicRoads began operating under the VGPB policies after a successful accreditation process. The VGPB </w:t>
      </w:r>
      <w:r w:rsidR="001B7A9F">
        <w:t>was</w:t>
      </w:r>
      <w:r w:rsidRPr="00CD6245">
        <w:t xml:space="preserve"> impressed with VicRoads</w:t>
      </w:r>
      <w:r w:rsidR="001B7A9F">
        <w:t>’</w:t>
      </w:r>
      <w:r w:rsidRPr="00CD6245">
        <w:t xml:space="preserve"> progress in implementing VGPB supply policies across its organisation. VicRoads started several initiatives to embed procurement reform, making significant progress</w:t>
      </w:r>
      <w:r w:rsidR="000D7385" w:rsidRPr="00CD6245">
        <w:t xml:space="preserve"> </w:t>
      </w:r>
      <w:r w:rsidRPr="00CD6245">
        <w:t>in a short space of time.</w:t>
      </w:r>
    </w:p>
    <w:p w:rsidR="009D4A19" w:rsidRPr="00CD6245" w:rsidRDefault="00E07B86" w:rsidP="00E07B86">
      <w:pPr>
        <w:pStyle w:val="Normal1"/>
      </w:pPr>
      <w:r w:rsidRPr="00CD6245">
        <w:t>In 2015–16</w:t>
      </w:r>
      <w:r w:rsidR="008A718C" w:rsidRPr="00CD6245">
        <w:t>,</w:t>
      </w:r>
      <w:r w:rsidRPr="00CD6245">
        <w:t xml:space="preserve"> Public Transport Victoria (PTV) restructured and appointed a new CPO. The VGPB is looking forward to continuing to work with PTV to gain accreditation to apply VGPB supply policies.</w:t>
      </w:r>
    </w:p>
    <w:p w:rsidR="009D4A19" w:rsidRPr="00CD6245" w:rsidRDefault="00E07B86" w:rsidP="00E07B86">
      <w:pPr>
        <w:pStyle w:val="Normal1"/>
      </w:pPr>
      <w:r w:rsidRPr="00CD6245">
        <w:t>To help future entities gain accreditation, the VGPB will release a guide to accreditation in late 2016.</w:t>
      </w:r>
    </w:p>
    <w:p w:rsidR="00805F89" w:rsidRPr="00CD6245" w:rsidRDefault="009B20D8" w:rsidP="00E07B86">
      <w:pPr>
        <w:pStyle w:val="Normal1"/>
      </w:pPr>
      <w:r>
        <w:rPr>
          <w:noProof/>
        </w:rPr>
      </w:r>
      <w:r>
        <w:rPr>
          <w:noProof/>
        </w:rPr>
        <w:pict>
          <v:shape id="Text Box 13" o:spid="_x0000_s1031" type="#_x0000_t202" style="width:412.6pt;height:331.85pt;visibility:visible;mso-left-percent:-10001;mso-top-percent:-10001;mso-position-horizontal:absolute;mso-position-horizontal-relative:char;mso-position-vertical:absolute;mso-position-vertical-relative:line;mso-left-percent:-10001;mso-top-percent:-10001" fillcolor="white [3201]" strokecolor="#8064a2 [3207]" strokeweight="5pt">
            <v:stroke linestyle="thickThin"/>
            <v:shadow color="#868686"/>
            <v:textbox style="mso-fit-shape-to-text:t">
              <w:txbxContent>
                <w:p w:rsidR="003B0515" w:rsidRPr="001C507A" w:rsidRDefault="003B0515" w:rsidP="001C507A">
                  <w:pPr>
                    <w:pStyle w:val="Normal1"/>
                    <w:ind w:left="0"/>
                    <w:rPr>
                      <w:rFonts w:ascii="Arial" w:hAnsi="Arial" w:cs="Arial"/>
                      <w:b/>
                    </w:rPr>
                  </w:pPr>
                  <w:r w:rsidRPr="001C507A">
                    <w:rPr>
                      <w:rFonts w:ascii="Arial" w:hAnsi="Arial" w:cs="Arial"/>
                      <w:b/>
                    </w:rPr>
                    <w:t>Case study: VicRoads’ transition journey</w:t>
                  </w:r>
                </w:p>
                <w:p w:rsidR="003B0515" w:rsidRPr="00A64F1B" w:rsidRDefault="003B0515" w:rsidP="001B7A9F">
                  <w:pPr>
                    <w:pStyle w:val="Normal1"/>
                    <w:ind w:left="0"/>
                  </w:pPr>
                  <w:r w:rsidRPr="00A64F1B">
                    <w:t xml:space="preserve">Transitioning to the VGPB supply policy framework gave VicRoads the opportunity to increase its focus on goods and services procurement across the organisation. The reform was a significant change for VicRoads, affecting over 1 000 staff who procure goods and services under the organisation’s decentralised procurement model. </w:t>
                  </w:r>
                </w:p>
                <w:p w:rsidR="003B0515" w:rsidRPr="00A64F1B" w:rsidRDefault="003B0515" w:rsidP="001B7A9F">
                  <w:pPr>
                    <w:pStyle w:val="Normal1"/>
                    <w:ind w:left="0"/>
                  </w:pPr>
                  <w:r w:rsidRPr="00A64F1B">
                    <w:t xml:space="preserve">The majority of VicRoads’ procurement activity involves building and construction. As such, the mature procurement framework established over many years has been more focused on supporting this type of procurement, with policies and procedures adapted to suit goods and service procurement as needed. The reform has been positive as it has led to new governance arrangements, new procurement policies embedded into corporate-wide practice, improved procurement systems, and better value-for-money outcomes (see VicRoads’ performance summary under Procurement profiles and performance by organisation). </w:t>
                  </w:r>
                </w:p>
                <w:p w:rsidR="003B0515" w:rsidRPr="001C507A" w:rsidRDefault="003B0515" w:rsidP="001B7A9F">
                  <w:pPr>
                    <w:pStyle w:val="Normal1"/>
                    <w:ind w:left="0"/>
                  </w:pPr>
                  <w:r w:rsidRPr="00A64F1B">
                    <w:t>Adopting the VGPB supply policy framework has led to a more complexity and risk-based approach to procurement with a better balance between risk and business efficiency, and accountability for decision making at the most appropriate level. VicRoads has used the procurement reform to review, enhance and streamline procedures and systems. It has established a stronger procurement assurance program to provide greater confidence in the integrity of its procurement processes and practices. Through this reform program VicRoads has renewed its focus on assessing and strengthening procurement capability to help its people achieve the best outcomes through procurement.</w:t>
                  </w:r>
                </w:p>
              </w:txbxContent>
            </v:textbox>
            <w10:wrap type="none"/>
            <w10:anchorlock/>
          </v:shape>
        </w:pict>
      </w:r>
    </w:p>
    <w:p w:rsidR="00E07B86" w:rsidRPr="00CD6245" w:rsidRDefault="00E07B86" w:rsidP="00E07B86">
      <w:pPr>
        <w:pStyle w:val="Heading4NoNum"/>
      </w:pPr>
      <w:r w:rsidRPr="00CD6245">
        <w:t>Victorian Government goods and services procurement</w:t>
      </w:r>
    </w:p>
    <w:p w:rsidR="001B7A9F" w:rsidRDefault="00E07B86" w:rsidP="00E07B86">
      <w:pPr>
        <w:pStyle w:val="Normal1"/>
      </w:pPr>
      <w:r w:rsidRPr="00CD6245">
        <w:t xml:space="preserve">In addition to broadening its legislative scope, the VGPB continues to encourage and support outer budget entities to adopt its supply policies. Entities across government can benchmark and model their procurement practices against VGPB supply policies, even though they are out of scope. Many of these entities have a small procurement profile with minimal goods and services spend and will not complete a formal accreditation process. </w:t>
      </w:r>
    </w:p>
    <w:p w:rsidR="00E07B86" w:rsidRPr="00CD6245" w:rsidRDefault="00E07B86" w:rsidP="00E07B86">
      <w:pPr>
        <w:pStyle w:val="Normal1"/>
      </w:pPr>
      <w:r w:rsidRPr="00CD6245">
        <w:lastRenderedPageBreak/>
        <w:t>To help these entities</w:t>
      </w:r>
      <w:r w:rsidR="001B7A9F">
        <w:t>,</w:t>
      </w:r>
      <w:r w:rsidRPr="00CD6245">
        <w:t xml:space="preserve"> the VGPB is developing a guide to </w:t>
      </w:r>
      <w:r w:rsidR="001B7A9F">
        <w:t>aligning with</w:t>
      </w:r>
      <w:r w:rsidRPr="00CD6245">
        <w:t xml:space="preserve"> </w:t>
      </w:r>
      <w:r w:rsidR="001B7A9F">
        <w:t xml:space="preserve">the </w:t>
      </w:r>
      <w:r w:rsidRPr="00CD6245">
        <w:t xml:space="preserve">VGPB </w:t>
      </w:r>
      <w:r w:rsidR="001B7A9F">
        <w:t>framework</w:t>
      </w:r>
      <w:r w:rsidRPr="00CD6245">
        <w:t>. The guide will offer a reference point for entities to ensure their procurement processes are consistent with VGPB best practice.</w:t>
      </w:r>
    </w:p>
    <w:p w:rsidR="00E07B86" w:rsidRPr="00CD6245" w:rsidRDefault="00E07B86" w:rsidP="00E07B86">
      <w:pPr>
        <w:pStyle w:val="Heading4NoNum"/>
      </w:pPr>
      <w:r w:rsidRPr="00CD6245">
        <w:t>Other engagement</w:t>
      </w:r>
    </w:p>
    <w:p w:rsidR="00E07B86" w:rsidRPr="00CD6245" w:rsidRDefault="00E07B86" w:rsidP="00E07B86">
      <w:pPr>
        <w:pStyle w:val="Normal1"/>
        <w:rPr>
          <w:lang w:eastAsia="en-US"/>
        </w:rPr>
      </w:pPr>
      <w:r w:rsidRPr="00CD6245">
        <w:rPr>
          <w:lang w:eastAsia="en-US"/>
        </w:rPr>
        <w:t>The VGPB recognises the importance of consulting with stakeholders to continue to embed its procurement reform agenda and also learn from stakeholders’ experiences in implementing these reforms. Throughout 2015–16, t</w:t>
      </w:r>
      <w:r w:rsidRPr="00CD6245">
        <w:t>he VGPB continued to e</w:t>
      </w:r>
      <w:r w:rsidRPr="00CD6245">
        <w:rPr>
          <w:lang w:eastAsia="en-US"/>
        </w:rPr>
        <w:t>ngage across the Victorian Government and other jurisdictions to build on positive outcomes from its 2014–15 engagement.</w:t>
      </w:r>
    </w:p>
    <w:p w:rsidR="00E07B86" w:rsidRPr="00CD6245" w:rsidRDefault="00E07B86" w:rsidP="00E07B86">
      <w:pPr>
        <w:pStyle w:val="Normal1"/>
        <w:rPr>
          <w:lang w:eastAsia="en-US"/>
        </w:rPr>
      </w:pPr>
      <w:r w:rsidRPr="00CD6245">
        <w:rPr>
          <w:lang w:eastAsia="en-US"/>
        </w:rPr>
        <w:t>The VGPB Chair updated the Victorian Secretaries Board (VSB) on the VGPB policy review and strategic priorities. The VGPB looks forward to continued engagement with the VSB.</w:t>
      </w:r>
    </w:p>
    <w:p w:rsidR="008D199D" w:rsidRPr="00CD6245" w:rsidRDefault="008D199D" w:rsidP="000D2AE1">
      <w:pPr>
        <w:pStyle w:val="Heading2NoNum"/>
      </w:pPr>
      <w:bookmarkStart w:id="15" w:name="_Toc463527709"/>
      <w:r w:rsidRPr="00CD6245">
        <w:t>Changes to the annual report in 201</w:t>
      </w:r>
      <w:r w:rsidR="001D7822" w:rsidRPr="00CD6245">
        <w:t>5–16</w:t>
      </w:r>
      <w:bookmarkEnd w:id="15"/>
    </w:p>
    <w:p w:rsidR="00BF3EDE" w:rsidRPr="00CD6245" w:rsidRDefault="000A5B3B" w:rsidP="00907041">
      <w:pPr>
        <w:pStyle w:val="Normal1"/>
        <w:rPr>
          <w:kern w:val="28"/>
          <w:lang w:eastAsia="en-US"/>
        </w:rPr>
      </w:pPr>
      <w:r w:rsidRPr="00CD6245">
        <w:rPr>
          <w:kern w:val="28"/>
          <w:lang w:eastAsia="en-US"/>
        </w:rPr>
        <w:t xml:space="preserve">This is the first year that organisations have reported on performance measures. The section previously titled </w:t>
      </w:r>
      <w:r w:rsidRPr="00CD6245">
        <w:rPr>
          <w:i/>
          <w:kern w:val="28"/>
          <w:lang w:eastAsia="en-US"/>
        </w:rPr>
        <w:t xml:space="preserve">Departmental Procurement Activities </w:t>
      </w:r>
      <w:r w:rsidRPr="00CD6245">
        <w:rPr>
          <w:kern w:val="28"/>
          <w:lang w:eastAsia="en-US"/>
        </w:rPr>
        <w:t>has been restructured to include an overview of each organisation</w:t>
      </w:r>
      <w:r w:rsidR="001B7A9F">
        <w:rPr>
          <w:kern w:val="28"/>
          <w:lang w:eastAsia="en-US"/>
        </w:rPr>
        <w:t>’</w:t>
      </w:r>
      <w:r w:rsidRPr="00CD6245">
        <w:rPr>
          <w:kern w:val="28"/>
          <w:lang w:eastAsia="en-US"/>
        </w:rPr>
        <w:t xml:space="preserve">s procurement profile and a summary of performance, as well as the procurement </w:t>
      </w:r>
      <w:r w:rsidR="001B7A9F">
        <w:rPr>
          <w:kern w:val="28"/>
          <w:lang w:eastAsia="en-US"/>
        </w:rPr>
        <w:t>activiti</w:t>
      </w:r>
      <w:r w:rsidRPr="00CD6245">
        <w:rPr>
          <w:kern w:val="28"/>
          <w:lang w:eastAsia="en-US"/>
        </w:rPr>
        <w:t>es that are usually reported in this section. To encompass these changes</w:t>
      </w:r>
      <w:r w:rsidR="001B7A9F">
        <w:rPr>
          <w:kern w:val="28"/>
          <w:lang w:eastAsia="en-US"/>
        </w:rPr>
        <w:t>,</w:t>
      </w:r>
      <w:r w:rsidRPr="00CD6245">
        <w:rPr>
          <w:kern w:val="28"/>
          <w:lang w:eastAsia="en-US"/>
        </w:rPr>
        <w:t xml:space="preserve"> the section is now called </w:t>
      </w:r>
      <w:r w:rsidRPr="00CD6245">
        <w:rPr>
          <w:i/>
          <w:kern w:val="28"/>
          <w:lang w:eastAsia="en-US"/>
        </w:rPr>
        <w:t xml:space="preserve">Procurement </w:t>
      </w:r>
      <w:r w:rsidR="00D35046" w:rsidRPr="00CD6245">
        <w:rPr>
          <w:i/>
          <w:kern w:val="28"/>
          <w:lang w:eastAsia="en-US"/>
        </w:rPr>
        <w:t xml:space="preserve">profiles and </w:t>
      </w:r>
      <w:r w:rsidRPr="00CD6245">
        <w:rPr>
          <w:i/>
          <w:kern w:val="28"/>
          <w:lang w:eastAsia="en-US"/>
        </w:rPr>
        <w:t>performance</w:t>
      </w:r>
      <w:r w:rsidR="006E1F03" w:rsidRPr="00CD6245">
        <w:rPr>
          <w:i/>
          <w:kern w:val="28"/>
          <w:lang w:eastAsia="en-US"/>
        </w:rPr>
        <w:t xml:space="preserve"> by organisation</w:t>
      </w:r>
      <w:r w:rsidRPr="00CD6245">
        <w:rPr>
          <w:kern w:val="28"/>
          <w:lang w:eastAsia="en-US"/>
        </w:rPr>
        <w:t>.</w:t>
      </w:r>
    </w:p>
    <w:p w:rsidR="000A5B3B" w:rsidRPr="00CD6245" w:rsidRDefault="006E1F03" w:rsidP="00907041">
      <w:pPr>
        <w:pStyle w:val="Normal1"/>
        <w:rPr>
          <w:kern w:val="28"/>
          <w:lang w:eastAsia="en-US"/>
        </w:rPr>
      </w:pPr>
      <w:r w:rsidRPr="00CD6245">
        <w:rPr>
          <w:kern w:val="28"/>
          <w:lang w:eastAsia="en-US"/>
        </w:rPr>
        <w:t xml:space="preserve">The section on compliance </w:t>
      </w:r>
      <w:r w:rsidR="00290F5B" w:rsidRPr="00CD6245">
        <w:rPr>
          <w:kern w:val="28"/>
          <w:lang w:eastAsia="en-US"/>
        </w:rPr>
        <w:t>(</w:t>
      </w:r>
      <w:r w:rsidR="00290F5B" w:rsidRPr="00CD6245">
        <w:rPr>
          <w:i/>
          <w:kern w:val="28"/>
          <w:lang w:eastAsia="en-US"/>
        </w:rPr>
        <w:t>Compliance with VGPB procurement policies</w:t>
      </w:r>
      <w:r w:rsidR="00290F5B" w:rsidRPr="00CD6245">
        <w:rPr>
          <w:kern w:val="28"/>
          <w:lang w:eastAsia="en-US"/>
        </w:rPr>
        <w:t>) has been</w:t>
      </w:r>
      <w:r w:rsidR="00EA4A29" w:rsidRPr="00CD6245">
        <w:rPr>
          <w:kern w:val="28"/>
          <w:lang w:eastAsia="en-US"/>
        </w:rPr>
        <w:t xml:space="preserve"> slightly</w:t>
      </w:r>
      <w:r w:rsidR="00290F5B" w:rsidRPr="00CD6245">
        <w:rPr>
          <w:kern w:val="28"/>
          <w:lang w:eastAsia="en-US"/>
        </w:rPr>
        <w:t xml:space="preserve"> restructured </w:t>
      </w:r>
      <w:r w:rsidR="00805F89" w:rsidRPr="00CD6245">
        <w:rPr>
          <w:kern w:val="28"/>
          <w:lang w:eastAsia="en-US"/>
        </w:rPr>
        <w:t xml:space="preserve">and now includes </w:t>
      </w:r>
      <w:r w:rsidR="00290F5B" w:rsidRPr="00CD6245">
        <w:rPr>
          <w:kern w:val="28"/>
          <w:lang w:eastAsia="en-US"/>
        </w:rPr>
        <w:t>audit</w:t>
      </w:r>
      <w:r w:rsidR="00D35046" w:rsidRPr="00CD6245">
        <w:rPr>
          <w:kern w:val="28"/>
          <w:lang w:eastAsia="en-US"/>
        </w:rPr>
        <w:t xml:space="preserve"> </w:t>
      </w:r>
      <w:r w:rsidR="00290F5B" w:rsidRPr="00CD6245">
        <w:rPr>
          <w:kern w:val="28"/>
          <w:lang w:eastAsia="en-US"/>
        </w:rPr>
        <w:t>information.</w:t>
      </w:r>
    </w:p>
    <w:p w:rsidR="00A15393" w:rsidRPr="00CD6245" w:rsidRDefault="00E07B86" w:rsidP="008D199D">
      <w:pPr>
        <w:pStyle w:val="Heading2NoNum"/>
      </w:pPr>
      <w:bookmarkStart w:id="16" w:name="_Toc463527710"/>
      <w:r w:rsidRPr="00CD6245">
        <w:t>S</w:t>
      </w:r>
      <w:r w:rsidR="00A15393" w:rsidRPr="00CD6245">
        <w:t xml:space="preserve">trategic priorities </w:t>
      </w:r>
      <w:r w:rsidRPr="00CD6245">
        <w:t>for 2016–21</w:t>
      </w:r>
      <w:bookmarkEnd w:id="16"/>
    </w:p>
    <w:p w:rsidR="001B7A9F" w:rsidRDefault="00E07B86" w:rsidP="00E07B86">
      <w:pPr>
        <w:pStyle w:val="Normal1"/>
      </w:pPr>
      <w:r w:rsidRPr="00CD6245">
        <w:rPr>
          <w:lang w:eastAsia="en-US"/>
        </w:rPr>
        <w:t>As Victorian Government organisations continue their journey to best practice procurement models, the VGPB will begin working on longer</w:t>
      </w:r>
      <w:r w:rsidR="00870CCC" w:rsidRPr="00CD6245">
        <w:rPr>
          <w:lang w:eastAsia="en-US"/>
        </w:rPr>
        <w:t xml:space="preserve"> </w:t>
      </w:r>
      <w:r w:rsidRPr="00CD6245">
        <w:rPr>
          <w:lang w:eastAsia="en-US"/>
        </w:rPr>
        <w:t xml:space="preserve">term strategic priorities. The VGPB’s Strategic Plan sets out five strategic priorities with initiatives that will be progressively implemented over a </w:t>
      </w:r>
      <w:r w:rsidR="004B33DC" w:rsidRPr="00CD6245">
        <w:rPr>
          <w:lang w:eastAsia="en-US"/>
        </w:rPr>
        <w:br/>
      </w:r>
      <w:r w:rsidRPr="00CD6245">
        <w:rPr>
          <w:lang w:eastAsia="en-US"/>
        </w:rPr>
        <w:t xml:space="preserve">five-year period. These priorities are underpinned by a CPO partnership model which recognises the importance of leveraging expertise to ensure </w:t>
      </w:r>
      <w:r w:rsidR="001B7A9F" w:rsidRPr="00A64F1B">
        <w:t>improved procurement outcomes for government.</w:t>
      </w:r>
    </w:p>
    <w:p w:rsidR="00E07B86" w:rsidRPr="00CD6245" w:rsidRDefault="00E07B86" w:rsidP="00E07B86">
      <w:pPr>
        <w:pStyle w:val="Normal1"/>
        <w:rPr>
          <w:lang w:eastAsia="en-US"/>
        </w:rPr>
      </w:pPr>
      <w:r w:rsidRPr="00CD6245">
        <w:rPr>
          <w:lang w:eastAsia="en-US"/>
        </w:rPr>
        <w:t>Year one will focus on developing strategies to meet the longer term objectives of the VGPB and implementing government priorities. Over this period, in collaboration with stakeholders, the VGPB will continue to embed the procurement reform supply policies, broaden its impact on Victorian public sector procurement and build capability in procurement.</w:t>
      </w:r>
    </w:p>
    <w:p w:rsidR="00E07B86" w:rsidRPr="00CD6245" w:rsidRDefault="00E07B86" w:rsidP="00E07B86">
      <w:pPr>
        <w:pStyle w:val="Normal1"/>
      </w:pPr>
      <w:r w:rsidRPr="00CD6245">
        <w:rPr>
          <w:lang w:eastAsia="en-US"/>
        </w:rPr>
        <w:t xml:space="preserve">Figure 2 provides </w:t>
      </w:r>
      <w:r w:rsidR="001B7A9F">
        <w:rPr>
          <w:lang w:eastAsia="en-US"/>
        </w:rPr>
        <w:t>an</w:t>
      </w:r>
      <w:r w:rsidRPr="00CD6245">
        <w:rPr>
          <w:lang w:eastAsia="en-US"/>
        </w:rPr>
        <w:t xml:space="preserve"> overview of the VG</w:t>
      </w:r>
      <w:r w:rsidR="006922F4" w:rsidRPr="00CD6245">
        <w:rPr>
          <w:lang w:eastAsia="en-US"/>
        </w:rPr>
        <w:t>PB</w:t>
      </w:r>
      <w:r w:rsidRPr="00CD6245">
        <w:rPr>
          <w:lang w:eastAsia="en-US"/>
        </w:rPr>
        <w:t>’s strategy for the 2016 to 2021</w:t>
      </w:r>
      <w:r w:rsidR="004B33DC" w:rsidRPr="00CD6245">
        <w:rPr>
          <w:lang w:eastAsia="en-US"/>
        </w:rPr>
        <w:t xml:space="preserve"> period</w:t>
      </w:r>
      <w:r w:rsidRPr="00CD6245">
        <w:rPr>
          <w:lang w:eastAsia="en-US"/>
        </w:rPr>
        <w:t>.</w:t>
      </w:r>
    </w:p>
    <w:p w:rsidR="00E07B86" w:rsidRPr="00CD6245" w:rsidRDefault="00E07B86" w:rsidP="00E07B86">
      <w:pPr>
        <w:pStyle w:val="Heading3NoNum"/>
      </w:pPr>
      <w:r w:rsidRPr="00CD6245">
        <w:t>Strategic priority 1: Embed and enhance VGPB supply policies</w:t>
      </w:r>
    </w:p>
    <w:p w:rsidR="00E07B86" w:rsidRPr="00CD6245" w:rsidRDefault="00E07B86" w:rsidP="00E07B86">
      <w:pPr>
        <w:pStyle w:val="Normal1"/>
      </w:pPr>
      <w:r w:rsidRPr="00CD6245">
        <w:t>Following the transition of all mandated organisations, the VGPB continues to embed and enhance its supply policy framework. The VGPB will clarify and communicate core goals, policies and the philosophy behind the VGPB’s supply policies to public sector bodies by building on relationships with stakeholders.</w:t>
      </w:r>
    </w:p>
    <w:p w:rsidR="00E07B86" w:rsidRPr="00CD6245" w:rsidRDefault="00E07B86" w:rsidP="00E07B86">
      <w:pPr>
        <w:pStyle w:val="Normal1"/>
      </w:pPr>
      <w:r w:rsidRPr="00CD6245">
        <w:t>Over the coming year, the VGPB will continue to implement the results of its policy review to ensure that supply policies continue to drive procurement efficiencies for government. The VGPB will continue to scan organisations, the supply market and industry bodies to inform future policy refinements.</w:t>
      </w:r>
    </w:p>
    <w:p w:rsidR="00E07B86" w:rsidRPr="00CD6245" w:rsidRDefault="00E07B86" w:rsidP="00E07B86">
      <w:pPr>
        <w:pStyle w:val="Normal1"/>
      </w:pPr>
      <w:r w:rsidRPr="00CD6245">
        <w:t xml:space="preserve">The VGPB’s oversight role is pivotal to embedding procurement reform. The oversight program gives organisations independent strategic procurement advice and guidance on all projects under review. In 2016 the oversight program will expand to include </w:t>
      </w:r>
      <w:r w:rsidR="001B7A9F">
        <w:t>nominated SPCs</w:t>
      </w:r>
      <w:r w:rsidRPr="00CD6245">
        <w:t xml:space="preserve">. The VGPB </w:t>
      </w:r>
      <w:r w:rsidRPr="00CD6245">
        <w:lastRenderedPageBreak/>
        <w:t>will also take a more active role in identifying potential aggregation opportunities across the public sector to drive greater value for money.</w:t>
      </w:r>
    </w:p>
    <w:p w:rsidR="00E07B86" w:rsidRPr="00CD6245" w:rsidRDefault="00E07B86" w:rsidP="00E07B86">
      <w:pPr>
        <w:pStyle w:val="Heading3NoNum"/>
      </w:pPr>
      <w:r w:rsidRPr="00CD6245">
        <w:t>Strategic priority 2: Develop and implement a procurement capability strategy across people, processes and systems</w:t>
      </w:r>
    </w:p>
    <w:p w:rsidR="00E07B86" w:rsidRPr="00CD6245" w:rsidRDefault="00E07B86" w:rsidP="00E07B86">
      <w:pPr>
        <w:pStyle w:val="Normal1"/>
      </w:pPr>
      <w:r w:rsidRPr="00CD6245">
        <w:t>Good procurement saves money and creates efficiencies, freeing up resources for o</w:t>
      </w:r>
      <w:r w:rsidR="001B7A9F">
        <w:t>ther priorities. It improves service</w:t>
      </w:r>
      <w:r w:rsidRPr="00CD6245">
        <w:t xml:space="preserve"> delivery to the community and makes it easier for business to access government procurement opportunities.</w:t>
      </w:r>
    </w:p>
    <w:p w:rsidR="00E07B86" w:rsidRPr="00CD6245" w:rsidRDefault="00E07B86" w:rsidP="00E07B86">
      <w:pPr>
        <w:pStyle w:val="Normal1"/>
        <w:rPr>
          <w:lang w:eastAsia="en-US"/>
        </w:rPr>
      </w:pPr>
      <w:r w:rsidRPr="00CD6245">
        <w:t>In 2016–17</w:t>
      </w:r>
      <w:r w:rsidR="001B7A9F">
        <w:t>,</w:t>
      </w:r>
      <w:r w:rsidRPr="00CD6245">
        <w:t xml:space="preserve"> the VGPB will help organisations develop their capability by understanding barriers affect</w:t>
      </w:r>
      <w:r w:rsidR="001B7A9F">
        <w:t>ing</w:t>
      </w:r>
      <w:r w:rsidRPr="00CD6245">
        <w:t xml:space="preserve"> their growth. The VGPB will develop a capability strategy with initiatives to improve and support organisational capability. </w:t>
      </w:r>
      <w:r w:rsidRPr="00CD6245">
        <w:rPr>
          <w:lang w:eastAsia="en-US"/>
        </w:rPr>
        <w:t>The VGPB will work with organisations to identify common and significant capability gaps and prioritise opportunities to strengthen Victorian Government procurement capability. The analysis will also be informed by the results of the third performance measure (increase in procurement capability), giving the VGPB and organisations a baseline to measure improvements.</w:t>
      </w:r>
    </w:p>
    <w:p w:rsidR="00E07B86" w:rsidRPr="00CD6245" w:rsidRDefault="00E07B86" w:rsidP="00E07B86">
      <w:pPr>
        <w:pStyle w:val="Normal1"/>
        <w:rPr>
          <w:lang w:eastAsia="en-US"/>
        </w:rPr>
      </w:pPr>
      <w:r w:rsidRPr="00CD6245">
        <w:rPr>
          <w:lang w:eastAsia="en-US"/>
        </w:rPr>
        <w:t>The VGPB supply policies are supported by good practice guides, tools and templates that comply with broader government legislative requirements and minimise duplication of effort. The VGPB will continue to enhance existing guidance material and develop new material with feedback from stakeholders to align with broader industry good practice.</w:t>
      </w:r>
    </w:p>
    <w:p w:rsidR="00E07B86" w:rsidRPr="00CD6245" w:rsidRDefault="00E07B86" w:rsidP="00E07B86">
      <w:pPr>
        <w:pStyle w:val="Heading3NoNum"/>
      </w:pPr>
      <w:r w:rsidRPr="00CD6245">
        <w:t>Strategic priority 3: Engage with suppliers and the market to improve doing business with the Victorian public sector</w:t>
      </w:r>
    </w:p>
    <w:p w:rsidR="00E07B86" w:rsidRPr="00CD6245" w:rsidRDefault="00E07B86" w:rsidP="00E07B86">
      <w:pPr>
        <w:pStyle w:val="Normal1"/>
        <w:rPr>
          <w:lang w:eastAsia="en-US"/>
        </w:rPr>
      </w:pPr>
      <w:r w:rsidRPr="00CD6245">
        <w:rPr>
          <w:lang w:eastAsia="en-US"/>
        </w:rPr>
        <w:t>The VGPB supply policies are focused on making it easier for suppliers to do business with government. The policies prioritise upfront strategic planning to provide a consistent market approach and give suppliers visibility of upcoming procurement opportunities.</w:t>
      </w:r>
    </w:p>
    <w:p w:rsidR="00E07B86" w:rsidRPr="00CD6245" w:rsidRDefault="00E07B86" w:rsidP="00E07B86">
      <w:pPr>
        <w:pStyle w:val="Normal1"/>
        <w:rPr>
          <w:lang w:eastAsia="en-US"/>
        </w:rPr>
      </w:pPr>
      <w:r w:rsidRPr="00CD6245">
        <w:rPr>
          <w:lang w:eastAsia="en-US"/>
        </w:rPr>
        <w:t>The VGPB will help organisations identify how to engage with suppliers and the market to improve procurement outcomes. To achieve this, the VGPB will implement a targeted program to engage with relevant peak industry bodies to discuss future policy needs and improve procurement practices. The VGPB will look for opportunities to pilot new innovative procurement approaches to market by partnering with organisations for specific projects.</w:t>
      </w:r>
    </w:p>
    <w:p w:rsidR="00E07B86" w:rsidRPr="00CD6245" w:rsidRDefault="00E07B86" w:rsidP="00E07B86">
      <w:pPr>
        <w:pStyle w:val="Heading3NoNum"/>
      </w:pPr>
      <w:r w:rsidRPr="00CD6245">
        <w:t>Strategic priority 4: Broaden the VGPB’s impact on Victorian public sector procurement</w:t>
      </w:r>
    </w:p>
    <w:p w:rsidR="00E07B86" w:rsidRPr="00CD6245" w:rsidRDefault="00E07B86" w:rsidP="00E07B86">
      <w:pPr>
        <w:pStyle w:val="Normal1"/>
        <w:rPr>
          <w:lang w:eastAsia="en-US"/>
        </w:rPr>
      </w:pPr>
      <w:r w:rsidRPr="00CD6245">
        <w:rPr>
          <w:lang w:eastAsia="en-US"/>
        </w:rPr>
        <w:t>The VGPB continues to broaden its impact by:</w:t>
      </w:r>
    </w:p>
    <w:p w:rsidR="00E07B86" w:rsidRPr="00CD6245" w:rsidRDefault="00E07B86" w:rsidP="00E07B86">
      <w:pPr>
        <w:pStyle w:val="Bullet1"/>
        <w:rPr>
          <w:lang w:eastAsia="en-US"/>
        </w:rPr>
      </w:pPr>
      <w:r w:rsidRPr="00CD6245">
        <w:rPr>
          <w:lang w:eastAsia="en-US"/>
        </w:rPr>
        <w:t>ongoing consultation with other government procurement policy makers in Victoria and interstate;</w:t>
      </w:r>
    </w:p>
    <w:p w:rsidR="00E07B86" w:rsidRPr="00CD6245" w:rsidRDefault="00E07B86" w:rsidP="00E07B86">
      <w:pPr>
        <w:pStyle w:val="Bullet1"/>
        <w:rPr>
          <w:lang w:eastAsia="en-US"/>
        </w:rPr>
      </w:pPr>
      <w:r w:rsidRPr="00CD6245">
        <w:rPr>
          <w:lang w:eastAsia="en-US"/>
        </w:rPr>
        <w:t>providing guidance material and community of practice forums; and</w:t>
      </w:r>
    </w:p>
    <w:p w:rsidR="00E07B86" w:rsidRPr="00CD6245" w:rsidRDefault="00E07B86" w:rsidP="00E07B86">
      <w:pPr>
        <w:pStyle w:val="Bullet1"/>
        <w:rPr>
          <w:lang w:eastAsia="en-US"/>
        </w:rPr>
      </w:pPr>
      <w:r w:rsidRPr="00CD6245">
        <w:rPr>
          <w:lang w:eastAsia="en-US"/>
        </w:rPr>
        <w:t>responding to buyer and supplier queries.</w:t>
      </w:r>
    </w:p>
    <w:p w:rsidR="00E07B86" w:rsidRPr="00CD6245" w:rsidRDefault="00E07B86" w:rsidP="00E07B86">
      <w:pPr>
        <w:pStyle w:val="Normal1"/>
        <w:rPr>
          <w:lang w:eastAsia="en-US"/>
        </w:rPr>
      </w:pPr>
      <w:r w:rsidRPr="00CD6245">
        <w:rPr>
          <w:lang w:eastAsia="en-US"/>
        </w:rPr>
        <w:t>The VGPB is committed to continuing to drive reform not only for in-scope organisations but also for the broader Victorian public sector. The Victorian Government can achieve considerable benefits through these reforms.</w:t>
      </w:r>
    </w:p>
    <w:p w:rsidR="00E07B86" w:rsidRPr="00CD6245" w:rsidRDefault="00E07B86" w:rsidP="00E07B86">
      <w:pPr>
        <w:pStyle w:val="Normal1"/>
        <w:rPr>
          <w:lang w:eastAsia="en-US"/>
        </w:rPr>
      </w:pPr>
      <w:r w:rsidRPr="00CD6245">
        <w:rPr>
          <w:lang w:eastAsia="en-US"/>
        </w:rPr>
        <w:t xml:space="preserve">The VGPB will engage with in-scope organisations to identify future multi-organisation procurement opportunities using </w:t>
      </w:r>
      <w:r w:rsidR="001B7A9F">
        <w:rPr>
          <w:lang w:eastAsia="en-US"/>
        </w:rPr>
        <w:t>SPCs</w:t>
      </w:r>
      <w:r w:rsidR="003F177F" w:rsidRPr="00CD6245">
        <w:rPr>
          <w:lang w:eastAsia="en-US"/>
        </w:rPr>
        <w:t xml:space="preserve"> </w:t>
      </w:r>
      <w:r w:rsidRPr="00CD6245">
        <w:rPr>
          <w:lang w:eastAsia="en-US"/>
        </w:rPr>
        <w:t xml:space="preserve">or other forms of procurement models. To support and nurture out-of-scope organisations who want to align their procurement function with VGPB supply policies, the VGPB will provide detailed guidance by developing a guide to </w:t>
      </w:r>
      <w:r w:rsidR="001B7A9F">
        <w:rPr>
          <w:lang w:eastAsia="en-US"/>
        </w:rPr>
        <w:t>aligning with the VGPB framework</w:t>
      </w:r>
      <w:r w:rsidRPr="00CD6245">
        <w:rPr>
          <w:lang w:eastAsia="en-US"/>
        </w:rPr>
        <w:t>.</w:t>
      </w:r>
    </w:p>
    <w:p w:rsidR="00E07B86" w:rsidRPr="00CD6245" w:rsidRDefault="00E07B86" w:rsidP="00E07B86">
      <w:pPr>
        <w:pStyle w:val="Heading3NoNum"/>
      </w:pPr>
      <w:r w:rsidRPr="00CD6245">
        <w:lastRenderedPageBreak/>
        <w:t>Strategic priority 5: Measure the benefits of the VGPB’s procurement framework</w:t>
      </w:r>
    </w:p>
    <w:p w:rsidR="00E07B86" w:rsidRPr="00CD6245" w:rsidRDefault="00E07B86" w:rsidP="00E07B86">
      <w:pPr>
        <w:pStyle w:val="Normal1"/>
        <w:rPr>
          <w:lang w:eastAsia="en-US"/>
        </w:rPr>
      </w:pPr>
      <w:r w:rsidRPr="00CD6245">
        <w:rPr>
          <w:lang w:eastAsia="en-US"/>
        </w:rPr>
        <w:t>The VGPB supply policies seek to improve the way organisations buy goods and services from the market. To understand these improvements, the VGPB will continue to measure the benefits achieved by the procurement reform. This will be done by continually refining the methodology for measuring and reporting on the procurement reform framework. The VGPB will measure the progress of organisations through reporting on performance measures and the outcomes of the audit program.</w:t>
      </w:r>
    </w:p>
    <w:p w:rsidR="00E07B86" w:rsidRPr="00CD6245" w:rsidRDefault="00E07B86" w:rsidP="00E07B86">
      <w:pPr>
        <w:rPr>
          <w:lang w:eastAsia="en-US"/>
        </w:rPr>
      </w:pPr>
    </w:p>
    <w:p w:rsidR="005D51FF" w:rsidRDefault="005D51FF" w:rsidP="005D51FF">
      <w:pPr>
        <w:pStyle w:val="Caption"/>
      </w:pPr>
      <w:bookmarkStart w:id="17" w:name="_Ref425865432"/>
      <w:bookmarkStart w:id="18" w:name="_Toc463527867"/>
      <w:r w:rsidRPr="00CD6245">
        <w:t xml:space="preserve">Figure </w:t>
      </w:r>
      <w:r w:rsidR="002B07C2" w:rsidRPr="00CD6245">
        <w:fldChar w:fldCharType="begin"/>
      </w:r>
      <w:r w:rsidR="00600068" w:rsidRPr="00CD6245">
        <w:instrText xml:space="preserve"> SEQ Figure \* ARABIC </w:instrText>
      </w:r>
      <w:r w:rsidR="002B07C2" w:rsidRPr="00CD6245">
        <w:fldChar w:fldCharType="separate"/>
      </w:r>
      <w:r w:rsidR="002E75B9">
        <w:rPr>
          <w:noProof/>
        </w:rPr>
        <w:t>2</w:t>
      </w:r>
      <w:r w:rsidR="002B07C2" w:rsidRPr="00CD6245">
        <w:fldChar w:fldCharType="end"/>
      </w:r>
      <w:bookmarkEnd w:id="17"/>
      <w:r w:rsidRPr="00CD6245">
        <w:t>: VGPB 20</w:t>
      </w:r>
      <w:r w:rsidR="00E07B86" w:rsidRPr="00CD6245">
        <w:t>16–21</w:t>
      </w:r>
      <w:r w:rsidR="00E80B05" w:rsidRPr="00CD6245">
        <w:t xml:space="preserve"> </w:t>
      </w:r>
      <w:r w:rsidR="00E07B86" w:rsidRPr="00CD6245">
        <w:t>s</w:t>
      </w:r>
      <w:r w:rsidR="00E80B05" w:rsidRPr="00CD6245">
        <w:t>trategy</w:t>
      </w:r>
      <w:r w:rsidR="006A298A" w:rsidRPr="00CD6245">
        <w:t xml:space="preserve"> o</w:t>
      </w:r>
      <w:r w:rsidR="00E80B05" w:rsidRPr="00CD6245">
        <w:t>verview</w:t>
      </w:r>
      <w:bookmarkEnd w:id="18"/>
    </w:p>
    <w:p w:rsidR="00B42930" w:rsidRPr="00B42930" w:rsidRDefault="00B42930" w:rsidP="00B42930">
      <w:pPr>
        <w:ind w:left="810"/>
      </w:pPr>
      <w:r>
        <w:rPr>
          <w:noProof/>
        </w:rPr>
        <w:drawing>
          <wp:inline distT="0" distB="0" distL="0" distR="0" wp14:anchorId="110F8B4B" wp14:editId="1C5F889A">
            <wp:extent cx="5252085" cy="4493895"/>
            <wp:effectExtent l="0" t="0" r="5715" b="1905"/>
            <wp:docPr id="8" name="Picture 8" descr="Orange Crush:Users:chrisashe:Desktop:DTF033_VGPB-F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Orange Crush:Users:chrisashe:Desktop:DTF033_VGPB-F2.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52085" cy="4493895"/>
                    </a:xfrm>
                    <a:prstGeom prst="rect">
                      <a:avLst/>
                    </a:prstGeom>
                    <a:noFill/>
                    <a:ln>
                      <a:noFill/>
                    </a:ln>
                  </pic:spPr>
                </pic:pic>
              </a:graphicData>
            </a:graphic>
          </wp:inline>
        </w:drawing>
      </w:r>
    </w:p>
    <w:p w:rsidR="007A405E" w:rsidRPr="00CD6245" w:rsidRDefault="007A405E" w:rsidP="007A405E">
      <w:pPr>
        <w:ind w:left="851"/>
      </w:pPr>
    </w:p>
    <w:p w:rsidR="00A457D2" w:rsidRPr="00CD6245" w:rsidRDefault="00A457D2" w:rsidP="00D546FE">
      <w:pPr>
        <w:ind w:left="709"/>
      </w:pPr>
    </w:p>
    <w:p w:rsidR="00BF3EDE" w:rsidRPr="00CD6245" w:rsidRDefault="00BF3EDE" w:rsidP="00997F90">
      <w:pPr>
        <w:pStyle w:val="Normal1"/>
        <w:ind w:left="0"/>
        <w:rPr>
          <w:kern w:val="28"/>
          <w:lang w:eastAsia="en-US"/>
        </w:rPr>
      </w:pPr>
    </w:p>
    <w:p w:rsidR="00D7446B" w:rsidRPr="00CD6245" w:rsidRDefault="004F5AC8" w:rsidP="00EF757E">
      <w:pPr>
        <w:pStyle w:val="Heading1NoNum"/>
      </w:pPr>
      <w:bookmarkStart w:id="19" w:name="_Toc366693307"/>
      <w:bookmarkStart w:id="20" w:name="_Toc463527711"/>
      <w:r w:rsidRPr="00CD6245">
        <w:lastRenderedPageBreak/>
        <w:t>A</w:t>
      </w:r>
      <w:r w:rsidR="006E0F6C" w:rsidRPr="00CD6245">
        <w:t>bout the</w:t>
      </w:r>
      <w:r w:rsidR="009B5B7C" w:rsidRPr="00CD6245">
        <w:t xml:space="preserve"> VGPB</w:t>
      </w:r>
      <w:bookmarkEnd w:id="19"/>
      <w:bookmarkEnd w:id="20"/>
    </w:p>
    <w:p w:rsidR="004A6A11" w:rsidRPr="00CD6245" w:rsidRDefault="004A6A11" w:rsidP="004A6A11">
      <w:pPr>
        <w:pStyle w:val="Normal1"/>
      </w:pPr>
      <w:r w:rsidRPr="00CD6245">
        <w:t xml:space="preserve">The VGPB was established under the </w:t>
      </w:r>
      <w:r w:rsidRPr="00CD6245">
        <w:rPr>
          <w:i/>
        </w:rPr>
        <w:t>Financial Management Act 1994</w:t>
      </w:r>
      <w:r w:rsidRPr="00CD6245">
        <w:t xml:space="preserve"> (the FMA). The VGPB meets no less than six times </w:t>
      </w:r>
      <w:r w:rsidR="00B81F18" w:rsidRPr="00CD6245">
        <w:t>a</w:t>
      </w:r>
      <w:r w:rsidRPr="00CD6245">
        <w:t xml:space="preserve"> year to develop and approve policies, </w:t>
      </w:r>
      <w:r w:rsidR="00B815B6" w:rsidRPr="00CD6245">
        <w:t xml:space="preserve">provide strategic oversight of major </w:t>
      </w:r>
      <w:r w:rsidR="00EA4A29" w:rsidRPr="00CD6245">
        <w:t xml:space="preserve">goods and services </w:t>
      </w:r>
      <w:r w:rsidR="00B815B6" w:rsidRPr="00CD6245">
        <w:t xml:space="preserve">procurement </w:t>
      </w:r>
      <w:r w:rsidRPr="00CD6245">
        <w:t>and discuss procurement policy and practice.</w:t>
      </w:r>
    </w:p>
    <w:p w:rsidR="004A6A11" w:rsidRPr="00CD6245" w:rsidRDefault="004A6A11" w:rsidP="004A6A11">
      <w:pPr>
        <w:pStyle w:val="Heading2NoNum"/>
      </w:pPr>
      <w:bookmarkStart w:id="21" w:name="_Toc366693308"/>
      <w:bookmarkStart w:id="22" w:name="_Toc388705843"/>
      <w:bookmarkStart w:id="23" w:name="_Toc463527712"/>
      <w:r w:rsidRPr="00CD6245">
        <w:t>Vision</w:t>
      </w:r>
      <w:bookmarkEnd w:id="21"/>
      <w:bookmarkEnd w:id="22"/>
      <w:r w:rsidR="008D199D" w:rsidRPr="00CD6245">
        <w:t xml:space="preserve"> and mission</w:t>
      </w:r>
      <w:bookmarkEnd w:id="23"/>
    </w:p>
    <w:p w:rsidR="004A6A11" w:rsidRPr="00CD6245" w:rsidRDefault="004A6A11" w:rsidP="004A6A11">
      <w:pPr>
        <w:pStyle w:val="Normal1"/>
      </w:pPr>
      <w:r w:rsidRPr="00CD6245">
        <w:t>The VGPB’s vision is to provide leadership in government procurement of goods and services to deliver value</w:t>
      </w:r>
      <w:r w:rsidR="00EA4A29" w:rsidRPr="00CD6245">
        <w:t>-</w:t>
      </w:r>
      <w:r w:rsidRPr="00CD6245">
        <w:t>for</w:t>
      </w:r>
      <w:r w:rsidR="00EA4A29" w:rsidRPr="00CD6245">
        <w:t>-</w:t>
      </w:r>
      <w:r w:rsidRPr="00CD6245">
        <w:t>money outcomes for Victoria.</w:t>
      </w:r>
    </w:p>
    <w:p w:rsidR="004A6A11" w:rsidRPr="00CD6245" w:rsidRDefault="004A6A11" w:rsidP="004A6A11">
      <w:pPr>
        <w:pStyle w:val="Normal1"/>
      </w:pPr>
      <w:r w:rsidRPr="00CD6245">
        <w:t>The VGPB’s mission is to ensure government:</w:t>
      </w:r>
    </w:p>
    <w:p w:rsidR="004A6A11" w:rsidRPr="00CD6245" w:rsidRDefault="004A6A11" w:rsidP="004A6A11">
      <w:pPr>
        <w:pStyle w:val="Bullet1"/>
      </w:pPr>
      <w:r w:rsidRPr="00CD6245">
        <w:t>develops procurement capability;</w:t>
      </w:r>
    </w:p>
    <w:p w:rsidR="004A6A11" w:rsidRPr="00CD6245" w:rsidRDefault="004A6A11" w:rsidP="004A6A11">
      <w:pPr>
        <w:pStyle w:val="Bullet1"/>
      </w:pPr>
      <w:r w:rsidRPr="00CD6245">
        <w:t>delivers value</w:t>
      </w:r>
      <w:r w:rsidR="00EA4A29" w:rsidRPr="00CD6245">
        <w:t>-</w:t>
      </w:r>
      <w:r w:rsidRPr="00CD6245">
        <w:t>for</w:t>
      </w:r>
      <w:r w:rsidR="00EA4A29" w:rsidRPr="00CD6245">
        <w:t>-</w:t>
      </w:r>
      <w:r w:rsidRPr="00CD6245">
        <w:t>money and fit-for-purpose outcomes;</w:t>
      </w:r>
    </w:p>
    <w:p w:rsidR="004A6A11" w:rsidRPr="00CD6245" w:rsidRDefault="004A6A11" w:rsidP="004A6A11">
      <w:pPr>
        <w:pStyle w:val="Bullet1"/>
      </w:pPr>
      <w:r w:rsidRPr="00CD6245">
        <w:t>minimises risk; and</w:t>
      </w:r>
    </w:p>
    <w:p w:rsidR="004A6A11" w:rsidRPr="00CD6245" w:rsidRDefault="004A6A11" w:rsidP="004A6A11">
      <w:pPr>
        <w:pStyle w:val="Bullet1"/>
      </w:pPr>
      <w:r w:rsidRPr="00CD6245">
        <w:t>enables access to procurement opportunities for all businesses.</w:t>
      </w:r>
    </w:p>
    <w:p w:rsidR="00C57819" w:rsidRPr="00CD6245" w:rsidRDefault="00C57819" w:rsidP="00C57819">
      <w:pPr>
        <w:pStyle w:val="Heading2NoNum"/>
      </w:pPr>
      <w:bookmarkStart w:id="24" w:name="_Toc463527713"/>
      <w:bookmarkStart w:id="25" w:name="_Toc366693310"/>
      <w:bookmarkStart w:id="26" w:name="_Toc388705845"/>
      <w:r w:rsidRPr="00CD6245">
        <w:t>Directives</w:t>
      </w:r>
      <w:bookmarkEnd w:id="24"/>
    </w:p>
    <w:p w:rsidR="00C57819" w:rsidRPr="00CD6245" w:rsidRDefault="00C57819" w:rsidP="00C57819">
      <w:pPr>
        <w:pStyle w:val="Normal1"/>
        <w:rPr>
          <w:lang w:eastAsia="en-US"/>
        </w:rPr>
      </w:pPr>
      <w:r w:rsidRPr="00CD6245">
        <w:rPr>
          <w:lang w:eastAsia="en-US"/>
        </w:rPr>
        <w:t>The VGPB’s supply policies cover end-to-end procurement activity from identifying needs, planning</w:t>
      </w:r>
      <w:r w:rsidR="0003274B" w:rsidRPr="00CD6245">
        <w:rPr>
          <w:lang w:eastAsia="en-US"/>
        </w:rPr>
        <w:t xml:space="preserve"> and</w:t>
      </w:r>
      <w:r w:rsidRPr="00CD6245">
        <w:rPr>
          <w:lang w:eastAsia="en-US"/>
        </w:rPr>
        <w:t xml:space="preserve"> market research through to contract management. Each policy is supported by good practice guides, tools and templates to ensure consistency across government.</w:t>
      </w:r>
    </w:p>
    <w:p w:rsidR="00C57819" w:rsidRPr="00CD6245" w:rsidRDefault="00C57819" w:rsidP="00C57819">
      <w:pPr>
        <w:pStyle w:val="Normal1"/>
        <w:rPr>
          <w:lang w:eastAsia="en-US"/>
        </w:rPr>
      </w:pPr>
      <w:r w:rsidRPr="00CD6245">
        <w:rPr>
          <w:lang w:eastAsia="en-US"/>
        </w:rPr>
        <w:t xml:space="preserve">When applying the policies, </w:t>
      </w:r>
      <w:r w:rsidR="00FD0317" w:rsidRPr="00CD6245">
        <w:rPr>
          <w:lang w:eastAsia="en-US"/>
        </w:rPr>
        <w:t>organisation</w:t>
      </w:r>
      <w:r w:rsidRPr="00CD6245">
        <w:rPr>
          <w:lang w:eastAsia="en-US"/>
        </w:rPr>
        <w:t>s must ensure all procurement activity meets the following directives:</w:t>
      </w:r>
    </w:p>
    <w:p w:rsidR="00C57819" w:rsidRPr="00CD6245" w:rsidRDefault="00C57819" w:rsidP="00C57819">
      <w:pPr>
        <w:pStyle w:val="Bullet1"/>
        <w:rPr>
          <w:lang w:eastAsia="en-US"/>
        </w:rPr>
      </w:pPr>
      <w:r w:rsidRPr="00CD6245">
        <w:rPr>
          <w:b/>
          <w:bCs/>
          <w:lang w:eastAsia="en-US"/>
        </w:rPr>
        <w:t>Value for money:</w:t>
      </w:r>
      <w:r w:rsidRPr="00CD6245">
        <w:rPr>
          <w:lang w:eastAsia="en-US"/>
        </w:rPr>
        <w:t xml:space="preserve"> A balanced judgement of a range of financial and non</w:t>
      </w:r>
      <w:r w:rsidR="00571365" w:rsidRPr="00CD6245">
        <w:rPr>
          <w:lang w:eastAsia="en-US"/>
        </w:rPr>
        <w:t>-financial</w:t>
      </w:r>
      <w:r w:rsidRPr="00CD6245">
        <w:rPr>
          <w:lang w:eastAsia="en-US"/>
        </w:rPr>
        <w:t xml:space="preserve"> factors, taking into account the mix of quality, cost and resources; fitness for purpose; total cost of ownership; and risk.</w:t>
      </w:r>
    </w:p>
    <w:p w:rsidR="00C57819" w:rsidRPr="00CD6245" w:rsidRDefault="00C57819" w:rsidP="00C57819">
      <w:pPr>
        <w:pStyle w:val="Bullet1"/>
        <w:rPr>
          <w:lang w:eastAsia="en-US"/>
        </w:rPr>
      </w:pPr>
      <w:r w:rsidRPr="00CD6245">
        <w:rPr>
          <w:b/>
          <w:bCs/>
          <w:lang w:eastAsia="en-US"/>
        </w:rPr>
        <w:t>Accountability:</w:t>
      </w:r>
      <w:r w:rsidRPr="00CD6245">
        <w:rPr>
          <w:lang w:eastAsia="en-US"/>
        </w:rPr>
        <w:t xml:space="preserve"> The accountable officer has the flexibility to conduct procurement activities using appropriate capability to provide value</w:t>
      </w:r>
      <w:r w:rsidR="00356746" w:rsidRPr="00CD6245">
        <w:rPr>
          <w:lang w:eastAsia="en-US"/>
        </w:rPr>
        <w:t>-</w:t>
      </w:r>
      <w:r w:rsidRPr="00CD6245">
        <w:rPr>
          <w:lang w:eastAsia="en-US"/>
        </w:rPr>
        <w:t>for</w:t>
      </w:r>
      <w:r w:rsidR="00356746" w:rsidRPr="00CD6245">
        <w:rPr>
          <w:lang w:eastAsia="en-US"/>
        </w:rPr>
        <w:t>-</w:t>
      </w:r>
      <w:r w:rsidRPr="00CD6245">
        <w:rPr>
          <w:lang w:eastAsia="en-US"/>
        </w:rPr>
        <w:t>money outcomes.</w:t>
      </w:r>
    </w:p>
    <w:p w:rsidR="00C57819" w:rsidRPr="00CD6245" w:rsidRDefault="00C57819" w:rsidP="00C57819">
      <w:pPr>
        <w:pStyle w:val="Bullet1"/>
        <w:rPr>
          <w:lang w:eastAsia="en-US"/>
        </w:rPr>
      </w:pPr>
      <w:r w:rsidRPr="00CD6245">
        <w:rPr>
          <w:b/>
          <w:bCs/>
          <w:lang w:eastAsia="en-US"/>
        </w:rPr>
        <w:t>Probity:</w:t>
      </w:r>
      <w:r w:rsidRPr="00CD6245">
        <w:rPr>
          <w:lang w:eastAsia="en-US"/>
        </w:rPr>
        <w:t xml:space="preserve"> High standards of behaviour and actions in the conduct of procurement processes. Equity, confidentiality, avoiding conflicts of interest, and consumer/supplier confidence in the integrity of government procurement processes.</w:t>
      </w:r>
    </w:p>
    <w:p w:rsidR="00C57819" w:rsidRPr="00CD6245" w:rsidRDefault="00C57819" w:rsidP="00C57819">
      <w:pPr>
        <w:pStyle w:val="Bullet1"/>
        <w:rPr>
          <w:lang w:eastAsia="en-US"/>
        </w:rPr>
      </w:pPr>
      <w:r w:rsidRPr="00CD6245">
        <w:rPr>
          <w:b/>
          <w:bCs/>
          <w:lang w:eastAsia="en-US"/>
        </w:rPr>
        <w:t>Scalability:</w:t>
      </w:r>
      <w:r w:rsidRPr="00CD6245">
        <w:rPr>
          <w:lang w:eastAsia="en-US"/>
        </w:rPr>
        <w:t xml:space="preserve"> The relationship between the complexity of a procurement project and the capability of the organisation to conduct it to achieve a good procurement outcome.</w:t>
      </w:r>
    </w:p>
    <w:p w:rsidR="008B0745" w:rsidRPr="00CD6245" w:rsidRDefault="008B0745">
      <w:pPr>
        <w:rPr>
          <w:rFonts w:ascii="Calibri" w:hAnsi="Calibri" w:cs="Calibri"/>
          <w:color w:val="4D4D4D"/>
          <w:kern w:val="28"/>
          <w:sz w:val="30"/>
          <w:szCs w:val="22"/>
          <w:lang w:eastAsia="en-US"/>
        </w:rPr>
      </w:pPr>
      <w:r w:rsidRPr="00CD6245">
        <w:br w:type="page"/>
      </w:r>
    </w:p>
    <w:p w:rsidR="004A6A11" w:rsidRPr="00CD6245" w:rsidRDefault="004A6A11" w:rsidP="004A6A11">
      <w:pPr>
        <w:pStyle w:val="Heading2NoNum"/>
      </w:pPr>
      <w:bookmarkStart w:id="27" w:name="_Toc463527714"/>
      <w:r w:rsidRPr="00CD6245">
        <w:lastRenderedPageBreak/>
        <w:t>Functions</w:t>
      </w:r>
      <w:bookmarkEnd w:id="25"/>
      <w:bookmarkEnd w:id="26"/>
      <w:r w:rsidR="00A10688" w:rsidRPr="00CD6245">
        <w:t xml:space="preserve"> and powers</w:t>
      </w:r>
      <w:bookmarkEnd w:id="27"/>
    </w:p>
    <w:p w:rsidR="004A6A11" w:rsidRPr="00CD6245" w:rsidRDefault="004A6A11" w:rsidP="004A6A11">
      <w:pPr>
        <w:pStyle w:val="Normal1"/>
      </w:pPr>
      <w:r w:rsidRPr="00CD6245">
        <w:t>The VGPB has the following functions as defined by section 54B of the FMA:</w:t>
      </w:r>
    </w:p>
    <w:p w:rsidR="004A6A11" w:rsidRPr="00CD6245" w:rsidRDefault="004A6A11" w:rsidP="00EE16F2">
      <w:pPr>
        <w:pStyle w:val="Normal1"/>
        <w:numPr>
          <w:ilvl w:val="0"/>
          <w:numId w:val="8"/>
        </w:numPr>
      </w:pPr>
      <w:r w:rsidRPr="00CD6245">
        <w:t>in relation to the supply of goods and services to departments and specified entities and the management and disposal of goods by departments and specified entities</w:t>
      </w:r>
      <w:r w:rsidR="007369A6" w:rsidRPr="00CD6245">
        <w:t>—</w:t>
      </w:r>
    </w:p>
    <w:p w:rsidR="004A6A11" w:rsidRPr="00CD6245" w:rsidRDefault="004A6A11" w:rsidP="00EE16F2">
      <w:pPr>
        <w:pStyle w:val="ListParagraph"/>
        <w:numPr>
          <w:ilvl w:val="2"/>
          <w:numId w:val="9"/>
        </w:numPr>
      </w:pPr>
      <w:r w:rsidRPr="00CD6245">
        <w:t>to develop, implement and review policies and practices; and</w:t>
      </w:r>
    </w:p>
    <w:p w:rsidR="004A6A11" w:rsidRPr="00CD6245" w:rsidRDefault="004A6A11" w:rsidP="00323EEF">
      <w:pPr>
        <w:pStyle w:val="ListParagraph"/>
        <w:numPr>
          <w:ilvl w:val="2"/>
          <w:numId w:val="9"/>
        </w:numPr>
      </w:pPr>
      <w:r w:rsidRPr="00CD6245">
        <w:t>to provide advice, staff training and consultancy services;</w:t>
      </w:r>
    </w:p>
    <w:p w:rsidR="004A6A11" w:rsidRPr="00CD6245" w:rsidRDefault="004A6A11" w:rsidP="00EE16F2">
      <w:pPr>
        <w:pStyle w:val="Normal1"/>
        <w:numPr>
          <w:ilvl w:val="0"/>
          <w:numId w:val="8"/>
        </w:numPr>
      </w:pPr>
      <w:r w:rsidRPr="00CD6245">
        <w:t xml:space="preserve">to monitor compliance </w:t>
      </w:r>
      <w:r w:rsidR="00323EEF" w:rsidRPr="00CD6245">
        <w:t xml:space="preserve">by </w:t>
      </w:r>
      <w:r w:rsidRPr="00CD6245">
        <w:t>departments and specified entities with supply policies and Ministerial directions and to report irregularities to the relevant Minister and the Minister;</w:t>
      </w:r>
    </w:p>
    <w:p w:rsidR="004A6A11" w:rsidRPr="00CD6245" w:rsidRDefault="004A6A11" w:rsidP="00EE16F2">
      <w:pPr>
        <w:pStyle w:val="Normal1"/>
        <w:numPr>
          <w:ilvl w:val="0"/>
          <w:numId w:val="8"/>
        </w:numPr>
      </w:pPr>
      <w:r w:rsidRPr="00CD6245">
        <w:t>to foster improvements in the use and application of purchasing systems and electronic trading;</w:t>
      </w:r>
    </w:p>
    <w:p w:rsidR="004A6A11" w:rsidRPr="00CD6245" w:rsidRDefault="004A6A11" w:rsidP="00EE16F2">
      <w:pPr>
        <w:pStyle w:val="Normal1"/>
        <w:numPr>
          <w:ilvl w:val="0"/>
          <w:numId w:val="8"/>
        </w:numPr>
      </w:pPr>
      <w:r w:rsidRPr="00CD6245">
        <w:t>to establish and maintain a comprehensive data</w:t>
      </w:r>
      <w:r w:rsidR="00A10688" w:rsidRPr="00CD6245">
        <w:t xml:space="preserve"> </w:t>
      </w:r>
      <w:r w:rsidRPr="00CD6245">
        <w:t>base of purchasing data of departments and specified entities and supply markets for access by departments and specified entities;</w:t>
      </w:r>
    </w:p>
    <w:p w:rsidR="004A6A11" w:rsidRPr="00CD6245" w:rsidRDefault="004A6A11" w:rsidP="00EE16F2">
      <w:pPr>
        <w:pStyle w:val="Normal1"/>
        <w:numPr>
          <w:ilvl w:val="0"/>
          <w:numId w:val="8"/>
        </w:numPr>
      </w:pPr>
      <w:r w:rsidRPr="00CD6245">
        <w:t>any other functions conferred on the Board by this Part.</w:t>
      </w:r>
    </w:p>
    <w:p w:rsidR="004A6A11" w:rsidRPr="00CD6245" w:rsidRDefault="004A6A11" w:rsidP="004A6A11">
      <w:pPr>
        <w:pStyle w:val="Normal1"/>
      </w:pPr>
      <w:r w:rsidRPr="00CD6245">
        <w:t>The VGPB has the following powers under section 54C of the FMA:</w:t>
      </w:r>
    </w:p>
    <w:p w:rsidR="004A6A11" w:rsidRPr="00CD6245" w:rsidRDefault="004A6A11" w:rsidP="004A6A11">
      <w:pPr>
        <w:pStyle w:val="ListNumber"/>
      </w:pPr>
      <w:r w:rsidRPr="00CD6245">
        <w:t>The Board has all the powers necessary to perform its functions.</w:t>
      </w:r>
    </w:p>
    <w:p w:rsidR="004A6A11" w:rsidRPr="00CD6245" w:rsidRDefault="004A6A11" w:rsidP="004A6A11">
      <w:pPr>
        <w:pStyle w:val="ListNumber"/>
      </w:pPr>
      <w:r w:rsidRPr="00CD6245">
        <w:t>Without limiting subsection (1), the Board may</w:t>
      </w:r>
      <w:r w:rsidR="007369A6" w:rsidRPr="00CD6245">
        <w:t>—</w:t>
      </w:r>
    </w:p>
    <w:p w:rsidR="004A6A11" w:rsidRPr="00CD6245" w:rsidRDefault="004A6A11" w:rsidP="00EE16F2">
      <w:pPr>
        <w:pStyle w:val="ListNumber"/>
        <w:numPr>
          <w:ilvl w:val="1"/>
          <w:numId w:val="2"/>
        </w:numPr>
      </w:pPr>
      <w:r w:rsidRPr="00CD6245">
        <w:t>enter into contracts or arrangements on its own behalf, on behalf of the State or on behalf of departments or specified entities;</w:t>
      </w:r>
    </w:p>
    <w:p w:rsidR="004A6A11" w:rsidRPr="00CD6245" w:rsidRDefault="004A6A11" w:rsidP="00EE16F2">
      <w:pPr>
        <w:pStyle w:val="ListNumber"/>
        <w:numPr>
          <w:ilvl w:val="1"/>
          <w:numId w:val="2"/>
        </w:numPr>
      </w:pPr>
      <w:r w:rsidRPr="00CD6245">
        <w:t>call and award tenders and advertise;</w:t>
      </w:r>
    </w:p>
    <w:p w:rsidR="004A6A11" w:rsidRPr="00CD6245" w:rsidRDefault="004A6A11" w:rsidP="00EE16F2">
      <w:pPr>
        <w:pStyle w:val="ListNumber"/>
        <w:numPr>
          <w:ilvl w:val="1"/>
          <w:numId w:val="2"/>
        </w:numPr>
      </w:pPr>
      <w:r w:rsidRPr="00CD6245">
        <w:t>consider and approve requisitions for the purchase of goods and services by departments or specified entities;</w:t>
      </w:r>
    </w:p>
    <w:p w:rsidR="004A6A11" w:rsidRPr="00CD6245" w:rsidRDefault="004A6A11" w:rsidP="00EE16F2">
      <w:pPr>
        <w:pStyle w:val="ListNumber"/>
        <w:numPr>
          <w:ilvl w:val="1"/>
          <w:numId w:val="2"/>
        </w:numPr>
      </w:pPr>
      <w:r w:rsidRPr="00CD6245">
        <w:t>require accountable officers to audit compliance by departments and specified entities with supply policies and Ministerial directions and provide audit reports to the Board;</w:t>
      </w:r>
    </w:p>
    <w:p w:rsidR="004A6A11" w:rsidRPr="00CD6245" w:rsidRDefault="004A6A11" w:rsidP="00EE16F2">
      <w:pPr>
        <w:pStyle w:val="ListNumber"/>
        <w:numPr>
          <w:ilvl w:val="1"/>
          <w:numId w:val="2"/>
        </w:numPr>
      </w:pPr>
      <w:r w:rsidRPr="00CD6245">
        <w:t>require accountable officers to provide information and data relating to the supply of goods and services and the management and disposal of goods;</w:t>
      </w:r>
    </w:p>
    <w:p w:rsidR="004A6A11" w:rsidRPr="00CD6245" w:rsidRDefault="004A6A11" w:rsidP="00EE16F2">
      <w:pPr>
        <w:pStyle w:val="ListNumber"/>
        <w:numPr>
          <w:ilvl w:val="1"/>
          <w:numId w:val="2"/>
        </w:numPr>
      </w:pPr>
      <w:r w:rsidRPr="00CD6245">
        <w:t>exercise any other powers conferred on the Board by this Act or the regulations.</w:t>
      </w:r>
    </w:p>
    <w:p w:rsidR="004A6A11" w:rsidRPr="00CD6245" w:rsidRDefault="004A6A11" w:rsidP="004A6A11">
      <w:pPr>
        <w:pStyle w:val="Normal1"/>
      </w:pPr>
      <w:r w:rsidRPr="00CD6245">
        <w:t>An accountable officer must provide to the Board on request</w:t>
      </w:r>
      <w:r w:rsidR="007369A6" w:rsidRPr="00CD6245">
        <w:t>—</w:t>
      </w:r>
    </w:p>
    <w:p w:rsidR="004A6A11" w:rsidRPr="00CD6245" w:rsidRDefault="004A6A11" w:rsidP="00EE16F2">
      <w:pPr>
        <w:pStyle w:val="ListNumber"/>
        <w:numPr>
          <w:ilvl w:val="1"/>
          <w:numId w:val="6"/>
        </w:numPr>
      </w:pPr>
      <w:r w:rsidRPr="00CD6245">
        <w:t>audit reports referred to in subsection (2)(d);</w:t>
      </w:r>
    </w:p>
    <w:p w:rsidR="004A6A11" w:rsidRPr="00CD6245" w:rsidRDefault="004A6A11" w:rsidP="00EE16F2">
      <w:pPr>
        <w:pStyle w:val="ListNumber"/>
        <w:numPr>
          <w:ilvl w:val="1"/>
          <w:numId w:val="2"/>
        </w:numPr>
      </w:pPr>
      <w:r w:rsidRPr="00CD6245">
        <w:t>information and data referred to in subsection (2)(e).</w:t>
      </w:r>
    </w:p>
    <w:p w:rsidR="00F706AE" w:rsidRPr="00CD6245" w:rsidRDefault="00F706AE" w:rsidP="00EA4A29">
      <w:pPr>
        <w:pStyle w:val="Heading3NoNum"/>
        <w:rPr>
          <w:b w:val="0"/>
          <w:color w:val="auto"/>
          <w:kern w:val="0"/>
          <w:sz w:val="22"/>
          <w:lang w:eastAsia="en-AU"/>
        </w:rPr>
      </w:pPr>
      <w:bookmarkStart w:id="28" w:name="_Toc366693314"/>
      <w:bookmarkStart w:id="29" w:name="_Toc388705849"/>
      <w:bookmarkStart w:id="30" w:name="_Toc366693312"/>
      <w:bookmarkStart w:id="31" w:name="_Toc388705847"/>
      <w:r w:rsidRPr="00CD6245">
        <w:rPr>
          <w:b w:val="0"/>
          <w:color w:val="auto"/>
          <w:kern w:val="0"/>
          <w:sz w:val="22"/>
          <w:lang w:eastAsia="en-AU"/>
        </w:rPr>
        <w:t>For the purpose of this report departments and specified entities are referred to as organisations.</w:t>
      </w:r>
    </w:p>
    <w:p w:rsidR="0003409C" w:rsidRPr="00CD6245" w:rsidRDefault="0003409C">
      <w:pPr>
        <w:rPr>
          <w:rFonts w:ascii="Calibri" w:hAnsi="Calibri" w:cs="Calibri"/>
          <w:b/>
          <w:color w:val="4D4D4D"/>
          <w:kern w:val="28"/>
          <w:sz w:val="26"/>
          <w:szCs w:val="22"/>
          <w:lang w:eastAsia="en-US"/>
        </w:rPr>
      </w:pPr>
      <w:r w:rsidRPr="00CD6245">
        <w:br w:type="page"/>
      </w:r>
    </w:p>
    <w:p w:rsidR="00EA4A29" w:rsidRPr="00CD6245" w:rsidRDefault="00EA4A29" w:rsidP="00EA4A29">
      <w:pPr>
        <w:pStyle w:val="Heading3NoNum"/>
      </w:pPr>
      <w:r w:rsidRPr="00CD6245">
        <w:lastRenderedPageBreak/>
        <w:t>Reporting relationship</w:t>
      </w:r>
      <w:bookmarkEnd w:id="28"/>
      <w:bookmarkEnd w:id="29"/>
    </w:p>
    <w:p w:rsidR="00EA4A29" w:rsidRPr="00CD6245" w:rsidRDefault="00EA4A29" w:rsidP="00EA4A29">
      <w:pPr>
        <w:pStyle w:val="Normal1"/>
      </w:pPr>
      <w:r w:rsidRPr="00CD6245">
        <w:t xml:space="preserve">The VGPB reports to the Minister for Finance. The Department of Treasury and Finance (DTF) provides secretariat and other support to the VGPB and has a direct reporting line to the Minister for Finance on procurement and contracting issues. </w:t>
      </w:r>
      <w:r w:rsidR="00AC517C">
        <w:fldChar w:fldCharType="begin"/>
      </w:r>
      <w:r w:rsidR="00AC517C">
        <w:instrText xml:space="preserve"> REF _Ref457142048 \h  \* MERGEFORMAT </w:instrText>
      </w:r>
      <w:r w:rsidR="00AC517C">
        <w:fldChar w:fldCharType="separate"/>
      </w:r>
      <w:r w:rsidR="002E75B9" w:rsidRPr="00CD6245">
        <w:t xml:space="preserve">Figure </w:t>
      </w:r>
      <w:r w:rsidR="002E75B9">
        <w:t>3</w:t>
      </w:r>
      <w:r w:rsidR="00AC517C">
        <w:fldChar w:fldCharType="end"/>
      </w:r>
      <w:r w:rsidRPr="00CD6245">
        <w:t xml:space="preserve"> illustrates this relationship.</w:t>
      </w:r>
    </w:p>
    <w:p w:rsidR="00EA4A29" w:rsidRPr="00CD6245" w:rsidRDefault="00EA4A29" w:rsidP="00EA4A29">
      <w:pPr>
        <w:pStyle w:val="Caption"/>
      </w:pPr>
      <w:bookmarkStart w:id="32" w:name="_Ref457142048"/>
      <w:bookmarkStart w:id="33" w:name="_Toc388705894"/>
      <w:bookmarkStart w:id="34" w:name="_Toc463527868"/>
      <w:r w:rsidRPr="00CD6245">
        <w:t xml:space="preserve">Figure </w:t>
      </w:r>
      <w:r w:rsidR="002B07C2" w:rsidRPr="00CD6245">
        <w:fldChar w:fldCharType="begin"/>
      </w:r>
      <w:r w:rsidR="005C04D8" w:rsidRPr="00CD6245">
        <w:instrText xml:space="preserve"> SEQ Figure \* ARABIC </w:instrText>
      </w:r>
      <w:r w:rsidR="002B07C2" w:rsidRPr="00CD6245">
        <w:fldChar w:fldCharType="separate"/>
      </w:r>
      <w:r w:rsidR="002E75B9">
        <w:rPr>
          <w:noProof/>
        </w:rPr>
        <w:t>3</w:t>
      </w:r>
      <w:r w:rsidR="002B07C2" w:rsidRPr="00CD6245">
        <w:fldChar w:fldCharType="end"/>
      </w:r>
      <w:bookmarkEnd w:id="32"/>
      <w:r w:rsidRPr="00CD6245">
        <w:t>: VGPB reporting relationship</w:t>
      </w:r>
      <w:bookmarkEnd w:id="33"/>
      <w:bookmarkEnd w:id="34"/>
    </w:p>
    <w:p w:rsidR="00EA4A29" w:rsidRPr="00CD6245" w:rsidRDefault="00EA4A29" w:rsidP="00EA4A29">
      <w:pPr>
        <w:ind w:left="851"/>
      </w:pPr>
      <w:r w:rsidRPr="00CD6245">
        <w:rPr>
          <w:noProof/>
        </w:rPr>
        <w:drawing>
          <wp:inline distT="0" distB="0" distL="0" distR="0" wp14:anchorId="180832F2" wp14:editId="0D972DD5">
            <wp:extent cx="5270500" cy="1508125"/>
            <wp:effectExtent l="19050" t="0" r="6350" b="0"/>
            <wp:docPr id="5" name="Picture 3"/>
            <wp:cNvGraphicFramePr/>
            <a:graphic xmlns:a="http://schemas.openxmlformats.org/drawingml/2006/main">
              <a:graphicData uri="http://schemas.openxmlformats.org/drawingml/2006/picture">
                <pic:pic xmlns:pic="http://schemas.openxmlformats.org/drawingml/2006/picture">
                  <pic:nvPicPr>
                    <pic:cNvPr id="0" name="DTF027_FA_vgpbar_Fig03.jpg"/>
                    <pic:cNvPicPr/>
                  </pic:nvPicPr>
                  <pic:blipFill>
                    <a:blip r:embed="rId17">
                      <a:extLst>
                        <a:ext uri="{28A0092B-C50C-407E-A947-70E740481C1C}">
                          <a14:useLocalDpi xmlns:a14="http://schemas.microsoft.com/office/drawing/2010/main" val="0"/>
                        </a:ext>
                      </a:extLst>
                    </a:blip>
                    <a:stretch>
                      <a:fillRect/>
                    </a:stretch>
                  </pic:blipFill>
                  <pic:spPr>
                    <a:xfrm>
                      <a:off x="0" y="0"/>
                      <a:ext cx="5270500" cy="1508125"/>
                    </a:xfrm>
                    <a:prstGeom prst="rect">
                      <a:avLst/>
                    </a:prstGeom>
                  </pic:spPr>
                </pic:pic>
              </a:graphicData>
            </a:graphic>
          </wp:inline>
        </w:drawing>
      </w:r>
    </w:p>
    <w:p w:rsidR="00EA4A29" w:rsidRPr="00CD6245" w:rsidRDefault="00EA4A29" w:rsidP="00EA4A29">
      <w:pPr>
        <w:pStyle w:val="Normal1"/>
      </w:pPr>
      <w:r w:rsidRPr="00CD6245">
        <w:t>Under section 54M of the FMA</w:t>
      </w:r>
      <w:r w:rsidRPr="00CD6245">
        <w:rPr>
          <w:i/>
        </w:rPr>
        <w:t xml:space="preserve">, </w:t>
      </w:r>
      <w:r w:rsidRPr="00CD6245">
        <w:t>the VGPB must give the Minister for Finance a report of its work and activities for the year ending on 30 June that year. The Minister for Finance tables the VGPB’s annual report in Parliament.</w:t>
      </w:r>
    </w:p>
    <w:p w:rsidR="004A6A11" w:rsidRPr="00CD6245" w:rsidRDefault="004A6A11" w:rsidP="004A6A11">
      <w:pPr>
        <w:pStyle w:val="Heading2NoNum"/>
      </w:pPr>
      <w:bookmarkStart w:id="35" w:name="_Toc463527715"/>
      <w:r w:rsidRPr="00CD6245">
        <w:t>Scope of VGPB policies</w:t>
      </w:r>
      <w:bookmarkEnd w:id="30"/>
      <w:bookmarkEnd w:id="31"/>
      <w:bookmarkEnd w:id="35"/>
    </w:p>
    <w:p w:rsidR="004A6A11" w:rsidRPr="00CD6245" w:rsidRDefault="004A6A11" w:rsidP="004A6A11">
      <w:pPr>
        <w:pStyle w:val="Normal1"/>
      </w:pPr>
      <w:r w:rsidRPr="00CD6245">
        <w:t xml:space="preserve">The VGPB’s policies apply to </w:t>
      </w:r>
      <w:r w:rsidR="008D199D" w:rsidRPr="00CD6245">
        <w:t xml:space="preserve">the following </w:t>
      </w:r>
      <w:r w:rsidRPr="00CD6245">
        <w:t>public service bodies:</w:t>
      </w:r>
    </w:p>
    <w:p w:rsidR="004A6A11" w:rsidRPr="00CD6245" w:rsidRDefault="004A6A11" w:rsidP="004A6A11">
      <w:pPr>
        <w:pStyle w:val="Bullet1"/>
      </w:pPr>
      <w:r w:rsidRPr="00CD6245">
        <w:t>government departments</w:t>
      </w:r>
      <w:r w:rsidR="008D199D" w:rsidRPr="00CD6245">
        <w:t xml:space="preserve"> and specified entities</w:t>
      </w:r>
      <w:r w:rsidRPr="00CD6245">
        <w:t>;</w:t>
      </w:r>
    </w:p>
    <w:p w:rsidR="00F706AE" w:rsidRPr="00CD6245" w:rsidRDefault="004A6A11" w:rsidP="004A6A11">
      <w:pPr>
        <w:pStyle w:val="Bullet1"/>
      </w:pPr>
      <w:r w:rsidRPr="00CD6245">
        <w:t>the Victorian Public Sector Commission</w:t>
      </w:r>
      <w:r w:rsidR="00F706AE" w:rsidRPr="00CD6245">
        <w:t>; and</w:t>
      </w:r>
    </w:p>
    <w:p w:rsidR="004A6A11" w:rsidRPr="00CD6245" w:rsidRDefault="00F706AE" w:rsidP="004A6A11">
      <w:pPr>
        <w:pStyle w:val="Bullet1"/>
      </w:pPr>
      <w:r w:rsidRPr="00CD6245">
        <w:t>those offices or bodies specified in section 16(1) of the Public Administration Act 2004.</w:t>
      </w:r>
    </w:p>
    <w:p w:rsidR="002228A2" w:rsidRPr="00CD6245" w:rsidRDefault="008D199D" w:rsidP="004A6A11">
      <w:pPr>
        <w:pStyle w:val="Normal1"/>
      </w:pPr>
      <w:r w:rsidRPr="00CD6245">
        <w:t>Under section 54AA of the FMA, the Governor in Council may declare</w:t>
      </w:r>
      <w:r w:rsidR="00A019BB" w:rsidRPr="00CD6245">
        <w:t xml:space="preserve"> by Order</w:t>
      </w:r>
      <w:r w:rsidRPr="00CD6245">
        <w:t xml:space="preserve"> that </w:t>
      </w:r>
      <w:r w:rsidR="002228A2" w:rsidRPr="00CD6245">
        <w:t xml:space="preserve">VGPB policy also applies to </w:t>
      </w:r>
      <w:r w:rsidRPr="00CD6245">
        <w:t xml:space="preserve">an </w:t>
      </w:r>
      <w:r w:rsidR="002228A2" w:rsidRPr="00CD6245">
        <w:t>entit</w:t>
      </w:r>
      <w:r w:rsidRPr="00CD6245">
        <w:t xml:space="preserve">y or a class of entities. </w:t>
      </w:r>
      <w:r w:rsidR="00991073" w:rsidRPr="00CD6245">
        <w:t>VicRoads was granted VGPB accreditation effective 1 July 2015</w:t>
      </w:r>
      <w:r w:rsidR="00A019BB" w:rsidRPr="00CD6245">
        <w:t xml:space="preserve"> and </w:t>
      </w:r>
      <w:r w:rsidR="00D439FF" w:rsidRPr="00CD6245">
        <w:t>was</w:t>
      </w:r>
      <w:r w:rsidR="00D326F9" w:rsidRPr="00CD6245">
        <w:t xml:space="preserve"> declared by </w:t>
      </w:r>
      <w:r w:rsidR="00991073" w:rsidRPr="00CD6245">
        <w:t xml:space="preserve">the Governor in Council </w:t>
      </w:r>
      <w:r w:rsidR="009E1521" w:rsidRPr="00CD6245">
        <w:t>as a</w:t>
      </w:r>
      <w:r w:rsidR="00991073" w:rsidRPr="00CD6245">
        <w:t xml:space="preserve"> specified </w:t>
      </w:r>
      <w:r w:rsidR="00764A65" w:rsidRPr="00CD6245">
        <w:t>entity</w:t>
      </w:r>
      <w:r w:rsidR="00164C63" w:rsidRPr="00CD6245">
        <w:t xml:space="preserve"> </w:t>
      </w:r>
      <w:r w:rsidR="00991073" w:rsidRPr="00CD6245">
        <w:t>under the scope of the VGPB</w:t>
      </w:r>
      <w:r w:rsidR="00D326F9" w:rsidRPr="00CD6245">
        <w:t xml:space="preserve"> on 1 October 2015</w:t>
      </w:r>
      <w:r w:rsidR="00991073" w:rsidRPr="00CD6245">
        <w:t xml:space="preserve">. </w:t>
      </w:r>
      <w:r w:rsidR="002228A2" w:rsidRPr="00CD6245">
        <w:t>P</w:t>
      </w:r>
      <w:r w:rsidR="00355BB9" w:rsidRPr="00CD6245">
        <w:t>TV</w:t>
      </w:r>
      <w:r w:rsidR="002228A2" w:rsidRPr="00CD6245">
        <w:t xml:space="preserve"> </w:t>
      </w:r>
      <w:r w:rsidR="00D326F9" w:rsidRPr="00CD6245">
        <w:t xml:space="preserve">is continuing </w:t>
      </w:r>
      <w:r w:rsidR="00795C6D" w:rsidRPr="00CD6245">
        <w:t xml:space="preserve">its </w:t>
      </w:r>
      <w:r w:rsidR="002228A2" w:rsidRPr="00CD6245">
        <w:t xml:space="preserve">accreditation </w:t>
      </w:r>
      <w:r w:rsidR="00991073" w:rsidRPr="00CD6245">
        <w:t>process with the VGPB.</w:t>
      </w:r>
    </w:p>
    <w:p w:rsidR="002228A2" w:rsidRPr="00CD6245" w:rsidRDefault="002E75B9" w:rsidP="004A6A11">
      <w:pPr>
        <w:pStyle w:val="Normal1"/>
      </w:pPr>
      <w:r>
        <w:t xml:space="preserve">Table 3 </w:t>
      </w:r>
      <w:r w:rsidR="004A6A11" w:rsidRPr="00CD6245">
        <w:t xml:space="preserve">lists the </w:t>
      </w:r>
      <w:r w:rsidR="008D199D" w:rsidRPr="00CD6245">
        <w:t xml:space="preserve">public service bodies </w:t>
      </w:r>
      <w:r w:rsidR="004A6A11" w:rsidRPr="00CD6245">
        <w:t>bound by VGPB policies</w:t>
      </w:r>
      <w:r w:rsidR="00BA5694" w:rsidRPr="00CD6245">
        <w:t xml:space="preserve"> as at 30 June 201</w:t>
      </w:r>
      <w:r w:rsidR="00211FE8" w:rsidRPr="00CD6245">
        <w:t>6</w:t>
      </w:r>
      <w:r w:rsidR="004A6A11" w:rsidRPr="00CD6245">
        <w:t>.</w:t>
      </w:r>
    </w:p>
    <w:p w:rsidR="004A6A11" w:rsidRPr="00CD6245" w:rsidRDefault="004A6A11" w:rsidP="004A6A11">
      <w:pPr>
        <w:pStyle w:val="Normal1"/>
      </w:pPr>
      <w:r w:rsidRPr="00CD6245">
        <w:t xml:space="preserve">Administrative offices and the Victorian Public Sector Commission do not report directly to the VGPB, but operate through their portfolio departments. </w:t>
      </w:r>
      <w:r w:rsidR="00950BE0" w:rsidRPr="00CD6245">
        <w:t xml:space="preserve">Victoria Police sits </w:t>
      </w:r>
      <w:r w:rsidR="00A7104A" w:rsidRPr="00CD6245">
        <w:t xml:space="preserve">in </w:t>
      </w:r>
      <w:r w:rsidR="00950BE0" w:rsidRPr="00CD6245">
        <w:t xml:space="preserve">the Department of Justice </w:t>
      </w:r>
      <w:r w:rsidR="00AE1EB4" w:rsidRPr="00CD6245">
        <w:t xml:space="preserve">and Regulation </w:t>
      </w:r>
      <w:r w:rsidR="00950BE0" w:rsidRPr="00CD6245">
        <w:t xml:space="preserve">portfolio but reports to the VGPB </w:t>
      </w:r>
      <w:r w:rsidR="007A405E" w:rsidRPr="00CD6245">
        <w:t>direct</w:t>
      </w:r>
      <w:r w:rsidR="00950BE0" w:rsidRPr="00CD6245">
        <w:t xml:space="preserve">ly for </w:t>
      </w:r>
      <w:r w:rsidR="00164C63" w:rsidRPr="00CD6245">
        <w:t xml:space="preserve">purposes </w:t>
      </w:r>
      <w:r w:rsidR="00950BE0" w:rsidRPr="00CD6245">
        <w:t>of oversight.</w:t>
      </w:r>
    </w:p>
    <w:p w:rsidR="00387C16" w:rsidRDefault="00387C16">
      <w:pPr>
        <w:rPr>
          <w:rStyle w:val="CaptionChar"/>
        </w:rPr>
      </w:pPr>
      <w:bookmarkStart w:id="36" w:name="_Ref425523584"/>
      <w:bookmarkStart w:id="37" w:name="_Toc388705874"/>
      <w:r>
        <w:rPr>
          <w:rStyle w:val="CaptionChar"/>
        </w:rPr>
        <w:br w:type="page"/>
      </w:r>
    </w:p>
    <w:p w:rsidR="00387C16" w:rsidRDefault="004A6A11" w:rsidP="00387C16">
      <w:pPr>
        <w:pStyle w:val="Normal1"/>
        <w:rPr>
          <w:rStyle w:val="CaptionChar"/>
        </w:rPr>
      </w:pPr>
      <w:bookmarkStart w:id="38" w:name="_Toc463527838"/>
      <w:r w:rsidRPr="00387C16">
        <w:rPr>
          <w:rStyle w:val="CaptionChar"/>
        </w:rPr>
        <w:lastRenderedPageBreak/>
        <w:t xml:space="preserve">Table </w:t>
      </w:r>
      <w:r w:rsidR="002B07C2" w:rsidRPr="00387C16">
        <w:rPr>
          <w:rStyle w:val="CaptionChar"/>
        </w:rPr>
        <w:fldChar w:fldCharType="begin"/>
      </w:r>
      <w:r w:rsidR="00904A3C" w:rsidRPr="00387C16">
        <w:rPr>
          <w:rStyle w:val="CaptionChar"/>
        </w:rPr>
        <w:instrText xml:space="preserve"> SEQ Table \* ARABIC </w:instrText>
      </w:r>
      <w:r w:rsidR="002B07C2" w:rsidRPr="00387C16">
        <w:rPr>
          <w:rStyle w:val="CaptionChar"/>
        </w:rPr>
        <w:fldChar w:fldCharType="separate"/>
      </w:r>
      <w:r w:rsidR="002E75B9">
        <w:rPr>
          <w:rStyle w:val="CaptionChar"/>
          <w:noProof/>
        </w:rPr>
        <w:t>3</w:t>
      </w:r>
      <w:r w:rsidR="002B07C2" w:rsidRPr="00387C16">
        <w:rPr>
          <w:rStyle w:val="CaptionChar"/>
        </w:rPr>
        <w:fldChar w:fldCharType="end"/>
      </w:r>
      <w:bookmarkEnd w:id="36"/>
      <w:r w:rsidRPr="00387C16">
        <w:rPr>
          <w:rStyle w:val="CaptionChar"/>
        </w:rPr>
        <w:t xml:space="preserve">: </w:t>
      </w:r>
      <w:r w:rsidR="008D199D" w:rsidRPr="00387C16">
        <w:rPr>
          <w:rStyle w:val="CaptionChar"/>
        </w:rPr>
        <w:t xml:space="preserve">Victorian </w:t>
      </w:r>
      <w:r w:rsidR="00F36C25" w:rsidRPr="00387C16">
        <w:rPr>
          <w:rStyle w:val="CaptionChar"/>
        </w:rPr>
        <w:t xml:space="preserve">Government </w:t>
      </w:r>
      <w:r w:rsidR="008D199D" w:rsidRPr="00387C16">
        <w:rPr>
          <w:rStyle w:val="CaptionChar"/>
        </w:rPr>
        <w:t xml:space="preserve">public service bodies </w:t>
      </w:r>
      <w:r w:rsidRPr="00387C16">
        <w:rPr>
          <w:rStyle w:val="CaptionChar"/>
        </w:rPr>
        <w:t>bound by VGPB policies</w:t>
      </w:r>
      <w:bookmarkEnd w:id="37"/>
      <w:r w:rsidR="004643AF" w:rsidRPr="00387C16">
        <w:rPr>
          <w:rStyle w:val="CaptionChar"/>
        </w:rPr>
        <w:t xml:space="preserve"> as at 30 June 201</w:t>
      </w:r>
      <w:r w:rsidR="00211FE8" w:rsidRPr="00387C16">
        <w:rPr>
          <w:rStyle w:val="CaptionChar"/>
        </w:rPr>
        <w:t>6</w:t>
      </w:r>
      <w:bookmarkEnd w:id="38"/>
    </w:p>
    <w:p w:rsidR="00B42930" w:rsidRPr="00B42930" w:rsidRDefault="00B42930" w:rsidP="00387C16">
      <w:pPr>
        <w:pStyle w:val="Normal1"/>
      </w:pPr>
      <w:r w:rsidRPr="00387C16">
        <w:rPr>
          <w:noProof/>
        </w:rPr>
        <w:drawing>
          <wp:inline distT="0" distB="0" distL="0" distR="0" wp14:anchorId="7BC5F587" wp14:editId="7469423D">
            <wp:extent cx="5252085" cy="5474970"/>
            <wp:effectExtent l="0" t="0" r="5715" b="11430"/>
            <wp:docPr id="9" name="Picture 9" descr="Orange Crush:Users:chrisashe:Desktop:DTF033_VGPB-T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Orange Crush:Users:chrisashe:Desktop:DTF033_VGPB-T3.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52085" cy="5474970"/>
                    </a:xfrm>
                    <a:prstGeom prst="rect">
                      <a:avLst/>
                    </a:prstGeom>
                    <a:noFill/>
                    <a:ln>
                      <a:noFill/>
                    </a:ln>
                  </pic:spPr>
                </pic:pic>
              </a:graphicData>
            </a:graphic>
          </wp:inline>
        </w:drawing>
      </w:r>
    </w:p>
    <w:p w:rsidR="004A6A11" w:rsidRPr="00CD6245" w:rsidRDefault="00A10688" w:rsidP="004A6A11">
      <w:pPr>
        <w:pStyle w:val="Heading2NoNum"/>
      </w:pPr>
      <w:bookmarkStart w:id="39" w:name="_Toc463527716"/>
      <w:bookmarkStart w:id="40" w:name="_Toc366693313"/>
      <w:bookmarkStart w:id="41" w:name="_Toc388705848"/>
      <w:r w:rsidRPr="00CD6245">
        <w:t>C</w:t>
      </w:r>
      <w:r w:rsidR="004A6A11" w:rsidRPr="00CD6245">
        <w:t>ompliance with VGPB policies</w:t>
      </w:r>
      <w:bookmarkEnd w:id="39"/>
    </w:p>
    <w:p w:rsidR="00BC0EB9" w:rsidRPr="00CD6245" w:rsidRDefault="00BC0EB9" w:rsidP="00BC0EB9">
      <w:pPr>
        <w:pStyle w:val="Normal1"/>
      </w:pPr>
      <w:r w:rsidRPr="00CD6245">
        <w:t xml:space="preserve">Section 54L of the </w:t>
      </w:r>
      <w:r w:rsidR="007A405E" w:rsidRPr="00CD6245">
        <w:t>FMA</w:t>
      </w:r>
      <w:r w:rsidRPr="00CD6245">
        <w:t xml:space="preserve"> requires all accountable officers </w:t>
      </w:r>
      <w:r w:rsidR="00A10688" w:rsidRPr="00CD6245">
        <w:t xml:space="preserve">and other members of staff of </w:t>
      </w:r>
      <w:r w:rsidR="00CA550C" w:rsidRPr="00CD6245">
        <w:t>departments and specified entities</w:t>
      </w:r>
      <w:r w:rsidR="00A10688" w:rsidRPr="00CD6245">
        <w:t xml:space="preserve"> </w:t>
      </w:r>
      <w:r w:rsidRPr="00CD6245">
        <w:t>to comply with VGPB procurement policies when acquiring goods and services.</w:t>
      </w:r>
    </w:p>
    <w:p w:rsidR="00B32361" w:rsidRPr="00CD6245" w:rsidRDefault="00B32361" w:rsidP="00B32361">
      <w:pPr>
        <w:pStyle w:val="Normal1"/>
      </w:pPr>
      <w:r w:rsidRPr="00CD6245">
        <w:t>The VGPB has a comprehensive multi-year audit program, rolled out over a three-year period, to verify compliance with VGPB supply policies. The aim of the audit program is to minimise risks and improve processes to drive better procurement outcomes. The audit measures the extent to which organisations are achieving savings, efficiencies and better service delivery as a result of improved supplier engagement, increased market engagement and greater rigour in driving value from contracts.</w:t>
      </w:r>
    </w:p>
    <w:p w:rsidR="00450A27" w:rsidRPr="00CD6245" w:rsidRDefault="00D439FF" w:rsidP="00450A27">
      <w:pPr>
        <w:pStyle w:val="Normal1"/>
      </w:pPr>
      <w:r w:rsidRPr="00CD6245">
        <w:t xml:space="preserve">Organisations </w:t>
      </w:r>
      <w:r w:rsidR="00CD69D5" w:rsidRPr="00CD6245">
        <w:t xml:space="preserve">submit their procurement activity plans every year for </w:t>
      </w:r>
      <w:r w:rsidR="00450A27" w:rsidRPr="00CD6245">
        <w:t>review</w:t>
      </w:r>
      <w:r w:rsidR="00164C63" w:rsidRPr="00CD6245">
        <w:t xml:space="preserve">. Organisations can nominate </w:t>
      </w:r>
      <w:r w:rsidR="007604B1" w:rsidRPr="00CD6245">
        <w:t xml:space="preserve">certain strategic </w:t>
      </w:r>
      <w:r w:rsidR="00164C63" w:rsidRPr="00CD6245">
        <w:t>procurement</w:t>
      </w:r>
      <w:r w:rsidR="007604B1" w:rsidRPr="00CD6245">
        <w:t>s for</w:t>
      </w:r>
      <w:r w:rsidR="00164C63" w:rsidRPr="00CD6245">
        <w:t xml:space="preserve"> VGPB oversight. In addition, </w:t>
      </w:r>
      <w:r w:rsidR="00450A27" w:rsidRPr="00CD6245">
        <w:t xml:space="preserve">the VGPB </w:t>
      </w:r>
      <w:r w:rsidR="00CD69D5" w:rsidRPr="00CD6245">
        <w:t xml:space="preserve">can </w:t>
      </w:r>
      <w:r w:rsidR="00450A27" w:rsidRPr="00CD6245">
        <w:t>identif</w:t>
      </w:r>
      <w:r w:rsidR="00CD69D5" w:rsidRPr="00CD6245">
        <w:t>y</w:t>
      </w:r>
      <w:r w:rsidR="00450A27" w:rsidRPr="00CD6245">
        <w:t xml:space="preserve"> specific procurements for ongoing oversight</w:t>
      </w:r>
      <w:r w:rsidR="005B294A" w:rsidRPr="00CD6245">
        <w:t xml:space="preserve"> and opportunities for aggregation</w:t>
      </w:r>
      <w:r w:rsidR="00450A27" w:rsidRPr="00CD6245">
        <w:t xml:space="preserve">. </w:t>
      </w:r>
      <w:r w:rsidR="00164C63" w:rsidRPr="00CD6245">
        <w:t>All oversight projects</w:t>
      </w:r>
      <w:r w:rsidR="00450A27" w:rsidRPr="00CD6245">
        <w:t xml:space="preserve"> are considered to be </w:t>
      </w:r>
      <w:r w:rsidR="00804CEB" w:rsidRPr="00CD6245">
        <w:t xml:space="preserve">of strategic importance to the </w:t>
      </w:r>
      <w:r w:rsidR="005B294A" w:rsidRPr="00CD6245">
        <w:t>S</w:t>
      </w:r>
      <w:r w:rsidR="00450A27" w:rsidRPr="00CD6245">
        <w:t xml:space="preserve">tate and are subject to the VGPB’s ongoing review at key stages of the procurement process. The VGPB provides recommendations for </w:t>
      </w:r>
      <w:r w:rsidR="00FD0317" w:rsidRPr="00CD6245">
        <w:t>organisation</w:t>
      </w:r>
      <w:r w:rsidR="00450A27" w:rsidRPr="00CD6245">
        <w:t>s to action based on the outcomes of its review.</w:t>
      </w:r>
    </w:p>
    <w:p w:rsidR="00FE3E0E" w:rsidRDefault="00FD0317" w:rsidP="004A6A11">
      <w:pPr>
        <w:pStyle w:val="Normal1"/>
      </w:pPr>
      <w:r w:rsidRPr="00CD6245">
        <w:lastRenderedPageBreak/>
        <w:t>Organisation</w:t>
      </w:r>
      <w:r w:rsidR="004A6A11" w:rsidRPr="00CD6245">
        <w:t xml:space="preserve">s </w:t>
      </w:r>
      <w:r w:rsidR="00450A27" w:rsidRPr="00CD6245">
        <w:t xml:space="preserve">also </w:t>
      </w:r>
      <w:r w:rsidR="004A6A11" w:rsidRPr="00CD6245">
        <w:t xml:space="preserve">complete an annual supply report at the end of each financial year for the VGPB. </w:t>
      </w:r>
      <w:r w:rsidR="00164C63" w:rsidRPr="00CD6245">
        <w:t xml:space="preserve">Each </w:t>
      </w:r>
      <w:r w:rsidR="003B398F" w:rsidRPr="00CD6245">
        <w:t>annual supply report</w:t>
      </w:r>
      <w:r w:rsidR="00FE3E0E" w:rsidRPr="00CD6245">
        <w:t xml:space="preserve"> </w:t>
      </w:r>
      <w:r w:rsidR="004A6A11" w:rsidRPr="00CD6245">
        <w:t xml:space="preserve">summarises procurement activity during the year </w:t>
      </w:r>
      <w:r w:rsidR="00FE3E0E" w:rsidRPr="00CD6245">
        <w:t xml:space="preserve">and is </w:t>
      </w:r>
      <w:r w:rsidR="00587601" w:rsidRPr="00CD6245">
        <w:t>approved</w:t>
      </w:r>
      <w:r w:rsidR="00FE3E0E" w:rsidRPr="00CD6245">
        <w:t xml:space="preserve"> by the Chair of the internal procurement unit, wh</w:t>
      </w:r>
      <w:r w:rsidR="007A405E" w:rsidRPr="00CD6245">
        <w:t>o</w:t>
      </w:r>
      <w:r w:rsidR="00FE3E0E" w:rsidRPr="00CD6245">
        <w:t xml:space="preserve"> is responsible for governing </w:t>
      </w:r>
      <w:r w:rsidR="00EA4A29" w:rsidRPr="00CD6245">
        <w:t xml:space="preserve">the </w:t>
      </w:r>
      <w:r w:rsidRPr="00CD6245">
        <w:t>organisation</w:t>
      </w:r>
      <w:r w:rsidR="00EA4A29" w:rsidRPr="00CD6245">
        <w:t>’s</w:t>
      </w:r>
      <w:r w:rsidR="00FE3E0E" w:rsidRPr="00CD6245">
        <w:t xml:space="preserve"> procurement process.</w:t>
      </w:r>
    </w:p>
    <w:p w:rsidR="004A6A11" w:rsidRPr="00CD6245" w:rsidRDefault="004A6A11" w:rsidP="004A6A11">
      <w:pPr>
        <w:pStyle w:val="Heading2NoNum"/>
        <w:rPr>
          <w:lang w:val="en-GB"/>
        </w:rPr>
      </w:pPr>
      <w:bookmarkStart w:id="42" w:name="_Toc366693315"/>
      <w:bookmarkStart w:id="43" w:name="_Toc388705850"/>
      <w:bookmarkStart w:id="44" w:name="_Toc463527717"/>
      <w:bookmarkEnd w:id="40"/>
      <w:bookmarkEnd w:id="41"/>
      <w:r w:rsidRPr="00CD6245">
        <w:rPr>
          <w:lang w:val="en-GB"/>
        </w:rPr>
        <w:t>VGPB members</w:t>
      </w:r>
      <w:bookmarkEnd w:id="42"/>
      <w:bookmarkEnd w:id="43"/>
      <w:bookmarkEnd w:id="44"/>
    </w:p>
    <w:p w:rsidR="00450A27" w:rsidRPr="00CD6245" w:rsidRDefault="00450A27" w:rsidP="004A6A11">
      <w:pPr>
        <w:pStyle w:val="Normal1"/>
      </w:pPr>
      <w:r w:rsidRPr="00CD6245">
        <w:t>The Board consists of a chairperson and not less than six other members. Board members are selected based on experience and expertise in procurement-related matters. They can be internal or external to government.</w:t>
      </w:r>
    </w:p>
    <w:p w:rsidR="004675D3" w:rsidRPr="00CD6245" w:rsidRDefault="007A405E" w:rsidP="004675D3">
      <w:pPr>
        <w:pStyle w:val="Normal1"/>
      </w:pPr>
      <w:r w:rsidRPr="00CD6245">
        <w:t>At 30 June 201</w:t>
      </w:r>
      <w:r w:rsidR="00844BC9" w:rsidRPr="00CD6245">
        <w:t>6</w:t>
      </w:r>
      <w:r w:rsidR="00920D0E" w:rsidRPr="00CD6245">
        <w:t xml:space="preserve"> the VGPB had</w:t>
      </w:r>
      <w:r w:rsidR="00211FE8" w:rsidRPr="00CD6245">
        <w:t xml:space="preserve"> eight</w:t>
      </w:r>
      <w:r w:rsidR="004A6A11" w:rsidRPr="00CD6245">
        <w:t xml:space="preserve"> members</w:t>
      </w:r>
      <w:r w:rsidR="00450A27" w:rsidRPr="00CD6245">
        <w:t xml:space="preserve"> including the Chair</w:t>
      </w:r>
      <w:r w:rsidR="004A6A11" w:rsidRPr="00CD6245">
        <w:t xml:space="preserve">. </w:t>
      </w:r>
      <w:r w:rsidR="00211FE8" w:rsidRPr="00CD6245">
        <w:t>Six</w:t>
      </w:r>
      <w:r w:rsidR="004675D3" w:rsidRPr="00CD6245">
        <w:t xml:space="preserve"> members we</w:t>
      </w:r>
      <w:r w:rsidR="004A6A11" w:rsidRPr="00CD6245">
        <w:t>re external appointees and</w:t>
      </w:r>
      <w:r w:rsidR="00450A27" w:rsidRPr="00CD6245">
        <w:t xml:space="preserve"> two </w:t>
      </w:r>
      <w:r w:rsidR="004A6A11" w:rsidRPr="00CD6245">
        <w:t>appointee</w:t>
      </w:r>
      <w:r w:rsidR="00450A27" w:rsidRPr="00CD6245">
        <w:t xml:space="preserve">s </w:t>
      </w:r>
      <w:r w:rsidR="004675D3" w:rsidRPr="00CD6245">
        <w:t>we</w:t>
      </w:r>
      <w:r w:rsidR="00450A27" w:rsidRPr="00CD6245">
        <w:t>re</w:t>
      </w:r>
      <w:r w:rsidR="004A6A11" w:rsidRPr="00CD6245">
        <w:t xml:space="preserve"> from </w:t>
      </w:r>
      <w:r w:rsidR="00450A27" w:rsidRPr="00CD6245">
        <w:t>the Victorian Government</w:t>
      </w:r>
      <w:r w:rsidR="004675D3" w:rsidRPr="00CD6245">
        <w:t xml:space="preserve"> (see </w:t>
      </w:r>
      <w:r w:rsidR="00AC517C">
        <w:fldChar w:fldCharType="begin"/>
      </w:r>
      <w:r w:rsidR="00AC517C">
        <w:instrText xml:space="preserve"> REF _Ref423625088 \h  \* MERGEFORMAT </w:instrText>
      </w:r>
      <w:r w:rsidR="00AC517C">
        <w:fldChar w:fldCharType="separate"/>
      </w:r>
      <w:r w:rsidR="002E75B9" w:rsidRPr="00CD6245">
        <w:t xml:space="preserve">Table </w:t>
      </w:r>
      <w:r w:rsidR="002E75B9">
        <w:t>4</w:t>
      </w:r>
      <w:r w:rsidR="00AC517C">
        <w:fldChar w:fldCharType="end"/>
      </w:r>
      <w:r w:rsidR="004675D3" w:rsidRPr="00CD6245">
        <w:t>).</w:t>
      </w:r>
    </w:p>
    <w:p w:rsidR="004675D3" w:rsidRPr="00CD6245" w:rsidRDefault="00571365" w:rsidP="004675D3">
      <w:pPr>
        <w:pStyle w:val="Normal1"/>
      </w:pPr>
      <w:r w:rsidRPr="00CD6245">
        <w:t xml:space="preserve">The VGPB meets </w:t>
      </w:r>
      <w:r w:rsidR="007A405E" w:rsidRPr="00CD6245">
        <w:t xml:space="preserve">every two </w:t>
      </w:r>
      <w:r w:rsidR="004675D3" w:rsidRPr="00CD6245">
        <w:t>month</w:t>
      </w:r>
      <w:r w:rsidR="007A405E" w:rsidRPr="00CD6245">
        <w:t>s</w:t>
      </w:r>
      <w:r w:rsidR="00B42930">
        <w:t>. The VGPB also met for a</w:t>
      </w:r>
      <w:r w:rsidR="004675D3" w:rsidRPr="00CD6245">
        <w:t xml:space="preserve">n additional </w:t>
      </w:r>
      <w:r w:rsidR="007C2609">
        <w:t>day</w:t>
      </w:r>
      <w:r w:rsidR="004675D3" w:rsidRPr="00CD6245">
        <w:t xml:space="preserve"> in March </w:t>
      </w:r>
      <w:r w:rsidR="00B42930">
        <w:t xml:space="preserve">2016 </w:t>
      </w:r>
      <w:r w:rsidR="00B42930" w:rsidRPr="00A64F1B">
        <w:t>to develop its five-year strategic plan.</w:t>
      </w:r>
    </w:p>
    <w:p w:rsidR="003C3B61" w:rsidRPr="00CD6245" w:rsidRDefault="003C3B61" w:rsidP="004675D3">
      <w:pPr>
        <w:pStyle w:val="Normal1"/>
      </w:pPr>
      <w:r w:rsidRPr="00CD6245">
        <w:t xml:space="preserve">The VGPB had </w:t>
      </w:r>
      <w:r w:rsidR="00587601" w:rsidRPr="00CD6245">
        <w:t>two</w:t>
      </w:r>
      <w:r w:rsidRPr="00CD6245">
        <w:t xml:space="preserve"> member appointment</w:t>
      </w:r>
      <w:r w:rsidR="00587601" w:rsidRPr="00CD6245">
        <w:t>s</w:t>
      </w:r>
      <w:r w:rsidRPr="00CD6245">
        <w:t xml:space="preserve"> that concluded during the year:</w:t>
      </w:r>
    </w:p>
    <w:p w:rsidR="00B32361" w:rsidRPr="00CD6245" w:rsidRDefault="003C3B61" w:rsidP="003C3B61">
      <w:pPr>
        <w:pStyle w:val="Bullet1"/>
      </w:pPr>
      <w:r w:rsidRPr="00CD6245">
        <w:t xml:space="preserve">Neil Lucas on </w:t>
      </w:r>
      <w:r w:rsidR="00211FE8" w:rsidRPr="00CD6245">
        <w:t>9 October 2015</w:t>
      </w:r>
      <w:r w:rsidR="00B32361" w:rsidRPr="00CD6245">
        <w:t>; and</w:t>
      </w:r>
    </w:p>
    <w:p w:rsidR="003C3B61" w:rsidRPr="00CD6245" w:rsidRDefault="00B32361" w:rsidP="00B32361">
      <w:pPr>
        <w:pStyle w:val="Bullet1"/>
      </w:pPr>
      <w:r w:rsidRPr="00CD6245">
        <w:t>Julie Freeman on 30 June 2016.</w:t>
      </w:r>
    </w:p>
    <w:p w:rsidR="004A6A11" w:rsidRDefault="004A6A11" w:rsidP="004A6A11">
      <w:pPr>
        <w:pStyle w:val="Caption"/>
      </w:pPr>
      <w:bookmarkStart w:id="45" w:name="_Ref423625088"/>
      <w:bookmarkStart w:id="46" w:name="_Toc388705877"/>
      <w:bookmarkStart w:id="47" w:name="_Toc463527839"/>
      <w:r w:rsidRPr="00CD6245">
        <w:t xml:space="preserve">Table </w:t>
      </w:r>
      <w:r w:rsidR="002B07C2" w:rsidRPr="00CD6245">
        <w:fldChar w:fldCharType="begin"/>
      </w:r>
      <w:r w:rsidR="00904A3C" w:rsidRPr="00CD6245">
        <w:instrText xml:space="preserve"> SEQ Table \* ARABIC </w:instrText>
      </w:r>
      <w:r w:rsidR="002B07C2" w:rsidRPr="00CD6245">
        <w:fldChar w:fldCharType="separate"/>
      </w:r>
      <w:r w:rsidR="002E75B9">
        <w:rPr>
          <w:noProof/>
        </w:rPr>
        <w:t>4</w:t>
      </w:r>
      <w:r w:rsidR="002B07C2" w:rsidRPr="00CD6245">
        <w:rPr>
          <w:noProof/>
        </w:rPr>
        <w:fldChar w:fldCharType="end"/>
      </w:r>
      <w:bookmarkEnd w:id="45"/>
      <w:r w:rsidRPr="00CD6245">
        <w:t>: VGPB members</w:t>
      </w:r>
      <w:bookmarkEnd w:id="46"/>
      <w:r w:rsidR="00450A27" w:rsidRPr="00CD6245">
        <w:t xml:space="preserve"> as at 30 June 201</w:t>
      </w:r>
      <w:r w:rsidR="00804CEB" w:rsidRPr="00CD6245">
        <w:t>6</w:t>
      </w:r>
      <w:bookmarkEnd w:id="47"/>
    </w:p>
    <w:p w:rsidR="007C2609" w:rsidRPr="007C2609" w:rsidRDefault="007C2609" w:rsidP="007C2609">
      <w:pPr>
        <w:ind w:left="810"/>
      </w:pPr>
      <w:r>
        <w:rPr>
          <w:noProof/>
        </w:rPr>
        <w:drawing>
          <wp:inline distT="0" distB="0" distL="0" distR="0" wp14:anchorId="051F044B" wp14:editId="11F4548A">
            <wp:extent cx="5274310" cy="5441950"/>
            <wp:effectExtent l="0" t="0" r="8890" b="0"/>
            <wp:docPr id="10" name="Picture 10" descr="Orange Crush:Users:chrisashe:Desktop:DTF033_VGPB-T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Orange Crush:Users:chrisashe:Desktop:DTF033_VGPB-T4.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74310" cy="5441950"/>
                    </a:xfrm>
                    <a:prstGeom prst="rect">
                      <a:avLst/>
                    </a:prstGeom>
                    <a:noFill/>
                    <a:ln>
                      <a:noFill/>
                    </a:ln>
                  </pic:spPr>
                </pic:pic>
              </a:graphicData>
            </a:graphic>
          </wp:inline>
        </w:drawing>
      </w:r>
    </w:p>
    <w:p w:rsidR="007C2609" w:rsidRDefault="007C2609" w:rsidP="00D6356B">
      <w:pPr>
        <w:pStyle w:val="Subscriptnote"/>
      </w:pPr>
      <w:bookmarkStart w:id="48" w:name="_Toc366693316"/>
      <w:r>
        <w:rPr>
          <w:noProof/>
        </w:rPr>
        <w:lastRenderedPageBreak/>
        <w:drawing>
          <wp:inline distT="0" distB="0" distL="0" distR="0" wp14:anchorId="655BFAD0" wp14:editId="14B1DEBF">
            <wp:extent cx="5252085" cy="4772660"/>
            <wp:effectExtent l="0" t="0" r="5715" b="2540"/>
            <wp:docPr id="11" name="Picture 11" descr="Orange Crush:Users:chrisashe:Desktop:DTF033_VGPB-T4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Orange Crush:Users:chrisashe:Desktop:DTF033_VGPB-T4_2.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52085" cy="4772660"/>
                    </a:xfrm>
                    <a:prstGeom prst="rect">
                      <a:avLst/>
                    </a:prstGeom>
                    <a:noFill/>
                    <a:ln>
                      <a:noFill/>
                    </a:ln>
                  </pic:spPr>
                </pic:pic>
              </a:graphicData>
            </a:graphic>
          </wp:inline>
        </w:drawing>
      </w:r>
    </w:p>
    <w:p w:rsidR="004A6A11" w:rsidRPr="00CD6245" w:rsidRDefault="007A405E" w:rsidP="00D6356B">
      <w:pPr>
        <w:pStyle w:val="Subscriptnote"/>
        <w:rPr>
          <w:rFonts w:ascii="Calibri" w:hAnsi="Calibri" w:cs="Calibri"/>
          <w:color w:val="4D4D4D"/>
          <w:kern w:val="28"/>
          <w:sz w:val="30"/>
          <w:szCs w:val="22"/>
          <w:lang w:eastAsia="en-US"/>
        </w:rPr>
      </w:pPr>
      <w:r w:rsidRPr="00CD6245">
        <w:br w:type="page"/>
      </w:r>
      <w:r w:rsidR="004A6A11" w:rsidRPr="00CD6245">
        <w:rPr>
          <w:rFonts w:ascii="Calibri" w:hAnsi="Calibri" w:cs="Calibri"/>
          <w:color w:val="4D4D4D"/>
          <w:kern w:val="28"/>
          <w:sz w:val="30"/>
          <w:szCs w:val="22"/>
          <w:lang w:eastAsia="en-US"/>
        </w:rPr>
        <w:lastRenderedPageBreak/>
        <w:t>VGPB annual assessment</w:t>
      </w:r>
      <w:bookmarkEnd w:id="48"/>
    </w:p>
    <w:p w:rsidR="004A6A11" w:rsidRPr="00CD6245" w:rsidRDefault="004A6A11" w:rsidP="0003409C">
      <w:pPr>
        <w:pStyle w:val="Normal1"/>
      </w:pPr>
      <w:r w:rsidRPr="00CD6245">
        <w:t>As part of its commitment to continuous improvement, the VGPB assesses its performance over the previous year.</w:t>
      </w:r>
    </w:p>
    <w:p w:rsidR="007C2609" w:rsidRPr="00A64F1B" w:rsidRDefault="007F73E8" w:rsidP="007C2609">
      <w:pPr>
        <w:pStyle w:val="Normal1"/>
      </w:pPr>
      <w:bookmarkStart w:id="49" w:name="_Toc366693318"/>
      <w:r w:rsidRPr="00CD6245">
        <w:t xml:space="preserve">The assessment in 2015–16 showed that the VGPB continues to fulfil its legislative functions. The VGPB focused on embedding the new supply policies and broadening its scope through its accreditation program. Implementing the supply policy review </w:t>
      </w:r>
      <w:r w:rsidR="007C2609">
        <w:t>was a significant piece of work. The</w:t>
      </w:r>
      <w:r w:rsidRPr="00CD6245">
        <w:t xml:space="preserve"> revised policies </w:t>
      </w:r>
      <w:r w:rsidR="007C2609">
        <w:t>were</w:t>
      </w:r>
      <w:r w:rsidRPr="00CD6245">
        <w:t xml:space="preserve"> gazetted on 30 June 2016 and</w:t>
      </w:r>
      <w:r w:rsidR="007C2609" w:rsidRPr="00A64F1B">
        <w:t xml:space="preserve"> became effective from 1 July 2016 and several initiatives were identified and planned for delivery.</w:t>
      </w:r>
    </w:p>
    <w:p w:rsidR="007F73E8" w:rsidRPr="00CD6245" w:rsidRDefault="007F73E8" w:rsidP="0003409C">
      <w:pPr>
        <w:pStyle w:val="Normal1"/>
      </w:pPr>
      <w:r w:rsidRPr="00CD6245">
        <w:t xml:space="preserve">During the year the VGPB set aside one day to develop its five-year strategic plan. The day was informed by stakeholder engagement with </w:t>
      </w:r>
      <w:r w:rsidR="00355BB9" w:rsidRPr="00CD6245">
        <w:t>CPOs</w:t>
      </w:r>
      <w:r w:rsidRPr="00CD6245">
        <w:t xml:space="preserve"> to build on a more collaborative approach to the planning process</w:t>
      </w:r>
      <w:r w:rsidR="007C2609">
        <w:t>,</w:t>
      </w:r>
      <w:r w:rsidRPr="00CD6245">
        <w:t xml:space="preserve"> which is a key element to the role of the VGPB. The VGPB recognises the need to engage more with senior stakeholders across government and looks forward to building these relationships.</w:t>
      </w:r>
    </w:p>
    <w:p w:rsidR="007F73E8" w:rsidRPr="00CD6245" w:rsidRDefault="007F73E8" w:rsidP="0003409C">
      <w:pPr>
        <w:pStyle w:val="Normal1"/>
      </w:pPr>
      <w:r w:rsidRPr="00CD6245">
        <w:t>Members agreed that the role of the VGPB has continued to change and recognised the Minister’s and DTF's support in providing further resourcing for the Secretariat to deliver its legislative functions, the implementation of the policy review and its strategic plan. The Board enjoy</w:t>
      </w:r>
      <w:r w:rsidR="00AB32CB" w:rsidRPr="00CD6245">
        <w:t>ed</w:t>
      </w:r>
      <w:r w:rsidRPr="00CD6245">
        <w:t xml:space="preserve"> open and respectful debate to deliver effective outcomes.</w:t>
      </w:r>
    </w:p>
    <w:p w:rsidR="00AC1959" w:rsidRPr="00CD6245" w:rsidRDefault="00AC1959" w:rsidP="00812614">
      <w:pPr>
        <w:pStyle w:val="Normal1"/>
      </w:pPr>
    </w:p>
    <w:p w:rsidR="00DA1CE3" w:rsidRPr="00CD6245" w:rsidRDefault="00067BEC" w:rsidP="00DA1CE3">
      <w:pPr>
        <w:pStyle w:val="Heading1NoNum"/>
      </w:pPr>
      <w:bookmarkStart w:id="50" w:name="_Toc463527718"/>
      <w:r w:rsidRPr="00CD6245">
        <w:lastRenderedPageBreak/>
        <w:t>P</w:t>
      </w:r>
      <w:r w:rsidR="00FC452B" w:rsidRPr="00CD6245">
        <w:t>ro</w:t>
      </w:r>
      <w:r w:rsidR="00DA1CE3" w:rsidRPr="00CD6245">
        <w:t xml:space="preserve">curement </w:t>
      </w:r>
      <w:r w:rsidR="00FC452B" w:rsidRPr="00CD6245">
        <w:t>spend</w:t>
      </w:r>
      <w:bookmarkEnd w:id="50"/>
    </w:p>
    <w:p w:rsidR="00DA1CE3" w:rsidRPr="00CD6245" w:rsidRDefault="00DA1CE3" w:rsidP="005B127E">
      <w:pPr>
        <w:pStyle w:val="Heading2NoNum"/>
      </w:pPr>
    </w:p>
    <w:p w:rsidR="00FC452B" w:rsidRPr="00CD6245" w:rsidRDefault="00BA4BAE" w:rsidP="00FE4A3F">
      <w:pPr>
        <w:pStyle w:val="Normal1"/>
      </w:pPr>
      <w:r w:rsidRPr="00CD6245">
        <w:t xml:space="preserve">This section provides </w:t>
      </w:r>
      <w:r w:rsidR="00F44A42" w:rsidRPr="00CD6245">
        <w:t>an</w:t>
      </w:r>
      <w:r w:rsidRPr="00CD6245">
        <w:t xml:space="preserve"> overview </w:t>
      </w:r>
      <w:r w:rsidR="00FC452B" w:rsidRPr="00CD6245">
        <w:t>of procurement approvals valued at greater than $100 000</w:t>
      </w:r>
      <w:r w:rsidR="002855A8" w:rsidRPr="00CD6245">
        <w:t xml:space="preserve"> </w:t>
      </w:r>
      <w:r w:rsidR="00FC452B" w:rsidRPr="00CD6245">
        <w:t xml:space="preserve">in the </w:t>
      </w:r>
      <w:r w:rsidR="000D2AE1" w:rsidRPr="00CD6245">
        <w:t>2015–16</w:t>
      </w:r>
      <w:r w:rsidR="00FC452B" w:rsidRPr="00CD6245">
        <w:t xml:space="preserve"> financial year for:</w:t>
      </w:r>
    </w:p>
    <w:p w:rsidR="00FC452B" w:rsidRPr="00CD6245" w:rsidRDefault="00414E57" w:rsidP="00FC452B">
      <w:pPr>
        <w:pStyle w:val="Bullet1"/>
      </w:pPr>
      <w:r w:rsidRPr="00CD6245">
        <w:t>one-off supply</w:t>
      </w:r>
      <w:r w:rsidR="00FC452B" w:rsidRPr="00CD6245">
        <w:t>;</w:t>
      </w:r>
      <w:r w:rsidR="006113B3" w:rsidRPr="00CD6245">
        <w:t xml:space="preserve"> and</w:t>
      </w:r>
    </w:p>
    <w:p w:rsidR="0049357F" w:rsidRPr="00CD6245" w:rsidRDefault="0049357F" w:rsidP="00FC452B">
      <w:pPr>
        <w:pStyle w:val="Bullet1"/>
      </w:pPr>
      <w:r w:rsidRPr="00CD6245">
        <w:t>aggregated purchasing arrangements</w:t>
      </w:r>
      <w:r w:rsidR="006113B3" w:rsidRPr="00CD6245">
        <w:t xml:space="preserve"> including</w:t>
      </w:r>
      <w:r w:rsidRPr="00CD6245">
        <w:t>:</w:t>
      </w:r>
    </w:p>
    <w:p w:rsidR="00FC452B" w:rsidRPr="00CD6245" w:rsidRDefault="00FC452B" w:rsidP="0049357F">
      <w:pPr>
        <w:pStyle w:val="Bullet1"/>
        <w:numPr>
          <w:ilvl w:val="1"/>
          <w:numId w:val="3"/>
        </w:numPr>
      </w:pPr>
      <w:r w:rsidRPr="00CD6245">
        <w:t>sole entity purchase contracts (SEPCs); and</w:t>
      </w:r>
    </w:p>
    <w:p w:rsidR="00FE4A3F" w:rsidRPr="00CD6245" w:rsidRDefault="00FC452B" w:rsidP="0049357F">
      <w:pPr>
        <w:pStyle w:val="Bullet1"/>
        <w:numPr>
          <w:ilvl w:val="1"/>
          <w:numId w:val="3"/>
        </w:numPr>
      </w:pPr>
      <w:r w:rsidRPr="00CD6245">
        <w:t>state purchase contracts</w:t>
      </w:r>
      <w:r w:rsidR="000B186F" w:rsidRPr="00CD6245">
        <w:t xml:space="preserve"> </w:t>
      </w:r>
      <w:r w:rsidRPr="00CD6245">
        <w:t>(SPCs)</w:t>
      </w:r>
      <w:r w:rsidR="00920D0E" w:rsidRPr="00CD6245">
        <w:t>.</w:t>
      </w:r>
    </w:p>
    <w:p w:rsidR="007A405E" w:rsidRPr="00CD6245" w:rsidRDefault="007A405E" w:rsidP="007A405E">
      <w:pPr>
        <w:pStyle w:val="Normal1"/>
      </w:pPr>
      <w:r w:rsidRPr="00CD6245">
        <w:t>This section also includes purchases made under the critical incident procurement policy.</w:t>
      </w:r>
    </w:p>
    <w:p w:rsidR="006113B3" w:rsidRPr="00CD6245" w:rsidRDefault="00BA4BAE" w:rsidP="006113B3">
      <w:pPr>
        <w:pStyle w:val="Normal1"/>
      </w:pPr>
      <w:r w:rsidRPr="00CD6245">
        <w:t xml:space="preserve">One-off supply </w:t>
      </w:r>
      <w:r w:rsidR="004A6A11" w:rsidRPr="00CD6245">
        <w:t xml:space="preserve">and </w:t>
      </w:r>
      <w:r w:rsidR="00162DE9" w:rsidRPr="00CD6245">
        <w:t>SEPC</w:t>
      </w:r>
      <w:r w:rsidR="004A6A11" w:rsidRPr="00CD6245">
        <w:t xml:space="preserve"> </w:t>
      </w:r>
      <w:r w:rsidRPr="00CD6245">
        <w:t xml:space="preserve">approvals relate to approval of the </w:t>
      </w:r>
      <w:r w:rsidR="00A3353B" w:rsidRPr="00CD6245">
        <w:t>procurement</w:t>
      </w:r>
      <w:r w:rsidR="00823ABA" w:rsidRPr="00CD6245">
        <w:t>;</w:t>
      </w:r>
      <w:r w:rsidR="00D80333" w:rsidRPr="00CD6245">
        <w:t xml:space="preserve"> that is, </w:t>
      </w:r>
      <w:r w:rsidRPr="00CD6245">
        <w:t xml:space="preserve">to enter into a contractual arrangement with the selected supplier or suppliers. </w:t>
      </w:r>
      <w:r w:rsidR="006113B3" w:rsidRPr="00CD6245">
        <w:t>SPC approvals relate to approval of the business case.</w:t>
      </w:r>
    </w:p>
    <w:p w:rsidR="00BA4BAE" w:rsidRPr="00CD6245" w:rsidRDefault="00BA4BAE" w:rsidP="00BA4BAE">
      <w:pPr>
        <w:pStyle w:val="Normal1"/>
      </w:pPr>
      <w:r w:rsidRPr="00CD6245">
        <w:t>Actual expenditure occurs later and may occur over a number of financial years depending on the nature of the contract.</w:t>
      </w:r>
    </w:p>
    <w:p w:rsidR="007A405E" w:rsidRPr="00CD6245" w:rsidRDefault="00F87C10" w:rsidP="00FE4A3F">
      <w:pPr>
        <w:pStyle w:val="Normal1"/>
      </w:pPr>
      <w:r w:rsidRPr="00CD6245">
        <w:t>All f</w:t>
      </w:r>
      <w:r w:rsidR="00FE4A3F" w:rsidRPr="00CD6245">
        <w:t xml:space="preserve">igures in the tables and text </w:t>
      </w:r>
      <w:r w:rsidRPr="00CD6245">
        <w:t xml:space="preserve">in the annual report </w:t>
      </w:r>
      <w:r w:rsidR="00FE4A3F" w:rsidRPr="00CD6245">
        <w:t xml:space="preserve">have been rounded. Discrepancies in tables between totals and sums of components reflect </w:t>
      </w:r>
      <w:r w:rsidRPr="00CD6245">
        <w:t xml:space="preserve">this </w:t>
      </w:r>
      <w:r w:rsidR="00FE4A3F" w:rsidRPr="00CD6245">
        <w:t>rounding.</w:t>
      </w:r>
    </w:p>
    <w:p w:rsidR="003A716B" w:rsidRPr="00CD6245" w:rsidRDefault="00F91925" w:rsidP="00BA4BAE">
      <w:pPr>
        <w:pStyle w:val="Heading2NoNum"/>
      </w:pPr>
      <w:bookmarkStart w:id="51" w:name="_Toc463527719"/>
      <w:bookmarkEnd w:id="49"/>
      <w:r w:rsidRPr="00CD6245">
        <w:t>Overview of p</w:t>
      </w:r>
      <w:r w:rsidR="000B186F" w:rsidRPr="00CD6245">
        <w:t xml:space="preserve">rocurement </w:t>
      </w:r>
      <w:r w:rsidR="0049357F" w:rsidRPr="00CD6245">
        <w:t>spend</w:t>
      </w:r>
      <w:bookmarkEnd w:id="51"/>
    </w:p>
    <w:p w:rsidR="008F7F3D" w:rsidRPr="00CD6245" w:rsidRDefault="00F91925" w:rsidP="008F7F3D">
      <w:pPr>
        <w:pStyle w:val="Normal1"/>
      </w:pPr>
      <w:r w:rsidRPr="00CD6245">
        <w:t xml:space="preserve">In </w:t>
      </w:r>
      <w:r w:rsidR="000D2AE1" w:rsidRPr="00CD6245">
        <w:t>2015–16</w:t>
      </w:r>
      <w:r w:rsidR="008A718C" w:rsidRPr="00CD6245">
        <w:t>,</w:t>
      </w:r>
      <w:r w:rsidRPr="00CD6245">
        <w:t xml:space="preserve"> </w:t>
      </w:r>
      <w:r w:rsidR="00FD0317" w:rsidRPr="00CD6245">
        <w:t>organisation</w:t>
      </w:r>
      <w:r w:rsidR="00654F4D" w:rsidRPr="00CD6245">
        <w:t>s reported</w:t>
      </w:r>
      <w:r w:rsidR="00904111" w:rsidRPr="00CD6245">
        <w:t xml:space="preserve"> </w:t>
      </w:r>
      <w:r w:rsidR="0064672C" w:rsidRPr="00CD6245">
        <w:t>7</w:t>
      </w:r>
      <w:r w:rsidR="00D90B29" w:rsidRPr="00CD6245">
        <w:t>90</w:t>
      </w:r>
      <w:r w:rsidR="000D2AE1" w:rsidRPr="00CD6245">
        <w:t xml:space="preserve"> </w:t>
      </w:r>
      <w:r w:rsidRPr="00CD6245">
        <w:t xml:space="preserve">procurement approvals </w:t>
      </w:r>
      <w:r w:rsidR="00414E57" w:rsidRPr="00CD6245">
        <w:t xml:space="preserve">valued at </w:t>
      </w:r>
      <w:r w:rsidR="0064672C" w:rsidRPr="00CD6245">
        <w:t>$2 414.9</w:t>
      </w:r>
      <w:r w:rsidR="000D2AE1" w:rsidRPr="00CD6245">
        <w:t xml:space="preserve"> </w:t>
      </w:r>
      <w:r w:rsidR="00414E57" w:rsidRPr="00CD6245">
        <w:t xml:space="preserve">million </w:t>
      </w:r>
      <w:r w:rsidR="006F1BB3" w:rsidRPr="00CD6245">
        <w:t>as shown in</w:t>
      </w:r>
      <w:r w:rsidR="000D2AE1" w:rsidRPr="00CD6245">
        <w:t xml:space="preserve"> </w:t>
      </w:r>
      <w:r w:rsidR="00AC517C">
        <w:fldChar w:fldCharType="begin"/>
      </w:r>
      <w:r w:rsidR="00AC517C">
        <w:instrText xml:space="preserve"> REF _Ref425964284 \h  \* MERGEFORMAT </w:instrText>
      </w:r>
      <w:r w:rsidR="00AC517C">
        <w:fldChar w:fldCharType="separate"/>
      </w:r>
      <w:r w:rsidR="002E75B9" w:rsidRPr="00CD6245">
        <w:t xml:space="preserve">Table </w:t>
      </w:r>
      <w:r w:rsidR="002E75B9">
        <w:t>5</w:t>
      </w:r>
      <w:r w:rsidR="00AC517C">
        <w:fldChar w:fldCharType="end"/>
      </w:r>
      <w:r w:rsidRPr="00CD6245">
        <w:t xml:space="preserve">. </w:t>
      </w:r>
      <w:bookmarkStart w:id="52" w:name="_Ref420421996"/>
      <w:r w:rsidR="00455EC6" w:rsidRPr="00CD6245">
        <w:t>Overall,</w:t>
      </w:r>
      <w:r w:rsidR="008E5DCD" w:rsidRPr="00CD6245">
        <w:t xml:space="preserve"> </w:t>
      </w:r>
      <w:r w:rsidR="0064672C" w:rsidRPr="00CD6245">
        <w:t>15</w:t>
      </w:r>
      <w:r w:rsidR="00455EC6" w:rsidRPr="00CD6245">
        <w:t xml:space="preserve"> per cent of procurement approvals were for goods and </w:t>
      </w:r>
      <w:r w:rsidR="0064672C" w:rsidRPr="00CD6245">
        <w:t>85</w:t>
      </w:r>
      <w:r w:rsidR="00455EC6" w:rsidRPr="00CD6245">
        <w:t xml:space="preserve"> per cent for services.</w:t>
      </w:r>
    </w:p>
    <w:p w:rsidR="008F7F3D" w:rsidRPr="00CD6245" w:rsidRDefault="008F7F3D" w:rsidP="008F7F3D">
      <w:pPr>
        <w:pStyle w:val="Caption"/>
      </w:pPr>
      <w:bookmarkStart w:id="53" w:name="_Ref425964284"/>
      <w:bookmarkStart w:id="54" w:name="_Ref450554704"/>
      <w:bookmarkStart w:id="55" w:name="_Toc463527840"/>
      <w:r w:rsidRPr="00CD6245">
        <w:t xml:space="preserve">Table </w:t>
      </w:r>
      <w:r w:rsidR="002B07C2" w:rsidRPr="00CD6245">
        <w:fldChar w:fldCharType="begin"/>
      </w:r>
      <w:r w:rsidRPr="00CD6245">
        <w:instrText xml:space="preserve"> SEQ Table \* ARABIC </w:instrText>
      </w:r>
      <w:r w:rsidR="002B07C2" w:rsidRPr="00CD6245">
        <w:fldChar w:fldCharType="separate"/>
      </w:r>
      <w:r w:rsidR="002E75B9">
        <w:rPr>
          <w:noProof/>
        </w:rPr>
        <w:t>5</w:t>
      </w:r>
      <w:r w:rsidR="002B07C2" w:rsidRPr="00CD6245">
        <w:fldChar w:fldCharType="end"/>
      </w:r>
      <w:bookmarkEnd w:id="53"/>
      <w:r w:rsidRPr="00CD6245">
        <w:t xml:space="preserve">: Total number and value of one-off supply, SEPC and SPC approvals in </w:t>
      </w:r>
      <w:r w:rsidR="000D2AE1" w:rsidRPr="00CD6245">
        <w:t xml:space="preserve">2015–16 </w:t>
      </w:r>
      <w:bookmarkEnd w:id="54"/>
      <w:r w:rsidR="00901BA9" w:rsidRPr="00CD6245">
        <w:t>by goods and services</w:t>
      </w:r>
      <w:bookmarkEnd w:id="55"/>
    </w:p>
    <w:tbl>
      <w:tblPr>
        <w:tblStyle w:val="TableGrid"/>
        <w:tblW w:w="9214" w:type="dxa"/>
        <w:tblInd w:w="534" w:type="dxa"/>
        <w:tblLayout w:type="fixed"/>
        <w:tblLook w:val="04A0" w:firstRow="1" w:lastRow="0" w:firstColumn="1" w:lastColumn="0" w:noHBand="0" w:noVBand="1"/>
      </w:tblPr>
      <w:tblGrid>
        <w:gridCol w:w="992"/>
        <w:gridCol w:w="967"/>
        <w:gridCol w:w="1018"/>
        <w:gridCol w:w="992"/>
        <w:gridCol w:w="945"/>
        <w:gridCol w:w="993"/>
        <w:gridCol w:w="1134"/>
        <w:gridCol w:w="1033"/>
        <w:gridCol w:w="1140"/>
      </w:tblGrid>
      <w:tr w:rsidR="00901BA9" w:rsidRPr="00CD6245" w:rsidTr="00571152">
        <w:tc>
          <w:tcPr>
            <w:tcW w:w="992" w:type="dxa"/>
            <w:shd w:val="clear" w:color="auto" w:fill="A6A6A6" w:themeFill="background1" w:themeFillShade="A6"/>
          </w:tcPr>
          <w:p w:rsidR="00901BA9" w:rsidRPr="00CD6245" w:rsidRDefault="00901BA9" w:rsidP="0003409C">
            <w:pPr>
              <w:pStyle w:val="TableText"/>
              <w:jc w:val="center"/>
            </w:pPr>
          </w:p>
        </w:tc>
        <w:tc>
          <w:tcPr>
            <w:tcW w:w="1985" w:type="dxa"/>
            <w:gridSpan w:val="2"/>
            <w:shd w:val="clear" w:color="auto" w:fill="A6A6A6" w:themeFill="background1" w:themeFillShade="A6"/>
          </w:tcPr>
          <w:p w:rsidR="00901BA9" w:rsidRPr="00CD6245" w:rsidRDefault="00901BA9" w:rsidP="0003409C">
            <w:pPr>
              <w:pStyle w:val="TableText"/>
              <w:jc w:val="center"/>
            </w:pPr>
            <w:r w:rsidRPr="00CD6245">
              <w:t>One-off supplies</w:t>
            </w:r>
          </w:p>
        </w:tc>
        <w:tc>
          <w:tcPr>
            <w:tcW w:w="1937" w:type="dxa"/>
            <w:gridSpan w:val="2"/>
            <w:shd w:val="clear" w:color="auto" w:fill="A6A6A6" w:themeFill="background1" w:themeFillShade="A6"/>
          </w:tcPr>
          <w:p w:rsidR="00901BA9" w:rsidRPr="00CD6245" w:rsidRDefault="00901BA9" w:rsidP="0003409C">
            <w:pPr>
              <w:pStyle w:val="TableText"/>
              <w:jc w:val="center"/>
            </w:pPr>
            <w:r w:rsidRPr="00CD6245">
              <w:t>SEPCs</w:t>
            </w:r>
          </w:p>
        </w:tc>
        <w:tc>
          <w:tcPr>
            <w:tcW w:w="2127" w:type="dxa"/>
            <w:gridSpan w:val="2"/>
            <w:shd w:val="clear" w:color="auto" w:fill="A6A6A6" w:themeFill="background1" w:themeFillShade="A6"/>
          </w:tcPr>
          <w:p w:rsidR="00901BA9" w:rsidRPr="00CD6245" w:rsidRDefault="00901BA9" w:rsidP="0003409C">
            <w:pPr>
              <w:pStyle w:val="TableText"/>
              <w:jc w:val="center"/>
            </w:pPr>
            <w:r w:rsidRPr="00CD6245">
              <w:t>SPCs</w:t>
            </w:r>
          </w:p>
        </w:tc>
        <w:tc>
          <w:tcPr>
            <w:tcW w:w="2173" w:type="dxa"/>
            <w:gridSpan w:val="2"/>
            <w:shd w:val="clear" w:color="auto" w:fill="A6A6A6" w:themeFill="background1" w:themeFillShade="A6"/>
          </w:tcPr>
          <w:p w:rsidR="00901BA9" w:rsidRPr="00CD6245" w:rsidRDefault="00901BA9" w:rsidP="0003409C">
            <w:pPr>
              <w:pStyle w:val="TableText"/>
              <w:jc w:val="center"/>
            </w:pPr>
            <w:r w:rsidRPr="00CD6245">
              <w:t>Totals</w:t>
            </w:r>
          </w:p>
        </w:tc>
      </w:tr>
      <w:tr w:rsidR="00901BA9" w:rsidRPr="00CD6245" w:rsidTr="00571152">
        <w:tc>
          <w:tcPr>
            <w:tcW w:w="992" w:type="dxa"/>
            <w:shd w:val="clear" w:color="auto" w:fill="A6A6A6" w:themeFill="background1" w:themeFillShade="A6"/>
          </w:tcPr>
          <w:p w:rsidR="00901BA9" w:rsidRPr="00CD6245" w:rsidRDefault="00901BA9" w:rsidP="0003409C">
            <w:pPr>
              <w:pStyle w:val="TableText"/>
              <w:jc w:val="center"/>
            </w:pPr>
          </w:p>
        </w:tc>
        <w:tc>
          <w:tcPr>
            <w:tcW w:w="967" w:type="dxa"/>
            <w:shd w:val="clear" w:color="auto" w:fill="A6A6A6" w:themeFill="background1" w:themeFillShade="A6"/>
          </w:tcPr>
          <w:p w:rsidR="00901BA9" w:rsidRPr="00CD6245" w:rsidRDefault="00901BA9" w:rsidP="0003409C">
            <w:pPr>
              <w:pStyle w:val="TableText"/>
              <w:jc w:val="center"/>
            </w:pPr>
            <w:r w:rsidRPr="00CD6245">
              <w:t>Number</w:t>
            </w:r>
          </w:p>
        </w:tc>
        <w:tc>
          <w:tcPr>
            <w:tcW w:w="1018" w:type="dxa"/>
            <w:shd w:val="clear" w:color="auto" w:fill="A6A6A6" w:themeFill="background1" w:themeFillShade="A6"/>
          </w:tcPr>
          <w:p w:rsidR="00901BA9" w:rsidRPr="00CD6245" w:rsidRDefault="00901BA9" w:rsidP="0003409C">
            <w:pPr>
              <w:pStyle w:val="TableText"/>
              <w:jc w:val="center"/>
            </w:pPr>
            <w:r w:rsidRPr="00CD6245">
              <w:t>Value</w:t>
            </w:r>
          </w:p>
        </w:tc>
        <w:tc>
          <w:tcPr>
            <w:tcW w:w="992" w:type="dxa"/>
            <w:shd w:val="clear" w:color="auto" w:fill="A6A6A6" w:themeFill="background1" w:themeFillShade="A6"/>
          </w:tcPr>
          <w:p w:rsidR="00901BA9" w:rsidRPr="00CD6245" w:rsidRDefault="00901BA9" w:rsidP="0003409C">
            <w:pPr>
              <w:pStyle w:val="TableText"/>
              <w:jc w:val="center"/>
            </w:pPr>
            <w:r w:rsidRPr="00CD6245">
              <w:t>Number</w:t>
            </w:r>
          </w:p>
        </w:tc>
        <w:tc>
          <w:tcPr>
            <w:tcW w:w="945" w:type="dxa"/>
            <w:shd w:val="clear" w:color="auto" w:fill="A6A6A6" w:themeFill="background1" w:themeFillShade="A6"/>
          </w:tcPr>
          <w:p w:rsidR="00901BA9" w:rsidRPr="00CD6245" w:rsidRDefault="00901BA9" w:rsidP="0003409C">
            <w:pPr>
              <w:pStyle w:val="TableText"/>
              <w:jc w:val="center"/>
            </w:pPr>
            <w:r w:rsidRPr="00CD6245">
              <w:t>Value</w:t>
            </w:r>
          </w:p>
        </w:tc>
        <w:tc>
          <w:tcPr>
            <w:tcW w:w="993" w:type="dxa"/>
            <w:shd w:val="clear" w:color="auto" w:fill="A6A6A6" w:themeFill="background1" w:themeFillShade="A6"/>
          </w:tcPr>
          <w:p w:rsidR="00901BA9" w:rsidRPr="00CD6245" w:rsidRDefault="00901BA9" w:rsidP="0003409C">
            <w:pPr>
              <w:pStyle w:val="TableText"/>
              <w:jc w:val="center"/>
            </w:pPr>
            <w:r w:rsidRPr="00CD6245">
              <w:t>Number</w:t>
            </w:r>
          </w:p>
        </w:tc>
        <w:tc>
          <w:tcPr>
            <w:tcW w:w="1134" w:type="dxa"/>
            <w:shd w:val="clear" w:color="auto" w:fill="A6A6A6" w:themeFill="background1" w:themeFillShade="A6"/>
          </w:tcPr>
          <w:p w:rsidR="00901BA9" w:rsidRPr="00CD6245" w:rsidRDefault="00901BA9" w:rsidP="0003409C">
            <w:pPr>
              <w:pStyle w:val="TableText"/>
              <w:jc w:val="center"/>
            </w:pPr>
            <w:r w:rsidRPr="00CD6245">
              <w:t>Value</w:t>
            </w:r>
          </w:p>
        </w:tc>
        <w:tc>
          <w:tcPr>
            <w:tcW w:w="1033" w:type="dxa"/>
            <w:shd w:val="clear" w:color="auto" w:fill="A6A6A6" w:themeFill="background1" w:themeFillShade="A6"/>
          </w:tcPr>
          <w:p w:rsidR="00901BA9" w:rsidRPr="00CD6245" w:rsidRDefault="00901BA9" w:rsidP="0003409C">
            <w:pPr>
              <w:pStyle w:val="TableText"/>
              <w:jc w:val="center"/>
            </w:pPr>
            <w:r w:rsidRPr="00CD6245">
              <w:t>Number</w:t>
            </w:r>
          </w:p>
        </w:tc>
        <w:tc>
          <w:tcPr>
            <w:tcW w:w="1140" w:type="dxa"/>
            <w:shd w:val="clear" w:color="auto" w:fill="A6A6A6" w:themeFill="background1" w:themeFillShade="A6"/>
          </w:tcPr>
          <w:p w:rsidR="00901BA9" w:rsidRPr="00CD6245" w:rsidRDefault="00901BA9" w:rsidP="0003409C">
            <w:pPr>
              <w:pStyle w:val="TableText"/>
              <w:jc w:val="center"/>
            </w:pPr>
            <w:r w:rsidRPr="00CD6245">
              <w:t>Value</w:t>
            </w:r>
          </w:p>
        </w:tc>
      </w:tr>
      <w:tr w:rsidR="00A30060" w:rsidRPr="00CD6245" w:rsidTr="00571152">
        <w:tc>
          <w:tcPr>
            <w:tcW w:w="992" w:type="dxa"/>
          </w:tcPr>
          <w:p w:rsidR="00A30060" w:rsidRPr="00CD6245" w:rsidRDefault="00A30060" w:rsidP="00A30060">
            <w:pPr>
              <w:pStyle w:val="TableText"/>
            </w:pPr>
            <w:r w:rsidRPr="00CD6245">
              <w:t>Goods</w:t>
            </w:r>
          </w:p>
        </w:tc>
        <w:tc>
          <w:tcPr>
            <w:tcW w:w="967" w:type="dxa"/>
            <w:vAlign w:val="bottom"/>
          </w:tcPr>
          <w:p w:rsidR="00A30060" w:rsidRPr="00CD6245" w:rsidRDefault="00A30060" w:rsidP="00A30060">
            <w:pPr>
              <w:pStyle w:val="TableText"/>
              <w:jc w:val="right"/>
              <w:rPr>
                <w:color w:val="000000"/>
              </w:rPr>
            </w:pPr>
            <w:r w:rsidRPr="00CD6245">
              <w:rPr>
                <w:color w:val="000000"/>
              </w:rPr>
              <w:t>88</w:t>
            </w:r>
          </w:p>
        </w:tc>
        <w:tc>
          <w:tcPr>
            <w:tcW w:w="1018" w:type="dxa"/>
            <w:vAlign w:val="bottom"/>
          </w:tcPr>
          <w:p w:rsidR="00A30060" w:rsidRPr="00CD6245" w:rsidRDefault="00A30060" w:rsidP="00A30060">
            <w:pPr>
              <w:pStyle w:val="TableText"/>
              <w:jc w:val="right"/>
              <w:rPr>
                <w:color w:val="000000"/>
              </w:rPr>
            </w:pPr>
            <w:r w:rsidRPr="00CD6245">
              <w:rPr>
                <w:color w:val="000000"/>
              </w:rPr>
              <w:t>$304.1M</w:t>
            </w:r>
          </w:p>
        </w:tc>
        <w:tc>
          <w:tcPr>
            <w:tcW w:w="992" w:type="dxa"/>
            <w:vAlign w:val="bottom"/>
          </w:tcPr>
          <w:p w:rsidR="00A30060" w:rsidRPr="00CD6245" w:rsidRDefault="00A30060" w:rsidP="00A30060">
            <w:pPr>
              <w:pStyle w:val="TableText"/>
              <w:jc w:val="right"/>
              <w:rPr>
                <w:color w:val="000000"/>
              </w:rPr>
            </w:pPr>
            <w:r w:rsidRPr="00CD6245">
              <w:rPr>
                <w:color w:val="000000"/>
              </w:rPr>
              <w:t>23</w:t>
            </w:r>
          </w:p>
        </w:tc>
        <w:tc>
          <w:tcPr>
            <w:tcW w:w="945" w:type="dxa"/>
            <w:vAlign w:val="bottom"/>
          </w:tcPr>
          <w:p w:rsidR="00A30060" w:rsidRPr="00CD6245" w:rsidRDefault="00A30060" w:rsidP="00A30060">
            <w:pPr>
              <w:pStyle w:val="TableText"/>
              <w:jc w:val="right"/>
              <w:rPr>
                <w:color w:val="000000"/>
              </w:rPr>
            </w:pPr>
            <w:r w:rsidRPr="00CD6245">
              <w:rPr>
                <w:color w:val="000000"/>
              </w:rPr>
              <w:t>$115.1M</w:t>
            </w:r>
          </w:p>
        </w:tc>
        <w:tc>
          <w:tcPr>
            <w:tcW w:w="993" w:type="dxa"/>
            <w:vAlign w:val="bottom"/>
          </w:tcPr>
          <w:p w:rsidR="00A30060" w:rsidRPr="00CD6245" w:rsidRDefault="00A30060" w:rsidP="00A30060">
            <w:pPr>
              <w:pStyle w:val="TableText"/>
              <w:jc w:val="right"/>
              <w:rPr>
                <w:color w:val="000000"/>
              </w:rPr>
            </w:pPr>
            <w:r w:rsidRPr="00CD6245">
              <w:rPr>
                <w:color w:val="000000"/>
              </w:rPr>
              <w:t>4</w:t>
            </w:r>
          </w:p>
        </w:tc>
        <w:tc>
          <w:tcPr>
            <w:tcW w:w="1134" w:type="dxa"/>
            <w:vAlign w:val="bottom"/>
          </w:tcPr>
          <w:p w:rsidR="00A30060" w:rsidRPr="00CD6245" w:rsidRDefault="00A30060" w:rsidP="00A30060">
            <w:pPr>
              <w:pStyle w:val="TableText"/>
              <w:jc w:val="right"/>
              <w:rPr>
                <w:color w:val="000000"/>
              </w:rPr>
            </w:pPr>
            <w:r w:rsidRPr="00CD6245">
              <w:rPr>
                <w:color w:val="000000"/>
              </w:rPr>
              <w:t>$172.6M</w:t>
            </w:r>
          </w:p>
        </w:tc>
        <w:tc>
          <w:tcPr>
            <w:tcW w:w="1033" w:type="dxa"/>
            <w:vAlign w:val="bottom"/>
          </w:tcPr>
          <w:p w:rsidR="00A30060" w:rsidRPr="00CD6245" w:rsidRDefault="00A30060" w:rsidP="00A30060">
            <w:pPr>
              <w:pStyle w:val="TableText"/>
              <w:jc w:val="right"/>
            </w:pPr>
            <w:r w:rsidRPr="00CD6245">
              <w:t>115</w:t>
            </w:r>
          </w:p>
        </w:tc>
        <w:tc>
          <w:tcPr>
            <w:tcW w:w="1140" w:type="dxa"/>
            <w:vAlign w:val="bottom"/>
          </w:tcPr>
          <w:p w:rsidR="00A30060" w:rsidRPr="00CD6245" w:rsidRDefault="00A30060" w:rsidP="00A30060">
            <w:pPr>
              <w:pStyle w:val="TableText"/>
              <w:jc w:val="right"/>
            </w:pPr>
            <w:r w:rsidRPr="00CD6245">
              <w:t>$591.8M</w:t>
            </w:r>
          </w:p>
        </w:tc>
      </w:tr>
      <w:tr w:rsidR="00A30060" w:rsidRPr="00CD6245" w:rsidTr="00571152">
        <w:tc>
          <w:tcPr>
            <w:tcW w:w="992" w:type="dxa"/>
          </w:tcPr>
          <w:p w:rsidR="00A30060" w:rsidRPr="00CD6245" w:rsidRDefault="00A30060" w:rsidP="00A30060">
            <w:pPr>
              <w:pStyle w:val="TableText"/>
            </w:pPr>
            <w:r w:rsidRPr="00CD6245">
              <w:t>Services</w:t>
            </w:r>
          </w:p>
        </w:tc>
        <w:tc>
          <w:tcPr>
            <w:tcW w:w="967" w:type="dxa"/>
            <w:vAlign w:val="bottom"/>
          </w:tcPr>
          <w:p w:rsidR="00A30060" w:rsidRPr="00CD6245" w:rsidRDefault="00A30060" w:rsidP="00A30060">
            <w:pPr>
              <w:pStyle w:val="TableText"/>
              <w:jc w:val="right"/>
              <w:rPr>
                <w:color w:val="000000"/>
              </w:rPr>
            </w:pPr>
            <w:r w:rsidRPr="00CD6245">
              <w:rPr>
                <w:color w:val="000000"/>
              </w:rPr>
              <w:t>655</w:t>
            </w:r>
          </w:p>
        </w:tc>
        <w:tc>
          <w:tcPr>
            <w:tcW w:w="1018" w:type="dxa"/>
            <w:vAlign w:val="bottom"/>
          </w:tcPr>
          <w:p w:rsidR="00A30060" w:rsidRPr="00CD6245" w:rsidRDefault="00A30060" w:rsidP="00A30060">
            <w:pPr>
              <w:pStyle w:val="TableText"/>
              <w:jc w:val="right"/>
              <w:rPr>
                <w:color w:val="000000"/>
              </w:rPr>
            </w:pPr>
            <w:r w:rsidRPr="00CD6245">
              <w:rPr>
                <w:color w:val="000000"/>
              </w:rPr>
              <w:t>$611.4M</w:t>
            </w:r>
          </w:p>
        </w:tc>
        <w:tc>
          <w:tcPr>
            <w:tcW w:w="992" w:type="dxa"/>
            <w:vAlign w:val="bottom"/>
          </w:tcPr>
          <w:p w:rsidR="00A30060" w:rsidRPr="00CD6245" w:rsidRDefault="00A30060" w:rsidP="00A30060">
            <w:pPr>
              <w:pStyle w:val="TableText"/>
              <w:jc w:val="right"/>
              <w:rPr>
                <w:color w:val="000000"/>
              </w:rPr>
            </w:pPr>
            <w:r w:rsidRPr="00CD6245">
              <w:rPr>
                <w:color w:val="000000"/>
              </w:rPr>
              <w:t>14</w:t>
            </w:r>
          </w:p>
        </w:tc>
        <w:tc>
          <w:tcPr>
            <w:tcW w:w="945" w:type="dxa"/>
            <w:vAlign w:val="bottom"/>
          </w:tcPr>
          <w:p w:rsidR="00A30060" w:rsidRPr="00CD6245" w:rsidRDefault="00A30060" w:rsidP="00A30060">
            <w:pPr>
              <w:pStyle w:val="TableText"/>
              <w:jc w:val="right"/>
              <w:rPr>
                <w:color w:val="000000"/>
              </w:rPr>
            </w:pPr>
            <w:r w:rsidRPr="00CD6245">
              <w:rPr>
                <w:color w:val="000000"/>
              </w:rPr>
              <w:t>$663.7M</w:t>
            </w:r>
          </w:p>
        </w:tc>
        <w:tc>
          <w:tcPr>
            <w:tcW w:w="993" w:type="dxa"/>
            <w:vAlign w:val="bottom"/>
          </w:tcPr>
          <w:p w:rsidR="00A30060" w:rsidRPr="00CD6245" w:rsidRDefault="00A30060" w:rsidP="00A30060">
            <w:pPr>
              <w:pStyle w:val="TableText"/>
              <w:jc w:val="right"/>
              <w:rPr>
                <w:color w:val="000000"/>
              </w:rPr>
            </w:pPr>
            <w:r w:rsidRPr="00CD6245">
              <w:rPr>
                <w:color w:val="000000"/>
              </w:rPr>
              <w:t>6</w:t>
            </w:r>
          </w:p>
        </w:tc>
        <w:tc>
          <w:tcPr>
            <w:tcW w:w="1134" w:type="dxa"/>
            <w:vAlign w:val="bottom"/>
          </w:tcPr>
          <w:p w:rsidR="00A30060" w:rsidRPr="00CD6245" w:rsidRDefault="00A30060" w:rsidP="005647B9">
            <w:pPr>
              <w:pStyle w:val="TableText"/>
              <w:jc w:val="right"/>
              <w:rPr>
                <w:color w:val="000000"/>
              </w:rPr>
            </w:pPr>
            <w:r w:rsidRPr="00CD6245">
              <w:rPr>
                <w:color w:val="000000"/>
              </w:rPr>
              <w:t>$5</w:t>
            </w:r>
            <w:r w:rsidR="005647B9" w:rsidRPr="00CD6245">
              <w:rPr>
                <w:color w:val="000000"/>
              </w:rPr>
              <w:t>4</w:t>
            </w:r>
            <w:r w:rsidRPr="00CD6245">
              <w:rPr>
                <w:color w:val="000000"/>
              </w:rPr>
              <w:t>8.0M</w:t>
            </w:r>
          </w:p>
        </w:tc>
        <w:tc>
          <w:tcPr>
            <w:tcW w:w="1033" w:type="dxa"/>
            <w:vAlign w:val="bottom"/>
          </w:tcPr>
          <w:p w:rsidR="00A30060" w:rsidRPr="00CD6245" w:rsidRDefault="00A30060" w:rsidP="00A30060">
            <w:pPr>
              <w:pStyle w:val="TableText"/>
              <w:jc w:val="right"/>
            </w:pPr>
            <w:r w:rsidRPr="00CD6245">
              <w:t>675</w:t>
            </w:r>
          </w:p>
        </w:tc>
        <w:tc>
          <w:tcPr>
            <w:tcW w:w="1140" w:type="dxa"/>
            <w:vAlign w:val="bottom"/>
          </w:tcPr>
          <w:p w:rsidR="00A30060" w:rsidRPr="00CD6245" w:rsidRDefault="00EC48D0" w:rsidP="00A30060">
            <w:pPr>
              <w:pStyle w:val="TableText"/>
              <w:jc w:val="right"/>
            </w:pPr>
            <w:r w:rsidRPr="00CD6245">
              <w:t>$1</w:t>
            </w:r>
            <w:r w:rsidR="00320E12" w:rsidRPr="00CD6245">
              <w:t> </w:t>
            </w:r>
            <w:r w:rsidRPr="00CD6245">
              <w:t>82</w:t>
            </w:r>
            <w:r w:rsidR="00A30060" w:rsidRPr="00CD6245">
              <w:t>3.1M</w:t>
            </w:r>
          </w:p>
        </w:tc>
      </w:tr>
      <w:tr w:rsidR="00A30060" w:rsidRPr="00CD6245" w:rsidTr="007C2609">
        <w:tc>
          <w:tcPr>
            <w:tcW w:w="992" w:type="dxa"/>
            <w:shd w:val="clear" w:color="auto" w:fill="A6A6A6" w:themeFill="background1" w:themeFillShade="A6"/>
          </w:tcPr>
          <w:p w:rsidR="00A30060" w:rsidRPr="00CD6245" w:rsidRDefault="00A30060" w:rsidP="00A30060">
            <w:pPr>
              <w:pStyle w:val="TableText"/>
              <w:rPr>
                <w:bCs/>
              </w:rPr>
            </w:pPr>
            <w:r w:rsidRPr="00CD6245">
              <w:rPr>
                <w:bCs/>
              </w:rPr>
              <w:t>Totals</w:t>
            </w:r>
          </w:p>
        </w:tc>
        <w:tc>
          <w:tcPr>
            <w:tcW w:w="967" w:type="dxa"/>
            <w:shd w:val="clear" w:color="auto" w:fill="A6A6A6" w:themeFill="background1" w:themeFillShade="A6"/>
            <w:vAlign w:val="bottom"/>
          </w:tcPr>
          <w:p w:rsidR="00A30060" w:rsidRPr="00CD6245" w:rsidRDefault="00A30060" w:rsidP="00A30060">
            <w:pPr>
              <w:pStyle w:val="TableText"/>
              <w:jc w:val="right"/>
              <w:rPr>
                <w:color w:val="000000"/>
              </w:rPr>
            </w:pPr>
            <w:r w:rsidRPr="00CD6245">
              <w:rPr>
                <w:color w:val="000000"/>
              </w:rPr>
              <w:t>743</w:t>
            </w:r>
          </w:p>
        </w:tc>
        <w:tc>
          <w:tcPr>
            <w:tcW w:w="1018" w:type="dxa"/>
            <w:shd w:val="clear" w:color="auto" w:fill="A6A6A6" w:themeFill="background1" w:themeFillShade="A6"/>
            <w:vAlign w:val="bottom"/>
          </w:tcPr>
          <w:p w:rsidR="00A30060" w:rsidRPr="00CD6245" w:rsidRDefault="00A30060" w:rsidP="00A30060">
            <w:pPr>
              <w:pStyle w:val="TableText"/>
              <w:jc w:val="right"/>
              <w:rPr>
                <w:color w:val="000000"/>
              </w:rPr>
            </w:pPr>
            <w:r w:rsidRPr="00CD6245">
              <w:rPr>
                <w:color w:val="000000"/>
              </w:rPr>
              <w:t>$915.5M</w:t>
            </w:r>
          </w:p>
        </w:tc>
        <w:tc>
          <w:tcPr>
            <w:tcW w:w="992" w:type="dxa"/>
            <w:shd w:val="clear" w:color="auto" w:fill="A6A6A6" w:themeFill="background1" w:themeFillShade="A6"/>
            <w:vAlign w:val="bottom"/>
          </w:tcPr>
          <w:p w:rsidR="00A30060" w:rsidRPr="00CD6245" w:rsidRDefault="00A30060" w:rsidP="00A30060">
            <w:pPr>
              <w:pStyle w:val="TableText"/>
              <w:jc w:val="right"/>
              <w:rPr>
                <w:color w:val="000000"/>
              </w:rPr>
            </w:pPr>
            <w:r w:rsidRPr="00CD6245">
              <w:rPr>
                <w:color w:val="000000"/>
              </w:rPr>
              <w:t>37</w:t>
            </w:r>
          </w:p>
        </w:tc>
        <w:tc>
          <w:tcPr>
            <w:tcW w:w="945" w:type="dxa"/>
            <w:shd w:val="clear" w:color="auto" w:fill="A6A6A6" w:themeFill="background1" w:themeFillShade="A6"/>
            <w:vAlign w:val="bottom"/>
          </w:tcPr>
          <w:p w:rsidR="00A30060" w:rsidRPr="00CD6245" w:rsidRDefault="00A30060" w:rsidP="00A30060">
            <w:pPr>
              <w:pStyle w:val="TableText"/>
              <w:jc w:val="right"/>
              <w:rPr>
                <w:color w:val="000000"/>
              </w:rPr>
            </w:pPr>
            <w:r w:rsidRPr="00CD6245">
              <w:rPr>
                <w:color w:val="000000"/>
              </w:rPr>
              <w:t>$778.8M</w:t>
            </w:r>
          </w:p>
        </w:tc>
        <w:tc>
          <w:tcPr>
            <w:tcW w:w="993" w:type="dxa"/>
            <w:shd w:val="clear" w:color="auto" w:fill="A6A6A6" w:themeFill="background1" w:themeFillShade="A6"/>
            <w:vAlign w:val="bottom"/>
          </w:tcPr>
          <w:p w:rsidR="00A30060" w:rsidRPr="00CD6245" w:rsidRDefault="00A30060" w:rsidP="00A30060">
            <w:pPr>
              <w:pStyle w:val="TableText"/>
              <w:jc w:val="right"/>
              <w:rPr>
                <w:color w:val="000000"/>
              </w:rPr>
            </w:pPr>
            <w:r w:rsidRPr="00CD6245">
              <w:rPr>
                <w:color w:val="000000"/>
              </w:rPr>
              <w:t>10</w:t>
            </w:r>
          </w:p>
        </w:tc>
        <w:tc>
          <w:tcPr>
            <w:tcW w:w="1134" w:type="dxa"/>
            <w:shd w:val="clear" w:color="auto" w:fill="A6A6A6" w:themeFill="background1" w:themeFillShade="A6"/>
            <w:vAlign w:val="bottom"/>
          </w:tcPr>
          <w:p w:rsidR="00A30060" w:rsidRPr="00CD6245" w:rsidRDefault="00A30060" w:rsidP="005647B9">
            <w:pPr>
              <w:pStyle w:val="TableText"/>
              <w:jc w:val="right"/>
              <w:rPr>
                <w:color w:val="000000"/>
              </w:rPr>
            </w:pPr>
            <w:r w:rsidRPr="00CD6245">
              <w:rPr>
                <w:color w:val="000000"/>
              </w:rPr>
              <w:t>$7</w:t>
            </w:r>
            <w:r w:rsidR="005647B9" w:rsidRPr="00CD6245">
              <w:rPr>
                <w:color w:val="000000"/>
              </w:rPr>
              <w:t>2</w:t>
            </w:r>
            <w:r w:rsidRPr="00CD6245">
              <w:rPr>
                <w:color w:val="000000"/>
              </w:rPr>
              <w:t>0.6M</w:t>
            </w:r>
          </w:p>
        </w:tc>
        <w:tc>
          <w:tcPr>
            <w:tcW w:w="1033" w:type="dxa"/>
            <w:shd w:val="clear" w:color="auto" w:fill="A6A6A6" w:themeFill="background1" w:themeFillShade="A6"/>
            <w:vAlign w:val="bottom"/>
          </w:tcPr>
          <w:p w:rsidR="00A30060" w:rsidRPr="00CD6245" w:rsidRDefault="00A30060" w:rsidP="00A30060">
            <w:pPr>
              <w:pStyle w:val="TableText"/>
              <w:jc w:val="right"/>
            </w:pPr>
            <w:r w:rsidRPr="00CD6245">
              <w:t>790</w:t>
            </w:r>
          </w:p>
        </w:tc>
        <w:tc>
          <w:tcPr>
            <w:tcW w:w="1140" w:type="dxa"/>
            <w:shd w:val="clear" w:color="auto" w:fill="A6A6A6" w:themeFill="background1" w:themeFillShade="A6"/>
            <w:vAlign w:val="bottom"/>
          </w:tcPr>
          <w:p w:rsidR="00A30060" w:rsidRPr="00CD6245" w:rsidRDefault="00EC48D0" w:rsidP="00A30060">
            <w:pPr>
              <w:pStyle w:val="TableText"/>
              <w:jc w:val="right"/>
            </w:pPr>
            <w:r w:rsidRPr="00CD6245">
              <w:t>$2</w:t>
            </w:r>
            <w:r w:rsidR="00320E12" w:rsidRPr="00CD6245">
              <w:t> </w:t>
            </w:r>
            <w:r w:rsidRPr="00CD6245">
              <w:t>41</w:t>
            </w:r>
            <w:r w:rsidR="00A30060" w:rsidRPr="00CD6245">
              <w:t>4.9M</w:t>
            </w:r>
          </w:p>
        </w:tc>
      </w:tr>
      <w:bookmarkEnd w:id="52"/>
    </w:tbl>
    <w:p w:rsidR="00320E12" w:rsidRPr="00CD6245" w:rsidRDefault="00320E12" w:rsidP="00143F89">
      <w:pPr>
        <w:pStyle w:val="Heading3NoNum"/>
      </w:pPr>
    </w:p>
    <w:p w:rsidR="00320E12" w:rsidRPr="00CD6245" w:rsidRDefault="00320E12" w:rsidP="00320E12">
      <w:pPr>
        <w:rPr>
          <w:rFonts w:ascii="Calibri" w:hAnsi="Calibri" w:cs="Calibri"/>
          <w:color w:val="4D4D4D"/>
          <w:kern w:val="28"/>
          <w:sz w:val="26"/>
          <w:szCs w:val="22"/>
          <w:lang w:eastAsia="en-US"/>
        </w:rPr>
      </w:pPr>
      <w:r w:rsidRPr="00CD6245">
        <w:br w:type="page"/>
      </w:r>
    </w:p>
    <w:p w:rsidR="00143F89" w:rsidRPr="00CD6245" w:rsidRDefault="00143F89" w:rsidP="00143F89">
      <w:pPr>
        <w:pStyle w:val="Heading3NoNum"/>
      </w:pPr>
      <w:r w:rsidRPr="00CD6245">
        <w:lastRenderedPageBreak/>
        <w:t>Trends in procurement spend</w:t>
      </w:r>
    </w:p>
    <w:p w:rsidR="00CB1869" w:rsidRPr="00CD6245" w:rsidRDefault="00904111" w:rsidP="00164C63">
      <w:pPr>
        <w:pStyle w:val="Caption"/>
        <w:rPr>
          <w:b w:val="0"/>
        </w:rPr>
      </w:pPr>
      <w:bookmarkStart w:id="56" w:name="_Ref451521043"/>
      <w:r w:rsidRPr="00CD6245">
        <w:rPr>
          <w:b w:val="0"/>
        </w:rPr>
        <w:t>The number and value of procurement approvals increased in 2015–16 compared to the two previous years</w:t>
      </w:r>
      <w:r w:rsidR="00CB1869" w:rsidRPr="00CD6245">
        <w:rPr>
          <w:b w:val="0"/>
        </w:rPr>
        <w:t>, as shown in</w:t>
      </w:r>
      <w:r w:rsidR="00164C63" w:rsidRPr="00CD6245">
        <w:rPr>
          <w:b w:val="0"/>
        </w:rPr>
        <w:t xml:space="preserve"> Table 6.</w:t>
      </w:r>
    </w:p>
    <w:p w:rsidR="00806A27" w:rsidRPr="00CD6245" w:rsidRDefault="00320E12" w:rsidP="00806A27">
      <w:pPr>
        <w:pStyle w:val="Normal1"/>
      </w:pPr>
      <w:r w:rsidRPr="00CD6245">
        <w:t>Part of this increase can be attributed to the additional procurement approvals reported by VicRoads following their</w:t>
      </w:r>
      <w:r w:rsidR="000D3F1D" w:rsidRPr="00CD6245">
        <w:t xml:space="preserve"> successful accreditation to VGPB supply polices from 1 July 2015.</w:t>
      </w:r>
    </w:p>
    <w:p w:rsidR="00320E12" w:rsidRPr="00CD6245" w:rsidRDefault="00320E12" w:rsidP="00320E12">
      <w:pPr>
        <w:pStyle w:val="Caption"/>
        <w:rPr>
          <w:b w:val="0"/>
        </w:rPr>
      </w:pPr>
      <w:r w:rsidRPr="00CD6245">
        <w:rPr>
          <w:rStyle w:val="NormalChar"/>
          <w:b w:val="0"/>
        </w:rPr>
        <w:t>The biggest increase was in the number and value of one-off supply approvals</w:t>
      </w:r>
      <w:r w:rsidR="00823ABA" w:rsidRPr="00CD6245">
        <w:rPr>
          <w:rStyle w:val="NormalChar"/>
          <w:b w:val="0"/>
        </w:rPr>
        <w:t>; an</w:t>
      </w:r>
      <w:r w:rsidRPr="00CD6245">
        <w:rPr>
          <w:rStyle w:val="NormalChar"/>
          <w:b w:val="0"/>
        </w:rPr>
        <w:t xml:space="preserve"> increase of </w:t>
      </w:r>
      <w:r w:rsidR="0064672C" w:rsidRPr="00CD6245">
        <w:rPr>
          <w:b w:val="0"/>
        </w:rPr>
        <w:t>18</w:t>
      </w:r>
      <w:r w:rsidRPr="00CD6245">
        <w:rPr>
          <w:b w:val="0"/>
        </w:rPr>
        <w:t xml:space="preserve"> per cent and </w:t>
      </w:r>
      <w:r w:rsidR="0064672C" w:rsidRPr="00CD6245">
        <w:rPr>
          <w:b w:val="0"/>
        </w:rPr>
        <w:t>32</w:t>
      </w:r>
      <w:r w:rsidRPr="00CD6245">
        <w:rPr>
          <w:b w:val="0"/>
        </w:rPr>
        <w:t xml:space="preserve"> per cent respectively.</w:t>
      </w:r>
    </w:p>
    <w:p w:rsidR="00CB1869" w:rsidRPr="00CD6245" w:rsidRDefault="00320E12" w:rsidP="00143F89">
      <w:pPr>
        <w:pStyle w:val="Caption"/>
        <w:rPr>
          <w:b w:val="0"/>
        </w:rPr>
      </w:pPr>
      <w:r w:rsidRPr="00CD6245">
        <w:rPr>
          <w:b w:val="0"/>
        </w:rPr>
        <w:t>T</w:t>
      </w:r>
      <w:r w:rsidR="00904111" w:rsidRPr="00CD6245">
        <w:rPr>
          <w:b w:val="0"/>
        </w:rPr>
        <w:t xml:space="preserve">he number of SEPCs remained the same, </w:t>
      </w:r>
      <w:r w:rsidRPr="00CD6245">
        <w:rPr>
          <w:b w:val="0"/>
        </w:rPr>
        <w:t xml:space="preserve">but </w:t>
      </w:r>
      <w:r w:rsidR="00904111" w:rsidRPr="00CD6245">
        <w:rPr>
          <w:b w:val="0"/>
        </w:rPr>
        <w:t>the value increased substantially</w:t>
      </w:r>
      <w:r w:rsidR="00CB1869" w:rsidRPr="00CD6245">
        <w:rPr>
          <w:b w:val="0"/>
        </w:rPr>
        <w:t xml:space="preserve"> by $</w:t>
      </w:r>
      <w:r w:rsidR="0064672C" w:rsidRPr="00CD6245">
        <w:rPr>
          <w:b w:val="0"/>
        </w:rPr>
        <w:t>507.9</w:t>
      </w:r>
      <w:r w:rsidR="00CB1869" w:rsidRPr="00CD6245">
        <w:rPr>
          <w:b w:val="0"/>
        </w:rPr>
        <w:t xml:space="preserve"> million compared to last year</w:t>
      </w:r>
      <w:r w:rsidR="00904111" w:rsidRPr="00CD6245">
        <w:rPr>
          <w:b w:val="0"/>
        </w:rPr>
        <w:t xml:space="preserve">. </w:t>
      </w:r>
      <w:r w:rsidRPr="00CD6245">
        <w:rPr>
          <w:b w:val="0"/>
        </w:rPr>
        <w:t xml:space="preserve">This increase can be attributed to </w:t>
      </w:r>
      <w:r w:rsidR="00F72624" w:rsidRPr="00CD6245">
        <w:rPr>
          <w:b w:val="0"/>
        </w:rPr>
        <w:t xml:space="preserve">one </w:t>
      </w:r>
      <w:r w:rsidR="00627976" w:rsidRPr="00CD6245">
        <w:rPr>
          <w:b w:val="0"/>
        </w:rPr>
        <w:t xml:space="preserve">high value procurement </w:t>
      </w:r>
      <w:r w:rsidR="005303DF" w:rsidRPr="00CD6245">
        <w:rPr>
          <w:b w:val="0"/>
        </w:rPr>
        <w:t xml:space="preserve">($495.0 million) </w:t>
      </w:r>
      <w:r w:rsidR="00627976" w:rsidRPr="00CD6245">
        <w:rPr>
          <w:b w:val="0"/>
        </w:rPr>
        <w:t>in the Department of Education</w:t>
      </w:r>
      <w:r w:rsidR="00164C63" w:rsidRPr="00CD6245">
        <w:rPr>
          <w:b w:val="0"/>
        </w:rPr>
        <w:t xml:space="preserve"> and Training</w:t>
      </w:r>
      <w:r w:rsidR="00627976" w:rsidRPr="00CD6245">
        <w:rPr>
          <w:b w:val="0"/>
        </w:rPr>
        <w:t xml:space="preserve"> for ICT technical support for the Victorian schools program eduSTAR.TSS.</w:t>
      </w:r>
    </w:p>
    <w:p w:rsidR="00231C0B" w:rsidRPr="00CD6245" w:rsidRDefault="007C2609" w:rsidP="00143F89">
      <w:pPr>
        <w:pStyle w:val="Caption"/>
        <w:rPr>
          <w:b w:val="0"/>
        </w:rPr>
      </w:pPr>
      <w:r>
        <w:rPr>
          <w:b w:val="0"/>
        </w:rPr>
        <w:t xml:space="preserve">The number of </w:t>
      </w:r>
      <w:r w:rsidR="00CB1869" w:rsidRPr="00CD6245">
        <w:rPr>
          <w:b w:val="0"/>
        </w:rPr>
        <w:t xml:space="preserve">SPCs increased by </w:t>
      </w:r>
      <w:r w:rsidR="00231C0B" w:rsidRPr="00CD6245">
        <w:rPr>
          <w:b w:val="0"/>
        </w:rPr>
        <w:t>four</w:t>
      </w:r>
      <w:r w:rsidR="00CB1869" w:rsidRPr="00CD6245">
        <w:rPr>
          <w:b w:val="0"/>
        </w:rPr>
        <w:t xml:space="preserve"> </w:t>
      </w:r>
      <w:r w:rsidR="00781F30" w:rsidRPr="00CD6245">
        <w:rPr>
          <w:b w:val="0"/>
        </w:rPr>
        <w:t xml:space="preserve">with a corresponding increase in value of </w:t>
      </w:r>
      <w:r w:rsidR="00231C0B" w:rsidRPr="00CD6245">
        <w:rPr>
          <w:b w:val="0"/>
        </w:rPr>
        <w:t>$</w:t>
      </w:r>
      <w:r w:rsidR="005647B9" w:rsidRPr="00CD6245">
        <w:rPr>
          <w:b w:val="0"/>
        </w:rPr>
        <w:t>6</w:t>
      </w:r>
      <w:r w:rsidR="00231C0B" w:rsidRPr="00CD6245">
        <w:rPr>
          <w:b w:val="0"/>
        </w:rPr>
        <w:t>2.0 million.</w:t>
      </w:r>
      <w:bookmarkStart w:id="57" w:name="_Ref451521058"/>
    </w:p>
    <w:p w:rsidR="00143F89" w:rsidRPr="00CD6245" w:rsidRDefault="00143F89" w:rsidP="00143F89">
      <w:pPr>
        <w:pStyle w:val="Caption"/>
      </w:pPr>
      <w:bookmarkStart w:id="58" w:name="_Toc463527841"/>
      <w:r w:rsidRPr="00CD6245">
        <w:t xml:space="preserve">Table </w:t>
      </w:r>
      <w:r w:rsidR="002B07C2" w:rsidRPr="00CD6245">
        <w:fldChar w:fldCharType="begin"/>
      </w:r>
      <w:r w:rsidR="005C04D8" w:rsidRPr="00CD6245">
        <w:instrText xml:space="preserve"> SEQ Table \* ARABIC </w:instrText>
      </w:r>
      <w:r w:rsidR="002B07C2" w:rsidRPr="00CD6245">
        <w:fldChar w:fldCharType="separate"/>
      </w:r>
      <w:r w:rsidR="002E75B9">
        <w:rPr>
          <w:noProof/>
        </w:rPr>
        <w:t>6</w:t>
      </w:r>
      <w:r w:rsidR="002B07C2" w:rsidRPr="00CD6245">
        <w:fldChar w:fldCharType="end"/>
      </w:r>
      <w:bookmarkEnd w:id="56"/>
      <w:bookmarkEnd w:id="57"/>
      <w:r w:rsidRPr="00CD6245">
        <w:t>: Total number and value of one-off supply, SEPC and SPC approvals</w:t>
      </w:r>
      <w:r w:rsidR="00EE5BE9" w:rsidRPr="00CD6245">
        <w:t xml:space="preserve"> from</w:t>
      </w:r>
      <w:r w:rsidRPr="00CD6245">
        <w:t xml:space="preserve"> </w:t>
      </w:r>
      <w:r w:rsidR="00DD4C20" w:rsidRPr="00CD6245">
        <w:t xml:space="preserve">2013–14 to </w:t>
      </w:r>
      <w:r w:rsidRPr="00CD6245">
        <w:t>2015–16</w:t>
      </w:r>
      <w:bookmarkEnd w:id="58"/>
    </w:p>
    <w:tbl>
      <w:tblPr>
        <w:tblStyle w:val="TableGrid"/>
        <w:tblW w:w="8729" w:type="dxa"/>
        <w:tblInd w:w="959" w:type="dxa"/>
        <w:tblLook w:val="04A0" w:firstRow="1" w:lastRow="0" w:firstColumn="1" w:lastColumn="0" w:noHBand="0" w:noVBand="1"/>
      </w:tblPr>
      <w:tblGrid>
        <w:gridCol w:w="1701"/>
        <w:gridCol w:w="1074"/>
        <w:gridCol w:w="1276"/>
        <w:gridCol w:w="1134"/>
        <w:gridCol w:w="1134"/>
        <w:gridCol w:w="1134"/>
        <w:gridCol w:w="1276"/>
      </w:tblGrid>
      <w:tr w:rsidR="00DD4C20" w:rsidRPr="00CD6245" w:rsidTr="00B42C54">
        <w:tc>
          <w:tcPr>
            <w:tcW w:w="1701" w:type="dxa"/>
            <w:shd w:val="clear" w:color="auto" w:fill="A6A6A6" w:themeFill="background1" w:themeFillShade="A6"/>
          </w:tcPr>
          <w:p w:rsidR="00DD4C20" w:rsidRPr="00CD6245" w:rsidRDefault="00DD4C20" w:rsidP="00901BA9">
            <w:pPr>
              <w:pStyle w:val="TableHeader"/>
            </w:pPr>
          </w:p>
        </w:tc>
        <w:tc>
          <w:tcPr>
            <w:tcW w:w="2350" w:type="dxa"/>
            <w:gridSpan w:val="2"/>
            <w:shd w:val="clear" w:color="auto" w:fill="A6A6A6" w:themeFill="background1" w:themeFillShade="A6"/>
          </w:tcPr>
          <w:p w:rsidR="00DD4C20" w:rsidRPr="00CD6245" w:rsidRDefault="00DD4C20" w:rsidP="00901BA9">
            <w:pPr>
              <w:pStyle w:val="TableHeader"/>
              <w:jc w:val="center"/>
            </w:pPr>
            <w:r w:rsidRPr="00CD6245">
              <w:t>2013–14</w:t>
            </w:r>
          </w:p>
        </w:tc>
        <w:tc>
          <w:tcPr>
            <w:tcW w:w="2268" w:type="dxa"/>
            <w:gridSpan w:val="2"/>
            <w:shd w:val="clear" w:color="auto" w:fill="A6A6A6" w:themeFill="background1" w:themeFillShade="A6"/>
          </w:tcPr>
          <w:p w:rsidR="00DD4C20" w:rsidRPr="00CD6245" w:rsidRDefault="00DD4C20" w:rsidP="00901BA9">
            <w:pPr>
              <w:pStyle w:val="TableHeader"/>
              <w:jc w:val="center"/>
            </w:pPr>
            <w:r w:rsidRPr="00CD6245">
              <w:t>2014–15</w:t>
            </w:r>
          </w:p>
        </w:tc>
        <w:tc>
          <w:tcPr>
            <w:tcW w:w="2410" w:type="dxa"/>
            <w:gridSpan w:val="2"/>
            <w:shd w:val="clear" w:color="auto" w:fill="A6A6A6" w:themeFill="background1" w:themeFillShade="A6"/>
          </w:tcPr>
          <w:p w:rsidR="00DD4C20" w:rsidRPr="00CD6245" w:rsidRDefault="00DD4C20" w:rsidP="00143F89">
            <w:pPr>
              <w:pStyle w:val="TableHeader"/>
              <w:jc w:val="center"/>
            </w:pPr>
            <w:r w:rsidRPr="00CD6245">
              <w:t>2015–16</w:t>
            </w:r>
          </w:p>
        </w:tc>
      </w:tr>
      <w:tr w:rsidR="00DD4C20" w:rsidRPr="00CD6245" w:rsidTr="00B42C54">
        <w:tc>
          <w:tcPr>
            <w:tcW w:w="1701" w:type="dxa"/>
            <w:shd w:val="clear" w:color="auto" w:fill="A6A6A6" w:themeFill="background1" w:themeFillShade="A6"/>
          </w:tcPr>
          <w:p w:rsidR="00DD4C20" w:rsidRPr="00CD6245" w:rsidRDefault="00DD4C20" w:rsidP="00901BA9">
            <w:pPr>
              <w:pStyle w:val="TableHeader"/>
            </w:pPr>
          </w:p>
        </w:tc>
        <w:tc>
          <w:tcPr>
            <w:tcW w:w="1074" w:type="dxa"/>
            <w:shd w:val="clear" w:color="auto" w:fill="A6A6A6" w:themeFill="background1" w:themeFillShade="A6"/>
          </w:tcPr>
          <w:p w:rsidR="00DD4C20" w:rsidRPr="00CD6245" w:rsidRDefault="00DD4C20" w:rsidP="00471F8D">
            <w:pPr>
              <w:pStyle w:val="TableHeader"/>
              <w:jc w:val="center"/>
            </w:pPr>
            <w:r w:rsidRPr="00CD6245">
              <w:t>Number</w:t>
            </w:r>
          </w:p>
        </w:tc>
        <w:tc>
          <w:tcPr>
            <w:tcW w:w="1276" w:type="dxa"/>
            <w:shd w:val="clear" w:color="auto" w:fill="A6A6A6" w:themeFill="background1" w:themeFillShade="A6"/>
          </w:tcPr>
          <w:p w:rsidR="00DD4C20" w:rsidRPr="00CD6245" w:rsidRDefault="00DD4C20" w:rsidP="00471F8D">
            <w:pPr>
              <w:pStyle w:val="TableHeader"/>
              <w:jc w:val="center"/>
            </w:pPr>
            <w:r w:rsidRPr="00CD6245">
              <w:t>Value</w:t>
            </w:r>
          </w:p>
        </w:tc>
        <w:tc>
          <w:tcPr>
            <w:tcW w:w="1134" w:type="dxa"/>
            <w:shd w:val="clear" w:color="auto" w:fill="A6A6A6" w:themeFill="background1" w:themeFillShade="A6"/>
          </w:tcPr>
          <w:p w:rsidR="00DD4C20" w:rsidRPr="00CD6245" w:rsidRDefault="00DD4C20" w:rsidP="00901BA9">
            <w:pPr>
              <w:pStyle w:val="TableHeader"/>
              <w:jc w:val="center"/>
            </w:pPr>
            <w:r w:rsidRPr="00CD6245">
              <w:t>Number</w:t>
            </w:r>
          </w:p>
        </w:tc>
        <w:tc>
          <w:tcPr>
            <w:tcW w:w="1134" w:type="dxa"/>
            <w:shd w:val="clear" w:color="auto" w:fill="A6A6A6" w:themeFill="background1" w:themeFillShade="A6"/>
          </w:tcPr>
          <w:p w:rsidR="00DD4C20" w:rsidRPr="00CD6245" w:rsidRDefault="00DD4C20" w:rsidP="00901BA9">
            <w:pPr>
              <w:pStyle w:val="TableHeader"/>
              <w:jc w:val="center"/>
            </w:pPr>
            <w:r w:rsidRPr="00CD6245">
              <w:t>Value</w:t>
            </w:r>
          </w:p>
        </w:tc>
        <w:tc>
          <w:tcPr>
            <w:tcW w:w="1134" w:type="dxa"/>
            <w:shd w:val="clear" w:color="auto" w:fill="A6A6A6" w:themeFill="background1" w:themeFillShade="A6"/>
          </w:tcPr>
          <w:p w:rsidR="00DD4C20" w:rsidRPr="00CD6245" w:rsidRDefault="00DD4C20" w:rsidP="00471F8D">
            <w:pPr>
              <w:pStyle w:val="TableHeader"/>
              <w:jc w:val="center"/>
            </w:pPr>
            <w:r w:rsidRPr="00CD6245">
              <w:t>Number</w:t>
            </w:r>
          </w:p>
        </w:tc>
        <w:tc>
          <w:tcPr>
            <w:tcW w:w="1276" w:type="dxa"/>
            <w:shd w:val="clear" w:color="auto" w:fill="A6A6A6" w:themeFill="background1" w:themeFillShade="A6"/>
          </w:tcPr>
          <w:p w:rsidR="00DD4C20" w:rsidRPr="00CD6245" w:rsidRDefault="00DD4C20" w:rsidP="00471F8D">
            <w:pPr>
              <w:pStyle w:val="TableHeader"/>
              <w:jc w:val="center"/>
            </w:pPr>
            <w:r w:rsidRPr="00CD6245">
              <w:t>Value</w:t>
            </w:r>
          </w:p>
        </w:tc>
      </w:tr>
      <w:tr w:rsidR="002B134E" w:rsidRPr="00CD6245" w:rsidTr="00B42C54">
        <w:tc>
          <w:tcPr>
            <w:tcW w:w="1701" w:type="dxa"/>
          </w:tcPr>
          <w:p w:rsidR="002B134E" w:rsidRPr="00CD6245" w:rsidRDefault="002B134E" w:rsidP="00901BA9">
            <w:pPr>
              <w:pStyle w:val="TableText"/>
            </w:pPr>
            <w:r w:rsidRPr="00CD6245">
              <w:t>One-off supplies</w:t>
            </w:r>
          </w:p>
        </w:tc>
        <w:tc>
          <w:tcPr>
            <w:tcW w:w="1074" w:type="dxa"/>
            <w:vAlign w:val="center"/>
          </w:tcPr>
          <w:p w:rsidR="002B134E" w:rsidRPr="00CD6245" w:rsidRDefault="002B134E" w:rsidP="00471F8D">
            <w:pPr>
              <w:pStyle w:val="TableText"/>
              <w:jc w:val="right"/>
            </w:pPr>
            <w:r w:rsidRPr="00CD6245">
              <w:t>573</w:t>
            </w:r>
          </w:p>
        </w:tc>
        <w:tc>
          <w:tcPr>
            <w:tcW w:w="1276" w:type="dxa"/>
            <w:vAlign w:val="center"/>
          </w:tcPr>
          <w:p w:rsidR="002B134E" w:rsidRPr="00CD6245" w:rsidRDefault="002B134E" w:rsidP="00471F8D">
            <w:pPr>
              <w:pStyle w:val="TableText"/>
              <w:jc w:val="right"/>
            </w:pPr>
            <w:r w:rsidRPr="00CD6245">
              <w:t>$735.5M</w:t>
            </w:r>
          </w:p>
        </w:tc>
        <w:tc>
          <w:tcPr>
            <w:tcW w:w="1134" w:type="dxa"/>
            <w:vAlign w:val="center"/>
          </w:tcPr>
          <w:p w:rsidR="002B134E" w:rsidRPr="00CD6245" w:rsidRDefault="002B134E" w:rsidP="00901BA9">
            <w:pPr>
              <w:pStyle w:val="TableText"/>
              <w:jc w:val="right"/>
            </w:pPr>
            <w:r w:rsidRPr="00CD6245">
              <w:t>630</w:t>
            </w:r>
          </w:p>
        </w:tc>
        <w:tc>
          <w:tcPr>
            <w:tcW w:w="1134" w:type="dxa"/>
            <w:vAlign w:val="center"/>
          </w:tcPr>
          <w:p w:rsidR="002B134E" w:rsidRPr="00CD6245" w:rsidRDefault="002B134E" w:rsidP="00901BA9">
            <w:pPr>
              <w:pStyle w:val="TableText"/>
              <w:jc w:val="right"/>
            </w:pPr>
            <w:r w:rsidRPr="00CD6245">
              <w:t>$692.3M</w:t>
            </w:r>
          </w:p>
        </w:tc>
        <w:tc>
          <w:tcPr>
            <w:tcW w:w="1134" w:type="dxa"/>
            <w:vAlign w:val="center"/>
          </w:tcPr>
          <w:p w:rsidR="002B134E" w:rsidRPr="00CD6245" w:rsidRDefault="002B134E" w:rsidP="00A30060">
            <w:pPr>
              <w:jc w:val="right"/>
              <w:rPr>
                <w:rFonts w:ascii="Calibri" w:hAnsi="Calibri"/>
                <w:color w:val="000000"/>
                <w:sz w:val="20"/>
                <w:szCs w:val="20"/>
              </w:rPr>
            </w:pPr>
            <w:r w:rsidRPr="00CD6245">
              <w:rPr>
                <w:rFonts w:ascii="Calibri" w:hAnsi="Calibri"/>
                <w:color w:val="000000"/>
                <w:sz w:val="20"/>
                <w:szCs w:val="20"/>
              </w:rPr>
              <w:t>743</w:t>
            </w:r>
          </w:p>
        </w:tc>
        <w:tc>
          <w:tcPr>
            <w:tcW w:w="1276" w:type="dxa"/>
            <w:vAlign w:val="center"/>
          </w:tcPr>
          <w:p w:rsidR="002B134E" w:rsidRPr="00CD6245" w:rsidRDefault="002B134E" w:rsidP="00A30060">
            <w:pPr>
              <w:jc w:val="right"/>
              <w:rPr>
                <w:rFonts w:ascii="Calibri" w:hAnsi="Calibri"/>
                <w:color w:val="000000"/>
                <w:sz w:val="20"/>
                <w:szCs w:val="20"/>
              </w:rPr>
            </w:pPr>
            <w:r w:rsidRPr="00CD6245">
              <w:rPr>
                <w:rFonts w:ascii="Calibri" w:hAnsi="Calibri"/>
                <w:color w:val="000000"/>
                <w:sz w:val="20"/>
                <w:szCs w:val="20"/>
              </w:rPr>
              <w:t>$915.5M</w:t>
            </w:r>
          </w:p>
        </w:tc>
      </w:tr>
      <w:tr w:rsidR="002B134E" w:rsidRPr="00CD6245" w:rsidTr="00B42C54">
        <w:tc>
          <w:tcPr>
            <w:tcW w:w="1701" w:type="dxa"/>
          </w:tcPr>
          <w:p w:rsidR="002B134E" w:rsidRPr="00CD6245" w:rsidRDefault="002B134E" w:rsidP="00901BA9">
            <w:pPr>
              <w:pStyle w:val="TableText"/>
            </w:pPr>
            <w:r w:rsidRPr="00CD6245">
              <w:t>SEPCs</w:t>
            </w:r>
          </w:p>
        </w:tc>
        <w:tc>
          <w:tcPr>
            <w:tcW w:w="1074" w:type="dxa"/>
            <w:vAlign w:val="center"/>
          </w:tcPr>
          <w:p w:rsidR="002B134E" w:rsidRPr="00CD6245" w:rsidRDefault="002B134E" w:rsidP="00471F8D">
            <w:pPr>
              <w:pStyle w:val="TableText"/>
              <w:jc w:val="right"/>
            </w:pPr>
            <w:r w:rsidRPr="00CD6245">
              <w:t>29</w:t>
            </w:r>
          </w:p>
        </w:tc>
        <w:tc>
          <w:tcPr>
            <w:tcW w:w="1276" w:type="dxa"/>
            <w:vAlign w:val="center"/>
          </w:tcPr>
          <w:p w:rsidR="002B134E" w:rsidRPr="00CD6245" w:rsidRDefault="002B134E" w:rsidP="00471F8D">
            <w:pPr>
              <w:pStyle w:val="TableText"/>
              <w:jc w:val="right"/>
            </w:pPr>
            <w:r w:rsidRPr="00CD6245">
              <w:t>$93.2M</w:t>
            </w:r>
          </w:p>
        </w:tc>
        <w:tc>
          <w:tcPr>
            <w:tcW w:w="1134" w:type="dxa"/>
            <w:vAlign w:val="center"/>
          </w:tcPr>
          <w:p w:rsidR="002B134E" w:rsidRPr="00CD6245" w:rsidRDefault="002B134E" w:rsidP="00901BA9">
            <w:pPr>
              <w:pStyle w:val="TableText"/>
              <w:jc w:val="right"/>
            </w:pPr>
            <w:r w:rsidRPr="00CD6245">
              <w:t>37</w:t>
            </w:r>
          </w:p>
        </w:tc>
        <w:tc>
          <w:tcPr>
            <w:tcW w:w="1134" w:type="dxa"/>
            <w:vAlign w:val="center"/>
          </w:tcPr>
          <w:p w:rsidR="002B134E" w:rsidRPr="00CD6245" w:rsidRDefault="002B134E" w:rsidP="00901BA9">
            <w:pPr>
              <w:pStyle w:val="TableText"/>
              <w:jc w:val="right"/>
            </w:pPr>
            <w:r w:rsidRPr="00CD6245">
              <w:t>$270.9M</w:t>
            </w:r>
          </w:p>
        </w:tc>
        <w:tc>
          <w:tcPr>
            <w:tcW w:w="1134" w:type="dxa"/>
            <w:vAlign w:val="center"/>
          </w:tcPr>
          <w:p w:rsidR="002B134E" w:rsidRPr="00CD6245" w:rsidRDefault="002B134E" w:rsidP="00A30060">
            <w:pPr>
              <w:jc w:val="right"/>
              <w:rPr>
                <w:rFonts w:ascii="Calibri" w:hAnsi="Calibri"/>
                <w:color w:val="000000"/>
                <w:sz w:val="20"/>
                <w:szCs w:val="20"/>
              </w:rPr>
            </w:pPr>
            <w:r w:rsidRPr="00CD6245">
              <w:rPr>
                <w:rFonts w:ascii="Calibri" w:hAnsi="Calibri"/>
                <w:color w:val="000000"/>
                <w:sz w:val="20"/>
                <w:szCs w:val="20"/>
              </w:rPr>
              <w:t>37</w:t>
            </w:r>
          </w:p>
        </w:tc>
        <w:tc>
          <w:tcPr>
            <w:tcW w:w="1276" w:type="dxa"/>
            <w:vAlign w:val="center"/>
          </w:tcPr>
          <w:p w:rsidR="002B134E" w:rsidRPr="00CD6245" w:rsidRDefault="002B134E" w:rsidP="00A30060">
            <w:pPr>
              <w:jc w:val="right"/>
              <w:rPr>
                <w:rFonts w:ascii="Calibri" w:hAnsi="Calibri"/>
                <w:color w:val="000000"/>
                <w:sz w:val="20"/>
                <w:szCs w:val="20"/>
              </w:rPr>
            </w:pPr>
            <w:r w:rsidRPr="00CD6245">
              <w:rPr>
                <w:rFonts w:ascii="Calibri" w:hAnsi="Calibri"/>
                <w:color w:val="000000"/>
                <w:sz w:val="20"/>
                <w:szCs w:val="20"/>
              </w:rPr>
              <w:t>$778.8M</w:t>
            </w:r>
          </w:p>
        </w:tc>
      </w:tr>
      <w:tr w:rsidR="002B134E" w:rsidRPr="00CD6245" w:rsidTr="00B42C54">
        <w:tc>
          <w:tcPr>
            <w:tcW w:w="1701" w:type="dxa"/>
          </w:tcPr>
          <w:p w:rsidR="002B134E" w:rsidRPr="00CD6245" w:rsidRDefault="002B134E" w:rsidP="00901BA9">
            <w:pPr>
              <w:pStyle w:val="TableText"/>
            </w:pPr>
            <w:r w:rsidRPr="00CD6245">
              <w:t>SPCs</w:t>
            </w:r>
          </w:p>
        </w:tc>
        <w:tc>
          <w:tcPr>
            <w:tcW w:w="1074" w:type="dxa"/>
            <w:vAlign w:val="center"/>
          </w:tcPr>
          <w:p w:rsidR="002B134E" w:rsidRPr="00CD6245" w:rsidRDefault="002B134E" w:rsidP="00471F8D">
            <w:pPr>
              <w:pStyle w:val="TableText"/>
              <w:jc w:val="right"/>
            </w:pPr>
            <w:r w:rsidRPr="00CD6245">
              <w:t>5</w:t>
            </w:r>
          </w:p>
        </w:tc>
        <w:tc>
          <w:tcPr>
            <w:tcW w:w="1276" w:type="dxa"/>
            <w:vAlign w:val="center"/>
          </w:tcPr>
          <w:p w:rsidR="002B134E" w:rsidRPr="00CD6245" w:rsidRDefault="002B134E" w:rsidP="00471F8D">
            <w:pPr>
              <w:pStyle w:val="TableText"/>
              <w:jc w:val="right"/>
            </w:pPr>
            <w:r w:rsidRPr="00CD6245">
              <w:t>$114.8M</w:t>
            </w:r>
          </w:p>
        </w:tc>
        <w:tc>
          <w:tcPr>
            <w:tcW w:w="1134" w:type="dxa"/>
            <w:vAlign w:val="center"/>
          </w:tcPr>
          <w:p w:rsidR="002B134E" w:rsidRPr="00CD6245" w:rsidRDefault="002B134E" w:rsidP="00901BA9">
            <w:pPr>
              <w:pStyle w:val="TableText"/>
              <w:jc w:val="right"/>
            </w:pPr>
            <w:r w:rsidRPr="00CD6245">
              <w:t>6</w:t>
            </w:r>
          </w:p>
        </w:tc>
        <w:tc>
          <w:tcPr>
            <w:tcW w:w="1134" w:type="dxa"/>
            <w:vAlign w:val="center"/>
          </w:tcPr>
          <w:p w:rsidR="002B134E" w:rsidRPr="00CD6245" w:rsidRDefault="002B134E" w:rsidP="00901BA9">
            <w:pPr>
              <w:pStyle w:val="TableText"/>
              <w:jc w:val="right"/>
            </w:pPr>
            <w:r w:rsidRPr="00CD6245">
              <w:t>$658.6M</w:t>
            </w:r>
          </w:p>
        </w:tc>
        <w:tc>
          <w:tcPr>
            <w:tcW w:w="1134" w:type="dxa"/>
            <w:vAlign w:val="center"/>
          </w:tcPr>
          <w:p w:rsidR="002B134E" w:rsidRPr="00CD6245" w:rsidRDefault="002B134E" w:rsidP="00A30060">
            <w:pPr>
              <w:jc w:val="right"/>
              <w:rPr>
                <w:rFonts w:ascii="Calibri" w:hAnsi="Calibri"/>
                <w:color w:val="000000"/>
                <w:sz w:val="20"/>
                <w:szCs w:val="20"/>
              </w:rPr>
            </w:pPr>
            <w:r w:rsidRPr="00CD6245">
              <w:rPr>
                <w:rFonts w:ascii="Calibri" w:hAnsi="Calibri"/>
                <w:color w:val="000000"/>
                <w:sz w:val="20"/>
                <w:szCs w:val="20"/>
              </w:rPr>
              <w:t>10</w:t>
            </w:r>
          </w:p>
        </w:tc>
        <w:tc>
          <w:tcPr>
            <w:tcW w:w="1276" w:type="dxa"/>
            <w:vAlign w:val="center"/>
          </w:tcPr>
          <w:p w:rsidR="002B134E" w:rsidRPr="00CD6245" w:rsidRDefault="002B134E" w:rsidP="00EC48D0">
            <w:pPr>
              <w:jc w:val="right"/>
              <w:rPr>
                <w:rFonts w:ascii="Calibri" w:hAnsi="Calibri"/>
                <w:color w:val="000000"/>
                <w:sz w:val="20"/>
                <w:szCs w:val="20"/>
              </w:rPr>
            </w:pPr>
            <w:r w:rsidRPr="00CD6245">
              <w:rPr>
                <w:rFonts w:ascii="Calibri" w:hAnsi="Calibri"/>
                <w:color w:val="000000"/>
                <w:sz w:val="20"/>
                <w:szCs w:val="20"/>
              </w:rPr>
              <w:t>$7</w:t>
            </w:r>
            <w:r w:rsidR="00EC48D0" w:rsidRPr="00CD6245">
              <w:rPr>
                <w:rFonts w:ascii="Calibri" w:hAnsi="Calibri"/>
                <w:color w:val="000000"/>
                <w:sz w:val="20"/>
                <w:szCs w:val="20"/>
              </w:rPr>
              <w:t>2</w:t>
            </w:r>
            <w:r w:rsidRPr="00CD6245">
              <w:rPr>
                <w:rFonts w:ascii="Calibri" w:hAnsi="Calibri"/>
                <w:color w:val="000000"/>
                <w:sz w:val="20"/>
                <w:szCs w:val="20"/>
              </w:rPr>
              <w:t>0.6M</w:t>
            </w:r>
          </w:p>
        </w:tc>
      </w:tr>
      <w:tr w:rsidR="002B134E" w:rsidRPr="00CD6245" w:rsidTr="00B42C54">
        <w:tc>
          <w:tcPr>
            <w:tcW w:w="1701" w:type="dxa"/>
            <w:shd w:val="clear" w:color="auto" w:fill="A6A6A6" w:themeFill="background1" w:themeFillShade="A6"/>
          </w:tcPr>
          <w:p w:rsidR="002B134E" w:rsidRPr="00CD6245" w:rsidRDefault="002B134E" w:rsidP="00901BA9">
            <w:pPr>
              <w:pStyle w:val="TableText"/>
            </w:pPr>
            <w:r w:rsidRPr="00CD6245">
              <w:t>Totals</w:t>
            </w:r>
          </w:p>
        </w:tc>
        <w:tc>
          <w:tcPr>
            <w:tcW w:w="1074" w:type="dxa"/>
            <w:shd w:val="clear" w:color="auto" w:fill="A6A6A6" w:themeFill="background1" w:themeFillShade="A6"/>
            <w:vAlign w:val="center"/>
          </w:tcPr>
          <w:p w:rsidR="002B134E" w:rsidRPr="00CD6245" w:rsidRDefault="002B134E" w:rsidP="00471F8D">
            <w:pPr>
              <w:pStyle w:val="TableText"/>
              <w:jc w:val="right"/>
            </w:pPr>
            <w:r w:rsidRPr="00CD6245">
              <w:t>607</w:t>
            </w:r>
          </w:p>
        </w:tc>
        <w:tc>
          <w:tcPr>
            <w:tcW w:w="1276" w:type="dxa"/>
            <w:shd w:val="clear" w:color="auto" w:fill="A6A6A6" w:themeFill="background1" w:themeFillShade="A6"/>
            <w:vAlign w:val="center"/>
          </w:tcPr>
          <w:p w:rsidR="002B134E" w:rsidRPr="00CD6245" w:rsidRDefault="002B134E" w:rsidP="00471F8D">
            <w:pPr>
              <w:pStyle w:val="TableText"/>
              <w:jc w:val="right"/>
            </w:pPr>
            <w:r w:rsidRPr="00CD6245">
              <w:t>$943.5M</w:t>
            </w:r>
          </w:p>
        </w:tc>
        <w:tc>
          <w:tcPr>
            <w:tcW w:w="1134" w:type="dxa"/>
            <w:shd w:val="clear" w:color="auto" w:fill="A6A6A6" w:themeFill="background1" w:themeFillShade="A6"/>
            <w:vAlign w:val="center"/>
          </w:tcPr>
          <w:p w:rsidR="002B134E" w:rsidRPr="00CD6245" w:rsidRDefault="002B134E" w:rsidP="00901BA9">
            <w:pPr>
              <w:pStyle w:val="TableText"/>
              <w:jc w:val="right"/>
            </w:pPr>
            <w:r w:rsidRPr="00CD6245">
              <w:t>673</w:t>
            </w:r>
          </w:p>
        </w:tc>
        <w:tc>
          <w:tcPr>
            <w:tcW w:w="1134" w:type="dxa"/>
            <w:shd w:val="clear" w:color="auto" w:fill="A6A6A6" w:themeFill="background1" w:themeFillShade="A6"/>
            <w:vAlign w:val="center"/>
          </w:tcPr>
          <w:p w:rsidR="002B134E" w:rsidRPr="00CD6245" w:rsidRDefault="002B134E" w:rsidP="00901BA9">
            <w:pPr>
              <w:pStyle w:val="TableText"/>
              <w:jc w:val="right"/>
            </w:pPr>
            <w:r w:rsidRPr="00CD6245">
              <w:t>$1 621.9M</w:t>
            </w:r>
          </w:p>
        </w:tc>
        <w:tc>
          <w:tcPr>
            <w:tcW w:w="1134" w:type="dxa"/>
            <w:shd w:val="clear" w:color="auto" w:fill="A6A6A6" w:themeFill="background1" w:themeFillShade="A6"/>
            <w:vAlign w:val="center"/>
          </w:tcPr>
          <w:p w:rsidR="002B134E" w:rsidRPr="00CD6245" w:rsidRDefault="002B134E" w:rsidP="00A30060">
            <w:pPr>
              <w:jc w:val="right"/>
              <w:rPr>
                <w:rFonts w:ascii="Calibri" w:hAnsi="Calibri"/>
                <w:color w:val="000000"/>
                <w:sz w:val="20"/>
                <w:szCs w:val="20"/>
              </w:rPr>
            </w:pPr>
            <w:r w:rsidRPr="00CD6245">
              <w:rPr>
                <w:rFonts w:ascii="Calibri" w:hAnsi="Calibri"/>
                <w:color w:val="000000"/>
                <w:sz w:val="20"/>
                <w:szCs w:val="20"/>
              </w:rPr>
              <w:t>790</w:t>
            </w:r>
          </w:p>
        </w:tc>
        <w:tc>
          <w:tcPr>
            <w:tcW w:w="1276" w:type="dxa"/>
            <w:shd w:val="clear" w:color="auto" w:fill="A6A6A6" w:themeFill="background1" w:themeFillShade="A6"/>
            <w:vAlign w:val="center"/>
          </w:tcPr>
          <w:p w:rsidR="002B134E" w:rsidRPr="00CD6245" w:rsidRDefault="002B134E" w:rsidP="00EC48D0">
            <w:pPr>
              <w:jc w:val="right"/>
              <w:rPr>
                <w:rFonts w:ascii="Calibri" w:hAnsi="Calibri"/>
                <w:color w:val="000000"/>
                <w:sz w:val="20"/>
                <w:szCs w:val="20"/>
              </w:rPr>
            </w:pPr>
            <w:r w:rsidRPr="00CD6245">
              <w:rPr>
                <w:rFonts w:ascii="Calibri" w:hAnsi="Calibri"/>
                <w:color w:val="000000"/>
                <w:sz w:val="20"/>
                <w:szCs w:val="20"/>
              </w:rPr>
              <w:t>$2</w:t>
            </w:r>
            <w:r w:rsidR="00781F30" w:rsidRPr="00CD6245">
              <w:rPr>
                <w:rFonts w:ascii="Calibri" w:hAnsi="Calibri"/>
                <w:color w:val="000000"/>
                <w:sz w:val="20"/>
                <w:szCs w:val="20"/>
              </w:rPr>
              <w:t> </w:t>
            </w:r>
            <w:r w:rsidRPr="00CD6245">
              <w:rPr>
                <w:rFonts w:ascii="Calibri" w:hAnsi="Calibri"/>
                <w:color w:val="000000"/>
                <w:sz w:val="20"/>
                <w:szCs w:val="20"/>
              </w:rPr>
              <w:t>4</w:t>
            </w:r>
            <w:r w:rsidR="00EC48D0" w:rsidRPr="00CD6245">
              <w:rPr>
                <w:rFonts w:ascii="Calibri" w:hAnsi="Calibri"/>
                <w:color w:val="000000"/>
                <w:sz w:val="20"/>
                <w:szCs w:val="20"/>
              </w:rPr>
              <w:t>1</w:t>
            </w:r>
            <w:r w:rsidRPr="00CD6245">
              <w:rPr>
                <w:rFonts w:ascii="Calibri" w:hAnsi="Calibri"/>
                <w:color w:val="000000"/>
                <w:sz w:val="20"/>
                <w:szCs w:val="20"/>
              </w:rPr>
              <w:t>4.9M</w:t>
            </w:r>
          </w:p>
        </w:tc>
      </w:tr>
    </w:tbl>
    <w:p w:rsidR="007C2609" w:rsidRPr="007C2609" w:rsidRDefault="007C2609" w:rsidP="007C2609">
      <w:pPr>
        <w:pStyle w:val="Caption"/>
        <w:rPr>
          <w:sz w:val="20"/>
          <w:szCs w:val="20"/>
        </w:rPr>
      </w:pPr>
      <w:r w:rsidRPr="007C2609">
        <w:rPr>
          <w:sz w:val="20"/>
          <w:szCs w:val="20"/>
        </w:rPr>
        <w:t xml:space="preserve">Note: </w:t>
      </w:r>
      <w:r>
        <w:rPr>
          <w:sz w:val="20"/>
          <w:szCs w:val="20"/>
        </w:rPr>
        <w:t xml:space="preserve">The increase in one-off supply approvals in 2015–6 compared to previous years can be partly attributed to the additional procurement approvals reported by VicRoads following their successful accreditation to VGPB supply policies from 1 July 2015. VicRoads reported 77 one-off supply approvals valued at $55.0 million. VicRoads did not report any SEPCs or SPCs. </w:t>
      </w:r>
    </w:p>
    <w:p w:rsidR="00386F65" w:rsidRPr="00CD6245" w:rsidRDefault="00D22258" w:rsidP="00DD4C20">
      <w:pPr>
        <w:pStyle w:val="Heading2NoNum"/>
      </w:pPr>
      <w:bookmarkStart w:id="59" w:name="_Toc463527720"/>
      <w:r w:rsidRPr="00CD6245">
        <w:t>O</w:t>
      </w:r>
      <w:r w:rsidR="00386F65" w:rsidRPr="00CD6245">
        <w:t xml:space="preserve">ne-off supply </w:t>
      </w:r>
      <w:r w:rsidR="00E17EAF" w:rsidRPr="00CD6245">
        <w:t>contracts</w:t>
      </w:r>
      <w:bookmarkEnd w:id="59"/>
    </w:p>
    <w:p w:rsidR="00D12342" w:rsidRPr="00CD6245" w:rsidRDefault="00D12342" w:rsidP="00D12342">
      <w:pPr>
        <w:pStyle w:val="Normal1"/>
        <w:rPr>
          <w:lang w:eastAsia="en-US"/>
        </w:rPr>
      </w:pPr>
      <w:r w:rsidRPr="00CD6245">
        <w:rPr>
          <w:lang w:eastAsia="en-US"/>
        </w:rPr>
        <w:t xml:space="preserve">One-off supply refers to a </w:t>
      </w:r>
      <w:r w:rsidR="00A3353B" w:rsidRPr="00CD6245">
        <w:rPr>
          <w:lang w:eastAsia="en-US"/>
        </w:rPr>
        <w:t xml:space="preserve">single </w:t>
      </w:r>
      <w:r w:rsidRPr="00CD6245">
        <w:rPr>
          <w:lang w:eastAsia="en-US"/>
        </w:rPr>
        <w:t>purchase of a specific quantity of goods or services which has been subject to a discrete quotation or tender process.</w:t>
      </w:r>
    </w:p>
    <w:p w:rsidR="00386F65" w:rsidRPr="00CD6245" w:rsidRDefault="00386F65" w:rsidP="00386F65">
      <w:pPr>
        <w:pStyle w:val="Normal1"/>
      </w:pPr>
      <w:r w:rsidRPr="00CD6245">
        <w:rPr>
          <w:lang w:eastAsia="en-US"/>
        </w:rPr>
        <w:t>In 201</w:t>
      </w:r>
      <w:r w:rsidR="00414AE0" w:rsidRPr="00CD6245">
        <w:rPr>
          <w:lang w:eastAsia="en-US"/>
        </w:rPr>
        <w:t>5–16</w:t>
      </w:r>
      <w:r w:rsidR="00823ABA" w:rsidRPr="00CD6245">
        <w:rPr>
          <w:lang w:eastAsia="en-US"/>
        </w:rPr>
        <w:t>,</w:t>
      </w:r>
      <w:r w:rsidRPr="00CD6245">
        <w:rPr>
          <w:lang w:eastAsia="en-US"/>
        </w:rPr>
        <w:t xml:space="preserve"> </w:t>
      </w:r>
      <w:r w:rsidR="00FD0317" w:rsidRPr="00CD6245">
        <w:rPr>
          <w:lang w:eastAsia="en-US"/>
        </w:rPr>
        <w:t>organisation</w:t>
      </w:r>
      <w:r w:rsidR="00664558" w:rsidRPr="00CD6245">
        <w:rPr>
          <w:lang w:eastAsia="en-US"/>
        </w:rPr>
        <w:t>s reported</w:t>
      </w:r>
      <w:r w:rsidR="00231C0B" w:rsidRPr="00CD6245">
        <w:rPr>
          <w:lang w:eastAsia="en-US"/>
        </w:rPr>
        <w:t xml:space="preserve"> </w:t>
      </w:r>
      <w:r w:rsidR="0064672C" w:rsidRPr="00CD6245">
        <w:rPr>
          <w:lang w:eastAsia="en-US"/>
        </w:rPr>
        <w:t>743</w:t>
      </w:r>
      <w:r w:rsidR="0064672C" w:rsidRPr="00CD6245">
        <w:t xml:space="preserve"> o</w:t>
      </w:r>
      <w:r w:rsidRPr="00CD6245">
        <w:t xml:space="preserve">ne-off supply </w:t>
      </w:r>
      <w:r w:rsidR="00B552A7" w:rsidRPr="00CD6245">
        <w:rPr>
          <w:lang w:eastAsia="en-US"/>
        </w:rPr>
        <w:t xml:space="preserve">procurement </w:t>
      </w:r>
      <w:r w:rsidR="001316BA" w:rsidRPr="00CD6245">
        <w:t xml:space="preserve">approvals valued at </w:t>
      </w:r>
      <w:r w:rsidR="0064672C" w:rsidRPr="00CD6245">
        <w:t>$915.</w:t>
      </w:r>
      <w:r w:rsidR="00EC48D0" w:rsidRPr="00CD6245">
        <w:t>5</w:t>
      </w:r>
      <w:r w:rsidR="00140396">
        <w:t xml:space="preserve"> </w:t>
      </w:r>
      <w:r w:rsidRPr="00CD6245">
        <w:t xml:space="preserve">million. </w:t>
      </w:r>
      <w:r w:rsidR="0064672C" w:rsidRPr="00CD6245">
        <w:t>Twelve</w:t>
      </w:r>
      <w:r w:rsidR="00231C0B" w:rsidRPr="00CD6245">
        <w:t xml:space="preserve"> </w:t>
      </w:r>
      <w:r w:rsidRPr="00CD6245">
        <w:t>per</w:t>
      </w:r>
      <w:r w:rsidR="0029589C" w:rsidRPr="00CD6245">
        <w:t xml:space="preserve"> </w:t>
      </w:r>
      <w:r w:rsidRPr="00CD6245">
        <w:t xml:space="preserve">cent of one-off supply approvals </w:t>
      </w:r>
      <w:r w:rsidR="0029589C" w:rsidRPr="00CD6245">
        <w:t>were for</w:t>
      </w:r>
      <w:r w:rsidRPr="00CD6245">
        <w:t xml:space="preserve"> procurement of goods and </w:t>
      </w:r>
      <w:r w:rsidR="0064672C" w:rsidRPr="00CD6245">
        <w:t>88</w:t>
      </w:r>
      <w:r w:rsidR="00823ABA" w:rsidRPr="00CD6245">
        <w:t> </w:t>
      </w:r>
      <w:r w:rsidRPr="00CD6245">
        <w:t xml:space="preserve">per cent </w:t>
      </w:r>
      <w:r w:rsidR="0029589C" w:rsidRPr="00CD6245">
        <w:t xml:space="preserve">for </w:t>
      </w:r>
      <w:r w:rsidRPr="00CD6245">
        <w:t>services.</w:t>
      </w:r>
    </w:p>
    <w:p w:rsidR="006F1BB3" w:rsidRPr="00CD6245" w:rsidRDefault="006F1BB3" w:rsidP="006F1BB3">
      <w:pPr>
        <w:pStyle w:val="Normal1"/>
        <w:rPr>
          <w:lang w:eastAsia="en-US"/>
        </w:rPr>
      </w:pPr>
      <w:r w:rsidRPr="00CD6245">
        <w:t xml:space="preserve">This compares to </w:t>
      </w:r>
      <w:r w:rsidR="00414AE0" w:rsidRPr="00CD6245">
        <w:t>630</w:t>
      </w:r>
      <w:r w:rsidRPr="00CD6245">
        <w:t xml:space="preserve"> o</w:t>
      </w:r>
      <w:r w:rsidR="00414AE0" w:rsidRPr="00CD6245">
        <w:t>ne-off supply approvals in 20</w:t>
      </w:r>
      <w:r w:rsidRPr="00CD6245">
        <w:t>14</w:t>
      </w:r>
      <w:r w:rsidR="00414AE0" w:rsidRPr="00CD6245">
        <w:t>–15</w:t>
      </w:r>
      <w:r w:rsidRPr="00CD6245">
        <w:t xml:space="preserve"> valued at </w:t>
      </w:r>
      <w:r w:rsidR="00414AE0" w:rsidRPr="00CD6245">
        <w:t>$692.3</w:t>
      </w:r>
      <w:r w:rsidRPr="00CD6245">
        <w:t xml:space="preserve"> million.</w:t>
      </w:r>
    </w:p>
    <w:p w:rsidR="00386F65" w:rsidRPr="00CD6245" w:rsidRDefault="002E75B9" w:rsidP="00386F65">
      <w:pPr>
        <w:pStyle w:val="Normal1"/>
      </w:pPr>
      <w:r>
        <w:t>Table 7</w:t>
      </w:r>
      <w:r w:rsidR="006F1BB3" w:rsidRPr="00CD6245">
        <w:t xml:space="preserve"> </w:t>
      </w:r>
      <w:r w:rsidR="00414AE0" w:rsidRPr="00CD6245">
        <w:t xml:space="preserve">and Figures </w:t>
      </w:r>
      <w:r w:rsidR="00781F30" w:rsidRPr="00CD6245">
        <w:t>4</w:t>
      </w:r>
      <w:r w:rsidR="00A9404F" w:rsidRPr="00CD6245">
        <w:t xml:space="preserve"> and </w:t>
      </w:r>
      <w:r w:rsidR="00781F30" w:rsidRPr="00CD6245">
        <w:t>5</w:t>
      </w:r>
      <w:r w:rsidR="00B32D95" w:rsidRPr="00CD6245">
        <w:t xml:space="preserve"> </w:t>
      </w:r>
      <w:r w:rsidR="00386F65" w:rsidRPr="00CD6245">
        <w:t xml:space="preserve">show </w:t>
      </w:r>
      <w:r w:rsidR="006113B3" w:rsidRPr="00CD6245">
        <w:t xml:space="preserve">the number and value </w:t>
      </w:r>
      <w:r w:rsidR="00386F65" w:rsidRPr="00CD6245">
        <w:t xml:space="preserve">of one-off supply approvals by </w:t>
      </w:r>
      <w:r w:rsidR="00FD0317" w:rsidRPr="00CD6245">
        <w:t>organisation</w:t>
      </w:r>
      <w:r w:rsidR="00386F65" w:rsidRPr="00CD6245">
        <w:t xml:space="preserve"> and by goods and services.</w:t>
      </w:r>
    </w:p>
    <w:p w:rsidR="00386F65" w:rsidRPr="00CD6245" w:rsidRDefault="00386F65" w:rsidP="00386F65">
      <w:pPr>
        <w:pStyle w:val="Caption"/>
      </w:pPr>
      <w:bookmarkStart w:id="60" w:name="_Ref425585681"/>
      <w:bookmarkStart w:id="61" w:name="_Toc463527842"/>
      <w:r w:rsidRPr="00CD6245">
        <w:t xml:space="preserve">Table </w:t>
      </w:r>
      <w:r w:rsidR="002B07C2" w:rsidRPr="00CD6245">
        <w:fldChar w:fldCharType="begin"/>
      </w:r>
      <w:r w:rsidR="00C759DF" w:rsidRPr="00CD6245">
        <w:instrText xml:space="preserve"> SEQ Table \* ARABIC </w:instrText>
      </w:r>
      <w:r w:rsidR="002B07C2" w:rsidRPr="00CD6245">
        <w:fldChar w:fldCharType="separate"/>
      </w:r>
      <w:r w:rsidR="002E75B9">
        <w:rPr>
          <w:noProof/>
        </w:rPr>
        <w:t>7</w:t>
      </w:r>
      <w:r w:rsidR="002B07C2" w:rsidRPr="00CD6245">
        <w:fldChar w:fldCharType="end"/>
      </w:r>
      <w:bookmarkEnd w:id="60"/>
      <w:r w:rsidRPr="00CD6245">
        <w:t xml:space="preserve">: Number and value of one-off supply approvals by </w:t>
      </w:r>
      <w:r w:rsidR="00DB075F" w:rsidRPr="00CD6245">
        <w:t>organisation</w:t>
      </w:r>
      <w:r w:rsidRPr="00CD6245">
        <w:t xml:space="preserve"> and by goods and services in 201</w:t>
      </w:r>
      <w:r w:rsidR="001D7822" w:rsidRPr="00CD6245">
        <w:t>5–16</w:t>
      </w:r>
      <w:bookmarkEnd w:id="61"/>
    </w:p>
    <w:tbl>
      <w:tblPr>
        <w:tblW w:w="8827"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9"/>
        <w:gridCol w:w="1018"/>
        <w:gridCol w:w="992"/>
        <w:gridCol w:w="952"/>
        <w:gridCol w:w="1046"/>
      </w:tblGrid>
      <w:tr w:rsidR="00386F65" w:rsidRPr="00CD6245" w:rsidTr="0003409C">
        <w:trPr>
          <w:trHeight w:val="255"/>
        </w:trPr>
        <w:tc>
          <w:tcPr>
            <w:tcW w:w="4819" w:type="dxa"/>
            <w:vMerge w:val="restart"/>
            <w:shd w:val="clear" w:color="auto" w:fill="A6A6A6" w:themeFill="background1" w:themeFillShade="A6"/>
            <w:noWrap/>
          </w:tcPr>
          <w:p w:rsidR="00386F65" w:rsidRPr="00CD6245" w:rsidRDefault="00FD0317" w:rsidP="00E16499">
            <w:pPr>
              <w:pStyle w:val="TableHeader"/>
            </w:pPr>
            <w:r w:rsidRPr="00CD6245">
              <w:t>Organisation</w:t>
            </w:r>
          </w:p>
        </w:tc>
        <w:tc>
          <w:tcPr>
            <w:tcW w:w="2010" w:type="dxa"/>
            <w:gridSpan w:val="2"/>
            <w:shd w:val="clear" w:color="auto" w:fill="A6A6A6" w:themeFill="background1" w:themeFillShade="A6"/>
            <w:vAlign w:val="bottom"/>
          </w:tcPr>
          <w:p w:rsidR="00386F65" w:rsidRPr="00CD6245" w:rsidRDefault="00386F65" w:rsidP="00E16499">
            <w:pPr>
              <w:pStyle w:val="TableHeader"/>
              <w:jc w:val="center"/>
              <w:rPr>
                <w:kern w:val="28"/>
                <w:lang w:eastAsia="en-US"/>
              </w:rPr>
            </w:pPr>
            <w:r w:rsidRPr="00CD6245">
              <w:t>Goods</w:t>
            </w:r>
          </w:p>
        </w:tc>
        <w:tc>
          <w:tcPr>
            <w:tcW w:w="1998" w:type="dxa"/>
            <w:gridSpan w:val="2"/>
            <w:shd w:val="clear" w:color="auto" w:fill="A6A6A6" w:themeFill="background1" w:themeFillShade="A6"/>
            <w:vAlign w:val="bottom"/>
          </w:tcPr>
          <w:p w:rsidR="00386F65" w:rsidRPr="00CD6245" w:rsidRDefault="00386F65" w:rsidP="00E16499">
            <w:pPr>
              <w:pStyle w:val="TableHeader"/>
              <w:jc w:val="center"/>
              <w:rPr>
                <w:kern w:val="28"/>
                <w:lang w:eastAsia="en-US"/>
              </w:rPr>
            </w:pPr>
            <w:r w:rsidRPr="00CD6245">
              <w:t>Services</w:t>
            </w:r>
          </w:p>
        </w:tc>
      </w:tr>
      <w:tr w:rsidR="00386F65" w:rsidRPr="00CD6245" w:rsidTr="0003409C">
        <w:trPr>
          <w:trHeight w:val="115"/>
        </w:trPr>
        <w:tc>
          <w:tcPr>
            <w:tcW w:w="4819" w:type="dxa"/>
            <w:vMerge/>
            <w:shd w:val="clear" w:color="auto" w:fill="A6A6A6" w:themeFill="background1" w:themeFillShade="A6"/>
            <w:vAlign w:val="bottom"/>
          </w:tcPr>
          <w:p w:rsidR="00386F65" w:rsidRPr="00CD6245" w:rsidRDefault="00386F65" w:rsidP="00E16499">
            <w:pPr>
              <w:pStyle w:val="TableHeader"/>
            </w:pPr>
          </w:p>
        </w:tc>
        <w:tc>
          <w:tcPr>
            <w:tcW w:w="1018" w:type="dxa"/>
            <w:shd w:val="clear" w:color="auto" w:fill="A6A6A6" w:themeFill="background1" w:themeFillShade="A6"/>
            <w:vAlign w:val="bottom"/>
          </w:tcPr>
          <w:p w:rsidR="00386F65" w:rsidRPr="00CD6245" w:rsidRDefault="00386F65" w:rsidP="00E16499">
            <w:pPr>
              <w:pStyle w:val="TableHeader"/>
              <w:jc w:val="center"/>
              <w:rPr>
                <w:kern w:val="28"/>
                <w:lang w:eastAsia="en-US"/>
              </w:rPr>
            </w:pPr>
            <w:r w:rsidRPr="00CD6245">
              <w:t>Number</w:t>
            </w:r>
          </w:p>
        </w:tc>
        <w:tc>
          <w:tcPr>
            <w:tcW w:w="992" w:type="dxa"/>
            <w:shd w:val="clear" w:color="auto" w:fill="A6A6A6" w:themeFill="background1" w:themeFillShade="A6"/>
            <w:noWrap/>
            <w:vAlign w:val="bottom"/>
          </w:tcPr>
          <w:p w:rsidR="00386F65" w:rsidRPr="00CD6245" w:rsidRDefault="00386F65" w:rsidP="00E16499">
            <w:pPr>
              <w:pStyle w:val="TableHeader"/>
              <w:jc w:val="center"/>
              <w:rPr>
                <w:kern w:val="28"/>
                <w:lang w:eastAsia="en-US"/>
              </w:rPr>
            </w:pPr>
            <w:r w:rsidRPr="00CD6245">
              <w:t>Value</w:t>
            </w:r>
          </w:p>
        </w:tc>
        <w:tc>
          <w:tcPr>
            <w:tcW w:w="952" w:type="dxa"/>
            <w:shd w:val="clear" w:color="auto" w:fill="A6A6A6" w:themeFill="background1" w:themeFillShade="A6"/>
            <w:vAlign w:val="bottom"/>
          </w:tcPr>
          <w:p w:rsidR="00386F65" w:rsidRPr="00CD6245" w:rsidRDefault="00386F65" w:rsidP="00E16499">
            <w:pPr>
              <w:pStyle w:val="TableHeader"/>
              <w:jc w:val="center"/>
              <w:rPr>
                <w:kern w:val="28"/>
                <w:lang w:eastAsia="en-US"/>
              </w:rPr>
            </w:pPr>
            <w:r w:rsidRPr="00CD6245">
              <w:t>Number</w:t>
            </w:r>
          </w:p>
        </w:tc>
        <w:tc>
          <w:tcPr>
            <w:tcW w:w="1046" w:type="dxa"/>
            <w:shd w:val="clear" w:color="auto" w:fill="A6A6A6" w:themeFill="background1" w:themeFillShade="A6"/>
            <w:vAlign w:val="bottom"/>
          </w:tcPr>
          <w:p w:rsidR="00386F65" w:rsidRPr="00CD6245" w:rsidRDefault="00386F65" w:rsidP="00E16499">
            <w:pPr>
              <w:pStyle w:val="TableHeader"/>
              <w:jc w:val="center"/>
              <w:rPr>
                <w:kern w:val="28"/>
                <w:lang w:eastAsia="en-US"/>
              </w:rPr>
            </w:pPr>
            <w:r w:rsidRPr="00CD6245">
              <w:t>Value</w:t>
            </w:r>
          </w:p>
        </w:tc>
      </w:tr>
      <w:tr w:rsidR="002B134E" w:rsidRPr="00CD6245" w:rsidTr="0003409C">
        <w:trPr>
          <w:trHeight w:val="256"/>
        </w:trPr>
        <w:tc>
          <w:tcPr>
            <w:tcW w:w="4819" w:type="dxa"/>
            <w:shd w:val="clear" w:color="auto" w:fill="auto"/>
          </w:tcPr>
          <w:p w:rsidR="002B134E" w:rsidRPr="00CD6245" w:rsidRDefault="002B134E">
            <w:pPr>
              <w:rPr>
                <w:rFonts w:ascii="Calibri" w:hAnsi="Calibri"/>
                <w:color w:val="000000"/>
                <w:sz w:val="20"/>
                <w:szCs w:val="20"/>
              </w:rPr>
            </w:pPr>
            <w:r w:rsidRPr="00CD6245">
              <w:rPr>
                <w:rFonts w:ascii="Calibri" w:hAnsi="Calibri"/>
                <w:color w:val="000000"/>
                <w:sz w:val="20"/>
                <w:szCs w:val="20"/>
              </w:rPr>
              <w:t>Economic Development, Jobs, Transport and Resources</w:t>
            </w:r>
          </w:p>
        </w:tc>
        <w:tc>
          <w:tcPr>
            <w:tcW w:w="1018" w:type="dxa"/>
            <w:shd w:val="clear" w:color="auto" w:fill="auto"/>
            <w:vAlign w:val="bottom"/>
          </w:tcPr>
          <w:p w:rsidR="002B134E" w:rsidRPr="00CD6245" w:rsidRDefault="002B134E">
            <w:pPr>
              <w:jc w:val="right"/>
              <w:rPr>
                <w:rFonts w:ascii="Calibri" w:hAnsi="Calibri"/>
                <w:color w:val="000000"/>
                <w:sz w:val="20"/>
                <w:szCs w:val="20"/>
              </w:rPr>
            </w:pPr>
            <w:r w:rsidRPr="00CD6245">
              <w:rPr>
                <w:rFonts w:ascii="Calibri" w:hAnsi="Calibri"/>
                <w:color w:val="000000"/>
                <w:sz w:val="20"/>
                <w:szCs w:val="20"/>
              </w:rPr>
              <w:t>8</w:t>
            </w:r>
          </w:p>
        </w:tc>
        <w:tc>
          <w:tcPr>
            <w:tcW w:w="992" w:type="dxa"/>
            <w:shd w:val="clear" w:color="auto" w:fill="auto"/>
            <w:noWrap/>
            <w:vAlign w:val="bottom"/>
          </w:tcPr>
          <w:p w:rsidR="002B134E" w:rsidRPr="00CD6245" w:rsidRDefault="002B134E">
            <w:pPr>
              <w:jc w:val="right"/>
              <w:rPr>
                <w:rFonts w:ascii="Calibri" w:hAnsi="Calibri"/>
                <w:color w:val="000000"/>
                <w:sz w:val="20"/>
                <w:szCs w:val="20"/>
              </w:rPr>
            </w:pPr>
            <w:r w:rsidRPr="00CD6245">
              <w:rPr>
                <w:rFonts w:ascii="Calibri" w:hAnsi="Calibri"/>
                <w:color w:val="000000"/>
                <w:sz w:val="20"/>
                <w:szCs w:val="20"/>
              </w:rPr>
              <w:t>$14.2M</w:t>
            </w:r>
          </w:p>
        </w:tc>
        <w:tc>
          <w:tcPr>
            <w:tcW w:w="952" w:type="dxa"/>
            <w:vAlign w:val="bottom"/>
          </w:tcPr>
          <w:p w:rsidR="002B134E" w:rsidRPr="00CD6245" w:rsidRDefault="002B134E">
            <w:pPr>
              <w:jc w:val="right"/>
              <w:rPr>
                <w:rFonts w:ascii="Calibri" w:hAnsi="Calibri"/>
                <w:color w:val="000000"/>
                <w:sz w:val="20"/>
                <w:szCs w:val="20"/>
              </w:rPr>
            </w:pPr>
            <w:r w:rsidRPr="00CD6245">
              <w:rPr>
                <w:rFonts w:ascii="Calibri" w:hAnsi="Calibri"/>
                <w:color w:val="000000"/>
                <w:sz w:val="20"/>
                <w:szCs w:val="20"/>
              </w:rPr>
              <w:t>66</w:t>
            </w:r>
          </w:p>
        </w:tc>
        <w:tc>
          <w:tcPr>
            <w:tcW w:w="1046" w:type="dxa"/>
            <w:vAlign w:val="bottom"/>
          </w:tcPr>
          <w:p w:rsidR="002B134E" w:rsidRPr="00CD6245" w:rsidRDefault="002B134E">
            <w:pPr>
              <w:jc w:val="right"/>
              <w:rPr>
                <w:rFonts w:ascii="Calibri" w:hAnsi="Calibri"/>
                <w:color w:val="000000"/>
                <w:sz w:val="20"/>
                <w:szCs w:val="20"/>
              </w:rPr>
            </w:pPr>
            <w:r w:rsidRPr="00CD6245">
              <w:rPr>
                <w:rFonts w:ascii="Calibri" w:hAnsi="Calibri"/>
                <w:color w:val="000000"/>
                <w:sz w:val="20"/>
                <w:szCs w:val="20"/>
              </w:rPr>
              <w:t>$19.8M</w:t>
            </w:r>
          </w:p>
        </w:tc>
      </w:tr>
      <w:tr w:rsidR="002B134E" w:rsidRPr="00CD6245" w:rsidTr="0003409C">
        <w:trPr>
          <w:trHeight w:val="256"/>
        </w:trPr>
        <w:tc>
          <w:tcPr>
            <w:tcW w:w="4819" w:type="dxa"/>
            <w:shd w:val="clear" w:color="auto" w:fill="auto"/>
          </w:tcPr>
          <w:p w:rsidR="002B134E" w:rsidRPr="00CD6245" w:rsidRDefault="002B134E">
            <w:pPr>
              <w:rPr>
                <w:rFonts w:ascii="Calibri" w:hAnsi="Calibri"/>
                <w:color w:val="000000"/>
                <w:sz w:val="20"/>
                <w:szCs w:val="20"/>
              </w:rPr>
            </w:pPr>
            <w:r w:rsidRPr="00CD6245">
              <w:rPr>
                <w:rFonts w:ascii="Calibri" w:hAnsi="Calibri"/>
                <w:color w:val="000000"/>
                <w:sz w:val="20"/>
                <w:szCs w:val="20"/>
              </w:rPr>
              <w:t>Education and Training</w:t>
            </w:r>
          </w:p>
        </w:tc>
        <w:tc>
          <w:tcPr>
            <w:tcW w:w="1018" w:type="dxa"/>
            <w:shd w:val="clear" w:color="auto" w:fill="auto"/>
            <w:vAlign w:val="bottom"/>
          </w:tcPr>
          <w:p w:rsidR="002B134E" w:rsidRPr="00CD6245" w:rsidRDefault="002B134E">
            <w:pPr>
              <w:jc w:val="right"/>
              <w:rPr>
                <w:rFonts w:ascii="Calibri" w:hAnsi="Calibri"/>
                <w:color w:val="000000"/>
                <w:sz w:val="20"/>
                <w:szCs w:val="20"/>
              </w:rPr>
            </w:pPr>
            <w:r w:rsidRPr="00CD6245">
              <w:rPr>
                <w:rFonts w:ascii="Calibri" w:hAnsi="Calibri"/>
                <w:color w:val="000000"/>
                <w:sz w:val="20"/>
                <w:szCs w:val="20"/>
              </w:rPr>
              <w:t>18</w:t>
            </w:r>
          </w:p>
        </w:tc>
        <w:tc>
          <w:tcPr>
            <w:tcW w:w="992" w:type="dxa"/>
            <w:shd w:val="clear" w:color="auto" w:fill="auto"/>
            <w:noWrap/>
            <w:vAlign w:val="bottom"/>
          </w:tcPr>
          <w:p w:rsidR="002B134E" w:rsidRPr="00CD6245" w:rsidRDefault="002B134E">
            <w:pPr>
              <w:jc w:val="right"/>
              <w:rPr>
                <w:rFonts w:ascii="Calibri" w:hAnsi="Calibri"/>
                <w:color w:val="000000"/>
                <w:sz w:val="20"/>
                <w:szCs w:val="20"/>
              </w:rPr>
            </w:pPr>
            <w:r w:rsidRPr="00CD6245">
              <w:rPr>
                <w:rFonts w:ascii="Calibri" w:hAnsi="Calibri"/>
                <w:color w:val="000000"/>
                <w:sz w:val="20"/>
                <w:szCs w:val="20"/>
              </w:rPr>
              <w:t>$163.0M</w:t>
            </w:r>
          </w:p>
        </w:tc>
        <w:tc>
          <w:tcPr>
            <w:tcW w:w="952" w:type="dxa"/>
            <w:vAlign w:val="bottom"/>
          </w:tcPr>
          <w:p w:rsidR="002B134E" w:rsidRPr="00CD6245" w:rsidRDefault="002B134E">
            <w:pPr>
              <w:jc w:val="right"/>
              <w:rPr>
                <w:rFonts w:ascii="Calibri" w:hAnsi="Calibri"/>
                <w:color w:val="000000"/>
                <w:sz w:val="20"/>
                <w:szCs w:val="20"/>
              </w:rPr>
            </w:pPr>
            <w:r w:rsidRPr="00CD6245">
              <w:rPr>
                <w:rFonts w:ascii="Calibri" w:hAnsi="Calibri"/>
                <w:color w:val="000000"/>
                <w:sz w:val="20"/>
                <w:szCs w:val="20"/>
              </w:rPr>
              <w:t>233</w:t>
            </w:r>
          </w:p>
        </w:tc>
        <w:tc>
          <w:tcPr>
            <w:tcW w:w="1046" w:type="dxa"/>
            <w:vAlign w:val="bottom"/>
          </w:tcPr>
          <w:p w:rsidR="002B134E" w:rsidRPr="00CD6245" w:rsidRDefault="002B134E">
            <w:pPr>
              <w:jc w:val="right"/>
              <w:rPr>
                <w:rFonts w:ascii="Calibri" w:hAnsi="Calibri"/>
                <w:color w:val="000000"/>
                <w:sz w:val="20"/>
                <w:szCs w:val="20"/>
              </w:rPr>
            </w:pPr>
            <w:r w:rsidRPr="00CD6245">
              <w:rPr>
                <w:rFonts w:ascii="Calibri" w:hAnsi="Calibri"/>
                <w:color w:val="000000"/>
                <w:sz w:val="20"/>
                <w:szCs w:val="20"/>
              </w:rPr>
              <w:t>$139.0M</w:t>
            </w:r>
          </w:p>
        </w:tc>
      </w:tr>
      <w:tr w:rsidR="002B134E" w:rsidRPr="00CD6245" w:rsidTr="0003409C">
        <w:trPr>
          <w:trHeight w:val="256"/>
        </w:trPr>
        <w:tc>
          <w:tcPr>
            <w:tcW w:w="4819" w:type="dxa"/>
            <w:shd w:val="clear" w:color="auto" w:fill="auto"/>
          </w:tcPr>
          <w:p w:rsidR="002B134E" w:rsidRPr="00CD6245" w:rsidRDefault="002B134E">
            <w:pPr>
              <w:rPr>
                <w:rFonts w:ascii="Calibri" w:hAnsi="Calibri"/>
                <w:color w:val="000000"/>
                <w:sz w:val="20"/>
                <w:szCs w:val="20"/>
              </w:rPr>
            </w:pPr>
            <w:r w:rsidRPr="00CD6245">
              <w:rPr>
                <w:rFonts w:ascii="Calibri" w:hAnsi="Calibri"/>
                <w:color w:val="000000"/>
                <w:sz w:val="20"/>
                <w:szCs w:val="20"/>
              </w:rPr>
              <w:t>Environment, Land, Water and Planning</w:t>
            </w:r>
          </w:p>
        </w:tc>
        <w:tc>
          <w:tcPr>
            <w:tcW w:w="1018" w:type="dxa"/>
            <w:shd w:val="clear" w:color="auto" w:fill="auto"/>
            <w:vAlign w:val="bottom"/>
          </w:tcPr>
          <w:p w:rsidR="002B134E" w:rsidRPr="00CD6245" w:rsidRDefault="002B134E">
            <w:pPr>
              <w:jc w:val="right"/>
              <w:rPr>
                <w:rFonts w:ascii="Calibri" w:hAnsi="Calibri"/>
                <w:color w:val="000000"/>
                <w:sz w:val="20"/>
                <w:szCs w:val="20"/>
              </w:rPr>
            </w:pPr>
            <w:r w:rsidRPr="00CD6245">
              <w:rPr>
                <w:rFonts w:ascii="Calibri" w:hAnsi="Calibri"/>
                <w:color w:val="000000"/>
                <w:sz w:val="20"/>
                <w:szCs w:val="20"/>
              </w:rPr>
              <w:t>8</w:t>
            </w:r>
          </w:p>
        </w:tc>
        <w:tc>
          <w:tcPr>
            <w:tcW w:w="992" w:type="dxa"/>
            <w:shd w:val="clear" w:color="auto" w:fill="auto"/>
            <w:noWrap/>
            <w:vAlign w:val="bottom"/>
          </w:tcPr>
          <w:p w:rsidR="002B134E" w:rsidRPr="00CD6245" w:rsidRDefault="002B134E">
            <w:pPr>
              <w:jc w:val="right"/>
              <w:rPr>
                <w:rFonts w:ascii="Calibri" w:hAnsi="Calibri"/>
                <w:color w:val="000000"/>
                <w:sz w:val="20"/>
                <w:szCs w:val="20"/>
              </w:rPr>
            </w:pPr>
            <w:r w:rsidRPr="00CD6245">
              <w:rPr>
                <w:rFonts w:ascii="Calibri" w:hAnsi="Calibri"/>
                <w:color w:val="000000"/>
                <w:sz w:val="20"/>
                <w:szCs w:val="20"/>
              </w:rPr>
              <w:t>$3.4M</w:t>
            </w:r>
          </w:p>
        </w:tc>
        <w:tc>
          <w:tcPr>
            <w:tcW w:w="952" w:type="dxa"/>
            <w:vAlign w:val="bottom"/>
          </w:tcPr>
          <w:p w:rsidR="002B134E" w:rsidRPr="00CD6245" w:rsidRDefault="002B134E">
            <w:pPr>
              <w:jc w:val="right"/>
              <w:rPr>
                <w:rFonts w:ascii="Calibri" w:hAnsi="Calibri"/>
                <w:color w:val="000000"/>
                <w:sz w:val="20"/>
                <w:szCs w:val="20"/>
              </w:rPr>
            </w:pPr>
            <w:r w:rsidRPr="00CD6245">
              <w:rPr>
                <w:rFonts w:ascii="Calibri" w:hAnsi="Calibri"/>
                <w:color w:val="000000"/>
                <w:sz w:val="20"/>
                <w:szCs w:val="20"/>
              </w:rPr>
              <w:t>97</w:t>
            </w:r>
          </w:p>
        </w:tc>
        <w:tc>
          <w:tcPr>
            <w:tcW w:w="1046" w:type="dxa"/>
            <w:vAlign w:val="bottom"/>
          </w:tcPr>
          <w:p w:rsidR="002B134E" w:rsidRPr="00CD6245" w:rsidRDefault="002B134E">
            <w:pPr>
              <w:jc w:val="right"/>
              <w:rPr>
                <w:rFonts w:ascii="Calibri" w:hAnsi="Calibri"/>
                <w:color w:val="000000"/>
                <w:sz w:val="20"/>
                <w:szCs w:val="20"/>
              </w:rPr>
            </w:pPr>
            <w:r w:rsidRPr="00CD6245">
              <w:rPr>
                <w:rFonts w:ascii="Calibri" w:hAnsi="Calibri"/>
                <w:color w:val="000000"/>
                <w:sz w:val="20"/>
                <w:szCs w:val="20"/>
              </w:rPr>
              <w:t>$166.8M</w:t>
            </w:r>
          </w:p>
        </w:tc>
      </w:tr>
      <w:tr w:rsidR="002B134E" w:rsidRPr="00CD6245" w:rsidTr="0003409C">
        <w:trPr>
          <w:trHeight w:val="256"/>
        </w:trPr>
        <w:tc>
          <w:tcPr>
            <w:tcW w:w="4819" w:type="dxa"/>
            <w:shd w:val="clear" w:color="auto" w:fill="auto"/>
          </w:tcPr>
          <w:p w:rsidR="002B134E" w:rsidRPr="00CD6245" w:rsidRDefault="002B134E">
            <w:pPr>
              <w:rPr>
                <w:rFonts w:ascii="Calibri" w:hAnsi="Calibri"/>
                <w:color w:val="000000"/>
                <w:sz w:val="20"/>
                <w:szCs w:val="20"/>
              </w:rPr>
            </w:pPr>
            <w:r w:rsidRPr="00CD6245">
              <w:rPr>
                <w:rFonts w:ascii="Calibri" w:hAnsi="Calibri"/>
                <w:color w:val="000000"/>
                <w:sz w:val="20"/>
                <w:szCs w:val="20"/>
              </w:rPr>
              <w:t>Health and Human Services</w:t>
            </w:r>
          </w:p>
        </w:tc>
        <w:tc>
          <w:tcPr>
            <w:tcW w:w="1018" w:type="dxa"/>
            <w:shd w:val="clear" w:color="auto" w:fill="auto"/>
            <w:vAlign w:val="bottom"/>
          </w:tcPr>
          <w:p w:rsidR="002B134E" w:rsidRPr="00CD6245" w:rsidRDefault="002B134E">
            <w:pPr>
              <w:jc w:val="right"/>
              <w:rPr>
                <w:rFonts w:ascii="Calibri" w:hAnsi="Calibri"/>
                <w:color w:val="000000"/>
                <w:sz w:val="20"/>
                <w:szCs w:val="20"/>
              </w:rPr>
            </w:pPr>
            <w:r w:rsidRPr="00CD6245">
              <w:rPr>
                <w:rFonts w:ascii="Calibri" w:hAnsi="Calibri"/>
                <w:color w:val="000000"/>
                <w:sz w:val="20"/>
                <w:szCs w:val="20"/>
              </w:rPr>
              <w:t>3</w:t>
            </w:r>
          </w:p>
        </w:tc>
        <w:tc>
          <w:tcPr>
            <w:tcW w:w="992" w:type="dxa"/>
            <w:shd w:val="clear" w:color="auto" w:fill="auto"/>
            <w:noWrap/>
            <w:vAlign w:val="bottom"/>
          </w:tcPr>
          <w:p w:rsidR="002B134E" w:rsidRPr="00CD6245" w:rsidRDefault="002B134E">
            <w:pPr>
              <w:jc w:val="right"/>
              <w:rPr>
                <w:rFonts w:ascii="Calibri" w:hAnsi="Calibri"/>
                <w:color w:val="000000"/>
                <w:sz w:val="20"/>
                <w:szCs w:val="20"/>
              </w:rPr>
            </w:pPr>
            <w:r w:rsidRPr="00CD6245">
              <w:rPr>
                <w:rFonts w:ascii="Calibri" w:hAnsi="Calibri"/>
                <w:color w:val="000000"/>
                <w:sz w:val="20"/>
                <w:szCs w:val="20"/>
              </w:rPr>
              <w:t>$7.6M</w:t>
            </w:r>
          </w:p>
        </w:tc>
        <w:tc>
          <w:tcPr>
            <w:tcW w:w="952" w:type="dxa"/>
            <w:vAlign w:val="bottom"/>
          </w:tcPr>
          <w:p w:rsidR="002B134E" w:rsidRPr="00CD6245" w:rsidRDefault="002B134E">
            <w:pPr>
              <w:jc w:val="right"/>
              <w:rPr>
                <w:rFonts w:ascii="Calibri" w:hAnsi="Calibri"/>
                <w:color w:val="000000"/>
                <w:sz w:val="20"/>
                <w:szCs w:val="20"/>
              </w:rPr>
            </w:pPr>
            <w:r w:rsidRPr="00CD6245">
              <w:rPr>
                <w:rFonts w:ascii="Calibri" w:hAnsi="Calibri"/>
                <w:color w:val="000000"/>
                <w:sz w:val="20"/>
                <w:szCs w:val="20"/>
              </w:rPr>
              <w:t>89</w:t>
            </w:r>
          </w:p>
        </w:tc>
        <w:tc>
          <w:tcPr>
            <w:tcW w:w="1046" w:type="dxa"/>
            <w:vAlign w:val="bottom"/>
          </w:tcPr>
          <w:p w:rsidR="002B134E" w:rsidRPr="00CD6245" w:rsidRDefault="002B134E">
            <w:pPr>
              <w:jc w:val="right"/>
              <w:rPr>
                <w:rFonts w:ascii="Calibri" w:hAnsi="Calibri"/>
                <w:color w:val="000000"/>
                <w:sz w:val="20"/>
                <w:szCs w:val="20"/>
              </w:rPr>
            </w:pPr>
            <w:r w:rsidRPr="00CD6245">
              <w:rPr>
                <w:rFonts w:ascii="Calibri" w:hAnsi="Calibri"/>
                <w:color w:val="000000"/>
                <w:sz w:val="20"/>
                <w:szCs w:val="20"/>
              </w:rPr>
              <w:t>$63.6M</w:t>
            </w:r>
          </w:p>
        </w:tc>
      </w:tr>
      <w:tr w:rsidR="002B134E" w:rsidRPr="00CD6245" w:rsidTr="0003409C">
        <w:trPr>
          <w:trHeight w:val="256"/>
        </w:trPr>
        <w:tc>
          <w:tcPr>
            <w:tcW w:w="4819" w:type="dxa"/>
            <w:shd w:val="clear" w:color="auto" w:fill="auto"/>
          </w:tcPr>
          <w:p w:rsidR="002B134E" w:rsidRPr="00CD6245" w:rsidRDefault="002B134E">
            <w:pPr>
              <w:rPr>
                <w:rFonts w:ascii="Calibri" w:hAnsi="Calibri"/>
                <w:color w:val="000000"/>
                <w:sz w:val="20"/>
                <w:szCs w:val="20"/>
              </w:rPr>
            </w:pPr>
            <w:r w:rsidRPr="00CD6245">
              <w:rPr>
                <w:rFonts w:ascii="Calibri" w:hAnsi="Calibri"/>
                <w:color w:val="000000"/>
                <w:sz w:val="20"/>
                <w:szCs w:val="20"/>
              </w:rPr>
              <w:t>Justice and Regulation</w:t>
            </w:r>
          </w:p>
        </w:tc>
        <w:tc>
          <w:tcPr>
            <w:tcW w:w="1018" w:type="dxa"/>
            <w:shd w:val="clear" w:color="auto" w:fill="auto"/>
            <w:vAlign w:val="bottom"/>
          </w:tcPr>
          <w:p w:rsidR="002B134E" w:rsidRPr="00CD6245" w:rsidRDefault="002B134E">
            <w:pPr>
              <w:jc w:val="right"/>
              <w:rPr>
                <w:rFonts w:ascii="Calibri" w:hAnsi="Calibri"/>
                <w:color w:val="000000"/>
                <w:sz w:val="20"/>
                <w:szCs w:val="20"/>
              </w:rPr>
            </w:pPr>
            <w:r w:rsidRPr="00CD6245">
              <w:rPr>
                <w:rFonts w:ascii="Calibri" w:hAnsi="Calibri"/>
                <w:color w:val="000000"/>
                <w:sz w:val="20"/>
                <w:szCs w:val="20"/>
              </w:rPr>
              <w:t>22</w:t>
            </w:r>
          </w:p>
        </w:tc>
        <w:tc>
          <w:tcPr>
            <w:tcW w:w="992" w:type="dxa"/>
            <w:shd w:val="clear" w:color="auto" w:fill="auto"/>
            <w:noWrap/>
            <w:vAlign w:val="bottom"/>
          </w:tcPr>
          <w:p w:rsidR="002B134E" w:rsidRPr="00CD6245" w:rsidRDefault="002B134E">
            <w:pPr>
              <w:jc w:val="right"/>
              <w:rPr>
                <w:rFonts w:ascii="Calibri" w:hAnsi="Calibri"/>
                <w:color w:val="000000"/>
                <w:sz w:val="20"/>
                <w:szCs w:val="20"/>
              </w:rPr>
            </w:pPr>
            <w:r w:rsidRPr="00CD6245">
              <w:rPr>
                <w:rFonts w:ascii="Calibri" w:hAnsi="Calibri"/>
                <w:color w:val="000000"/>
                <w:sz w:val="20"/>
                <w:szCs w:val="20"/>
              </w:rPr>
              <w:t>$104.2M</w:t>
            </w:r>
          </w:p>
        </w:tc>
        <w:tc>
          <w:tcPr>
            <w:tcW w:w="952" w:type="dxa"/>
            <w:vAlign w:val="bottom"/>
          </w:tcPr>
          <w:p w:rsidR="002B134E" w:rsidRPr="00CD6245" w:rsidRDefault="002B134E">
            <w:pPr>
              <w:jc w:val="right"/>
              <w:rPr>
                <w:rFonts w:ascii="Calibri" w:hAnsi="Calibri"/>
                <w:color w:val="000000"/>
                <w:sz w:val="20"/>
                <w:szCs w:val="20"/>
              </w:rPr>
            </w:pPr>
            <w:r w:rsidRPr="00CD6245">
              <w:rPr>
                <w:rFonts w:ascii="Calibri" w:hAnsi="Calibri"/>
                <w:color w:val="000000"/>
                <w:sz w:val="20"/>
                <w:szCs w:val="20"/>
              </w:rPr>
              <w:t>41</w:t>
            </w:r>
          </w:p>
        </w:tc>
        <w:tc>
          <w:tcPr>
            <w:tcW w:w="1046" w:type="dxa"/>
            <w:vAlign w:val="bottom"/>
          </w:tcPr>
          <w:p w:rsidR="002B134E" w:rsidRPr="00CD6245" w:rsidRDefault="002B134E">
            <w:pPr>
              <w:jc w:val="right"/>
              <w:rPr>
                <w:rFonts w:ascii="Calibri" w:hAnsi="Calibri"/>
                <w:color w:val="000000"/>
                <w:sz w:val="20"/>
                <w:szCs w:val="20"/>
              </w:rPr>
            </w:pPr>
            <w:r w:rsidRPr="00CD6245">
              <w:rPr>
                <w:rFonts w:ascii="Calibri" w:hAnsi="Calibri"/>
                <w:color w:val="000000"/>
                <w:sz w:val="20"/>
                <w:szCs w:val="20"/>
              </w:rPr>
              <w:t>$140.6M</w:t>
            </w:r>
          </w:p>
        </w:tc>
      </w:tr>
      <w:tr w:rsidR="002B134E" w:rsidRPr="00CD6245" w:rsidTr="0003409C">
        <w:trPr>
          <w:trHeight w:val="256"/>
        </w:trPr>
        <w:tc>
          <w:tcPr>
            <w:tcW w:w="4819" w:type="dxa"/>
            <w:shd w:val="clear" w:color="auto" w:fill="auto"/>
          </w:tcPr>
          <w:p w:rsidR="002B134E" w:rsidRPr="00CD6245" w:rsidRDefault="002B134E">
            <w:pPr>
              <w:rPr>
                <w:rFonts w:ascii="Calibri" w:hAnsi="Calibri"/>
                <w:color w:val="000000"/>
                <w:sz w:val="20"/>
                <w:szCs w:val="20"/>
              </w:rPr>
            </w:pPr>
            <w:r w:rsidRPr="00CD6245">
              <w:rPr>
                <w:rFonts w:ascii="Calibri" w:hAnsi="Calibri"/>
                <w:color w:val="000000"/>
                <w:sz w:val="20"/>
                <w:szCs w:val="20"/>
              </w:rPr>
              <w:t>Premier and Cabinet</w:t>
            </w:r>
          </w:p>
        </w:tc>
        <w:tc>
          <w:tcPr>
            <w:tcW w:w="1018" w:type="dxa"/>
            <w:shd w:val="clear" w:color="auto" w:fill="auto"/>
            <w:vAlign w:val="bottom"/>
          </w:tcPr>
          <w:p w:rsidR="002B134E" w:rsidRPr="00CD6245" w:rsidRDefault="002B134E">
            <w:pPr>
              <w:jc w:val="right"/>
              <w:rPr>
                <w:rFonts w:ascii="Calibri" w:hAnsi="Calibri"/>
                <w:color w:val="000000"/>
                <w:sz w:val="20"/>
                <w:szCs w:val="20"/>
              </w:rPr>
            </w:pPr>
            <w:r w:rsidRPr="00CD6245">
              <w:rPr>
                <w:rFonts w:ascii="Calibri" w:hAnsi="Calibri"/>
                <w:color w:val="000000"/>
                <w:sz w:val="20"/>
                <w:szCs w:val="20"/>
              </w:rPr>
              <w:t>5</w:t>
            </w:r>
          </w:p>
        </w:tc>
        <w:tc>
          <w:tcPr>
            <w:tcW w:w="992" w:type="dxa"/>
            <w:shd w:val="clear" w:color="auto" w:fill="auto"/>
            <w:noWrap/>
            <w:vAlign w:val="bottom"/>
          </w:tcPr>
          <w:p w:rsidR="002B134E" w:rsidRPr="00CD6245" w:rsidRDefault="002B134E">
            <w:pPr>
              <w:jc w:val="right"/>
              <w:rPr>
                <w:rFonts w:ascii="Calibri" w:hAnsi="Calibri"/>
                <w:color w:val="000000"/>
                <w:sz w:val="20"/>
                <w:szCs w:val="20"/>
              </w:rPr>
            </w:pPr>
            <w:r w:rsidRPr="00CD6245">
              <w:rPr>
                <w:rFonts w:ascii="Calibri" w:hAnsi="Calibri"/>
                <w:color w:val="000000"/>
                <w:sz w:val="20"/>
                <w:szCs w:val="20"/>
              </w:rPr>
              <w:t>$1.1M</w:t>
            </w:r>
          </w:p>
        </w:tc>
        <w:tc>
          <w:tcPr>
            <w:tcW w:w="952" w:type="dxa"/>
            <w:vAlign w:val="bottom"/>
          </w:tcPr>
          <w:p w:rsidR="002B134E" w:rsidRPr="00CD6245" w:rsidRDefault="002B134E">
            <w:pPr>
              <w:jc w:val="right"/>
              <w:rPr>
                <w:rFonts w:ascii="Calibri" w:hAnsi="Calibri"/>
                <w:color w:val="000000"/>
                <w:sz w:val="20"/>
                <w:szCs w:val="20"/>
              </w:rPr>
            </w:pPr>
            <w:r w:rsidRPr="00CD6245">
              <w:rPr>
                <w:rFonts w:ascii="Calibri" w:hAnsi="Calibri"/>
                <w:color w:val="000000"/>
                <w:sz w:val="20"/>
                <w:szCs w:val="20"/>
              </w:rPr>
              <w:t>24</w:t>
            </w:r>
          </w:p>
        </w:tc>
        <w:tc>
          <w:tcPr>
            <w:tcW w:w="1046" w:type="dxa"/>
            <w:vAlign w:val="bottom"/>
          </w:tcPr>
          <w:p w:rsidR="002B134E" w:rsidRPr="00CD6245" w:rsidRDefault="002B134E">
            <w:pPr>
              <w:jc w:val="right"/>
              <w:rPr>
                <w:rFonts w:ascii="Calibri" w:hAnsi="Calibri"/>
                <w:color w:val="000000"/>
                <w:sz w:val="20"/>
                <w:szCs w:val="20"/>
              </w:rPr>
            </w:pPr>
            <w:r w:rsidRPr="00CD6245">
              <w:rPr>
                <w:rFonts w:ascii="Calibri" w:hAnsi="Calibri"/>
                <w:color w:val="000000"/>
                <w:sz w:val="20"/>
                <w:szCs w:val="20"/>
              </w:rPr>
              <w:t>$12.5M</w:t>
            </w:r>
          </w:p>
        </w:tc>
      </w:tr>
      <w:tr w:rsidR="002B134E" w:rsidRPr="00CD6245" w:rsidTr="0003409C">
        <w:trPr>
          <w:trHeight w:val="256"/>
        </w:trPr>
        <w:tc>
          <w:tcPr>
            <w:tcW w:w="4819" w:type="dxa"/>
            <w:shd w:val="clear" w:color="auto" w:fill="auto"/>
          </w:tcPr>
          <w:p w:rsidR="002B134E" w:rsidRPr="00CD6245" w:rsidRDefault="002B134E">
            <w:pPr>
              <w:rPr>
                <w:rFonts w:ascii="Calibri" w:hAnsi="Calibri"/>
                <w:color w:val="000000"/>
                <w:sz w:val="20"/>
                <w:szCs w:val="20"/>
              </w:rPr>
            </w:pPr>
            <w:r w:rsidRPr="00CD6245">
              <w:rPr>
                <w:rFonts w:ascii="Calibri" w:hAnsi="Calibri"/>
                <w:color w:val="000000"/>
                <w:sz w:val="20"/>
                <w:szCs w:val="20"/>
              </w:rPr>
              <w:t>Treasury and Finance</w:t>
            </w:r>
          </w:p>
        </w:tc>
        <w:tc>
          <w:tcPr>
            <w:tcW w:w="1018" w:type="dxa"/>
            <w:shd w:val="clear" w:color="auto" w:fill="auto"/>
            <w:vAlign w:val="bottom"/>
          </w:tcPr>
          <w:p w:rsidR="002B134E" w:rsidRPr="00CD6245" w:rsidRDefault="00781F30">
            <w:pPr>
              <w:jc w:val="right"/>
              <w:rPr>
                <w:rFonts w:ascii="Calibri" w:hAnsi="Calibri"/>
                <w:color w:val="000000"/>
                <w:sz w:val="20"/>
                <w:szCs w:val="20"/>
              </w:rPr>
            </w:pPr>
            <w:r w:rsidRPr="00CD6245">
              <w:rPr>
                <w:rFonts w:ascii="Calibri" w:hAnsi="Calibri"/>
                <w:color w:val="000000"/>
                <w:sz w:val="20"/>
                <w:szCs w:val="20"/>
              </w:rPr>
              <w:t>..</w:t>
            </w:r>
          </w:p>
        </w:tc>
        <w:tc>
          <w:tcPr>
            <w:tcW w:w="992" w:type="dxa"/>
            <w:shd w:val="clear" w:color="auto" w:fill="auto"/>
            <w:noWrap/>
            <w:vAlign w:val="bottom"/>
          </w:tcPr>
          <w:p w:rsidR="002B134E" w:rsidRPr="00CD6245" w:rsidRDefault="00781F30">
            <w:pPr>
              <w:jc w:val="right"/>
              <w:rPr>
                <w:rFonts w:ascii="Calibri" w:hAnsi="Calibri"/>
                <w:color w:val="000000"/>
                <w:sz w:val="20"/>
                <w:szCs w:val="20"/>
              </w:rPr>
            </w:pPr>
            <w:r w:rsidRPr="00CD6245">
              <w:rPr>
                <w:rFonts w:ascii="Calibri" w:hAnsi="Calibri"/>
                <w:color w:val="000000"/>
                <w:sz w:val="20"/>
                <w:szCs w:val="20"/>
              </w:rPr>
              <w:t>..</w:t>
            </w:r>
          </w:p>
        </w:tc>
        <w:tc>
          <w:tcPr>
            <w:tcW w:w="952" w:type="dxa"/>
            <w:vAlign w:val="bottom"/>
          </w:tcPr>
          <w:p w:rsidR="002B134E" w:rsidRPr="00CD6245" w:rsidRDefault="002B134E">
            <w:pPr>
              <w:jc w:val="right"/>
              <w:rPr>
                <w:rFonts w:ascii="Calibri" w:hAnsi="Calibri"/>
                <w:color w:val="000000"/>
                <w:sz w:val="20"/>
                <w:szCs w:val="20"/>
              </w:rPr>
            </w:pPr>
            <w:r w:rsidRPr="00CD6245">
              <w:rPr>
                <w:rFonts w:ascii="Calibri" w:hAnsi="Calibri"/>
                <w:color w:val="000000"/>
                <w:sz w:val="20"/>
                <w:szCs w:val="20"/>
              </w:rPr>
              <w:t>23</w:t>
            </w:r>
          </w:p>
        </w:tc>
        <w:tc>
          <w:tcPr>
            <w:tcW w:w="1046" w:type="dxa"/>
            <w:vAlign w:val="bottom"/>
          </w:tcPr>
          <w:p w:rsidR="002B134E" w:rsidRPr="00CD6245" w:rsidRDefault="002B134E">
            <w:pPr>
              <w:jc w:val="right"/>
              <w:rPr>
                <w:rFonts w:ascii="Calibri" w:hAnsi="Calibri"/>
                <w:color w:val="000000"/>
                <w:sz w:val="20"/>
                <w:szCs w:val="20"/>
              </w:rPr>
            </w:pPr>
            <w:r w:rsidRPr="00CD6245">
              <w:rPr>
                <w:rFonts w:ascii="Calibri" w:hAnsi="Calibri"/>
                <w:color w:val="000000"/>
                <w:sz w:val="20"/>
                <w:szCs w:val="20"/>
              </w:rPr>
              <w:t>$11.1M</w:t>
            </w:r>
          </w:p>
        </w:tc>
      </w:tr>
      <w:tr w:rsidR="002B134E" w:rsidRPr="00CD6245" w:rsidTr="0003409C">
        <w:trPr>
          <w:trHeight w:val="256"/>
        </w:trPr>
        <w:tc>
          <w:tcPr>
            <w:tcW w:w="4819" w:type="dxa"/>
            <w:shd w:val="clear" w:color="auto" w:fill="auto"/>
          </w:tcPr>
          <w:p w:rsidR="002B134E" w:rsidRPr="00CD6245" w:rsidRDefault="002B134E">
            <w:pPr>
              <w:rPr>
                <w:rFonts w:ascii="Calibri" w:hAnsi="Calibri"/>
                <w:color w:val="000000"/>
                <w:sz w:val="20"/>
                <w:szCs w:val="20"/>
              </w:rPr>
            </w:pPr>
            <w:r w:rsidRPr="00CD6245">
              <w:rPr>
                <w:rFonts w:ascii="Calibri" w:hAnsi="Calibri"/>
                <w:color w:val="000000"/>
                <w:sz w:val="20"/>
                <w:szCs w:val="20"/>
              </w:rPr>
              <w:t>VicRoads</w:t>
            </w:r>
          </w:p>
        </w:tc>
        <w:tc>
          <w:tcPr>
            <w:tcW w:w="1018" w:type="dxa"/>
            <w:shd w:val="clear" w:color="auto" w:fill="auto"/>
            <w:vAlign w:val="bottom"/>
          </w:tcPr>
          <w:p w:rsidR="002B134E" w:rsidRPr="00CD6245" w:rsidRDefault="002B134E">
            <w:pPr>
              <w:jc w:val="right"/>
              <w:rPr>
                <w:rFonts w:ascii="Calibri" w:hAnsi="Calibri"/>
                <w:color w:val="000000"/>
                <w:sz w:val="20"/>
                <w:szCs w:val="20"/>
              </w:rPr>
            </w:pPr>
            <w:r w:rsidRPr="00CD6245">
              <w:rPr>
                <w:rFonts w:ascii="Calibri" w:hAnsi="Calibri"/>
                <w:color w:val="000000"/>
                <w:sz w:val="20"/>
                <w:szCs w:val="20"/>
              </w:rPr>
              <w:t>8</w:t>
            </w:r>
          </w:p>
        </w:tc>
        <w:tc>
          <w:tcPr>
            <w:tcW w:w="992" w:type="dxa"/>
            <w:shd w:val="clear" w:color="auto" w:fill="auto"/>
            <w:noWrap/>
            <w:vAlign w:val="bottom"/>
          </w:tcPr>
          <w:p w:rsidR="002B134E" w:rsidRPr="00CD6245" w:rsidRDefault="002B134E">
            <w:pPr>
              <w:jc w:val="right"/>
              <w:rPr>
                <w:rFonts w:ascii="Calibri" w:hAnsi="Calibri"/>
                <w:color w:val="000000"/>
                <w:sz w:val="20"/>
                <w:szCs w:val="20"/>
              </w:rPr>
            </w:pPr>
            <w:r w:rsidRPr="00CD6245">
              <w:rPr>
                <w:rFonts w:ascii="Calibri" w:hAnsi="Calibri"/>
                <w:color w:val="000000"/>
                <w:sz w:val="20"/>
                <w:szCs w:val="20"/>
              </w:rPr>
              <w:t>$1.2M</w:t>
            </w:r>
          </w:p>
        </w:tc>
        <w:tc>
          <w:tcPr>
            <w:tcW w:w="952" w:type="dxa"/>
            <w:vAlign w:val="bottom"/>
          </w:tcPr>
          <w:p w:rsidR="002B134E" w:rsidRPr="00CD6245" w:rsidRDefault="002B134E">
            <w:pPr>
              <w:jc w:val="right"/>
              <w:rPr>
                <w:rFonts w:ascii="Calibri" w:hAnsi="Calibri"/>
                <w:color w:val="000000"/>
                <w:sz w:val="20"/>
                <w:szCs w:val="20"/>
              </w:rPr>
            </w:pPr>
            <w:r w:rsidRPr="00CD6245">
              <w:rPr>
                <w:rFonts w:ascii="Calibri" w:hAnsi="Calibri"/>
                <w:color w:val="000000"/>
                <w:sz w:val="20"/>
                <w:szCs w:val="20"/>
              </w:rPr>
              <w:t>69</w:t>
            </w:r>
          </w:p>
        </w:tc>
        <w:tc>
          <w:tcPr>
            <w:tcW w:w="1046" w:type="dxa"/>
            <w:vAlign w:val="bottom"/>
          </w:tcPr>
          <w:p w:rsidR="002B134E" w:rsidRPr="00CD6245" w:rsidRDefault="002B134E">
            <w:pPr>
              <w:jc w:val="right"/>
              <w:rPr>
                <w:rFonts w:ascii="Calibri" w:hAnsi="Calibri"/>
                <w:color w:val="000000"/>
                <w:sz w:val="20"/>
                <w:szCs w:val="20"/>
              </w:rPr>
            </w:pPr>
            <w:r w:rsidRPr="00CD6245">
              <w:rPr>
                <w:rFonts w:ascii="Calibri" w:hAnsi="Calibri"/>
                <w:color w:val="000000"/>
                <w:sz w:val="20"/>
                <w:szCs w:val="20"/>
              </w:rPr>
              <w:t>$53.8M</w:t>
            </w:r>
          </w:p>
        </w:tc>
      </w:tr>
      <w:tr w:rsidR="002B134E" w:rsidRPr="00CD6245" w:rsidTr="0003409C">
        <w:trPr>
          <w:trHeight w:val="256"/>
        </w:trPr>
        <w:tc>
          <w:tcPr>
            <w:tcW w:w="4819" w:type="dxa"/>
            <w:shd w:val="clear" w:color="auto" w:fill="auto"/>
          </w:tcPr>
          <w:p w:rsidR="002B134E" w:rsidRPr="00CD6245" w:rsidRDefault="002B134E">
            <w:pPr>
              <w:rPr>
                <w:rFonts w:ascii="Calibri" w:hAnsi="Calibri"/>
                <w:color w:val="000000"/>
                <w:sz w:val="20"/>
                <w:szCs w:val="20"/>
              </w:rPr>
            </w:pPr>
            <w:r w:rsidRPr="00CD6245">
              <w:rPr>
                <w:rFonts w:ascii="Calibri" w:hAnsi="Calibri"/>
                <w:color w:val="000000"/>
                <w:sz w:val="20"/>
                <w:szCs w:val="20"/>
              </w:rPr>
              <w:t>Victoria Police</w:t>
            </w:r>
          </w:p>
        </w:tc>
        <w:tc>
          <w:tcPr>
            <w:tcW w:w="1018" w:type="dxa"/>
            <w:shd w:val="clear" w:color="auto" w:fill="auto"/>
            <w:vAlign w:val="bottom"/>
          </w:tcPr>
          <w:p w:rsidR="002B134E" w:rsidRPr="00CD6245" w:rsidRDefault="002B134E">
            <w:pPr>
              <w:jc w:val="right"/>
              <w:rPr>
                <w:rFonts w:ascii="Calibri" w:hAnsi="Calibri"/>
                <w:color w:val="000000"/>
                <w:sz w:val="20"/>
                <w:szCs w:val="20"/>
              </w:rPr>
            </w:pPr>
            <w:r w:rsidRPr="00CD6245">
              <w:rPr>
                <w:rFonts w:ascii="Calibri" w:hAnsi="Calibri"/>
                <w:color w:val="000000"/>
                <w:sz w:val="20"/>
                <w:szCs w:val="20"/>
              </w:rPr>
              <w:t>16</w:t>
            </w:r>
          </w:p>
        </w:tc>
        <w:tc>
          <w:tcPr>
            <w:tcW w:w="992" w:type="dxa"/>
            <w:shd w:val="clear" w:color="auto" w:fill="auto"/>
            <w:noWrap/>
            <w:vAlign w:val="bottom"/>
          </w:tcPr>
          <w:p w:rsidR="002B134E" w:rsidRPr="00CD6245" w:rsidRDefault="002B134E">
            <w:pPr>
              <w:jc w:val="right"/>
              <w:rPr>
                <w:rFonts w:ascii="Calibri" w:hAnsi="Calibri"/>
                <w:color w:val="000000"/>
                <w:sz w:val="20"/>
                <w:szCs w:val="20"/>
              </w:rPr>
            </w:pPr>
            <w:r w:rsidRPr="00CD6245">
              <w:rPr>
                <w:rFonts w:ascii="Calibri" w:hAnsi="Calibri"/>
                <w:color w:val="000000"/>
                <w:sz w:val="20"/>
                <w:szCs w:val="20"/>
              </w:rPr>
              <w:t>$9.3M</w:t>
            </w:r>
          </w:p>
        </w:tc>
        <w:tc>
          <w:tcPr>
            <w:tcW w:w="952" w:type="dxa"/>
            <w:vAlign w:val="bottom"/>
          </w:tcPr>
          <w:p w:rsidR="002B134E" w:rsidRPr="00CD6245" w:rsidRDefault="002B134E">
            <w:pPr>
              <w:jc w:val="right"/>
              <w:rPr>
                <w:rFonts w:ascii="Calibri" w:hAnsi="Calibri"/>
                <w:color w:val="000000"/>
                <w:sz w:val="20"/>
                <w:szCs w:val="20"/>
              </w:rPr>
            </w:pPr>
            <w:r w:rsidRPr="00CD6245">
              <w:rPr>
                <w:rFonts w:ascii="Calibri" w:hAnsi="Calibri"/>
                <w:color w:val="000000"/>
                <w:sz w:val="20"/>
                <w:szCs w:val="20"/>
              </w:rPr>
              <w:t>13</w:t>
            </w:r>
          </w:p>
        </w:tc>
        <w:tc>
          <w:tcPr>
            <w:tcW w:w="1046" w:type="dxa"/>
            <w:vAlign w:val="bottom"/>
          </w:tcPr>
          <w:p w:rsidR="002B134E" w:rsidRPr="00CD6245" w:rsidRDefault="002B134E">
            <w:pPr>
              <w:jc w:val="right"/>
              <w:rPr>
                <w:rFonts w:ascii="Calibri" w:hAnsi="Calibri"/>
                <w:color w:val="000000"/>
                <w:sz w:val="20"/>
                <w:szCs w:val="20"/>
              </w:rPr>
            </w:pPr>
            <w:r w:rsidRPr="00CD6245">
              <w:rPr>
                <w:rFonts w:ascii="Calibri" w:hAnsi="Calibri"/>
                <w:color w:val="000000"/>
                <w:sz w:val="20"/>
                <w:szCs w:val="20"/>
              </w:rPr>
              <w:t>$4.4M</w:t>
            </w:r>
          </w:p>
        </w:tc>
      </w:tr>
      <w:tr w:rsidR="002B134E" w:rsidRPr="00CD6245" w:rsidTr="0003409C">
        <w:trPr>
          <w:trHeight w:val="256"/>
        </w:trPr>
        <w:tc>
          <w:tcPr>
            <w:tcW w:w="4819" w:type="dxa"/>
            <w:shd w:val="clear" w:color="auto" w:fill="A6A6A6" w:themeFill="background1" w:themeFillShade="A6"/>
            <w:noWrap/>
          </w:tcPr>
          <w:p w:rsidR="002B134E" w:rsidRPr="00CD6245" w:rsidRDefault="002B134E">
            <w:pPr>
              <w:rPr>
                <w:rFonts w:ascii="Calibri" w:hAnsi="Calibri"/>
                <w:color w:val="000000"/>
                <w:sz w:val="20"/>
                <w:szCs w:val="20"/>
              </w:rPr>
            </w:pPr>
            <w:r w:rsidRPr="00CD6245">
              <w:rPr>
                <w:rFonts w:ascii="Calibri" w:hAnsi="Calibri"/>
                <w:color w:val="000000"/>
                <w:sz w:val="20"/>
                <w:szCs w:val="20"/>
              </w:rPr>
              <w:t>Totals</w:t>
            </w:r>
          </w:p>
        </w:tc>
        <w:tc>
          <w:tcPr>
            <w:tcW w:w="1018" w:type="dxa"/>
            <w:shd w:val="clear" w:color="auto" w:fill="A6A6A6" w:themeFill="background1" w:themeFillShade="A6"/>
            <w:noWrap/>
            <w:vAlign w:val="bottom"/>
          </w:tcPr>
          <w:p w:rsidR="002B134E" w:rsidRPr="00CD6245" w:rsidRDefault="002B134E">
            <w:pPr>
              <w:jc w:val="right"/>
              <w:rPr>
                <w:rFonts w:ascii="Calibri" w:hAnsi="Calibri"/>
                <w:color w:val="000000"/>
                <w:sz w:val="20"/>
                <w:szCs w:val="20"/>
              </w:rPr>
            </w:pPr>
            <w:r w:rsidRPr="00CD6245">
              <w:rPr>
                <w:rFonts w:ascii="Calibri" w:hAnsi="Calibri"/>
                <w:color w:val="000000"/>
                <w:sz w:val="20"/>
                <w:szCs w:val="20"/>
              </w:rPr>
              <w:t>88</w:t>
            </w:r>
          </w:p>
        </w:tc>
        <w:tc>
          <w:tcPr>
            <w:tcW w:w="992" w:type="dxa"/>
            <w:shd w:val="clear" w:color="auto" w:fill="A6A6A6" w:themeFill="background1" w:themeFillShade="A6"/>
            <w:noWrap/>
            <w:vAlign w:val="bottom"/>
          </w:tcPr>
          <w:p w:rsidR="002B134E" w:rsidRPr="00CD6245" w:rsidRDefault="002B134E">
            <w:pPr>
              <w:jc w:val="right"/>
              <w:rPr>
                <w:rFonts w:ascii="Calibri" w:hAnsi="Calibri"/>
                <w:color w:val="000000"/>
                <w:sz w:val="20"/>
                <w:szCs w:val="20"/>
              </w:rPr>
            </w:pPr>
            <w:r w:rsidRPr="00CD6245">
              <w:rPr>
                <w:rFonts w:ascii="Calibri" w:hAnsi="Calibri"/>
                <w:color w:val="000000"/>
                <w:sz w:val="20"/>
                <w:szCs w:val="20"/>
              </w:rPr>
              <w:t>$304.1M</w:t>
            </w:r>
          </w:p>
        </w:tc>
        <w:tc>
          <w:tcPr>
            <w:tcW w:w="952" w:type="dxa"/>
            <w:shd w:val="clear" w:color="auto" w:fill="A6A6A6" w:themeFill="background1" w:themeFillShade="A6"/>
            <w:vAlign w:val="bottom"/>
          </w:tcPr>
          <w:p w:rsidR="002B134E" w:rsidRPr="00CD6245" w:rsidRDefault="002B134E">
            <w:pPr>
              <w:jc w:val="right"/>
              <w:rPr>
                <w:rFonts w:ascii="Calibri" w:hAnsi="Calibri"/>
                <w:color w:val="000000"/>
                <w:sz w:val="20"/>
                <w:szCs w:val="20"/>
              </w:rPr>
            </w:pPr>
            <w:r w:rsidRPr="00CD6245">
              <w:rPr>
                <w:rFonts w:ascii="Calibri" w:hAnsi="Calibri"/>
                <w:color w:val="000000"/>
                <w:sz w:val="20"/>
                <w:szCs w:val="20"/>
              </w:rPr>
              <w:t>655</w:t>
            </w:r>
          </w:p>
        </w:tc>
        <w:tc>
          <w:tcPr>
            <w:tcW w:w="1046" w:type="dxa"/>
            <w:shd w:val="clear" w:color="auto" w:fill="A6A6A6" w:themeFill="background1" w:themeFillShade="A6"/>
            <w:vAlign w:val="bottom"/>
          </w:tcPr>
          <w:p w:rsidR="002B134E" w:rsidRPr="00CD6245" w:rsidRDefault="002B134E">
            <w:pPr>
              <w:jc w:val="right"/>
              <w:rPr>
                <w:rFonts w:ascii="Calibri" w:hAnsi="Calibri"/>
                <w:color w:val="000000"/>
                <w:sz w:val="20"/>
                <w:szCs w:val="20"/>
              </w:rPr>
            </w:pPr>
            <w:r w:rsidRPr="00CD6245">
              <w:rPr>
                <w:rFonts w:ascii="Calibri" w:hAnsi="Calibri"/>
                <w:color w:val="000000"/>
                <w:sz w:val="20"/>
                <w:szCs w:val="20"/>
              </w:rPr>
              <w:t>$611.4M</w:t>
            </w:r>
          </w:p>
        </w:tc>
      </w:tr>
    </w:tbl>
    <w:p w:rsidR="00B42C54" w:rsidRPr="00B42C54" w:rsidRDefault="00B42C54" w:rsidP="008F43CD">
      <w:pPr>
        <w:pStyle w:val="Caption"/>
        <w:rPr>
          <w:sz w:val="20"/>
          <w:szCs w:val="20"/>
        </w:rPr>
      </w:pPr>
      <w:r w:rsidRPr="00B42C54">
        <w:rPr>
          <w:sz w:val="20"/>
          <w:szCs w:val="20"/>
        </w:rPr>
        <w:lastRenderedPageBreak/>
        <w:t>Note: Discrepancies between totals and sums of components reflect rounding.</w:t>
      </w:r>
    </w:p>
    <w:p w:rsidR="007C2609" w:rsidRDefault="007C2609" w:rsidP="008F43CD">
      <w:pPr>
        <w:pStyle w:val="Caption"/>
      </w:pPr>
    </w:p>
    <w:p w:rsidR="008F43CD" w:rsidRPr="00CD6245" w:rsidRDefault="008F43CD" w:rsidP="008F43CD">
      <w:pPr>
        <w:pStyle w:val="Caption"/>
      </w:pPr>
      <w:bookmarkStart w:id="62" w:name="_Toc463527869"/>
      <w:r w:rsidRPr="00CD6245">
        <w:t xml:space="preserve">Figure </w:t>
      </w:r>
      <w:r w:rsidR="002B07C2" w:rsidRPr="00CD6245">
        <w:fldChar w:fldCharType="begin"/>
      </w:r>
      <w:r w:rsidR="00600068" w:rsidRPr="00CD6245">
        <w:instrText xml:space="preserve"> SEQ Figure \* ARABIC </w:instrText>
      </w:r>
      <w:r w:rsidR="002B07C2" w:rsidRPr="00CD6245">
        <w:fldChar w:fldCharType="separate"/>
      </w:r>
      <w:r w:rsidR="002E75B9">
        <w:rPr>
          <w:noProof/>
        </w:rPr>
        <w:t>4</w:t>
      </w:r>
      <w:r w:rsidR="002B07C2" w:rsidRPr="00CD6245">
        <w:fldChar w:fldCharType="end"/>
      </w:r>
      <w:r w:rsidRPr="00CD6245">
        <w:t xml:space="preserve">: Number of one-off supply approvals by </w:t>
      </w:r>
      <w:r w:rsidR="00FD0317" w:rsidRPr="00CD6245">
        <w:t>organisation</w:t>
      </w:r>
      <w:r w:rsidRPr="00CD6245">
        <w:t xml:space="preserve"> and by goods and services in </w:t>
      </w:r>
      <w:r w:rsidR="001D7822" w:rsidRPr="00CD6245">
        <w:t>2015–16</w:t>
      </w:r>
      <w:bookmarkEnd w:id="62"/>
    </w:p>
    <w:p w:rsidR="00AA6AF4" w:rsidRPr="00CD6245" w:rsidRDefault="002B134E" w:rsidP="005303DF">
      <w:pPr>
        <w:ind w:left="851"/>
      </w:pPr>
      <w:r w:rsidRPr="00CD6245">
        <w:rPr>
          <w:noProof/>
        </w:rPr>
        <w:drawing>
          <wp:inline distT="0" distB="0" distL="0" distR="0" wp14:anchorId="06BB0F6B" wp14:editId="514B4107">
            <wp:extent cx="4572000" cy="2743200"/>
            <wp:effectExtent l="19050" t="0" r="19050" b="0"/>
            <wp:docPr id="1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B56349" w:rsidRPr="00CD6245" w:rsidRDefault="00B56349" w:rsidP="00B56349">
      <w:pPr>
        <w:ind w:left="851"/>
      </w:pPr>
    </w:p>
    <w:p w:rsidR="00B56349" w:rsidRPr="00CD6245" w:rsidRDefault="008F43CD" w:rsidP="007A405E">
      <w:pPr>
        <w:pStyle w:val="Caption"/>
      </w:pPr>
      <w:bookmarkStart w:id="63" w:name="_Toc463527870"/>
      <w:r w:rsidRPr="00CD6245">
        <w:t xml:space="preserve">Figure </w:t>
      </w:r>
      <w:r w:rsidR="002B07C2" w:rsidRPr="00CD6245">
        <w:fldChar w:fldCharType="begin"/>
      </w:r>
      <w:r w:rsidR="00600068" w:rsidRPr="00CD6245">
        <w:instrText xml:space="preserve"> SEQ Figure \* ARABIC </w:instrText>
      </w:r>
      <w:r w:rsidR="002B07C2" w:rsidRPr="00CD6245">
        <w:fldChar w:fldCharType="separate"/>
      </w:r>
      <w:r w:rsidR="002E75B9">
        <w:rPr>
          <w:noProof/>
        </w:rPr>
        <w:t>5</w:t>
      </w:r>
      <w:r w:rsidR="002B07C2" w:rsidRPr="00CD6245">
        <w:fldChar w:fldCharType="end"/>
      </w:r>
      <w:r w:rsidRPr="00CD6245">
        <w:t xml:space="preserve">: Value of one-off supply approvals by </w:t>
      </w:r>
      <w:r w:rsidR="00FD0317" w:rsidRPr="00CD6245">
        <w:t>organisation</w:t>
      </w:r>
      <w:r w:rsidRPr="00CD6245">
        <w:t xml:space="preserve"> and by goods and services in </w:t>
      </w:r>
      <w:r w:rsidR="001D7822" w:rsidRPr="00CD6245">
        <w:t>2015–16</w:t>
      </w:r>
      <w:bookmarkEnd w:id="63"/>
    </w:p>
    <w:p w:rsidR="002D6451" w:rsidRPr="00CD6245" w:rsidRDefault="002D6451" w:rsidP="002D6451">
      <w:pPr>
        <w:pStyle w:val="Normal1"/>
      </w:pPr>
      <w:r w:rsidRPr="00CD6245">
        <w:rPr>
          <w:noProof/>
        </w:rPr>
        <w:drawing>
          <wp:inline distT="0" distB="0" distL="0" distR="0" wp14:anchorId="4F0A9C7B" wp14:editId="65220CF3">
            <wp:extent cx="4572000" cy="2743200"/>
            <wp:effectExtent l="19050" t="0" r="19050" b="0"/>
            <wp:docPr id="7"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066BD2" w:rsidRPr="00CD6245" w:rsidRDefault="00066BD2" w:rsidP="005303DF">
      <w:pPr>
        <w:ind w:left="851"/>
        <w:rPr>
          <w:rFonts w:ascii="Calibri" w:hAnsi="Calibri" w:cs="Calibri"/>
          <w:color w:val="4D4D4D"/>
          <w:kern w:val="28"/>
          <w:sz w:val="30"/>
          <w:szCs w:val="22"/>
          <w:lang w:eastAsia="en-US"/>
        </w:rPr>
      </w:pPr>
      <w:r w:rsidRPr="00CD6245">
        <w:br w:type="page"/>
      </w:r>
    </w:p>
    <w:p w:rsidR="00D22258" w:rsidRPr="00CD6245" w:rsidRDefault="00D22258" w:rsidP="00712DA3">
      <w:pPr>
        <w:pStyle w:val="Heading2NoNum"/>
      </w:pPr>
      <w:bookmarkStart w:id="64" w:name="_Toc463527721"/>
      <w:r w:rsidRPr="00CD6245">
        <w:lastRenderedPageBreak/>
        <w:t>Aggregated purchasing arrangements</w:t>
      </w:r>
      <w:bookmarkEnd w:id="64"/>
    </w:p>
    <w:p w:rsidR="00D22258" w:rsidRPr="00CD6245" w:rsidRDefault="00D22258" w:rsidP="00D22258">
      <w:pPr>
        <w:pStyle w:val="Normal1"/>
        <w:rPr>
          <w:lang w:eastAsia="en-US"/>
        </w:rPr>
      </w:pPr>
      <w:r w:rsidRPr="00CD6245">
        <w:t>Aggregated purchasing arrangements</w:t>
      </w:r>
      <w:r w:rsidRPr="00CD6245" w:rsidDel="00542EBA">
        <w:t xml:space="preserve"> </w:t>
      </w:r>
      <w:r w:rsidR="00A3353B" w:rsidRPr="00CD6245">
        <w:t xml:space="preserve">(also known as standing offer agreements) </w:t>
      </w:r>
      <w:r w:rsidRPr="00CD6245">
        <w:rPr>
          <w:lang w:eastAsia="en-US"/>
        </w:rPr>
        <w:t xml:space="preserve">are established when a sole or multiple </w:t>
      </w:r>
      <w:r w:rsidR="00FD0317" w:rsidRPr="00CD6245">
        <w:rPr>
          <w:lang w:eastAsia="en-US"/>
        </w:rPr>
        <w:t>organisation</w:t>
      </w:r>
      <w:r w:rsidRPr="00CD6245">
        <w:rPr>
          <w:lang w:eastAsia="en-US"/>
        </w:rPr>
        <w:t>s have a specific requirement for frequently purchased goods and services. By grouping together demand (aggregating demand) for commonly purchased goods and services</w:t>
      </w:r>
      <w:r w:rsidR="007A405E" w:rsidRPr="00CD6245">
        <w:rPr>
          <w:lang w:eastAsia="en-US"/>
        </w:rPr>
        <w:t>,</w:t>
      </w:r>
      <w:r w:rsidRPr="00CD6245">
        <w:rPr>
          <w:lang w:eastAsia="en-US"/>
        </w:rPr>
        <w:t xml:space="preserve"> </w:t>
      </w:r>
      <w:r w:rsidR="00FD0317" w:rsidRPr="00CD6245">
        <w:rPr>
          <w:lang w:eastAsia="en-US"/>
        </w:rPr>
        <w:t>organisation</w:t>
      </w:r>
      <w:r w:rsidR="007A405E" w:rsidRPr="00CD6245">
        <w:rPr>
          <w:lang w:eastAsia="en-US"/>
        </w:rPr>
        <w:t>s</w:t>
      </w:r>
      <w:r w:rsidRPr="00CD6245">
        <w:rPr>
          <w:lang w:eastAsia="en-US"/>
        </w:rPr>
        <w:t xml:space="preserve"> can harness greater economies of scale when negotiating with potential suppliers.</w:t>
      </w:r>
    </w:p>
    <w:p w:rsidR="00D22258" w:rsidRPr="00CD6245" w:rsidRDefault="00D22258" w:rsidP="00D22258">
      <w:pPr>
        <w:pStyle w:val="Normal1"/>
      </w:pPr>
      <w:r w:rsidRPr="00CD6245">
        <w:t>These arrangements take the form of SPCs or SEPCs. SPCs incorporate a number of organisations, whereas SEPCs usually apply to a single organisation.</w:t>
      </w:r>
    </w:p>
    <w:p w:rsidR="00D22258" w:rsidRPr="00CD6245" w:rsidRDefault="00D22258" w:rsidP="00D22258">
      <w:pPr>
        <w:pStyle w:val="Normal1"/>
      </w:pPr>
      <w:r w:rsidRPr="00CD6245">
        <w:t>Aggregated purchasing arrangements</w:t>
      </w:r>
      <w:r w:rsidRPr="00CD6245" w:rsidDel="00542EBA">
        <w:t xml:space="preserve"> </w:t>
      </w:r>
      <w:r w:rsidRPr="00CD6245">
        <w:t>can be established and managed in a number of ways</w:t>
      </w:r>
      <w:r w:rsidR="002232C2" w:rsidRPr="00CD6245">
        <w:t xml:space="preserve"> – </w:t>
      </w:r>
      <w:r w:rsidRPr="00CD6245">
        <w:t>sole or multiple suppliers, open or closed panels, register</w:t>
      </w:r>
      <w:r w:rsidR="0037283A" w:rsidRPr="00CD6245">
        <w:t>, prequalification</w:t>
      </w:r>
      <w:r w:rsidRPr="00CD6245">
        <w:t xml:space="preserve"> or </w:t>
      </w:r>
      <w:r w:rsidR="00B126DD" w:rsidRPr="00CD6245">
        <w:t xml:space="preserve">a </w:t>
      </w:r>
      <w:r w:rsidRPr="00CD6245">
        <w:t xml:space="preserve">more formal contractual arrangement. They can involve arrangements with one or more suppliers for a set period (usually three to five years), incorporate a schedule of rates and performance levels, and usually require no obligation on the </w:t>
      </w:r>
      <w:r w:rsidR="00804CEB" w:rsidRPr="00CD6245">
        <w:t>s</w:t>
      </w:r>
      <w:r w:rsidRPr="00CD6245">
        <w:t>tate to purchase a particular quantity of the goods or services.</w:t>
      </w:r>
    </w:p>
    <w:p w:rsidR="00D22258" w:rsidRPr="00CD6245" w:rsidRDefault="00D22258" w:rsidP="00D22258">
      <w:pPr>
        <w:pStyle w:val="Normal1"/>
      </w:pPr>
      <w:r w:rsidRPr="00CD6245">
        <w:t xml:space="preserve">All government </w:t>
      </w:r>
      <w:r w:rsidR="00FD0317" w:rsidRPr="00CD6245">
        <w:t>organisation</w:t>
      </w:r>
      <w:r w:rsidRPr="00CD6245">
        <w:t xml:space="preserve">s and agencies can access SPCs </w:t>
      </w:r>
      <w:r w:rsidR="007C2609">
        <w:t xml:space="preserve">provided </w:t>
      </w:r>
      <w:r w:rsidRPr="00CD6245">
        <w:t xml:space="preserve">they commit to the rules of use. </w:t>
      </w:r>
      <w:r w:rsidRPr="00CD6245">
        <w:rPr>
          <w:lang w:eastAsia="en-US"/>
        </w:rPr>
        <w:t xml:space="preserve">SEPCs are mandatory for the </w:t>
      </w:r>
      <w:r w:rsidR="00FD0317" w:rsidRPr="00CD6245">
        <w:rPr>
          <w:lang w:eastAsia="en-US"/>
        </w:rPr>
        <w:t>organisation</w:t>
      </w:r>
      <w:r w:rsidRPr="00CD6245">
        <w:rPr>
          <w:lang w:eastAsia="en-US"/>
        </w:rPr>
        <w:t xml:space="preserve"> establishing the procurement arrangement.</w:t>
      </w:r>
    </w:p>
    <w:p w:rsidR="00D22258" w:rsidRPr="00CD6245" w:rsidRDefault="00D22258" w:rsidP="00D22258">
      <w:pPr>
        <w:pStyle w:val="Normal1"/>
      </w:pPr>
      <w:r w:rsidRPr="00CD6245">
        <w:t>These long</w:t>
      </w:r>
      <w:r w:rsidR="00870CCC" w:rsidRPr="00CD6245">
        <w:t xml:space="preserve"> </w:t>
      </w:r>
      <w:r w:rsidRPr="00CD6245">
        <w:t>term agreements have benefits to government such as:</w:t>
      </w:r>
    </w:p>
    <w:p w:rsidR="00D22258" w:rsidRPr="00CD6245" w:rsidRDefault="00D22258" w:rsidP="00D22258">
      <w:pPr>
        <w:pStyle w:val="Bullet1"/>
      </w:pPr>
      <w:r w:rsidRPr="00CD6245">
        <w:t xml:space="preserve">using the aggregated purchasing power of </w:t>
      </w:r>
      <w:r w:rsidR="00FD0317" w:rsidRPr="00CD6245">
        <w:t>organisation</w:t>
      </w:r>
      <w:r w:rsidRPr="00CD6245">
        <w:t>s to negotiate lower prices and better service; and</w:t>
      </w:r>
    </w:p>
    <w:p w:rsidR="00D22258" w:rsidRPr="00CD6245" w:rsidRDefault="00D22258" w:rsidP="00D22258">
      <w:pPr>
        <w:pStyle w:val="Bullet1"/>
      </w:pPr>
      <w:r w:rsidRPr="00CD6245">
        <w:t>reducing the administrative burden for end</w:t>
      </w:r>
      <w:r w:rsidR="00A57C79">
        <w:t xml:space="preserve"> </w:t>
      </w:r>
      <w:r w:rsidRPr="00CD6245">
        <w:t>users in preparing specifications, requesting quotations and tenders</w:t>
      </w:r>
      <w:r w:rsidR="003075AA" w:rsidRPr="00CD6245">
        <w:t xml:space="preserve"> and</w:t>
      </w:r>
      <w:r w:rsidRPr="00CD6245">
        <w:t xml:space="preserve"> evaluating offers for similar purchases.</w:t>
      </w:r>
    </w:p>
    <w:p w:rsidR="00D22258" w:rsidRPr="00CD6245" w:rsidRDefault="00D22258" w:rsidP="00D22258">
      <w:pPr>
        <w:pStyle w:val="Normal1"/>
      </w:pPr>
      <w:r w:rsidRPr="00CD6245">
        <w:t>The values in the tables are estimates. Expenditure occurs later and over a number of years as detailed in the contract term and option</w:t>
      </w:r>
      <w:r w:rsidR="0037283A" w:rsidRPr="00CD6245">
        <w:t>s</w:t>
      </w:r>
      <w:r w:rsidRPr="00CD6245">
        <w:t xml:space="preserve"> columns. Total estimated value includes the initial contract term as well </w:t>
      </w:r>
      <w:r w:rsidR="00957727" w:rsidRPr="00CD6245">
        <w:t xml:space="preserve">as </w:t>
      </w:r>
      <w:r w:rsidR="006D2286" w:rsidRPr="00CD6245">
        <w:t>any</w:t>
      </w:r>
      <w:r w:rsidRPr="00CD6245">
        <w:t xml:space="preserve"> options.</w:t>
      </w:r>
    </w:p>
    <w:p w:rsidR="006F1BB3" w:rsidRPr="00CD6245" w:rsidRDefault="00E17EAF" w:rsidP="00D22258">
      <w:pPr>
        <w:pStyle w:val="Heading3NoNum"/>
      </w:pPr>
      <w:r w:rsidRPr="00CD6245">
        <w:t>Sole entity purchase contracts</w:t>
      </w:r>
    </w:p>
    <w:p w:rsidR="006F1BB3" w:rsidRPr="00CD6245" w:rsidRDefault="00414AE0" w:rsidP="006F1BB3">
      <w:pPr>
        <w:pStyle w:val="Normal1"/>
      </w:pPr>
      <w:r w:rsidRPr="00CD6245">
        <w:rPr>
          <w:lang w:eastAsia="en-US"/>
        </w:rPr>
        <w:t>In 20</w:t>
      </w:r>
      <w:r w:rsidR="006F1BB3" w:rsidRPr="00CD6245">
        <w:rPr>
          <w:lang w:eastAsia="en-US"/>
        </w:rPr>
        <w:t>15</w:t>
      </w:r>
      <w:r w:rsidRPr="00CD6245">
        <w:rPr>
          <w:lang w:eastAsia="en-US"/>
        </w:rPr>
        <w:t>–16</w:t>
      </w:r>
      <w:r w:rsidR="00823ABA" w:rsidRPr="00CD6245">
        <w:rPr>
          <w:lang w:eastAsia="en-US"/>
        </w:rPr>
        <w:t>,</w:t>
      </w:r>
      <w:r w:rsidR="006F1BB3" w:rsidRPr="00CD6245">
        <w:rPr>
          <w:lang w:eastAsia="en-US"/>
        </w:rPr>
        <w:t xml:space="preserve"> </w:t>
      </w:r>
      <w:r w:rsidR="00FD0317" w:rsidRPr="00CD6245">
        <w:rPr>
          <w:lang w:eastAsia="en-US"/>
        </w:rPr>
        <w:t>organisation</w:t>
      </w:r>
      <w:r w:rsidR="0037283A" w:rsidRPr="00CD6245">
        <w:rPr>
          <w:lang w:eastAsia="en-US"/>
        </w:rPr>
        <w:t xml:space="preserve">s reported </w:t>
      </w:r>
      <w:r w:rsidR="0064672C" w:rsidRPr="00CD6245">
        <w:t>37</w:t>
      </w:r>
      <w:r w:rsidR="0037283A" w:rsidRPr="00CD6245">
        <w:t xml:space="preserve"> SEPC </w:t>
      </w:r>
      <w:r w:rsidR="00B552A7" w:rsidRPr="00CD6245">
        <w:t>approvals</w:t>
      </w:r>
      <w:r w:rsidR="00B552A7" w:rsidRPr="00CD6245">
        <w:rPr>
          <w:lang w:eastAsia="en-US"/>
        </w:rPr>
        <w:t xml:space="preserve"> </w:t>
      </w:r>
      <w:r w:rsidR="00D07300" w:rsidRPr="00CD6245">
        <w:t xml:space="preserve">valued at </w:t>
      </w:r>
      <w:r w:rsidR="0064672C" w:rsidRPr="00CD6245">
        <w:t>$778.8</w:t>
      </w:r>
      <w:r w:rsidR="00D07300" w:rsidRPr="00CD6245">
        <w:t xml:space="preserve"> million. </w:t>
      </w:r>
      <w:r w:rsidR="00E56318" w:rsidRPr="00CD6245">
        <w:t xml:space="preserve">Only </w:t>
      </w:r>
      <w:r w:rsidR="006E6D40" w:rsidRPr="00CD6245">
        <w:t>four</w:t>
      </w:r>
      <w:r w:rsidR="00E56318" w:rsidRPr="00CD6245">
        <w:t xml:space="preserve"> </w:t>
      </w:r>
      <w:r w:rsidR="00FD0317" w:rsidRPr="00CD6245">
        <w:t>organisation</w:t>
      </w:r>
      <w:r w:rsidR="00E56318" w:rsidRPr="00CD6245">
        <w:t xml:space="preserve">s </w:t>
      </w:r>
      <w:r w:rsidR="00066BD2" w:rsidRPr="00CD6245">
        <w:t>report</w:t>
      </w:r>
      <w:r w:rsidR="00E56318" w:rsidRPr="00CD6245">
        <w:t xml:space="preserve">ed SEPCs during the year (see </w:t>
      </w:r>
      <w:r w:rsidR="00AC517C">
        <w:fldChar w:fldCharType="begin"/>
      </w:r>
      <w:r w:rsidR="00AC517C">
        <w:instrText xml:space="preserve"> REF _Ref425761602 \h  \* MERGEFORMAT </w:instrText>
      </w:r>
      <w:r w:rsidR="00AC517C">
        <w:fldChar w:fldCharType="separate"/>
      </w:r>
      <w:r w:rsidR="002E75B9" w:rsidRPr="00CD6245">
        <w:t xml:space="preserve">Table </w:t>
      </w:r>
      <w:r w:rsidR="002E75B9">
        <w:t>8</w:t>
      </w:r>
      <w:r w:rsidR="00AC517C">
        <w:fldChar w:fldCharType="end"/>
      </w:r>
      <w:r w:rsidR="00E56318" w:rsidRPr="00CD6245">
        <w:t>).</w:t>
      </w:r>
    </w:p>
    <w:p w:rsidR="00231C0B" w:rsidRPr="00CD6245" w:rsidRDefault="006F1BB3" w:rsidP="00B552A7">
      <w:pPr>
        <w:pStyle w:val="Normal1"/>
      </w:pPr>
      <w:r w:rsidRPr="00CD6245">
        <w:t xml:space="preserve">Of these, </w:t>
      </w:r>
      <w:r w:rsidR="0064672C" w:rsidRPr="00CD6245">
        <w:t>62</w:t>
      </w:r>
      <w:r w:rsidR="00D07300" w:rsidRPr="00CD6245">
        <w:t xml:space="preserve"> </w:t>
      </w:r>
      <w:r w:rsidRPr="00CD6245">
        <w:t xml:space="preserve">per cent were for goods and </w:t>
      </w:r>
      <w:r w:rsidR="006E6D40" w:rsidRPr="00CD6245">
        <w:t>3</w:t>
      </w:r>
      <w:r w:rsidR="0064672C" w:rsidRPr="00CD6245">
        <w:t>8</w:t>
      </w:r>
      <w:r w:rsidR="00E242F9" w:rsidRPr="00CD6245">
        <w:t xml:space="preserve"> </w:t>
      </w:r>
      <w:r w:rsidR="00D07300" w:rsidRPr="00CD6245">
        <w:t>per cent for services although the overall value of goods was much lower (</w:t>
      </w:r>
      <w:r w:rsidR="0064672C" w:rsidRPr="00CD6245">
        <w:t>15</w:t>
      </w:r>
      <w:r w:rsidR="00D07300" w:rsidRPr="00CD6245">
        <w:t xml:space="preserve"> per cent</w:t>
      </w:r>
      <w:r w:rsidR="002B1DA4" w:rsidRPr="00CD6245">
        <w:t xml:space="preserve"> of total SEPC approval value</w:t>
      </w:r>
      <w:r w:rsidR="00D07300" w:rsidRPr="00CD6245">
        <w:t>) than the value of services (</w:t>
      </w:r>
      <w:r w:rsidR="0064672C" w:rsidRPr="00CD6245">
        <w:t>85</w:t>
      </w:r>
      <w:r w:rsidR="00D07300" w:rsidRPr="00CD6245">
        <w:t xml:space="preserve"> per cent</w:t>
      </w:r>
      <w:r w:rsidR="002B1DA4" w:rsidRPr="00CD6245">
        <w:t xml:space="preserve"> of total SEPC approval value</w:t>
      </w:r>
      <w:r w:rsidR="00D07300" w:rsidRPr="00CD6245">
        <w:t>).</w:t>
      </w:r>
      <w:r w:rsidR="00231C0B" w:rsidRPr="00CD6245">
        <w:t xml:space="preserve"> </w:t>
      </w:r>
      <w:r w:rsidR="00B552A7" w:rsidRPr="00CD6245">
        <w:t xml:space="preserve">This compares to </w:t>
      </w:r>
      <w:r w:rsidR="00414AE0" w:rsidRPr="00CD6245">
        <w:t>37</w:t>
      </w:r>
      <w:r w:rsidR="00B552A7" w:rsidRPr="00CD6245">
        <w:t xml:space="preserve"> SEPCs</w:t>
      </w:r>
      <w:r w:rsidR="00414AE0" w:rsidRPr="00CD6245">
        <w:t xml:space="preserve"> approvals in 20</w:t>
      </w:r>
      <w:r w:rsidR="00B552A7" w:rsidRPr="00CD6245">
        <w:t>14</w:t>
      </w:r>
      <w:r w:rsidR="00414AE0" w:rsidRPr="00CD6245">
        <w:t>–15</w:t>
      </w:r>
      <w:r w:rsidR="00B552A7" w:rsidRPr="00CD6245">
        <w:t xml:space="preserve"> valued at </w:t>
      </w:r>
      <w:r w:rsidR="00414AE0" w:rsidRPr="00CD6245">
        <w:t>$270.9 million</w:t>
      </w:r>
      <w:r w:rsidR="00B552A7" w:rsidRPr="00CD6245">
        <w:t xml:space="preserve"> of which 4</w:t>
      </w:r>
      <w:r w:rsidR="00414AE0" w:rsidRPr="00CD6245">
        <w:t>9 per cent were for goods and 51</w:t>
      </w:r>
      <w:r w:rsidR="00B552A7" w:rsidRPr="00CD6245">
        <w:t xml:space="preserve"> per cent for services.</w:t>
      </w:r>
    </w:p>
    <w:p w:rsidR="00B552A7" w:rsidRPr="00CD6245" w:rsidRDefault="007E10A1" w:rsidP="00B552A7">
      <w:pPr>
        <w:pStyle w:val="Normal1"/>
      </w:pPr>
      <w:r w:rsidRPr="00CD6245">
        <w:t xml:space="preserve">The increase in value </w:t>
      </w:r>
      <w:r w:rsidR="00231C0B" w:rsidRPr="00CD6245">
        <w:t>from 2014–15 to 2015–16 and also the increase in the value of services</w:t>
      </w:r>
      <w:r w:rsidR="00107126" w:rsidRPr="00CD6245">
        <w:t xml:space="preserve"> as compared to goods</w:t>
      </w:r>
      <w:r w:rsidR="00231C0B" w:rsidRPr="00CD6245">
        <w:t xml:space="preserve"> </w:t>
      </w:r>
      <w:r w:rsidRPr="00CD6245">
        <w:t xml:space="preserve">can be attributed to </w:t>
      </w:r>
      <w:r w:rsidR="00F72624" w:rsidRPr="00CD6245">
        <w:t>one</w:t>
      </w:r>
      <w:r w:rsidR="00231C0B" w:rsidRPr="00CD6245">
        <w:t xml:space="preserve"> </w:t>
      </w:r>
      <w:r w:rsidR="00D76840" w:rsidRPr="00CD6245">
        <w:t>hi</w:t>
      </w:r>
      <w:r w:rsidR="00107126" w:rsidRPr="00CD6245">
        <w:t>gh</w:t>
      </w:r>
      <w:r w:rsidR="00F72624" w:rsidRPr="00CD6245">
        <w:t xml:space="preserve"> </w:t>
      </w:r>
      <w:r w:rsidR="00D76840" w:rsidRPr="00CD6245">
        <w:t xml:space="preserve">value procurement </w:t>
      </w:r>
      <w:r w:rsidR="00231C0B" w:rsidRPr="00CD6245">
        <w:t>in the Department of Educatio</w:t>
      </w:r>
      <w:r w:rsidR="00CD2864" w:rsidRPr="00CD6245">
        <w:t xml:space="preserve">n and Training of </w:t>
      </w:r>
      <w:r w:rsidR="008E7184" w:rsidRPr="00CD6245">
        <w:t>$</w:t>
      </w:r>
      <w:r w:rsidR="00231C0B" w:rsidRPr="00CD6245">
        <w:t>495.0 million for ICT technical support for the Victorian schools program eduSTAR.TSS</w:t>
      </w:r>
      <w:r w:rsidR="008E7184" w:rsidRPr="00CD6245">
        <w:t>.</w:t>
      </w:r>
    </w:p>
    <w:p w:rsidR="0037283A" w:rsidRPr="00CD6245" w:rsidRDefault="0037283A" w:rsidP="0037283A">
      <w:pPr>
        <w:pStyle w:val="Caption"/>
      </w:pPr>
      <w:bookmarkStart w:id="65" w:name="_Ref425761602"/>
      <w:bookmarkStart w:id="66" w:name="_Toc463527843"/>
      <w:r w:rsidRPr="00CD6245">
        <w:t xml:space="preserve">Table </w:t>
      </w:r>
      <w:r w:rsidR="002B07C2" w:rsidRPr="00CD6245">
        <w:fldChar w:fldCharType="begin"/>
      </w:r>
      <w:r w:rsidR="00600068" w:rsidRPr="00CD6245">
        <w:instrText xml:space="preserve"> SEQ Table \* ARABIC </w:instrText>
      </w:r>
      <w:r w:rsidR="002B07C2" w:rsidRPr="00CD6245">
        <w:fldChar w:fldCharType="separate"/>
      </w:r>
      <w:r w:rsidR="002E75B9">
        <w:rPr>
          <w:noProof/>
        </w:rPr>
        <w:t>8</w:t>
      </w:r>
      <w:r w:rsidR="002B07C2" w:rsidRPr="00CD6245">
        <w:fldChar w:fldCharType="end"/>
      </w:r>
      <w:bookmarkEnd w:id="65"/>
      <w:r w:rsidRPr="00CD6245">
        <w:t xml:space="preserve">: Number and estimated potential value of SEPC approvals by </w:t>
      </w:r>
      <w:r w:rsidR="00FD0317" w:rsidRPr="00CD6245">
        <w:t>organisation</w:t>
      </w:r>
      <w:r w:rsidRPr="00CD6245">
        <w:t xml:space="preserve"> and by goods and services in </w:t>
      </w:r>
      <w:r w:rsidR="001D7822" w:rsidRPr="00CD6245">
        <w:t>2015–16</w:t>
      </w:r>
      <w:bookmarkEnd w:id="66"/>
    </w:p>
    <w:tbl>
      <w:tblPr>
        <w:tblW w:w="7528"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4"/>
        <w:gridCol w:w="1018"/>
        <w:gridCol w:w="992"/>
        <w:gridCol w:w="1018"/>
        <w:gridCol w:w="956"/>
      </w:tblGrid>
      <w:tr w:rsidR="0037283A" w:rsidRPr="00CD6245" w:rsidTr="00E16499">
        <w:trPr>
          <w:trHeight w:val="255"/>
        </w:trPr>
        <w:tc>
          <w:tcPr>
            <w:tcW w:w="3544" w:type="dxa"/>
            <w:vMerge w:val="restart"/>
            <w:shd w:val="clear" w:color="auto" w:fill="A6A6A6" w:themeFill="background1" w:themeFillShade="A6"/>
            <w:noWrap/>
          </w:tcPr>
          <w:p w:rsidR="0037283A" w:rsidRPr="00CD6245" w:rsidRDefault="00FD0317" w:rsidP="00E16499">
            <w:pPr>
              <w:pStyle w:val="TableHeader"/>
            </w:pPr>
            <w:r w:rsidRPr="00CD6245">
              <w:t>Organisation</w:t>
            </w:r>
          </w:p>
        </w:tc>
        <w:tc>
          <w:tcPr>
            <w:tcW w:w="2010" w:type="dxa"/>
            <w:gridSpan w:val="2"/>
            <w:shd w:val="clear" w:color="auto" w:fill="A6A6A6" w:themeFill="background1" w:themeFillShade="A6"/>
            <w:vAlign w:val="bottom"/>
          </w:tcPr>
          <w:p w:rsidR="0037283A" w:rsidRPr="00CD6245" w:rsidRDefault="0037283A" w:rsidP="00E16499">
            <w:pPr>
              <w:pStyle w:val="TableHeader"/>
              <w:jc w:val="center"/>
              <w:rPr>
                <w:kern w:val="28"/>
                <w:lang w:eastAsia="en-US"/>
              </w:rPr>
            </w:pPr>
            <w:r w:rsidRPr="00CD6245">
              <w:t>Goods</w:t>
            </w:r>
          </w:p>
        </w:tc>
        <w:tc>
          <w:tcPr>
            <w:tcW w:w="1974" w:type="dxa"/>
            <w:gridSpan w:val="2"/>
            <w:shd w:val="clear" w:color="auto" w:fill="A6A6A6" w:themeFill="background1" w:themeFillShade="A6"/>
            <w:vAlign w:val="bottom"/>
          </w:tcPr>
          <w:p w:rsidR="0037283A" w:rsidRPr="00CD6245" w:rsidRDefault="0037283A" w:rsidP="00E16499">
            <w:pPr>
              <w:pStyle w:val="TableHeader"/>
              <w:jc w:val="center"/>
              <w:rPr>
                <w:kern w:val="28"/>
                <w:lang w:eastAsia="en-US"/>
              </w:rPr>
            </w:pPr>
            <w:r w:rsidRPr="00CD6245">
              <w:t>Services</w:t>
            </w:r>
          </w:p>
        </w:tc>
      </w:tr>
      <w:tr w:rsidR="0037283A" w:rsidRPr="00CD6245" w:rsidTr="00E16499">
        <w:trPr>
          <w:trHeight w:val="115"/>
        </w:trPr>
        <w:tc>
          <w:tcPr>
            <w:tcW w:w="3544" w:type="dxa"/>
            <w:vMerge/>
            <w:shd w:val="clear" w:color="auto" w:fill="A6A6A6" w:themeFill="background1" w:themeFillShade="A6"/>
            <w:vAlign w:val="bottom"/>
          </w:tcPr>
          <w:p w:rsidR="0037283A" w:rsidRPr="00CD6245" w:rsidRDefault="0037283A" w:rsidP="00E16499">
            <w:pPr>
              <w:pStyle w:val="TableHeader"/>
            </w:pPr>
          </w:p>
        </w:tc>
        <w:tc>
          <w:tcPr>
            <w:tcW w:w="1018" w:type="dxa"/>
            <w:shd w:val="clear" w:color="auto" w:fill="A6A6A6" w:themeFill="background1" w:themeFillShade="A6"/>
            <w:vAlign w:val="bottom"/>
          </w:tcPr>
          <w:p w:rsidR="0037283A" w:rsidRPr="00CD6245" w:rsidRDefault="0037283A" w:rsidP="00E16499">
            <w:pPr>
              <w:pStyle w:val="TableHeader"/>
              <w:jc w:val="center"/>
              <w:rPr>
                <w:kern w:val="28"/>
                <w:lang w:eastAsia="en-US"/>
              </w:rPr>
            </w:pPr>
            <w:r w:rsidRPr="00CD6245">
              <w:t>Number</w:t>
            </w:r>
          </w:p>
        </w:tc>
        <w:tc>
          <w:tcPr>
            <w:tcW w:w="992" w:type="dxa"/>
            <w:shd w:val="clear" w:color="auto" w:fill="A6A6A6" w:themeFill="background1" w:themeFillShade="A6"/>
            <w:noWrap/>
            <w:vAlign w:val="bottom"/>
          </w:tcPr>
          <w:p w:rsidR="0037283A" w:rsidRPr="00CD6245" w:rsidRDefault="0037283A" w:rsidP="00E16499">
            <w:pPr>
              <w:pStyle w:val="TableHeader"/>
              <w:jc w:val="center"/>
              <w:rPr>
                <w:kern w:val="28"/>
                <w:lang w:eastAsia="en-US"/>
              </w:rPr>
            </w:pPr>
            <w:r w:rsidRPr="00CD6245">
              <w:t>Value</w:t>
            </w:r>
          </w:p>
        </w:tc>
        <w:tc>
          <w:tcPr>
            <w:tcW w:w="1018" w:type="dxa"/>
            <w:shd w:val="clear" w:color="auto" w:fill="A6A6A6" w:themeFill="background1" w:themeFillShade="A6"/>
            <w:vAlign w:val="bottom"/>
          </w:tcPr>
          <w:p w:rsidR="0037283A" w:rsidRPr="00CD6245" w:rsidRDefault="0037283A" w:rsidP="00E16499">
            <w:pPr>
              <w:pStyle w:val="TableHeader"/>
              <w:jc w:val="center"/>
              <w:rPr>
                <w:kern w:val="28"/>
                <w:lang w:eastAsia="en-US"/>
              </w:rPr>
            </w:pPr>
            <w:r w:rsidRPr="00CD6245">
              <w:t>Number</w:t>
            </w:r>
          </w:p>
        </w:tc>
        <w:tc>
          <w:tcPr>
            <w:tcW w:w="956" w:type="dxa"/>
            <w:shd w:val="clear" w:color="auto" w:fill="A6A6A6" w:themeFill="background1" w:themeFillShade="A6"/>
            <w:vAlign w:val="bottom"/>
          </w:tcPr>
          <w:p w:rsidR="0037283A" w:rsidRPr="00CD6245" w:rsidRDefault="0037283A" w:rsidP="00E16499">
            <w:pPr>
              <w:pStyle w:val="TableHeader"/>
              <w:jc w:val="center"/>
              <w:rPr>
                <w:kern w:val="28"/>
                <w:lang w:eastAsia="en-US"/>
              </w:rPr>
            </w:pPr>
            <w:r w:rsidRPr="00CD6245">
              <w:t>Value</w:t>
            </w:r>
          </w:p>
        </w:tc>
      </w:tr>
      <w:tr w:rsidR="00231C0B" w:rsidRPr="00CD6245" w:rsidTr="006E6D40">
        <w:trPr>
          <w:trHeight w:val="269"/>
        </w:trPr>
        <w:tc>
          <w:tcPr>
            <w:tcW w:w="3544" w:type="dxa"/>
            <w:shd w:val="clear" w:color="auto" w:fill="auto"/>
          </w:tcPr>
          <w:p w:rsidR="00231C0B" w:rsidRPr="00CD6245" w:rsidRDefault="00231C0B">
            <w:pPr>
              <w:rPr>
                <w:rFonts w:ascii="Calibri" w:hAnsi="Calibri"/>
                <w:color w:val="000000"/>
                <w:sz w:val="20"/>
                <w:szCs w:val="20"/>
              </w:rPr>
            </w:pPr>
            <w:r w:rsidRPr="00CD6245">
              <w:rPr>
                <w:rFonts w:ascii="Calibri" w:hAnsi="Calibri"/>
                <w:color w:val="000000"/>
                <w:sz w:val="20"/>
                <w:szCs w:val="20"/>
              </w:rPr>
              <w:t>Education and Training</w:t>
            </w:r>
          </w:p>
        </w:tc>
        <w:tc>
          <w:tcPr>
            <w:tcW w:w="1018" w:type="dxa"/>
            <w:shd w:val="clear" w:color="auto" w:fill="auto"/>
            <w:vAlign w:val="bottom"/>
          </w:tcPr>
          <w:p w:rsidR="00231C0B" w:rsidRPr="00CD6245" w:rsidRDefault="00231C0B">
            <w:pPr>
              <w:jc w:val="right"/>
              <w:rPr>
                <w:rFonts w:ascii="Calibri" w:hAnsi="Calibri"/>
                <w:color w:val="000000"/>
                <w:sz w:val="20"/>
                <w:szCs w:val="20"/>
              </w:rPr>
            </w:pPr>
            <w:r w:rsidRPr="00CD6245">
              <w:rPr>
                <w:rFonts w:ascii="Calibri" w:hAnsi="Calibri"/>
                <w:color w:val="000000"/>
                <w:sz w:val="20"/>
                <w:szCs w:val="20"/>
              </w:rPr>
              <w:t>..</w:t>
            </w:r>
          </w:p>
        </w:tc>
        <w:tc>
          <w:tcPr>
            <w:tcW w:w="992" w:type="dxa"/>
            <w:shd w:val="clear" w:color="auto" w:fill="auto"/>
            <w:noWrap/>
            <w:vAlign w:val="bottom"/>
          </w:tcPr>
          <w:p w:rsidR="00231C0B" w:rsidRPr="00CD6245" w:rsidRDefault="00231C0B">
            <w:pPr>
              <w:jc w:val="right"/>
              <w:rPr>
                <w:rFonts w:ascii="Calibri" w:hAnsi="Calibri"/>
                <w:color w:val="000000"/>
                <w:sz w:val="20"/>
                <w:szCs w:val="20"/>
              </w:rPr>
            </w:pPr>
            <w:r w:rsidRPr="00CD6245">
              <w:rPr>
                <w:rFonts w:ascii="Calibri" w:hAnsi="Calibri"/>
                <w:color w:val="000000"/>
                <w:sz w:val="20"/>
                <w:szCs w:val="20"/>
              </w:rPr>
              <w:t>..</w:t>
            </w:r>
          </w:p>
        </w:tc>
        <w:tc>
          <w:tcPr>
            <w:tcW w:w="1018" w:type="dxa"/>
            <w:vAlign w:val="bottom"/>
          </w:tcPr>
          <w:p w:rsidR="00231C0B" w:rsidRPr="00CD6245" w:rsidRDefault="00231C0B">
            <w:pPr>
              <w:jc w:val="right"/>
              <w:rPr>
                <w:rFonts w:ascii="Calibri" w:hAnsi="Calibri"/>
                <w:color w:val="000000"/>
                <w:sz w:val="20"/>
                <w:szCs w:val="20"/>
              </w:rPr>
            </w:pPr>
            <w:r w:rsidRPr="00CD6245">
              <w:rPr>
                <w:rFonts w:ascii="Calibri" w:hAnsi="Calibri"/>
                <w:color w:val="000000"/>
                <w:sz w:val="20"/>
                <w:szCs w:val="20"/>
              </w:rPr>
              <w:t>3</w:t>
            </w:r>
          </w:p>
        </w:tc>
        <w:tc>
          <w:tcPr>
            <w:tcW w:w="956" w:type="dxa"/>
            <w:vAlign w:val="bottom"/>
          </w:tcPr>
          <w:p w:rsidR="00231C0B" w:rsidRPr="00CD6245" w:rsidRDefault="00231C0B">
            <w:pPr>
              <w:jc w:val="right"/>
              <w:rPr>
                <w:rFonts w:ascii="Calibri" w:hAnsi="Calibri"/>
                <w:color w:val="000000"/>
                <w:sz w:val="20"/>
                <w:szCs w:val="20"/>
              </w:rPr>
            </w:pPr>
            <w:r w:rsidRPr="00CD6245">
              <w:rPr>
                <w:rFonts w:ascii="Calibri" w:hAnsi="Calibri"/>
                <w:color w:val="000000"/>
                <w:sz w:val="20"/>
                <w:szCs w:val="20"/>
              </w:rPr>
              <w:t>$610.0M</w:t>
            </w:r>
          </w:p>
        </w:tc>
      </w:tr>
      <w:tr w:rsidR="00231C0B" w:rsidRPr="00CD6245" w:rsidTr="006E6D40">
        <w:trPr>
          <w:trHeight w:val="269"/>
        </w:trPr>
        <w:tc>
          <w:tcPr>
            <w:tcW w:w="3544" w:type="dxa"/>
            <w:shd w:val="clear" w:color="auto" w:fill="auto"/>
          </w:tcPr>
          <w:p w:rsidR="00231C0B" w:rsidRPr="00CD6245" w:rsidRDefault="00231C0B">
            <w:pPr>
              <w:rPr>
                <w:rFonts w:ascii="Calibri" w:hAnsi="Calibri"/>
                <w:color w:val="000000"/>
                <w:sz w:val="20"/>
                <w:szCs w:val="20"/>
              </w:rPr>
            </w:pPr>
            <w:r w:rsidRPr="00CD6245">
              <w:rPr>
                <w:rFonts w:ascii="Calibri" w:hAnsi="Calibri"/>
                <w:color w:val="000000"/>
                <w:sz w:val="20"/>
                <w:szCs w:val="20"/>
              </w:rPr>
              <w:t>Environment, Land, Water and Planning</w:t>
            </w:r>
          </w:p>
        </w:tc>
        <w:tc>
          <w:tcPr>
            <w:tcW w:w="1018" w:type="dxa"/>
            <w:shd w:val="clear" w:color="auto" w:fill="auto"/>
            <w:vAlign w:val="bottom"/>
          </w:tcPr>
          <w:p w:rsidR="00231C0B" w:rsidRPr="00CD6245" w:rsidRDefault="00231C0B">
            <w:pPr>
              <w:jc w:val="right"/>
              <w:rPr>
                <w:rFonts w:ascii="Calibri" w:hAnsi="Calibri"/>
                <w:color w:val="000000"/>
                <w:sz w:val="20"/>
                <w:szCs w:val="20"/>
              </w:rPr>
            </w:pPr>
            <w:r w:rsidRPr="00CD6245">
              <w:rPr>
                <w:rFonts w:ascii="Calibri" w:hAnsi="Calibri"/>
                <w:color w:val="000000"/>
                <w:sz w:val="20"/>
                <w:szCs w:val="20"/>
              </w:rPr>
              <w:t>7</w:t>
            </w:r>
          </w:p>
        </w:tc>
        <w:tc>
          <w:tcPr>
            <w:tcW w:w="992" w:type="dxa"/>
            <w:shd w:val="clear" w:color="auto" w:fill="auto"/>
            <w:noWrap/>
            <w:vAlign w:val="bottom"/>
          </w:tcPr>
          <w:p w:rsidR="00231C0B" w:rsidRPr="00CD6245" w:rsidRDefault="00231C0B">
            <w:pPr>
              <w:jc w:val="right"/>
              <w:rPr>
                <w:rFonts w:ascii="Calibri" w:hAnsi="Calibri"/>
                <w:color w:val="000000"/>
                <w:sz w:val="20"/>
                <w:szCs w:val="20"/>
              </w:rPr>
            </w:pPr>
            <w:r w:rsidRPr="00CD6245">
              <w:rPr>
                <w:rFonts w:ascii="Calibri" w:hAnsi="Calibri"/>
                <w:color w:val="000000"/>
                <w:sz w:val="20"/>
                <w:szCs w:val="20"/>
              </w:rPr>
              <w:t>$70.6M</w:t>
            </w:r>
          </w:p>
        </w:tc>
        <w:tc>
          <w:tcPr>
            <w:tcW w:w="1018" w:type="dxa"/>
            <w:vAlign w:val="bottom"/>
          </w:tcPr>
          <w:p w:rsidR="00231C0B" w:rsidRPr="00CD6245" w:rsidRDefault="00231C0B">
            <w:pPr>
              <w:jc w:val="right"/>
              <w:rPr>
                <w:rFonts w:ascii="Calibri" w:hAnsi="Calibri"/>
                <w:color w:val="000000"/>
                <w:sz w:val="20"/>
                <w:szCs w:val="20"/>
              </w:rPr>
            </w:pPr>
            <w:r w:rsidRPr="00CD6245">
              <w:rPr>
                <w:rFonts w:ascii="Calibri" w:hAnsi="Calibri"/>
                <w:color w:val="000000"/>
                <w:sz w:val="20"/>
                <w:szCs w:val="20"/>
              </w:rPr>
              <w:t>2</w:t>
            </w:r>
          </w:p>
        </w:tc>
        <w:tc>
          <w:tcPr>
            <w:tcW w:w="956" w:type="dxa"/>
            <w:vAlign w:val="bottom"/>
          </w:tcPr>
          <w:p w:rsidR="00231C0B" w:rsidRPr="00CD6245" w:rsidRDefault="00231C0B">
            <w:pPr>
              <w:jc w:val="right"/>
              <w:rPr>
                <w:rFonts w:ascii="Calibri" w:hAnsi="Calibri"/>
                <w:color w:val="000000"/>
                <w:sz w:val="20"/>
                <w:szCs w:val="20"/>
              </w:rPr>
            </w:pPr>
            <w:r w:rsidRPr="00CD6245">
              <w:rPr>
                <w:rFonts w:ascii="Calibri" w:hAnsi="Calibri"/>
                <w:color w:val="000000"/>
                <w:sz w:val="20"/>
                <w:szCs w:val="20"/>
              </w:rPr>
              <w:t>$41.0M</w:t>
            </w:r>
          </w:p>
        </w:tc>
      </w:tr>
      <w:tr w:rsidR="00231C0B" w:rsidRPr="00CD6245" w:rsidTr="006E6D40">
        <w:trPr>
          <w:trHeight w:val="255"/>
        </w:trPr>
        <w:tc>
          <w:tcPr>
            <w:tcW w:w="3544" w:type="dxa"/>
            <w:shd w:val="clear" w:color="auto" w:fill="auto"/>
          </w:tcPr>
          <w:p w:rsidR="00231C0B" w:rsidRPr="00CD6245" w:rsidRDefault="00231C0B">
            <w:pPr>
              <w:rPr>
                <w:rFonts w:ascii="Calibri" w:hAnsi="Calibri"/>
                <w:color w:val="000000"/>
                <w:sz w:val="20"/>
                <w:szCs w:val="20"/>
              </w:rPr>
            </w:pPr>
            <w:r w:rsidRPr="00CD6245">
              <w:rPr>
                <w:rFonts w:ascii="Calibri" w:hAnsi="Calibri"/>
                <w:color w:val="000000"/>
                <w:sz w:val="20"/>
                <w:szCs w:val="20"/>
              </w:rPr>
              <w:t>Health and Human Services</w:t>
            </w:r>
          </w:p>
        </w:tc>
        <w:tc>
          <w:tcPr>
            <w:tcW w:w="1018" w:type="dxa"/>
            <w:shd w:val="clear" w:color="auto" w:fill="auto"/>
            <w:vAlign w:val="bottom"/>
          </w:tcPr>
          <w:p w:rsidR="00231C0B" w:rsidRPr="00CD6245" w:rsidRDefault="00231C0B">
            <w:pPr>
              <w:jc w:val="right"/>
              <w:rPr>
                <w:rFonts w:ascii="Calibri" w:hAnsi="Calibri"/>
                <w:color w:val="000000"/>
                <w:sz w:val="20"/>
                <w:szCs w:val="20"/>
              </w:rPr>
            </w:pPr>
            <w:r w:rsidRPr="00CD6245">
              <w:rPr>
                <w:rFonts w:ascii="Calibri" w:hAnsi="Calibri"/>
                <w:color w:val="000000"/>
                <w:sz w:val="20"/>
                <w:szCs w:val="20"/>
              </w:rPr>
              <w:t>3</w:t>
            </w:r>
          </w:p>
        </w:tc>
        <w:tc>
          <w:tcPr>
            <w:tcW w:w="992" w:type="dxa"/>
            <w:shd w:val="clear" w:color="auto" w:fill="auto"/>
            <w:noWrap/>
            <w:vAlign w:val="bottom"/>
          </w:tcPr>
          <w:p w:rsidR="00231C0B" w:rsidRPr="00CD6245" w:rsidRDefault="00231C0B">
            <w:pPr>
              <w:jc w:val="right"/>
              <w:rPr>
                <w:rFonts w:ascii="Calibri" w:hAnsi="Calibri"/>
                <w:color w:val="000000"/>
                <w:sz w:val="20"/>
                <w:szCs w:val="20"/>
              </w:rPr>
            </w:pPr>
            <w:r w:rsidRPr="00CD6245">
              <w:rPr>
                <w:rFonts w:ascii="Calibri" w:hAnsi="Calibri"/>
                <w:color w:val="000000"/>
                <w:sz w:val="20"/>
                <w:szCs w:val="20"/>
              </w:rPr>
              <w:t>$13.8M</w:t>
            </w:r>
          </w:p>
        </w:tc>
        <w:tc>
          <w:tcPr>
            <w:tcW w:w="1018" w:type="dxa"/>
            <w:vAlign w:val="bottom"/>
          </w:tcPr>
          <w:p w:rsidR="00231C0B" w:rsidRPr="00CD6245" w:rsidRDefault="00231C0B">
            <w:pPr>
              <w:jc w:val="right"/>
              <w:rPr>
                <w:rFonts w:ascii="Calibri" w:hAnsi="Calibri"/>
                <w:color w:val="000000"/>
                <w:sz w:val="20"/>
                <w:szCs w:val="20"/>
              </w:rPr>
            </w:pPr>
            <w:r w:rsidRPr="00CD6245">
              <w:rPr>
                <w:rFonts w:ascii="Calibri" w:hAnsi="Calibri"/>
                <w:color w:val="000000"/>
                <w:sz w:val="20"/>
                <w:szCs w:val="20"/>
              </w:rPr>
              <w:t>3</w:t>
            </w:r>
          </w:p>
        </w:tc>
        <w:tc>
          <w:tcPr>
            <w:tcW w:w="956" w:type="dxa"/>
            <w:vAlign w:val="bottom"/>
          </w:tcPr>
          <w:p w:rsidR="00231C0B" w:rsidRPr="00CD6245" w:rsidRDefault="00231C0B">
            <w:pPr>
              <w:jc w:val="right"/>
              <w:rPr>
                <w:rFonts w:ascii="Calibri" w:hAnsi="Calibri"/>
                <w:color w:val="000000"/>
                <w:sz w:val="20"/>
                <w:szCs w:val="20"/>
              </w:rPr>
            </w:pPr>
            <w:r w:rsidRPr="00CD6245">
              <w:rPr>
                <w:rFonts w:ascii="Calibri" w:hAnsi="Calibri"/>
                <w:color w:val="000000"/>
                <w:sz w:val="20"/>
                <w:szCs w:val="20"/>
              </w:rPr>
              <w:t>$8.8M</w:t>
            </w:r>
          </w:p>
        </w:tc>
      </w:tr>
      <w:tr w:rsidR="00231C0B" w:rsidRPr="00CD6245" w:rsidTr="006E6D40">
        <w:trPr>
          <w:trHeight w:val="255"/>
        </w:trPr>
        <w:tc>
          <w:tcPr>
            <w:tcW w:w="3544" w:type="dxa"/>
            <w:shd w:val="clear" w:color="auto" w:fill="auto"/>
          </w:tcPr>
          <w:p w:rsidR="00231C0B" w:rsidRPr="00CD6245" w:rsidRDefault="00231C0B">
            <w:pPr>
              <w:rPr>
                <w:rFonts w:ascii="Calibri" w:hAnsi="Calibri"/>
                <w:color w:val="000000"/>
                <w:sz w:val="20"/>
                <w:szCs w:val="20"/>
              </w:rPr>
            </w:pPr>
            <w:r w:rsidRPr="00CD6245">
              <w:rPr>
                <w:rFonts w:ascii="Calibri" w:hAnsi="Calibri"/>
                <w:color w:val="000000"/>
                <w:sz w:val="20"/>
                <w:szCs w:val="20"/>
              </w:rPr>
              <w:t>Victoria Police</w:t>
            </w:r>
          </w:p>
        </w:tc>
        <w:tc>
          <w:tcPr>
            <w:tcW w:w="1018" w:type="dxa"/>
            <w:shd w:val="clear" w:color="auto" w:fill="auto"/>
            <w:vAlign w:val="bottom"/>
          </w:tcPr>
          <w:p w:rsidR="00231C0B" w:rsidRPr="00CD6245" w:rsidRDefault="00231C0B">
            <w:pPr>
              <w:jc w:val="right"/>
              <w:rPr>
                <w:rFonts w:ascii="Calibri" w:hAnsi="Calibri"/>
                <w:color w:val="000000"/>
                <w:sz w:val="20"/>
                <w:szCs w:val="20"/>
              </w:rPr>
            </w:pPr>
            <w:r w:rsidRPr="00CD6245">
              <w:rPr>
                <w:rFonts w:ascii="Calibri" w:hAnsi="Calibri"/>
                <w:color w:val="000000"/>
                <w:sz w:val="20"/>
                <w:szCs w:val="20"/>
              </w:rPr>
              <w:t>13</w:t>
            </w:r>
          </w:p>
        </w:tc>
        <w:tc>
          <w:tcPr>
            <w:tcW w:w="992" w:type="dxa"/>
            <w:shd w:val="clear" w:color="auto" w:fill="auto"/>
            <w:noWrap/>
            <w:vAlign w:val="bottom"/>
          </w:tcPr>
          <w:p w:rsidR="00231C0B" w:rsidRPr="00CD6245" w:rsidRDefault="00231C0B">
            <w:pPr>
              <w:jc w:val="right"/>
              <w:rPr>
                <w:rFonts w:ascii="Calibri" w:hAnsi="Calibri"/>
                <w:color w:val="000000"/>
                <w:sz w:val="20"/>
                <w:szCs w:val="20"/>
              </w:rPr>
            </w:pPr>
            <w:r w:rsidRPr="00CD6245">
              <w:rPr>
                <w:rFonts w:ascii="Calibri" w:hAnsi="Calibri"/>
                <w:color w:val="000000"/>
                <w:sz w:val="20"/>
                <w:szCs w:val="20"/>
              </w:rPr>
              <w:t>$30.7M</w:t>
            </w:r>
          </w:p>
        </w:tc>
        <w:tc>
          <w:tcPr>
            <w:tcW w:w="1018" w:type="dxa"/>
            <w:vAlign w:val="bottom"/>
          </w:tcPr>
          <w:p w:rsidR="00231C0B" w:rsidRPr="00CD6245" w:rsidRDefault="00231C0B">
            <w:pPr>
              <w:jc w:val="right"/>
              <w:rPr>
                <w:rFonts w:ascii="Calibri" w:hAnsi="Calibri"/>
                <w:color w:val="000000"/>
                <w:sz w:val="20"/>
                <w:szCs w:val="20"/>
              </w:rPr>
            </w:pPr>
            <w:r w:rsidRPr="00CD6245">
              <w:rPr>
                <w:rFonts w:ascii="Calibri" w:hAnsi="Calibri"/>
                <w:color w:val="000000"/>
                <w:sz w:val="20"/>
                <w:szCs w:val="20"/>
              </w:rPr>
              <w:t>6</w:t>
            </w:r>
          </w:p>
        </w:tc>
        <w:tc>
          <w:tcPr>
            <w:tcW w:w="956" w:type="dxa"/>
            <w:vAlign w:val="bottom"/>
          </w:tcPr>
          <w:p w:rsidR="00231C0B" w:rsidRPr="00CD6245" w:rsidRDefault="00231C0B">
            <w:pPr>
              <w:jc w:val="right"/>
              <w:rPr>
                <w:rFonts w:ascii="Calibri" w:hAnsi="Calibri"/>
                <w:color w:val="000000"/>
                <w:sz w:val="20"/>
                <w:szCs w:val="20"/>
              </w:rPr>
            </w:pPr>
            <w:r w:rsidRPr="00CD6245">
              <w:rPr>
                <w:rFonts w:ascii="Calibri" w:hAnsi="Calibri"/>
                <w:color w:val="000000"/>
                <w:sz w:val="20"/>
                <w:szCs w:val="20"/>
              </w:rPr>
              <w:t>$3.9M</w:t>
            </w:r>
          </w:p>
        </w:tc>
      </w:tr>
      <w:tr w:rsidR="00231C0B" w:rsidRPr="00CD6245" w:rsidTr="006E6D40">
        <w:trPr>
          <w:trHeight w:val="255"/>
        </w:trPr>
        <w:tc>
          <w:tcPr>
            <w:tcW w:w="3544" w:type="dxa"/>
            <w:shd w:val="clear" w:color="auto" w:fill="A6A6A6" w:themeFill="background1" w:themeFillShade="A6"/>
            <w:noWrap/>
          </w:tcPr>
          <w:p w:rsidR="00231C0B" w:rsidRPr="00CD6245" w:rsidRDefault="00231C0B">
            <w:pPr>
              <w:rPr>
                <w:rFonts w:ascii="Calibri" w:hAnsi="Calibri"/>
                <w:color w:val="000000"/>
                <w:sz w:val="20"/>
                <w:szCs w:val="20"/>
              </w:rPr>
            </w:pPr>
            <w:r w:rsidRPr="00CD6245">
              <w:rPr>
                <w:rFonts w:ascii="Calibri" w:hAnsi="Calibri"/>
                <w:color w:val="000000"/>
                <w:sz w:val="20"/>
                <w:szCs w:val="20"/>
              </w:rPr>
              <w:t>Totals</w:t>
            </w:r>
          </w:p>
        </w:tc>
        <w:tc>
          <w:tcPr>
            <w:tcW w:w="1018" w:type="dxa"/>
            <w:shd w:val="clear" w:color="auto" w:fill="A6A6A6" w:themeFill="background1" w:themeFillShade="A6"/>
            <w:noWrap/>
            <w:vAlign w:val="bottom"/>
          </w:tcPr>
          <w:p w:rsidR="00231C0B" w:rsidRPr="00CD6245" w:rsidRDefault="00231C0B">
            <w:pPr>
              <w:jc w:val="right"/>
              <w:rPr>
                <w:rFonts w:ascii="Calibri" w:hAnsi="Calibri"/>
                <w:color w:val="000000"/>
                <w:sz w:val="20"/>
                <w:szCs w:val="20"/>
              </w:rPr>
            </w:pPr>
            <w:r w:rsidRPr="00CD6245">
              <w:rPr>
                <w:rFonts w:ascii="Calibri" w:hAnsi="Calibri"/>
                <w:color w:val="000000"/>
                <w:sz w:val="20"/>
                <w:szCs w:val="20"/>
              </w:rPr>
              <w:t>23</w:t>
            </w:r>
          </w:p>
        </w:tc>
        <w:tc>
          <w:tcPr>
            <w:tcW w:w="992" w:type="dxa"/>
            <w:shd w:val="clear" w:color="auto" w:fill="A6A6A6" w:themeFill="background1" w:themeFillShade="A6"/>
            <w:noWrap/>
            <w:vAlign w:val="bottom"/>
          </w:tcPr>
          <w:p w:rsidR="00231C0B" w:rsidRPr="00CD6245" w:rsidRDefault="00231C0B">
            <w:pPr>
              <w:jc w:val="right"/>
              <w:rPr>
                <w:rFonts w:ascii="Calibri" w:hAnsi="Calibri"/>
                <w:color w:val="000000"/>
                <w:sz w:val="20"/>
                <w:szCs w:val="20"/>
              </w:rPr>
            </w:pPr>
            <w:r w:rsidRPr="00CD6245">
              <w:rPr>
                <w:rFonts w:ascii="Calibri" w:hAnsi="Calibri"/>
                <w:color w:val="000000"/>
                <w:sz w:val="20"/>
                <w:szCs w:val="20"/>
              </w:rPr>
              <w:t>$115.1M</w:t>
            </w:r>
          </w:p>
        </w:tc>
        <w:tc>
          <w:tcPr>
            <w:tcW w:w="1018" w:type="dxa"/>
            <w:shd w:val="clear" w:color="auto" w:fill="A6A6A6" w:themeFill="background1" w:themeFillShade="A6"/>
            <w:vAlign w:val="bottom"/>
          </w:tcPr>
          <w:p w:rsidR="00231C0B" w:rsidRPr="00CD6245" w:rsidRDefault="00231C0B">
            <w:pPr>
              <w:jc w:val="right"/>
              <w:rPr>
                <w:rFonts w:ascii="Calibri" w:hAnsi="Calibri"/>
                <w:color w:val="000000"/>
                <w:sz w:val="20"/>
                <w:szCs w:val="20"/>
              </w:rPr>
            </w:pPr>
            <w:r w:rsidRPr="00CD6245">
              <w:rPr>
                <w:rFonts w:ascii="Calibri" w:hAnsi="Calibri"/>
                <w:color w:val="000000"/>
                <w:sz w:val="20"/>
                <w:szCs w:val="20"/>
              </w:rPr>
              <w:t>14</w:t>
            </w:r>
          </w:p>
        </w:tc>
        <w:tc>
          <w:tcPr>
            <w:tcW w:w="956" w:type="dxa"/>
            <w:shd w:val="clear" w:color="auto" w:fill="A6A6A6" w:themeFill="background1" w:themeFillShade="A6"/>
            <w:vAlign w:val="bottom"/>
          </w:tcPr>
          <w:p w:rsidR="00231C0B" w:rsidRPr="00CD6245" w:rsidRDefault="00231C0B">
            <w:pPr>
              <w:jc w:val="right"/>
              <w:rPr>
                <w:rFonts w:ascii="Calibri" w:hAnsi="Calibri"/>
                <w:color w:val="000000"/>
                <w:sz w:val="20"/>
                <w:szCs w:val="20"/>
              </w:rPr>
            </w:pPr>
            <w:r w:rsidRPr="00CD6245">
              <w:rPr>
                <w:rFonts w:ascii="Calibri" w:hAnsi="Calibri"/>
                <w:color w:val="000000"/>
                <w:sz w:val="20"/>
                <w:szCs w:val="20"/>
              </w:rPr>
              <w:t>$663.7M</w:t>
            </w:r>
          </w:p>
        </w:tc>
      </w:tr>
    </w:tbl>
    <w:p w:rsidR="0037283A" w:rsidRPr="00CD6245" w:rsidRDefault="0037283A" w:rsidP="00DB075F">
      <w:pPr>
        <w:pStyle w:val="Normal1"/>
      </w:pPr>
      <w:r w:rsidRPr="00CD6245">
        <w:t xml:space="preserve">Figures </w:t>
      </w:r>
      <w:r w:rsidR="00DB075F" w:rsidRPr="00CD6245">
        <w:t>6</w:t>
      </w:r>
      <w:r w:rsidR="00414AE0" w:rsidRPr="00CD6245">
        <w:t xml:space="preserve"> and </w:t>
      </w:r>
      <w:r w:rsidR="00DB075F" w:rsidRPr="00CD6245">
        <w:t>7</w:t>
      </w:r>
      <w:r w:rsidRPr="00CD6245">
        <w:t xml:space="preserve"> provide an overview of number and value of SEPCs by </w:t>
      </w:r>
      <w:r w:rsidR="00FD0317" w:rsidRPr="00CD6245">
        <w:t>organisation</w:t>
      </w:r>
      <w:r w:rsidRPr="00CD6245">
        <w:t xml:space="preserve"> and by goods and services</w:t>
      </w:r>
      <w:r w:rsidR="00823ABA" w:rsidRPr="00CD6245">
        <w:t xml:space="preserve">. </w:t>
      </w:r>
    </w:p>
    <w:p w:rsidR="004443E4" w:rsidRDefault="004443E4" w:rsidP="004443E4">
      <w:pPr>
        <w:pStyle w:val="Caption"/>
      </w:pPr>
      <w:bookmarkStart w:id="67" w:name="_Toc463527871"/>
      <w:r w:rsidRPr="00CD6245">
        <w:lastRenderedPageBreak/>
        <w:t xml:space="preserve">Figure </w:t>
      </w:r>
      <w:r w:rsidR="002B07C2" w:rsidRPr="00CD6245">
        <w:fldChar w:fldCharType="begin"/>
      </w:r>
      <w:r w:rsidR="00600068" w:rsidRPr="00CD6245">
        <w:instrText xml:space="preserve"> SEQ Figure \* ARABIC </w:instrText>
      </w:r>
      <w:r w:rsidR="002B07C2" w:rsidRPr="00CD6245">
        <w:fldChar w:fldCharType="separate"/>
      </w:r>
      <w:r w:rsidR="002E75B9">
        <w:rPr>
          <w:noProof/>
        </w:rPr>
        <w:t>6</w:t>
      </w:r>
      <w:r w:rsidR="002B07C2" w:rsidRPr="00CD6245">
        <w:fldChar w:fldCharType="end"/>
      </w:r>
      <w:r w:rsidRPr="00CD6245">
        <w:t xml:space="preserve">: Number of SEPC approvals by </w:t>
      </w:r>
      <w:r w:rsidR="00FD0317" w:rsidRPr="00CD6245">
        <w:t>organisation</w:t>
      </w:r>
      <w:r w:rsidRPr="00CD6245">
        <w:t xml:space="preserve"> and by goods and services in </w:t>
      </w:r>
      <w:r w:rsidR="00414AE0" w:rsidRPr="00CD6245">
        <w:t>2015–16</w:t>
      </w:r>
      <w:bookmarkEnd w:id="67"/>
    </w:p>
    <w:p w:rsidR="007C2609" w:rsidRPr="007C2609" w:rsidRDefault="007C2609" w:rsidP="007C2609">
      <w:pPr>
        <w:ind w:left="810"/>
      </w:pPr>
      <w:r>
        <w:rPr>
          <w:noProof/>
        </w:rPr>
        <w:drawing>
          <wp:inline distT="0" distB="0" distL="0" distR="0" wp14:anchorId="6657A030" wp14:editId="4AA95071">
            <wp:extent cx="5263515" cy="1337945"/>
            <wp:effectExtent l="0" t="0" r="0" b="8255"/>
            <wp:docPr id="13" name="Picture 13" descr="Orange Crush:Users:chrisashe:Desktop:DTF033_VGPB-F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Orange Crush:Users:chrisashe:Desktop:DTF033_VGPB-F6.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63515" cy="1337945"/>
                    </a:xfrm>
                    <a:prstGeom prst="rect">
                      <a:avLst/>
                    </a:prstGeom>
                    <a:noFill/>
                    <a:ln>
                      <a:noFill/>
                    </a:ln>
                  </pic:spPr>
                </pic:pic>
              </a:graphicData>
            </a:graphic>
          </wp:inline>
        </w:drawing>
      </w:r>
    </w:p>
    <w:p w:rsidR="004443E4" w:rsidRPr="00CD6245" w:rsidRDefault="004443E4" w:rsidP="004443E4">
      <w:pPr>
        <w:ind w:left="851"/>
      </w:pPr>
    </w:p>
    <w:p w:rsidR="004443E4" w:rsidRDefault="004443E4" w:rsidP="007A405E">
      <w:pPr>
        <w:pStyle w:val="Caption"/>
      </w:pPr>
      <w:bookmarkStart w:id="68" w:name="_Toc463527872"/>
      <w:r w:rsidRPr="00CD6245">
        <w:t xml:space="preserve">Figure </w:t>
      </w:r>
      <w:r w:rsidR="002B07C2" w:rsidRPr="00CD6245">
        <w:fldChar w:fldCharType="begin"/>
      </w:r>
      <w:r w:rsidR="00600068" w:rsidRPr="00CD6245">
        <w:instrText xml:space="preserve"> SEQ Figure \* ARABIC </w:instrText>
      </w:r>
      <w:r w:rsidR="002B07C2" w:rsidRPr="00CD6245">
        <w:fldChar w:fldCharType="separate"/>
      </w:r>
      <w:r w:rsidR="002E75B9">
        <w:rPr>
          <w:noProof/>
        </w:rPr>
        <w:t>7</w:t>
      </w:r>
      <w:r w:rsidR="002B07C2" w:rsidRPr="00CD6245">
        <w:fldChar w:fldCharType="end"/>
      </w:r>
      <w:r w:rsidRPr="00CD6245">
        <w:t xml:space="preserve">: Value of SEPC approvals by </w:t>
      </w:r>
      <w:r w:rsidR="00FD0317" w:rsidRPr="00CD6245">
        <w:t>organisation</w:t>
      </w:r>
      <w:r w:rsidRPr="00CD6245">
        <w:t xml:space="preserve"> and by goods and services in </w:t>
      </w:r>
      <w:r w:rsidR="00414AE0" w:rsidRPr="00CD6245">
        <w:t>2015–16</w:t>
      </w:r>
      <w:bookmarkEnd w:id="68"/>
    </w:p>
    <w:p w:rsidR="007C2609" w:rsidRPr="007C2609" w:rsidRDefault="007C2609" w:rsidP="007C2609">
      <w:pPr>
        <w:ind w:left="810"/>
      </w:pPr>
      <w:r>
        <w:rPr>
          <w:noProof/>
        </w:rPr>
        <w:drawing>
          <wp:inline distT="0" distB="0" distL="0" distR="0" wp14:anchorId="5C7FD451" wp14:editId="2F011C64">
            <wp:extent cx="5274310" cy="1383030"/>
            <wp:effectExtent l="0" t="0" r="8890" b="0"/>
            <wp:docPr id="20" name="Picture 20" descr="Orange Crush:Users:chrisashe:Desktop:DTF033_VGPB-F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Orange Crush:Users:chrisashe:Desktop:DTF033_VGPB-F7.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74310" cy="1383030"/>
                    </a:xfrm>
                    <a:prstGeom prst="rect">
                      <a:avLst/>
                    </a:prstGeom>
                    <a:noFill/>
                    <a:ln>
                      <a:noFill/>
                    </a:ln>
                  </pic:spPr>
                </pic:pic>
              </a:graphicData>
            </a:graphic>
          </wp:inline>
        </w:drawing>
      </w:r>
    </w:p>
    <w:p w:rsidR="004443E4" w:rsidRPr="00CD6245" w:rsidRDefault="004443E4" w:rsidP="007A405E">
      <w:pPr>
        <w:ind w:left="851"/>
        <w:rPr>
          <w:rFonts w:ascii="Calibri" w:hAnsi="Calibri" w:cs="Calibri"/>
          <w:b/>
          <w:sz w:val="22"/>
          <w:szCs w:val="22"/>
        </w:rPr>
      </w:pPr>
      <w:bookmarkStart w:id="69" w:name="_Ref425673750"/>
      <w:bookmarkStart w:id="70" w:name="_Ref425964917"/>
    </w:p>
    <w:p w:rsidR="007A405E" w:rsidRPr="00CD6245" w:rsidRDefault="007A405E">
      <w:pPr>
        <w:rPr>
          <w:rFonts w:ascii="Calibri" w:hAnsi="Calibri" w:cs="Calibri"/>
          <w:b/>
          <w:sz w:val="22"/>
          <w:szCs w:val="22"/>
        </w:rPr>
      </w:pPr>
    </w:p>
    <w:p w:rsidR="0003409C" w:rsidRPr="00CD6245" w:rsidRDefault="0003409C">
      <w:pPr>
        <w:sectPr w:rsidR="0003409C" w:rsidRPr="00CD6245" w:rsidSect="0003409C">
          <w:pgSz w:w="11900" w:h="16840"/>
          <w:pgMar w:top="1134" w:right="1440" w:bottom="1134" w:left="1134" w:header="709" w:footer="709" w:gutter="0"/>
          <w:cols w:space="708"/>
          <w:docGrid w:linePitch="360"/>
        </w:sectPr>
      </w:pPr>
      <w:bookmarkStart w:id="71" w:name="_Ref450555929"/>
      <w:bookmarkStart w:id="72" w:name="_Ref457840759"/>
      <w:r w:rsidRPr="00CD6245">
        <w:br w:type="page"/>
      </w:r>
    </w:p>
    <w:p w:rsidR="008330D0" w:rsidRDefault="008330D0" w:rsidP="008330D0">
      <w:pPr>
        <w:pStyle w:val="Caption"/>
      </w:pPr>
      <w:bookmarkStart w:id="73" w:name="_Toc463527844"/>
      <w:r w:rsidRPr="00CD6245">
        <w:lastRenderedPageBreak/>
        <w:t xml:space="preserve">Table </w:t>
      </w:r>
      <w:r w:rsidR="002B07C2" w:rsidRPr="00CD6245">
        <w:fldChar w:fldCharType="begin"/>
      </w:r>
      <w:r w:rsidR="00600068" w:rsidRPr="00CD6245">
        <w:instrText xml:space="preserve"> SEQ Table \* ARABIC </w:instrText>
      </w:r>
      <w:r w:rsidR="002B07C2" w:rsidRPr="00CD6245">
        <w:fldChar w:fldCharType="separate"/>
      </w:r>
      <w:r w:rsidR="002E75B9">
        <w:rPr>
          <w:noProof/>
        </w:rPr>
        <w:t>9</w:t>
      </w:r>
      <w:r w:rsidR="002B07C2" w:rsidRPr="00CD6245">
        <w:fldChar w:fldCharType="end"/>
      </w:r>
      <w:bookmarkEnd w:id="69"/>
      <w:bookmarkEnd w:id="70"/>
      <w:bookmarkEnd w:id="71"/>
      <w:bookmarkEnd w:id="72"/>
      <w:r w:rsidRPr="00CD6245">
        <w:t xml:space="preserve">: </w:t>
      </w:r>
      <w:r w:rsidR="00D40938" w:rsidRPr="00CD6245">
        <w:t xml:space="preserve">Breakdown of </w:t>
      </w:r>
      <w:r w:rsidRPr="00CD6245">
        <w:t xml:space="preserve">SEPCs approved in </w:t>
      </w:r>
      <w:r w:rsidR="00414AE0" w:rsidRPr="00CD6245">
        <w:t>2015–16</w:t>
      </w:r>
      <w:bookmarkEnd w:id="73"/>
    </w:p>
    <w:p w:rsidR="007C2609" w:rsidRDefault="007C2609" w:rsidP="007C2609">
      <w:r>
        <w:rPr>
          <w:noProof/>
        </w:rPr>
        <w:drawing>
          <wp:inline distT="0" distB="0" distL="0" distR="0" wp14:anchorId="58AAF08F" wp14:editId="30DB7BB0">
            <wp:extent cx="5252085" cy="5631180"/>
            <wp:effectExtent l="0" t="0" r="5715" b="7620"/>
            <wp:docPr id="21" name="Picture 21" descr="Orange Crush:Users:chrisashe:Desktop:DTF033_VGPB-T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Orange Crush:Users:chrisashe:Desktop:DTF033_VGPB-T9.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52085" cy="5631180"/>
                    </a:xfrm>
                    <a:prstGeom prst="rect">
                      <a:avLst/>
                    </a:prstGeom>
                    <a:noFill/>
                    <a:ln>
                      <a:noFill/>
                    </a:ln>
                  </pic:spPr>
                </pic:pic>
              </a:graphicData>
            </a:graphic>
          </wp:inline>
        </w:drawing>
      </w:r>
    </w:p>
    <w:p w:rsidR="007C2609" w:rsidRDefault="007C2609" w:rsidP="007C2609">
      <w:r>
        <w:rPr>
          <w:noProof/>
        </w:rPr>
        <w:lastRenderedPageBreak/>
        <w:drawing>
          <wp:inline distT="0" distB="0" distL="0" distR="0" wp14:anchorId="6F24CB54" wp14:editId="71993ECA">
            <wp:extent cx="5252085" cy="5921375"/>
            <wp:effectExtent l="0" t="0" r="5715" b="0"/>
            <wp:docPr id="22" name="Picture 22" descr="Orange Crush:Users:chrisashe:Desktop:DTF033_VGPB-T9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Orange Crush:Users:chrisashe:Desktop:DTF033_VGPB-T9_2.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52085" cy="5921375"/>
                    </a:xfrm>
                    <a:prstGeom prst="rect">
                      <a:avLst/>
                    </a:prstGeom>
                    <a:noFill/>
                    <a:ln>
                      <a:noFill/>
                    </a:ln>
                  </pic:spPr>
                </pic:pic>
              </a:graphicData>
            </a:graphic>
          </wp:inline>
        </w:drawing>
      </w:r>
    </w:p>
    <w:p w:rsidR="007C2609" w:rsidRPr="007C2609" w:rsidRDefault="007C2609" w:rsidP="007C2609">
      <w:r>
        <w:rPr>
          <w:noProof/>
        </w:rPr>
        <w:lastRenderedPageBreak/>
        <w:drawing>
          <wp:inline distT="0" distB="0" distL="0" distR="0" wp14:anchorId="1F0AAD2B" wp14:editId="77A1FFBE">
            <wp:extent cx="5252085" cy="5397500"/>
            <wp:effectExtent l="0" t="0" r="5715" b="12700"/>
            <wp:docPr id="23" name="Picture 23" descr="Orange Crush:Users:chrisashe:Desktop:DTF033_VGPB-T9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Orange Crush:Users:chrisashe:Desktop:DTF033_VGPB-T9_3.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52085" cy="5397500"/>
                    </a:xfrm>
                    <a:prstGeom prst="rect">
                      <a:avLst/>
                    </a:prstGeom>
                    <a:noFill/>
                    <a:ln>
                      <a:noFill/>
                    </a:ln>
                  </pic:spPr>
                </pic:pic>
              </a:graphicData>
            </a:graphic>
          </wp:inline>
        </w:drawing>
      </w:r>
    </w:p>
    <w:p w:rsidR="0003409C" w:rsidRPr="00CD6245" w:rsidRDefault="0003409C">
      <w:pPr>
        <w:sectPr w:rsidR="0003409C" w:rsidRPr="00CD6245" w:rsidSect="007C2609">
          <w:pgSz w:w="11900" w:h="16840"/>
          <w:pgMar w:top="1134" w:right="1134" w:bottom="1134" w:left="1440" w:header="709" w:footer="709" w:gutter="0"/>
          <w:cols w:space="708"/>
          <w:docGrid w:linePitch="360"/>
        </w:sectPr>
      </w:pPr>
    </w:p>
    <w:p w:rsidR="001A3EF9" w:rsidRPr="00CD6245" w:rsidRDefault="001A3EF9">
      <w:pPr>
        <w:rPr>
          <w:rFonts w:ascii="Calibri" w:hAnsi="Calibri" w:cs="Calibri"/>
          <w:b/>
          <w:color w:val="4D4D4D"/>
          <w:kern w:val="28"/>
          <w:sz w:val="26"/>
          <w:szCs w:val="22"/>
          <w:lang w:eastAsia="en-US"/>
        </w:rPr>
      </w:pPr>
    </w:p>
    <w:p w:rsidR="008330D0" w:rsidRPr="00CD6245" w:rsidRDefault="008330D0" w:rsidP="00E17EAF">
      <w:pPr>
        <w:pStyle w:val="Heading3NoNum"/>
      </w:pPr>
      <w:r w:rsidRPr="00CD6245">
        <w:t>S</w:t>
      </w:r>
      <w:r w:rsidR="00E17EAF" w:rsidRPr="00CD6245">
        <w:t>tate purchase contracts</w:t>
      </w:r>
    </w:p>
    <w:p w:rsidR="007C2609" w:rsidRPr="00A64F1B" w:rsidRDefault="007C2609" w:rsidP="007C2609">
      <w:pPr>
        <w:pStyle w:val="Normal1"/>
      </w:pPr>
      <w:r w:rsidRPr="00A64F1B">
        <w:t>The Department of Treasury and Finance (DTF) primarily manages non-ICT goods and services SPCs and the Department of Premier and Cabinet is responsible for ICT SPCs.</w:t>
      </w:r>
    </w:p>
    <w:p w:rsidR="007C2609" w:rsidRPr="00A64F1B" w:rsidRDefault="007C2609" w:rsidP="007C2609">
      <w:pPr>
        <w:pStyle w:val="Normal1"/>
      </w:pPr>
      <w:r w:rsidRPr="00A64F1B">
        <w:t>Until 30 June 2016, DTF was responsible for overseeing SPCs and granting lead agency status to another organisation if certain criteria were met, as outlined in the relevant VGPB supply policy.</w:t>
      </w:r>
    </w:p>
    <w:p w:rsidR="007C2609" w:rsidRPr="00A64F1B" w:rsidRDefault="007C2609" w:rsidP="007C2609">
      <w:pPr>
        <w:pStyle w:val="Normal1"/>
      </w:pPr>
      <w:r w:rsidRPr="00A64F1B">
        <w:t xml:space="preserve">The VGPB’s policy review identified the need for the VGPB to take on a stronger role in establishing, reporting and oversight of SPCs. As a result, from 1 July 2016 DTF will no longer have an oversight role and the VGPB will play a stronger role in granting lead agency status. SPCs may also be nominated for VGPB oversight. </w:t>
      </w:r>
    </w:p>
    <w:p w:rsidR="00D22258" w:rsidRPr="00CD6245" w:rsidRDefault="00D22258" w:rsidP="00D22258">
      <w:pPr>
        <w:pStyle w:val="Normal1"/>
      </w:pPr>
      <w:r w:rsidRPr="00CD6245">
        <w:t xml:space="preserve">In </w:t>
      </w:r>
      <w:r w:rsidR="00414AE0" w:rsidRPr="00CD6245">
        <w:t>2015–16</w:t>
      </w:r>
      <w:r w:rsidR="00031678" w:rsidRPr="00CD6245">
        <w:t>,</w:t>
      </w:r>
      <w:r w:rsidR="008A718C" w:rsidRPr="00CD6245">
        <w:t xml:space="preserve"> </w:t>
      </w:r>
      <w:r w:rsidR="00FD0317" w:rsidRPr="00CD6245">
        <w:t>organisation</w:t>
      </w:r>
      <w:r w:rsidR="004208F3" w:rsidRPr="00CD6245">
        <w:t xml:space="preserve">s reported </w:t>
      </w:r>
      <w:r w:rsidR="0064672C" w:rsidRPr="00CD6245">
        <w:t>10 SP</w:t>
      </w:r>
      <w:r w:rsidRPr="00CD6245">
        <w:t xml:space="preserve">Cs with an estimated total value of </w:t>
      </w:r>
      <w:r w:rsidR="0064672C" w:rsidRPr="00CD6245">
        <w:t>$</w:t>
      </w:r>
      <w:r w:rsidR="0069535F" w:rsidRPr="00CD6245">
        <w:t>7</w:t>
      </w:r>
      <w:r w:rsidR="00EC48D0" w:rsidRPr="00CD6245">
        <w:t>2</w:t>
      </w:r>
      <w:r w:rsidR="0069535F" w:rsidRPr="00CD6245">
        <w:t>0.6</w:t>
      </w:r>
      <w:r w:rsidR="00E92CCF" w:rsidRPr="00CD6245">
        <w:t xml:space="preserve"> million</w:t>
      </w:r>
      <w:r w:rsidR="00306356" w:rsidRPr="00CD6245">
        <w:t xml:space="preserve">. This compares with </w:t>
      </w:r>
      <w:r w:rsidR="00414AE0" w:rsidRPr="00CD6245">
        <w:t>six</w:t>
      </w:r>
      <w:r w:rsidRPr="00CD6245">
        <w:t xml:space="preserve"> SPCs with an estimated total value of $</w:t>
      </w:r>
      <w:r w:rsidR="00414AE0" w:rsidRPr="00CD6245">
        <w:t xml:space="preserve">658.6 </w:t>
      </w:r>
      <w:r w:rsidRPr="00CD6245">
        <w:t>million</w:t>
      </w:r>
      <w:r w:rsidR="00D77C88" w:rsidRPr="00CD6245">
        <w:t xml:space="preserve"> </w:t>
      </w:r>
      <w:r w:rsidR="007A1829" w:rsidRPr="00CD6245">
        <w:t xml:space="preserve">reported </w:t>
      </w:r>
      <w:r w:rsidR="00D77C88" w:rsidRPr="00CD6245">
        <w:t>in 201</w:t>
      </w:r>
      <w:r w:rsidR="00414AE0" w:rsidRPr="00CD6245">
        <w:t>4–15</w:t>
      </w:r>
      <w:r w:rsidRPr="00CD6245">
        <w:t>.</w:t>
      </w:r>
    </w:p>
    <w:p w:rsidR="00306356" w:rsidRPr="00CD6245" w:rsidRDefault="00AC517C" w:rsidP="00306356">
      <w:pPr>
        <w:pStyle w:val="Normal1"/>
      </w:pPr>
      <w:r>
        <w:fldChar w:fldCharType="begin"/>
      </w:r>
      <w:r>
        <w:instrText xml:space="preserve"> REF _Ref425499231 \h  \* MERGEFORMAT </w:instrText>
      </w:r>
      <w:r>
        <w:fldChar w:fldCharType="separate"/>
      </w:r>
      <w:r w:rsidR="002E75B9" w:rsidRPr="00CD6245">
        <w:t xml:space="preserve">Table </w:t>
      </w:r>
      <w:r w:rsidR="002E75B9">
        <w:rPr>
          <w:noProof/>
        </w:rPr>
        <w:t>10</w:t>
      </w:r>
      <w:r>
        <w:fldChar w:fldCharType="end"/>
      </w:r>
      <w:r w:rsidR="00D77C88" w:rsidRPr="00CD6245">
        <w:t xml:space="preserve"> provides a breakdown of all S</w:t>
      </w:r>
      <w:r w:rsidR="00306356" w:rsidRPr="00CD6245">
        <w:t>PC</w:t>
      </w:r>
      <w:r w:rsidR="00D77C88" w:rsidRPr="00CD6245">
        <w:t xml:space="preserve">s </w:t>
      </w:r>
      <w:r w:rsidR="00306356" w:rsidRPr="00CD6245">
        <w:t>approv</w:t>
      </w:r>
      <w:r w:rsidR="00D77C88" w:rsidRPr="00CD6245">
        <w:t>ed</w:t>
      </w:r>
      <w:r w:rsidR="007A5B11" w:rsidRPr="00CD6245">
        <w:t xml:space="preserve"> in </w:t>
      </w:r>
      <w:r w:rsidR="00414AE0" w:rsidRPr="00CD6245">
        <w:t>2015–16</w:t>
      </w:r>
      <w:r w:rsidR="00306356" w:rsidRPr="00CD6245">
        <w:t>.</w:t>
      </w:r>
    </w:p>
    <w:p w:rsidR="00D22258" w:rsidRDefault="00D22258" w:rsidP="00D22258">
      <w:pPr>
        <w:pStyle w:val="Caption"/>
      </w:pPr>
      <w:bookmarkStart w:id="74" w:name="_Ref425499231"/>
      <w:bookmarkStart w:id="75" w:name="_Toc463527845"/>
      <w:r w:rsidRPr="00CD6245">
        <w:t xml:space="preserve">Table </w:t>
      </w:r>
      <w:r w:rsidR="002B07C2" w:rsidRPr="00CD6245">
        <w:fldChar w:fldCharType="begin"/>
      </w:r>
      <w:r w:rsidR="00600068" w:rsidRPr="00CD6245">
        <w:instrText xml:space="preserve"> SEQ Table \* ARABIC </w:instrText>
      </w:r>
      <w:r w:rsidR="002B07C2" w:rsidRPr="00CD6245">
        <w:fldChar w:fldCharType="separate"/>
      </w:r>
      <w:r w:rsidR="002E75B9">
        <w:rPr>
          <w:noProof/>
        </w:rPr>
        <w:t>10</w:t>
      </w:r>
      <w:r w:rsidR="002B07C2" w:rsidRPr="00CD6245">
        <w:fldChar w:fldCharType="end"/>
      </w:r>
      <w:bookmarkEnd w:id="74"/>
      <w:r w:rsidRPr="00CD6245">
        <w:t xml:space="preserve">: </w:t>
      </w:r>
      <w:r w:rsidR="00D40938" w:rsidRPr="00CD6245">
        <w:t>Breakdown</w:t>
      </w:r>
      <w:r w:rsidRPr="00CD6245">
        <w:t xml:space="preserve"> of SPCs approved in </w:t>
      </w:r>
      <w:r w:rsidR="00414AE0" w:rsidRPr="00CD6245">
        <w:t>2015–16</w:t>
      </w:r>
      <w:bookmarkEnd w:id="75"/>
    </w:p>
    <w:p w:rsidR="00C8230B" w:rsidRPr="00C8230B" w:rsidRDefault="00C8230B" w:rsidP="00C8230B">
      <w:pPr>
        <w:ind w:left="720"/>
      </w:pPr>
      <w:r>
        <w:rPr>
          <w:noProof/>
        </w:rPr>
        <w:drawing>
          <wp:inline distT="0" distB="0" distL="0" distR="0" wp14:anchorId="1CDD13E9" wp14:editId="68519D18">
            <wp:extent cx="5263515" cy="3512820"/>
            <wp:effectExtent l="0" t="0" r="0" b="0"/>
            <wp:docPr id="24" name="Picture 24" descr="Orange Crush:Users:chrisashe:Desktop:DTF033_VGPB-T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Orange Crush:Users:chrisashe:Desktop:DTF033_VGPB-T10.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63515" cy="3512820"/>
                    </a:xfrm>
                    <a:prstGeom prst="rect">
                      <a:avLst/>
                    </a:prstGeom>
                    <a:noFill/>
                    <a:ln>
                      <a:noFill/>
                    </a:ln>
                  </pic:spPr>
                </pic:pic>
              </a:graphicData>
            </a:graphic>
          </wp:inline>
        </w:drawing>
      </w:r>
    </w:p>
    <w:p w:rsidR="00C136D4" w:rsidRDefault="00C136D4" w:rsidP="00E844B0">
      <w:pPr>
        <w:pStyle w:val="Heading2NoNum"/>
      </w:pPr>
    </w:p>
    <w:p w:rsidR="00C8230B" w:rsidRPr="00C8230B" w:rsidRDefault="00C8230B" w:rsidP="00C8230B">
      <w:pPr>
        <w:rPr>
          <w:lang w:eastAsia="en-US"/>
        </w:rPr>
        <w:sectPr w:rsidR="00C8230B" w:rsidRPr="00C8230B" w:rsidSect="00C8230B">
          <w:pgSz w:w="11900" w:h="16840"/>
          <w:pgMar w:top="1134" w:right="1134" w:bottom="1134" w:left="1440" w:header="709" w:footer="709" w:gutter="0"/>
          <w:cols w:space="708"/>
          <w:docGrid w:linePitch="360"/>
        </w:sectPr>
      </w:pPr>
      <w:r>
        <w:rPr>
          <w:noProof/>
        </w:rPr>
        <w:drawing>
          <wp:inline distT="0" distB="0" distL="0" distR="0" wp14:anchorId="1E049E8D" wp14:editId="3243523A">
            <wp:extent cx="5252085" cy="5497830"/>
            <wp:effectExtent l="0" t="0" r="5715" b="0"/>
            <wp:docPr id="25" name="Picture 25" descr="Orange Crush:Users:chrisashe:Desktop:DTF033_VGPB-T10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Orange Crush:Users:chrisashe:Desktop:DTF033_VGPB-T10_2.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52085" cy="5497830"/>
                    </a:xfrm>
                    <a:prstGeom prst="rect">
                      <a:avLst/>
                    </a:prstGeom>
                    <a:noFill/>
                    <a:ln>
                      <a:noFill/>
                    </a:ln>
                  </pic:spPr>
                </pic:pic>
              </a:graphicData>
            </a:graphic>
          </wp:inline>
        </w:drawing>
      </w:r>
    </w:p>
    <w:p w:rsidR="00E844B0" w:rsidRPr="00CD6245" w:rsidRDefault="00E844B0" w:rsidP="00E844B0">
      <w:pPr>
        <w:pStyle w:val="Heading2NoNum"/>
      </w:pPr>
      <w:bookmarkStart w:id="76" w:name="_Toc463527722"/>
      <w:r w:rsidRPr="00CD6245">
        <w:lastRenderedPageBreak/>
        <w:t>Critical incident procurement</w:t>
      </w:r>
      <w:bookmarkEnd w:id="76"/>
    </w:p>
    <w:p w:rsidR="00E844B0" w:rsidRPr="00CD6245" w:rsidRDefault="00E844B0" w:rsidP="00E844B0">
      <w:pPr>
        <w:pStyle w:val="Normal1"/>
      </w:pPr>
      <w:r w:rsidRPr="00CD6245">
        <w:t xml:space="preserve">The </w:t>
      </w:r>
      <w:r w:rsidR="007A405E" w:rsidRPr="00CD6245">
        <w:t>market approach</w:t>
      </w:r>
      <w:r w:rsidRPr="00CD6245">
        <w:t xml:space="preserve"> policy establishes an alternative procurement process to operate during a critical incident and any subsequent relief effort. The processes under this policy aim to accommodate urgent procurement needs while ensuring that the procurement process adopted is reasonable and conducted with appropriate consideration of good practice procurement principles.</w:t>
      </w:r>
    </w:p>
    <w:p w:rsidR="00E844B0" w:rsidRPr="00CD6245" w:rsidRDefault="00CB7F2C" w:rsidP="00E844B0">
      <w:pPr>
        <w:pStyle w:val="Normal1"/>
      </w:pPr>
      <w:r w:rsidRPr="00CD6245">
        <w:t>F</w:t>
      </w:r>
      <w:r w:rsidR="004C4BB2" w:rsidRPr="00CD6245">
        <w:t>our</w:t>
      </w:r>
      <w:r w:rsidR="00E844B0" w:rsidRPr="00CD6245">
        <w:t xml:space="preserve"> critical incident procurements</w:t>
      </w:r>
      <w:r w:rsidRPr="00CD6245">
        <w:t xml:space="preserve"> were</w:t>
      </w:r>
      <w:r w:rsidR="00E844B0" w:rsidRPr="00CD6245">
        <w:t xml:space="preserve"> reported in </w:t>
      </w:r>
      <w:r w:rsidR="00414AE0" w:rsidRPr="00CD6245">
        <w:t>2015–16</w:t>
      </w:r>
      <w:r w:rsidR="004C4BB2" w:rsidRPr="00CD6245">
        <w:t xml:space="preserve"> as shown in </w:t>
      </w:r>
      <w:r w:rsidR="00AC517C">
        <w:fldChar w:fldCharType="begin"/>
      </w:r>
      <w:r w:rsidR="00AC517C">
        <w:instrText xml:space="preserve"> REF _Ref457123423 \h  \* MERGEFORMAT </w:instrText>
      </w:r>
      <w:r w:rsidR="00AC517C">
        <w:fldChar w:fldCharType="separate"/>
      </w:r>
      <w:r w:rsidR="002E75B9" w:rsidRPr="00CD6245">
        <w:t xml:space="preserve">Table </w:t>
      </w:r>
      <w:r w:rsidR="002E75B9">
        <w:rPr>
          <w:noProof/>
        </w:rPr>
        <w:t>11</w:t>
      </w:r>
      <w:r w:rsidR="00AC517C">
        <w:fldChar w:fldCharType="end"/>
      </w:r>
      <w:r w:rsidR="00E844B0" w:rsidRPr="00CD6245">
        <w:t>. Th</w:t>
      </w:r>
      <w:r w:rsidR="00414AE0" w:rsidRPr="00CD6245">
        <w:t xml:space="preserve">ere were no </w:t>
      </w:r>
      <w:r w:rsidR="00E844B0" w:rsidRPr="00CD6245">
        <w:t xml:space="preserve">critical incident procurements </w:t>
      </w:r>
      <w:r w:rsidR="00414AE0" w:rsidRPr="00CD6245">
        <w:t>reported in 2014–15</w:t>
      </w:r>
      <w:r w:rsidR="00E844B0" w:rsidRPr="00CD6245">
        <w:t>.</w:t>
      </w:r>
    </w:p>
    <w:p w:rsidR="004C4BB2" w:rsidRPr="00CD6245" w:rsidRDefault="004C4BB2" w:rsidP="004C4BB2">
      <w:pPr>
        <w:pStyle w:val="Caption"/>
      </w:pPr>
      <w:bookmarkStart w:id="77" w:name="_Ref457123423"/>
      <w:bookmarkStart w:id="78" w:name="_Toc463527846"/>
      <w:r w:rsidRPr="00CD6245">
        <w:t xml:space="preserve">Table </w:t>
      </w:r>
      <w:r w:rsidR="002B07C2" w:rsidRPr="00CD6245">
        <w:fldChar w:fldCharType="begin"/>
      </w:r>
      <w:r w:rsidR="005C04D8" w:rsidRPr="00CD6245">
        <w:instrText xml:space="preserve"> SEQ Table \* ARABIC </w:instrText>
      </w:r>
      <w:r w:rsidR="002B07C2" w:rsidRPr="00CD6245">
        <w:fldChar w:fldCharType="separate"/>
      </w:r>
      <w:r w:rsidR="002E75B9">
        <w:rPr>
          <w:noProof/>
        </w:rPr>
        <w:t>11</w:t>
      </w:r>
      <w:r w:rsidR="002B07C2" w:rsidRPr="00CD6245">
        <w:fldChar w:fldCharType="end"/>
      </w:r>
      <w:bookmarkEnd w:id="77"/>
      <w:r w:rsidRPr="00CD6245">
        <w:t>: Critical incident procurement in 2015–16</w:t>
      </w:r>
      <w:bookmarkEnd w:id="78"/>
    </w:p>
    <w:tbl>
      <w:tblPr>
        <w:tblStyle w:val="TableGrid"/>
        <w:tblW w:w="0" w:type="auto"/>
        <w:tblInd w:w="794" w:type="dxa"/>
        <w:tblLook w:val="04A0" w:firstRow="1" w:lastRow="0" w:firstColumn="1" w:lastColumn="0" w:noHBand="0" w:noVBand="1"/>
      </w:tblPr>
      <w:tblGrid>
        <w:gridCol w:w="1866"/>
        <w:gridCol w:w="1833"/>
        <w:gridCol w:w="2126"/>
      </w:tblGrid>
      <w:tr w:rsidR="00FC6EEE" w:rsidRPr="00CD6245" w:rsidTr="0069535F">
        <w:tc>
          <w:tcPr>
            <w:tcW w:w="1866" w:type="dxa"/>
            <w:shd w:val="clear" w:color="auto" w:fill="808080" w:themeFill="background1" w:themeFillShade="80"/>
          </w:tcPr>
          <w:p w:rsidR="00FC6EEE" w:rsidRPr="00CD6245" w:rsidRDefault="00FC6EEE" w:rsidP="00FC6EEE">
            <w:pPr>
              <w:pStyle w:val="TableHeader"/>
              <w:jc w:val="center"/>
            </w:pPr>
          </w:p>
        </w:tc>
        <w:tc>
          <w:tcPr>
            <w:tcW w:w="1833" w:type="dxa"/>
            <w:shd w:val="clear" w:color="auto" w:fill="808080" w:themeFill="background1" w:themeFillShade="80"/>
          </w:tcPr>
          <w:p w:rsidR="00FC6EEE" w:rsidRPr="00CD6245" w:rsidRDefault="00FC6EEE" w:rsidP="00FC6EEE">
            <w:pPr>
              <w:pStyle w:val="TableHeader"/>
              <w:jc w:val="center"/>
            </w:pPr>
            <w:r w:rsidRPr="00CD6245">
              <w:t>Number</w:t>
            </w:r>
          </w:p>
        </w:tc>
        <w:tc>
          <w:tcPr>
            <w:tcW w:w="2126" w:type="dxa"/>
            <w:shd w:val="clear" w:color="auto" w:fill="808080" w:themeFill="background1" w:themeFillShade="80"/>
          </w:tcPr>
          <w:p w:rsidR="00FC6EEE" w:rsidRPr="00CD6245" w:rsidRDefault="00FC6EEE" w:rsidP="00FC6EEE">
            <w:pPr>
              <w:pStyle w:val="TableHeader"/>
              <w:jc w:val="center"/>
            </w:pPr>
            <w:r w:rsidRPr="00CD6245">
              <w:t>Value</w:t>
            </w:r>
          </w:p>
        </w:tc>
      </w:tr>
      <w:tr w:rsidR="00FC6EEE" w:rsidRPr="00CD6245" w:rsidTr="0069535F">
        <w:tc>
          <w:tcPr>
            <w:tcW w:w="1866" w:type="dxa"/>
          </w:tcPr>
          <w:p w:rsidR="00FC6EEE" w:rsidRPr="00CD6245" w:rsidRDefault="00FC6EEE" w:rsidP="00FC6EEE">
            <w:pPr>
              <w:pStyle w:val="TableText"/>
            </w:pPr>
            <w:r w:rsidRPr="00CD6245">
              <w:t>Goods</w:t>
            </w:r>
          </w:p>
        </w:tc>
        <w:tc>
          <w:tcPr>
            <w:tcW w:w="1833" w:type="dxa"/>
          </w:tcPr>
          <w:p w:rsidR="00FC6EEE" w:rsidRPr="00CD6245" w:rsidRDefault="00FC6EEE" w:rsidP="00FC6EEE">
            <w:pPr>
              <w:pStyle w:val="TableText"/>
              <w:jc w:val="center"/>
            </w:pPr>
            <w:r w:rsidRPr="00CD6245">
              <w:t>1</w:t>
            </w:r>
          </w:p>
        </w:tc>
        <w:tc>
          <w:tcPr>
            <w:tcW w:w="2126" w:type="dxa"/>
          </w:tcPr>
          <w:p w:rsidR="00FC6EEE" w:rsidRPr="00CD6245" w:rsidRDefault="00FC6EEE" w:rsidP="00FC6EEE">
            <w:pPr>
              <w:pStyle w:val="TableText"/>
              <w:jc w:val="center"/>
            </w:pPr>
            <w:r w:rsidRPr="00CD6245">
              <w:t>$0.14M</w:t>
            </w:r>
          </w:p>
        </w:tc>
      </w:tr>
      <w:tr w:rsidR="00FC6EEE" w:rsidRPr="00CD6245" w:rsidTr="0069535F">
        <w:tc>
          <w:tcPr>
            <w:tcW w:w="1866" w:type="dxa"/>
          </w:tcPr>
          <w:p w:rsidR="00FC6EEE" w:rsidRPr="00CD6245" w:rsidRDefault="00FC6EEE" w:rsidP="00FC6EEE">
            <w:pPr>
              <w:pStyle w:val="TableText"/>
            </w:pPr>
            <w:r w:rsidRPr="00CD6245">
              <w:t>Service</w:t>
            </w:r>
          </w:p>
        </w:tc>
        <w:tc>
          <w:tcPr>
            <w:tcW w:w="1833" w:type="dxa"/>
          </w:tcPr>
          <w:p w:rsidR="00FC6EEE" w:rsidRPr="00CD6245" w:rsidRDefault="00FC6EEE" w:rsidP="00FC6EEE">
            <w:pPr>
              <w:pStyle w:val="TableText"/>
              <w:jc w:val="center"/>
            </w:pPr>
            <w:r w:rsidRPr="00CD6245">
              <w:t>3</w:t>
            </w:r>
          </w:p>
        </w:tc>
        <w:tc>
          <w:tcPr>
            <w:tcW w:w="2126" w:type="dxa"/>
          </w:tcPr>
          <w:p w:rsidR="00FC6EEE" w:rsidRPr="00CD6245" w:rsidRDefault="00FC6EEE" w:rsidP="00FC6EEE">
            <w:pPr>
              <w:pStyle w:val="TableText"/>
              <w:jc w:val="center"/>
            </w:pPr>
            <w:r w:rsidRPr="00CD6245">
              <w:t>$0.73M</w:t>
            </w:r>
          </w:p>
        </w:tc>
      </w:tr>
      <w:tr w:rsidR="00FC6EEE" w:rsidRPr="00CD6245" w:rsidTr="0069535F">
        <w:tc>
          <w:tcPr>
            <w:tcW w:w="1866" w:type="dxa"/>
            <w:shd w:val="clear" w:color="auto" w:fill="808080" w:themeFill="background1" w:themeFillShade="80"/>
          </w:tcPr>
          <w:p w:rsidR="00FC6EEE" w:rsidRPr="00CD6245" w:rsidRDefault="00FC6EEE" w:rsidP="00FC6EEE">
            <w:pPr>
              <w:pStyle w:val="TableText"/>
            </w:pPr>
            <w:r w:rsidRPr="00CD6245">
              <w:t>Total</w:t>
            </w:r>
          </w:p>
        </w:tc>
        <w:tc>
          <w:tcPr>
            <w:tcW w:w="1833" w:type="dxa"/>
            <w:shd w:val="clear" w:color="auto" w:fill="808080" w:themeFill="background1" w:themeFillShade="80"/>
          </w:tcPr>
          <w:p w:rsidR="00FC6EEE" w:rsidRPr="00CD6245" w:rsidRDefault="00FC6EEE" w:rsidP="00FC6EEE">
            <w:pPr>
              <w:pStyle w:val="TableText"/>
              <w:jc w:val="center"/>
            </w:pPr>
            <w:r w:rsidRPr="00CD6245">
              <w:t>4</w:t>
            </w:r>
          </w:p>
        </w:tc>
        <w:tc>
          <w:tcPr>
            <w:tcW w:w="2126" w:type="dxa"/>
            <w:shd w:val="clear" w:color="auto" w:fill="808080" w:themeFill="background1" w:themeFillShade="80"/>
          </w:tcPr>
          <w:p w:rsidR="00FC6EEE" w:rsidRPr="00CD6245" w:rsidRDefault="00FC6EEE" w:rsidP="00FC6EEE">
            <w:pPr>
              <w:pStyle w:val="TableText"/>
              <w:jc w:val="center"/>
            </w:pPr>
            <w:r w:rsidRPr="00CD6245">
              <w:t>$0.88M</w:t>
            </w:r>
          </w:p>
        </w:tc>
      </w:tr>
    </w:tbl>
    <w:p w:rsidR="00B42C54" w:rsidRPr="00B42C54" w:rsidRDefault="00B42C54" w:rsidP="00B42C54">
      <w:pPr>
        <w:pStyle w:val="Normal1"/>
        <w:rPr>
          <w:sz w:val="18"/>
          <w:szCs w:val="18"/>
        </w:rPr>
      </w:pPr>
      <w:r w:rsidRPr="00B42C54">
        <w:rPr>
          <w:sz w:val="18"/>
          <w:szCs w:val="18"/>
        </w:rPr>
        <w:t>Note: Discrepancies between totals and sums of components reflect rounding.</w:t>
      </w:r>
    </w:p>
    <w:p w:rsidR="00FC6EEE" w:rsidRPr="00CD6245" w:rsidRDefault="00CB7F2C" w:rsidP="00FC6EEE">
      <w:pPr>
        <w:pStyle w:val="Normal1"/>
      </w:pPr>
      <w:r w:rsidRPr="00CD6245">
        <w:t>All four procurements were reported by the Department of Environment, Land, Water and Planning</w:t>
      </w:r>
      <w:r w:rsidR="00787654" w:rsidRPr="00CD6245">
        <w:t xml:space="preserve"> and related to bushfire</w:t>
      </w:r>
      <w:r w:rsidRPr="00CD6245">
        <w:t xml:space="preserve"> activity at Wye River and Tasmania.</w:t>
      </w:r>
    </w:p>
    <w:p w:rsidR="00FC6EEE" w:rsidRPr="00CD6245" w:rsidRDefault="00FC6EEE" w:rsidP="00FC6EEE"/>
    <w:p w:rsidR="00FC6EEE" w:rsidRPr="00CD6245" w:rsidRDefault="00FC6EEE" w:rsidP="00FC6EEE">
      <w:pPr>
        <w:pStyle w:val="Normal1"/>
      </w:pPr>
    </w:p>
    <w:p w:rsidR="004C4BB2" w:rsidRPr="00CD6245" w:rsidRDefault="004C4BB2" w:rsidP="00E844B0">
      <w:pPr>
        <w:pStyle w:val="Normal1"/>
      </w:pPr>
    </w:p>
    <w:p w:rsidR="00891EF6" w:rsidRPr="00CD6245" w:rsidRDefault="00171CDB" w:rsidP="00E844B0">
      <w:pPr>
        <w:pStyle w:val="Heading1NoNum"/>
      </w:pPr>
      <w:bookmarkStart w:id="79" w:name="_Toc463527723"/>
      <w:bookmarkStart w:id="80" w:name="_Toc366693324"/>
      <w:r w:rsidRPr="00CD6245">
        <w:lastRenderedPageBreak/>
        <w:t>Procurement complexity</w:t>
      </w:r>
      <w:r w:rsidR="007D1825" w:rsidRPr="00CD6245">
        <w:t xml:space="preserve"> and VGPB oversight</w:t>
      </w:r>
      <w:bookmarkEnd w:id="79"/>
    </w:p>
    <w:p w:rsidR="008309A0" w:rsidRPr="00CD6245" w:rsidRDefault="00C86D39" w:rsidP="008309A0">
      <w:pPr>
        <w:pStyle w:val="Normal1"/>
        <w:rPr>
          <w:lang w:eastAsia="en-US"/>
        </w:rPr>
      </w:pPr>
      <w:r w:rsidRPr="00CD6245">
        <w:rPr>
          <w:lang w:eastAsia="en-US"/>
        </w:rPr>
        <w:t>P</w:t>
      </w:r>
      <w:r w:rsidR="008309A0" w:rsidRPr="00CD6245">
        <w:rPr>
          <w:lang w:eastAsia="en-US"/>
        </w:rPr>
        <w:t>rocurement complexity relates to the level of intricacy and scope of issues involved in procuring a good or service. It is measured by considering the internal and external influences on a procurement activity such as risk, total cost of ownership and market dynamics.</w:t>
      </w:r>
    </w:p>
    <w:p w:rsidR="00137DA4" w:rsidRPr="00CD6245" w:rsidRDefault="00C86D39" w:rsidP="00872875">
      <w:pPr>
        <w:pStyle w:val="Normal1"/>
        <w:rPr>
          <w:lang w:eastAsia="en-US"/>
        </w:rPr>
      </w:pPr>
      <w:r w:rsidRPr="00CD6245">
        <w:rPr>
          <w:lang w:eastAsia="en-US"/>
        </w:rPr>
        <w:t xml:space="preserve">When buying goods and services, </w:t>
      </w:r>
      <w:r w:rsidR="00FD0317" w:rsidRPr="00CD6245">
        <w:rPr>
          <w:lang w:eastAsia="en-US"/>
        </w:rPr>
        <w:t>organisation</w:t>
      </w:r>
      <w:r w:rsidRPr="00CD6245">
        <w:rPr>
          <w:lang w:eastAsia="en-US"/>
        </w:rPr>
        <w:t xml:space="preserve">s complete a complexity assessment and use the results to guide the sourcing strategy and </w:t>
      </w:r>
      <w:r w:rsidR="00164C63" w:rsidRPr="00CD6245">
        <w:rPr>
          <w:lang w:eastAsia="en-US"/>
        </w:rPr>
        <w:t>the</w:t>
      </w:r>
      <w:r w:rsidRPr="00CD6245">
        <w:rPr>
          <w:lang w:eastAsia="en-US"/>
        </w:rPr>
        <w:t xml:space="preserve"> manage</w:t>
      </w:r>
      <w:r w:rsidR="00164C63" w:rsidRPr="00CD6245">
        <w:rPr>
          <w:lang w:eastAsia="en-US"/>
        </w:rPr>
        <w:t>ment of</w:t>
      </w:r>
      <w:r w:rsidRPr="00CD6245">
        <w:rPr>
          <w:lang w:eastAsia="en-US"/>
        </w:rPr>
        <w:t xml:space="preserve"> risks and contractual arrangements.</w:t>
      </w:r>
    </w:p>
    <w:p w:rsidR="00137DA4" w:rsidRPr="00CD6245" w:rsidRDefault="00137DA4" w:rsidP="00137DA4">
      <w:pPr>
        <w:pStyle w:val="Normal1"/>
      </w:pPr>
      <w:r w:rsidRPr="00CD6245">
        <w:t xml:space="preserve">During its regular review of </w:t>
      </w:r>
      <w:r w:rsidR="00FD0317" w:rsidRPr="00CD6245">
        <w:t>organisation</w:t>
      </w:r>
      <w:r w:rsidRPr="00CD6245">
        <w:t xml:space="preserve">s’ procurement activity plans, the VGPB identifies procurements for oversight that it considers to be of strategic importance to the </w:t>
      </w:r>
      <w:r w:rsidR="00804CEB" w:rsidRPr="00CD6245">
        <w:t>s</w:t>
      </w:r>
      <w:r w:rsidRPr="00CD6245">
        <w:t xml:space="preserve">tate. </w:t>
      </w:r>
      <w:r w:rsidR="00FD0317" w:rsidRPr="00CD6245">
        <w:t>Organisation</w:t>
      </w:r>
      <w:r w:rsidRPr="00CD6245">
        <w:t>s can also nominate specific procurements for VGPB oversight.</w:t>
      </w:r>
    </w:p>
    <w:p w:rsidR="008309A0" w:rsidRPr="00CD6245" w:rsidRDefault="00872875" w:rsidP="00872875">
      <w:pPr>
        <w:pStyle w:val="Normal1"/>
      </w:pPr>
      <w:r w:rsidRPr="00CD6245">
        <w:rPr>
          <w:lang w:eastAsia="en-US"/>
        </w:rPr>
        <w:t>The</w:t>
      </w:r>
      <w:r w:rsidR="00C8230B">
        <w:rPr>
          <w:lang w:eastAsia="en-US"/>
        </w:rPr>
        <w:t xml:space="preserve"> four complexity quadrants are</w:t>
      </w:r>
      <w:r w:rsidRPr="00CD6245">
        <w:rPr>
          <w:lang w:eastAsia="en-US"/>
        </w:rPr>
        <w:t xml:space="preserve"> described in </w:t>
      </w:r>
      <w:r w:rsidR="00AC517C">
        <w:fldChar w:fldCharType="begin"/>
      </w:r>
      <w:r w:rsidR="00AC517C">
        <w:instrText xml:space="preserve"> REF _Ref425442129 \h  \* MERGEFORMAT </w:instrText>
      </w:r>
      <w:r w:rsidR="00AC517C">
        <w:fldChar w:fldCharType="separate"/>
      </w:r>
      <w:r w:rsidR="002E75B9" w:rsidRPr="00CD6245">
        <w:t xml:space="preserve">Table </w:t>
      </w:r>
      <w:r w:rsidR="002E75B9">
        <w:rPr>
          <w:noProof/>
        </w:rPr>
        <w:t>12</w:t>
      </w:r>
      <w:r w:rsidR="00AC517C">
        <w:fldChar w:fldCharType="end"/>
      </w:r>
      <w:r w:rsidRPr="00CD6245">
        <w:rPr>
          <w:lang w:eastAsia="en-US"/>
        </w:rPr>
        <w:t>.</w:t>
      </w:r>
    </w:p>
    <w:p w:rsidR="008309A0" w:rsidRPr="00CD6245" w:rsidRDefault="005B7B0C" w:rsidP="005B7B0C">
      <w:pPr>
        <w:pStyle w:val="Caption"/>
      </w:pPr>
      <w:bookmarkStart w:id="81" w:name="_Ref425442129"/>
      <w:bookmarkStart w:id="82" w:name="_Toc463527847"/>
      <w:r w:rsidRPr="00CD6245">
        <w:t xml:space="preserve">Table </w:t>
      </w:r>
      <w:r w:rsidR="002B07C2" w:rsidRPr="00CD6245">
        <w:fldChar w:fldCharType="begin"/>
      </w:r>
      <w:r w:rsidR="00600068" w:rsidRPr="00CD6245">
        <w:instrText xml:space="preserve"> SEQ Table \* ARABIC </w:instrText>
      </w:r>
      <w:r w:rsidR="002B07C2" w:rsidRPr="00CD6245">
        <w:fldChar w:fldCharType="separate"/>
      </w:r>
      <w:r w:rsidR="002E75B9">
        <w:rPr>
          <w:noProof/>
        </w:rPr>
        <w:t>12</w:t>
      </w:r>
      <w:r w:rsidR="002B07C2" w:rsidRPr="00CD6245">
        <w:fldChar w:fldCharType="end"/>
      </w:r>
      <w:bookmarkEnd w:id="81"/>
      <w:r w:rsidRPr="00CD6245">
        <w:t xml:space="preserve">: </w:t>
      </w:r>
      <w:r w:rsidR="00E17EAF" w:rsidRPr="00CD6245">
        <w:t>Description of c</w:t>
      </w:r>
      <w:r w:rsidR="00872875" w:rsidRPr="00CD6245">
        <w:t>omplexity quadrants</w:t>
      </w:r>
      <w:bookmarkEnd w:id="82"/>
    </w:p>
    <w:tbl>
      <w:tblPr>
        <w:tblStyle w:val="TableGrid"/>
        <w:tblW w:w="9628" w:type="dxa"/>
        <w:tblInd w:w="828" w:type="dxa"/>
        <w:tblLook w:val="04A0" w:firstRow="1" w:lastRow="0" w:firstColumn="1" w:lastColumn="0" w:noHBand="0" w:noVBand="1"/>
      </w:tblPr>
      <w:tblGrid>
        <w:gridCol w:w="436"/>
        <w:gridCol w:w="1488"/>
        <w:gridCol w:w="7704"/>
      </w:tblGrid>
      <w:tr w:rsidR="008309A0" w:rsidRPr="00CD6245" w:rsidTr="00986F3F">
        <w:tc>
          <w:tcPr>
            <w:tcW w:w="436" w:type="dxa"/>
            <w:tcBorders>
              <w:bottom w:val="nil"/>
              <w:right w:val="single" w:sz="6" w:space="0" w:color="660B68"/>
            </w:tcBorders>
            <w:shd w:val="clear" w:color="auto" w:fill="650B68"/>
          </w:tcPr>
          <w:p w:rsidR="008309A0" w:rsidRPr="00CD6245" w:rsidRDefault="008309A0" w:rsidP="00E16499">
            <w:pPr>
              <w:pStyle w:val="TableHeader"/>
            </w:pPr>
          </w:p>
        </w:tc>
        <w:tc>
          <w:tcPr>
            <w:tcW w:w="1488" w:type="dxa"/>
            <w:tcBorders>
              <w:left w:val="single" w:sz="6" w:space="0" w:color="660B68"/>
            </w:tcBorders>
          </w:tcPr>
          <w:p w:rsidR="008309A0" w:rsidRPr="00CD6245" w:rsidRDefault="008309A0" w:rsidP="00E16499">
            <w:pPr>
              <w:pStyle w:val="TableHeader"/>
            </w:pPr>
            <w:r w:rsidRPr="00CD6245">
              <w:t>Quadrant</w:t>
            </w:r>
          </w:p>
        </w:tc>
        <w:tc>
          <w:tcPr>
            <w:tcW w:w="7704" w:type="dxa"/>
          </w:tcPr>
          <w:p w:rsidR="008309A0" w:rsidRPr="00CD6245" w:rsidRDefault="008309A0" w:rsidP="00E16499">
            <w:pPr>
              <w:pStyle w:val="TableHeader"/>
            </w:pPr>
            <w:r w:rsidRPr="00CD6245">
              <w:t>Description</w:t>
            </w:r>
          </w:p>
        </w:tc>
      </w:tr>
      <w:tr w:rsidR="008309A0" w:rsidRPr="00CD6245" w:rsidTr="00986F3F">
        <w:tc>
          <w:tcPr>
            <w:tcW w:w="436" w:type="dxa"/>
            <w:tcBorders>
              <w:top w:val="nil"/>
              <w:left w:val="single" w:sz="6" w:space="0" w:color="660B68"/>
              <w:bottom w:val="nil"/>
              <w:right w:val="single" w:sz="6" w:space="0" w:color="660B68"/>
            </w:tcBorders>
            <w:shd w:val="clear" w:color="auto" w:fill="650B68"/>
          </w:tcPr>
          <w:p w:rsidR="008309A0" w:rsidRPr="00CD6245" w:rsidRDefault="008309A0" w:rsidP="00E16499">
            <w:pPr>
              <w:pStyle w:val="TableText"/>
            </w:pPr>
            <w:r w:rsidRPr="00CD6245">
              <w:t>1</w:t>
            </w:r>
          </w:p>
        </w:tc>
        <w:tc>
          <w:tcPr>
            <w:tcW w:w="1488" w:type="dxa"/>
            <w:tcBorders>
              <w:left w:val="single" w:sz="6" w:space="0" w:color="660B68"/>
            </w:tcBorders>
          </w:tcPr>
          <w:p w:rsidR="008309A0" w:rsidRPr="00CD6245" w:rsidRDefault="008309A0" w:rsidP="00E16499">
            <w:pPr>
              <w:pStyle w:val="TableText"/>
            </w:pPr>
            <w:r w:rsidRPr="00CD6245">
              <w:t>Transactional</w:t>
            </w:r>
          </w:p>
        </w:tc>
        <w:tc>
          <w:tcPr>
            <w:tcW w:w="7704" w:type="dxa"/>
          </w:tcPr>
          <w:p w:rsidR="008309A0" w:rsidRPr="00CD6245" w:rsidRDefault="00C8230B" w:rsidP="00E16499">
            <w:pPr>
              <w:pStyle w:val="TableText"/>
            </w:pPr>
            <w:r>
              <w:t>Low-value and low-</w:t>
            </w:r>
            <w:r w:rsidR="008309A0" w:rsidRPr="00CD6245">
              <w:t xml:space="preserve">risk transactions where approved suppliers (e.g. </w:t>
            </w:r>
            <w:r w:rsidR="007A1829" w:rsidRPr="00CD6245">
              <w:t>SPC</w:t>
            </w:r>
            <w:r w:rsidR="00113259" w:rsidRPr="00CD6245">
              <w:t>s</w:t>
            </w:r>
            <w:r w:rsidR="008309A0" w:rsidRPr="00CD6245">
              <w:t xml:space="preserve">) are not available. </w:t>
            </w:r>
          </w:p>
        </w:tc>
      </w:tr>
      <w:tr w:rsidR="008309A0" w:rsidRPr="00CD6245" w:rsidTr="00986F3F">
        <w:tc>
          <w:tcPr>
            <w:tcW w:w="436" w:type="dxa"/>
            <w:tcBorders>
              <w:top w:val="nil"/>
              <w:left w:val="single" w:sz="6" w:space="0" w:color="660B68"/>
              <w:bottom w:val="nil"/>
              <w:right w:val="single" w:sz="6" w:space="0" w:color="660B68"/>
            </w:tcBorders>
            <w:shd w:val="clear" w:color="auto" w:fill="650B68"/>
          </w:tcPr>
          <w:p w:rsidR="008309A0" w:rsidRPr="00CD6245" w:rsidRDefault="008309A0" w:rsidP="00E16499">
            <w:pPr>
              <w:pStyle w:val="TableText"/>
            </w:pPr>
            <w:r w:rsidRPr="00CD6245">
              <w:t>2</w:t>
            </w:r>
          </w:p>
        </w:tc>
        <w:tc>
          <w:tcPr>
            <w:tcW w:w="1488" w:type="dxa"/>
            <w:tcBorders>
              <w:left w:val="single" w:sz="6" w:space="0" w:color="660B68"/>
            </w:tcBorders>
            <w:shd w:val="clear" w:color="auto" w:fill="D9D9D9" w:themeFill="background1" w:themeFillShade="D9"/>
          </w:tcPr>
          <w:p w:rsidR="008309A0" w:rsidRPr="00CD6245" w:rsidRDefault="008309A0" w:rsidP="00E16499">
            <w:pPr>
              <w:pStyle w:val="TableText"/>
            </w:pPr>
            <w:r w:rsidRPr="00CD6245">
              <w:t>Leveraged</w:t>
            </w:r>
          </w:p>
        </w:tc>
        <w:tc>
          <w:tcPr>
            <w:tcW w:w="7704" w:type="dxa"/>
            <w:shd w:val="clear" w:color="auto" w:fill="D9D9D9" w:themeFill="background1" w:themeFillShade="D9"/>
          </w:tcPr>
          <w:p w:rsidR="008309A0" w:rsidRPr="00CD6245" w:rsidRDefault="008309A0" w:rsidP="00E16499">
            <w:pPr>
              <w:pStyle w:val="TableText"/>
            </w:pPr>
            <w:r w:rsidRPr="00CD6245">
              <w:t>Frequently used goods/services in a competitive marketplace that are procured by an individual organisation or whole of government, where the organisation has the ability to drive value.</w:t>
            </w:r>
          </w:p>
        </w:tc>
      </w:tr>
      <w:tr w:rsidR="008309A0" w:rsidRPr="00CD6245" w:rsidTr="00986F3F">
        <w:tc>
          <w:tcPr>
            <w:tcW w:w="436" w:type="dxa"/>
            <w:tcBorders>
              <w:top w:val="nil"/>
              <w:left w:val="single" w:sz="6" w:space="0" w:color="660B68"/>
              <w:bottom w:val="nil"/>
              <w:right w:val="single" w:sz="6" w:space="0" w:color="660B68"/>
            </w:tcBorders>
            <w:shd w:val="clear" w:color="auto" w:fill="650B68"/>
          </w:tcPr>
          <w:p w:rsidR="008309A0" w:rsidRPr="00CD6245" w:rsidRDefault="008309A0" w:rsidP="00E16499">
            <w:pPr>
              <w:pStyle w:val="TableText"/>
            </w:pPr>
            <w:r w:rsidRPr="00CD6245">
              <w:t>3</w:t>
            </w:r>
          </w:p>
        </w:tc>
        <w:tc>
          <w:tcPr>
            <w:tcW w:w="1488" w:type="dxa"/>
            <w:tcBorders>
              <w:left w:val="single" w:sz="6" w:space="0" w:color="660B68"/>
            </w:tcBorders>
          </w:tcPr>
          <w:p w:rsidR="008309A0" w:rsidRPr="00CD6245" w:rsidRDefault="008309A0" w:rsidP="00E16499">
            <w:pPr>
              <w:pStyle w:val="TableText"/>
            </w:pPr>
            <w:r w:rsidRPr="00CD6245">
              <w:t>Focused</w:t>
            </w:r>
          </w:p>
        </w:tc>
        <w:tc>
          <w:tcPr>
            <w:tcW w:w="7704" w:type="dxa"/>
          </w:tcPr>
          <w:p w:rsidR="008309A0" w:rsidRPr="00CD6245" w:rsidRDefault="008309A0" w:rsidP="00E16499">
            <w:pPr>
              <w:pStyle w:val="TableText"/>
            </w:pPr>
            <w:r w:rsidRPr="00CD6245">
              <w:t>Procured goods/services where a limited number of suppliers are available or where novel commercial arrangements are in place. May include whole of government contracts.</w:t>
            </w:r>
          </w:p>
        </w:tc>
      </w:tr>
      <w:tr w:rsidR="008309A0" w:rsidRPr="00CD6245" w:rsidTr="00986F3F">
        <w:tc>
          <w:tcPr>
            <w:tcW w:w="436" w:type="dxa"/>
            <w:tcBorders>
              <w:top w:val="nil"/>
              <w:left w:val="single" w:sz="6" w:space="0" w:color="660B68"/>
              <w:right w:val="single" w:sz="6" w:space="0" w:color="660B68"/>
            </w:tcBorders>
            <w:shd w:val="clear" w:color="auto" w:fill="650B68"/>
          </w:tcPr>
          <w:p w:rsidR="008309A0" w:rsidRPr="00CD6245" w:rsidRDefault="008309A0" w:rsidP="00E16499">
            <w:pPr>
              <w:pStyle w:val="TableText"/>
            </w:pPr>
            <w:r w:rsidRPr="00CD6245">
              <w:t>4</w:t>
            </w:r>
          </w:p>
        </w:tc>
        <w:tc>
          <w:tcPr>
            <w:tcW w:w="1488" w:type="dxa"/>
            <w:tcBorders>
              <w:left w:val="single" w:sz="6" w:space="0" w:color="660B68"/>
            </w:tcBorders>
            <w:shd w:val="clear" w:color="auto" w:fill="D9D9D9" w:themeFill="background1" w:themeFillShade="D9"/>
          </w:tcPr>
          <w:p w:rsidR="008309A0" w:rsidRPr="00CD6245" w:rsidRDefault="008309A0" w:rsidP="00E16499">
            <w:pPr>
              <w:pStyle w:val="TableText"/>
            </w:pPr>
            <w:r w:rsidRPr="00CD6245">
              <w:t>Strategic</w:t>
            </w:r>
          </w:p>
        </w:tc>
        <w:tc>
          <w:tcPr>
            <w:tcW w:w="7704" w:type="dxa"/>
            <w:shd w:val="clear" w:color="auto" w:fill="D9D9D9" w:themeFill="background1" w:themeFillShade="D9"/>
          </w:tcPr>
          <w:p w:rsidR="008309A0" w:rsidRPr="00CD6245" w:rsidRDefault="008309A0" w:rsidP="00E16499">
            <w:pPr>
              <w:pStyle w:val="TableText"/>
            </w:pPr>
            <w:r w:rsidRPr="00CD6245">
              <w:t xml:space="preserve">Goods/services in a competitive market that are high value, where business criticality is high, and/or where the good/service is of </w:t>
            </w:r>
            <w:r w:rsidR="00804CEB" w:rsidRPr="00CD6245">
              <w:t>s</w:t>
            </w:r>
            <w:r w:rsidRPr="00CD6245">
              <w:t>tate significance. May include whole</w:t>
            </w:r>
            <w:r w:rsidR="00113259" w:rsidRPr="00CD6245">
              <w:t xml:space="preserve"> </w:t>
            </w:r>
            <w:r w:rsidRPr="00CD6245">
              <w:t>of</w:t>
            </w:r>
            <w:r w:rsidR="00113259" w:rsidRPr="00CD6245">
              <w:t xml:space="preserve"> </w:t>
            </w:r>
            <w:r w:rsidRPr="00CD6245">
              <w:t xml:space="preserve">government contracts. </w:t>
            </w:r>
          </w:p>
        </w:tc>
      </w:tr>
    </w:tbl>
    <w:p w:rsidR="007D1825" w:rsidRPr="00CD6245" w:rsidRDefault="006F19A9" w:rsidP="007D1825">
      <w:pPr>
        <w:pStyle w:val="Heading2NoNum"/>
      </w:pPr>
      <w:bookmarkStart w:id="83" w:name="_Toc463527724"/>
      <w:r>
        <w:t>P</w:t>
      </w:r>
      <w:r w:rsidR="007D1825" w:rsidRPr="00CD6245">
        <w:t>rocurement complexity</w:t>
      </w:r>
      <w:bookmarkEnd w:id="83"/>
    </w:p>
    <w:p w:rsidR="008309A0" w:rsidRPr="00CD6245" w:rsidRDefault="00AC517C" w:rsidP="008E562F">
      <w:pPr>
        <w:pStyle w:val="Normal1"/>
      </w:pPr>
      <w:r>
        <w:fldChar w:fldCharType="begin"/>
      </w:r>
      <w:r>
        <w:instrText xml:space="preserve"> REF _Ref425586906 \h  \* MERGEFORMAT </w:instrText>
      </w:r>
      <w:r>
        <w:fldChar w:fldCharType="separate"/>
      </w:r>
      <w:r w:rsidR="002E75B9" w:rsidRPr="00CD6245">
        <w:t xml:space="preserve">Table </w:t>
      </w:r>
      <w:r w:rsidR="002E75B9">
        <w:rPr>
          <w:noProof/>
        </w:rPr>
        <w:t>13</w:t>
      </w:r>
      <w:r>
        <w:fldChar w:fldCharType="end"/>
      </w:r>
      <w:r w:rsidR="00063B1B" w:rsidRPr="00CD6245">
        <w:t xml:space="preserve"> </w:t>
      </w:r>
      <w:r w:rsidR="007D1825" w:rsidRPr="00CD6245">
        <w:t xml:space="preserve">shows the complexity assessment results for </w:t>
      </w:r>
      <w:r w:rsidR="00425661" w:rsidRPr="00CD6245">
        <w:t>the one-off supply</w:t>
      </w:r>
      <w:r w:rsidR="00E17EAF" w:rsidRPr="00CD6245">
        <w:t xml:space="preserve">, </w:t>
      </w:r>
      <w:r w:rsidR="00425661" w:rsidRPr="00CD6245">
        <w:t xml:space="preserve">SEPC </w:t>
      </w:r>
      <w:r w:rsidR="00E17EAF" w:rsidRPr="00CD6245">
        <w:t xml:space="preserve">and SPC </w:t>
      </w:r>
      <w:r w:rsidR="007D1825" w:rsidRPr="00CD6245">
        <w:t>approvals</w:t>
      </w:r>
      <w:r w:rsidR="00333B4F" w:rsidRPr="00CD6245">
        <w:t xml:space="preserve"> reported</w:t>
      </w:r>
      <w:r w:rsidR="009C1E6E" w:rsidRPr="00CD6245">
        <w:t xml:space="preserve"> by </w:t>
      </w:r>
      <w:r w:rsidR="00FD0317" w:rsidRPr="00CD6245">
        <w:t>organisation</w:t>
      </w:r>
      <w:r w:rsidR="009C1E6E" w:rsidRPr="00CD6245">
        <w:t>s</w:t>
      </w:r>
      <w:r w:rsidR="007D1825" w:rsidRPr="00CD6245">
        <w:t xml:space="preserve"> i</w:t>
      </w:r>
      <w:r w:rsidR="00872875" w:rsidRPr="00CD6245">
        <w:t xml:space="preserve">n </w:t>
      </w:r>
      <w:r w:rsidR="00414AE0" w:rsidRPr="00CD6245">
        <w:t>2015–16</w:t>
      </w:r>
      <w:r w:rsidR="007D1825" w:rsidRPr="00CD6245">
        <w:t>.</w:t>
      </w:r>
    </w:p>
    <w:p w:rsidR="0047585D" w:rsidRPr="00CD6245" w:rsidRDefault="0047585D" w:rsidP="00063B1B">
      <w:pPr>
        <w:pStyle w:val="Caption"/>
      </w:pPr>
      <w:bookmarkStart w:id="84" w:name="_Ref425586906"/>
      <w:bookmarkStart w:id="85" w:name="_Toc463527848"/>
      <w:r w:rsidRPr="00CD6245">
        <w:t xml:space="preserve">Table </w:t>
      </w:r>
      <w:r w:rsidR="002B07C2" w:rsidRPr="00CD6245">
        <w:fldChar w:fldCharType="begin"/>
      </w:r>
      <w:r w:rsidR="00C033D3" w:rsidRPr="00CD6245">
        <w:instrText xml:space="preserve"> SEQ Table \* ARABIC </w:instrText>
      </w:r>
      <w:r w:rsidR="002B07C2" w:rsidRPr="00CD6245">
        <w:fldChar w:fldCharType="separate"/>
      </w:r>
      <w:r w:rsidR="002E75B9">
        <w:rPr>
          <w:noProof/>
        </w:rPr>
        <w:t>13</w:t>
      </w:r>
      <w:r w:rsidR="002B07C2" w:rsidRPr="00CD6245">
        <w:rPr>
          <w:noProof/>
        </w:rPr>
        <w:fldChar w:fldCharType="end"/>
      </w:r>
      <w:bookmarkEnd w:id="84"/>
      <w:r w:rsidRPr="00CD6245">
        <w:t xml:space="preserve">: </w:t>
      </w:r>
      <w:r w:rsidR="00F225B1" w:rsidRPr="00CD6245">
        <w:t xml:space="preserve">Number of </w:t>
      </w:r>
      <w:r w:rsidR="00A5366C" w:rsidRPr="00CD6245">
        <w:t>one-off supply</w:t>
      </w:r>
      <w:r w:rsidR="00D40938" w:rsidRPr="00CD6245">
        <w:t xml:space="preserve">, </w:t>
      </w:r>
      <w:r w:rsidR="00A5366C" w:rsidRPr="00CD6245">
        <w:t>SEPC</w:t>
      </w:r>
      <w:r w:rsidR="00D40938" w:rsidRPr="00CD6245">
        <w:t xml:space="preserve"> and SPC</w:t>
      </w:r>
      <w:r w:rsidR="00AC4590" w:rsidRPr="00CD6245">
        <w:t xml:space="preserve"> </w:t>
      </w:r>
      <w:r w:rsidRPr="00CD6245">
        <w:t xml:space="preserve">approvals by complexity quadrant in </w:t>
      </w:r>
      <w:r w:rsidR="00414AE0" w:rsidRPr="00CD6245">
        <w:t>2015–16</w:t>
      </w:r>
      <w:bookmarkEnd w:id="85"/>
    </w:p>
    <w:tbl>
      <w:tblPr>
        <w:tblStyle w:val="TableGrid"/>
        <w:tblW w:w="7087" w:type="dxa"/>
        <w:tblInd w:w="959" w:type="dxa"/>
        <w:tblLook w:val="04A0" w:firstRow="1" w:lastRow="0" w:firstColumn="1" w:lastColumn="0" w:noHBand="0" w:noVBand="1"/>
      </w:tblPr>
      <w:tblGrid>
        <w:gridCol w:w="2211"/>
        <w:gridCol w:w="1474"/>
        <w:gridCol w:w="1560"/>
        <w:gridCol w:w="1842"/>
      </w:tblGrid>
      <w:tr w:rsidR="00AC4590" w:rsidRPr="00CD6245" w:rsidTr="000B02F4">
        <w:trPr>
          <w:trHeight w:val="255"/>
        </w:trPr>
        <w:tc>
          <w:tcPr>
            <w:tcW w:w="2211" w:type="dxa"/>
            <w:shd w:val="clear" w:color="auto" w:fill="A6A6A6" w:themeFill="background1" w:themeFillShade="A6"/>
          </w:tcPr>
          <w:p w:rsidR="00AC4590" w:rsidRPr="00CD6245" w:rsidRDefault="00AC4590" w:rsidP="00E16499">
            <w:pPr>
              <w:pStyle w:val="TableHeader"/>
            </w:pPr>
            <w:r w:rsidRPr="00CD6245">
              <w:t>Type of complexity</w:t>
            </w:r>
          </w:p>
        </w:tc>
        <w:tc>
          <w:tcPr>
            <w:tcW w:w="1474" w:type="dxa"/>
            <w:shd w:val="clear" w:color="auto" w:fill="A6A6A6" w:themeFill="background1" w:themeFillShade="A6"/>
          </w:tcPr>
          <w:p w:rsidR="00AC4590" w:rsidRPr="00CD6245" w:rsidRDefault="00AC4590" w:rsidP="00E16499">
            <w:pPr>
              <w:pStyle w:val="TableHeader"/>
            </w:pPr>
            <w:r w:rsidRPr="00CD6245">
              <w:t>Number</w:t>
            </w:r>
          </w:p>
        </w:tc>
        <w:tc>
          <w:tcPr>
            <w:tcW w:w="1560" w:type="dxa"/>
            <w:shd w:val="clear" w:color="auto" w:fill="A6A6A6" w:themeFill="background1" w:themeFillShade="A6"/>
          </w:tcPr>
          <w:p w:rsidR="00AC4590" w:rsidRPr="00CD6245" w:rsidRDefault="00AC4590" w:rsidP="00E16499">
            <w:pPr>
              <w:pStyle w:val="TableHeader"/>
            </w:pPr>
            <w:r w:rsidRPr="00CD6245">
              <w:t>Value</w:t>
            </w:r>
          </w:p>
        </w:tc>
        <w:tc>
          <w:tcPr>
            <w:tcW w:w="1842" w:type="dxa"/>
            <w:shd w:val="clear" w:color="auto" w:fill="A6A6A6" w:themeFill="background1" w:themeFillShade="A6"/>
          </w:tcPr>
          <w:p w:rsidR="00AC4590" w:rsidRPr="00CD6245" w:rsidRDefault="00AC4590" w:rsidP="00E16499">
            <w:pPr>
              <w:pStyle w:val="TableHeader"/>
            </w:pPr>
            <w:r w:rsidRPr="00CD6245">
              <w:t>Average value</w:t>
            </w:r>
          </w:p>
        </w:tc>
      </w:tr>
      <w:tr w:rsidR="0073764B" w:rsidRPr="00CD6245" w:rsidTr="00806A27">
        <w:trPr>
          <w:trHeight w:val="255"/>
        </w:trPr>
        <w:tc>
          <w:tcPr>
            <w:tcW w:w="2211" w:type="dxa"/>
            <w:vAlign w:val="center"/>
          </w:tcPr>
          <w:p w:rsidR="0073764B" w:rsidRPr="00CD6245" w:rsidRDefault="0073764B">
            <w:pPr>
              <w:rPr>
                <w:rFonts w:ascii="Calibri" w:hAnsi="Calibri" w:cs="Arial"/>
                <w:sz w:val="20"/>
                <w:szCs w:val="20"/>
              </w:rPr>
            </w:pPr>
            <w:r w:rsidRPr="00CD6245">
              <w:rPr>
                <w:rFonts w:ascii="Calibri" w:hAnsi="Calibri" w:cs="Arial"/>
                <w:sz w:val="20"/>
                <w:szCs w:val="20"/>
              </w:rPr>
              <w:t>Transactional</w:t>
            </w:r>
          </w:p>
        </w:tc>
        <w:tc>
          <w:tcPr>
            <w:tcW w:w="1474" w:type="dxa"/>
            <w:vAlign w:val="bottom"/>
          </w:tcPr>
          <w:p w:rsidR="0073764B" w:rsidRPr="00CD6245" w:rsidRDefault="0073764B">
            <w:pPr>
              <w:jc w:val="center"/>
              <w:rPr>
                <w:rFonts w:ascii="Calibri" w:hAnsi="Calibri"/>
                <w:color w:val="000000"/>
                <w:sz w:val="20"/>
                <w:szCs w:val="20"/>
              </w:rPr>
            </w:pPr>
            <w:r w:rsidRPr="00CD6245">
              <w:rPr>
                <w:rFonts w:ascii="Calibri" w:hAnsi="Calibri"/>
                <w:color w:val="000000"/>
                <w:sz w:val="20"/>
                <w:szCs w:val="20"/>
              </w:rPr>
              <w:t>241</w:t>
            </w:r>
          </w:p>
        </w:tc>
        <w:tc>
          <w:tcPr>
            <w:tcW w:w="1560" w:type="dxa"/>
            <w:vAlign w:val="center"/>
          </w:tcPr>
          <w:p w:rsidR="0073764B" w:rsidRPr="00CD6245" w:rsidRDefault="0073764B">
            <w:pPr>
              <w:jc w:val="right"/>
              <w:rPr>
                <w:rFonts w:ascii="Calibri" w:hAnsi="Calibri"/>
                <w:sz w:val="20"/>
                <w:szCs w:val="20"/>
              </w:rPr>
            </w:pPr>
            <w:r w:rsidRPr="00CD6245">
              <w:rPr>
                <w:rFonts w:ascii="Calibri" w:hAnsi="Calibri"/>
                <w:sz w:val="20"/>
                <w:szCs w:val="20"/>
              </w:rPr>
              <w:t>$275.2M</w:t>
            </w:r>
          </w:p>
        </w:tc>
        <w:tc>
          <w:tcPr>
            <w:tcW w:w="1842" w:type="dxa"/>
            <w:vAlign w:val="center"/>
          </w:tcPr>
          <w:p w:rsidR="0073764B" w:rsidRPr="00CD6245" w:rsidRDefault="0073764B">
            <w:pPr>
              <w:jc w:val="right"/>
              <w:rPr>
                <w:rFonts w:ascii="Calibri" w:hAnsi="Calibri"/>
                <w:sz w:val="20"/>
                <w:szCs w:val="20"/>
              </w:rPr>
            </w:pPr>
            <w:r w:rsidRPr="00CD6245">
              <w:rPr>
                <w:rFonts w:ascii="Calibri" w:hAnsi="Calibri"/>
                <w:sz w:val="20"/>
                <w:szCs w:val="20"/>
              </w:rPr>
              <w:t>$1.1M</w:t>
            </w:r>
          </w:p>
        </w:tc>
      </w:tr>
      <w:tr w:rsidR="0073764B" w:rsidRPr="00CD6245" w:rsidTr="00806A27">
        <w:trPr>
          <w:trHeight w:val="255"/>
        </w:trPr>
        <w:tc>
          <w:tcPr>
            <w:tcW w:w="2211" w:type="dxa"/>
            <w:vAlign w:val="center"/>
          </w:tcPr>
          <w:p w:rsidR="0073764B" w:rsidRPr="00CD6245" w:rsidRDefault="0073764B">
            <w:pPr>
              <w:rPr>
                <w:rFonts w:ascii="Calibri" w:hAnsi="Calibri" w:cs="Arial"/>
                <w:sz w:val="20"/>
                <w:szCs w:val="20"/>
              </w:rPr>
            </w:pPr>
            <w:r w:rsidRPr="00CD6245">
              <w:rPr>
                <w:rFonts w:ascii="Calibri" w:hAnsi="Calibri" w:cs="Arial"/>
                <w:sz w:val="20"/>
                <w:szCs w:val="20"/>
              </w:rPr>
              <w:t>Leveraged</w:t>
            </w:r>
          </w:p>
        </w:tc>
        <w:tc>
          <w:tcPr>
            <w:tcW w:w="1474" w:type="dxa"/>
            <w:vAlign w:val="bottom"/>
          </w:tcPr>
          <w:p w:rsidR="0073764B" w:rsidRPr="00CD6245" w:rsidRDefault="0073764B">
            <w:pPr>
              <w:jc w:val="center"/>
              <w:rPr>
                <w:rFonts w:ascii="Calibri" w:hAnsi="Calibri"/>
                <w:color w:val="000000"/>
                <w:sz w:val="20"/>
                <w:szCs w:val="20"/>
              </w:rPr>
            </w:pPr>
            <w:r w:rsidRPr="00CD6245">
              <w:rPr>
                <w:rFonts w:ascii="Calibri" w:hAnsi="Calibri"/>
                <w:color w:val="000000"/>
                <w:sz w:val="20"/>
                <w:szCs w:val="20"/>
              </w:rPr>
              <w:t>312</w:t>
            </w:r>
          </w:p>
        </w:tc>
        <w:tc>
          <w:tcPr>
            <w:tcW w:w="1560" w:type="dxa"/>
            <w:vAlign w:val="center"/>
          </w:tcPr>
          <w:p w:rsidR="0073764B" w:rsidRPr="00CD6245" w:rsidRDefault="0073764B">
            <w:pPr>
              <w:jc w:val="right"/>
              <w:rPr>
                <w:rFonts w:ascii="Calibri" w:hAnsi="Calibri"/>
                <w:sz w:val="20"/>
                <w:szCs w:val="20"/>
              </w:rPr>
            </w:pPr>
            <w:r w:rsidRPr="00CD6245">
              <w:rPr>
                <w:rFonts w:ascii="Calibri" w:hAnsi="Calibri"/>
                <w:sz w:val="20"/>
                <w:szCs w:val="20"/>
              </w:rPr>
              <w:t>$1</w:t>
            </w:r>
            <w:r w:rsidR="00CD2864" w:rsidRPr="00CD6245">
              <w:rPr>
                <w:rFonts w:ascii="Calibri" w:hAnsi="Calibri"/>
                <w:sz w:val="20"/>
                <w:szCs w:val="20"/>
              </w:rPr>
              <w:t> </w:t>
            </w:r>
            <w:r w:rsidR="00720B3B" w:rsidRPr="00CD6245">
              <w:rPr>
                <w:rFonts w:ascii="Calibri" w:hAnsi="Calibri"/>
                <w:sz w:val="20"/>
                <w:szCs w:val="20"/>
              </w:rPr>
              <w:t>16</w:t>
            </w:r>
            <w:r w:rsidRPr="00CD6245">
              <w:rPr>
                <w:rFonts w:ascii="Calibri" w:hAnsi="Calibri"/>
                <w:sz w:val="20"/>
                <w:szCs w:val="20"/>
              </w:rPr>
              <w:t>4.9M</w:t>
            </w:r>
          </w:p>
        </w:tc>
        <w:tc>
          <w:tcPr>
            <w:tcW w:w="1842" w:type="dxa"/>
            <w:vAlign w:val="center"/>
          </w:tcPr>
          <w:p w:rsidR="0073764B" w:rsidRPr="00CD6245" w:rsidRDefault="00720B3B">
            <w:pPr>
              <w:jc w:val="right"/>
              <w:rPr>
                <w:rFonts w:ascii="Calibri" w:hAnsi="Calibri"/>
                <w:sz w:val="20"/>
                <w:szCs w:val="20"/>
              </w:rPr>
            </w:pPr>
            <w:r w:rsidRPr="00CD6245">
              <w:rPr>
                <w:rFonts w:ascii="Calibri" w:hAnsi="Calibri"/>
                <w:sz w:val="20"/>
                <w:szCs w:val="20"/>
              </w:rPr>
              <w:t>$3.7</w:t>
            </w:r>
            <w:r w:rsidR="0073764B" w:rsidRPr="00CD6245">
              <w:rPr>
                <w:rFonts w:ascii="Calibri" w:hAnsi="Calibri"/>
                <w:sz w:val="20"/>
                <w:szCs w:val="20"/>
              </w:rPr>
              <w:t>M</w:t>
            </w:r>
          </w:p>
        </w:tc>
      </w:tr>
      <w:tr w:rsidR="0073764B" w:rsidRPr="00CD6245" w:rsidTr="00806A27">
        <w:trPr>
          <w:trHeight w:val="345"/>
        </w:trPr>
        <w:tc>
          <w:tcPr>
            <w:tcW w:w="2211" w:type="dxa"/>
            <w:vAlign w:val="center"/>
          </w:tcPr>
          <w:p w:rsidR="0073764B" w:rsidRPr="00CD6245" w:rsidRDefault="0073764B">
            <w:pPr>
              <w:rPr>
                <w:rFonts w:ascii="Calibri" w:hAnsi="Calibri" w:cs="Arial"/>
                <w:sz w:val="20"/>
                <w:szCs w:val="20"/>
              </w:rPr>
            </w:pPr>
            <w:r w:rsidRPr="00CD6245">
              <w:rPr>
                <w:rFonts w:ascii="Calibri" w:hAnsi="Calibri" w:cs="Arial"/>
                <w:sz w:val="20"/>
                <w:szCs w:val="20"/>
              </w:rPr>
              <w:t>Focused</w:t>
            </w:r>
          </w:p>
        </w:tc>
        <w:tc>
          <w:tcPr>
            <w:tcW w:w="1474" w:type="dxa"/>
            <w:vAlign w:val="bottom"/>
          </w:tcPr>
          <w:p w:rsidR="0073764B" w:rsidRPr="00CD6245" w:rsidRDefault="0073764B">
            <w:pPr>
              <w:jc w:val="center"/>
              <w:rPr>
                <w:rFonts w:ascii="Calibri" w:hAnsi="Calibri"/>
                <w:color w:val="000000"/>
                <w:sz w:val="20"/>
                <w:szCs w:val="20"/>
              </w:rPr>
            </w:pPr>
            <w:r w:rsidRPr="00CD6245">
              <w:rPr>
                <w:rFonts w:ascii="Calibri" w:hAnsi="Calibri"/>
                <w:color w:val="000000"/>
                <w:sz w:val="20"/>
                <w:szCs w:val="20"/>
              </w:rPr>
              <w:t>135</w:t>
            </w:r>
          </w:p>
        </w:tc>
        <w:tc>
          <w:tcPr>
            <w:tcW w:w="1560" w:type="dxa"/>
            <w:vAlign w:val="center"/>
          </w:tcPr>
          <w:p w:rsidR="0073764B" w:rsidRPr="00CD6245" w:rsidRDefault="00720B3B">
            <w:pPr>
              <w:jc w:val="right"/>
              <w:rPr>
                <w:rFonts w:ascii="Calibri" w:hAnsi="Calibri"/>
                <w:sz w:val="20"/>
                <w:szCs w:val="20"/>
              </w:rPr>
            </w:pPr>
            <w:r w:rsidRPr="00CD6245">
              <w:rPr>
                <w:rFonts w:ascii="Calibri" w:hAnsi="Calibri"/>
                <w:sz w:val="20"/>
                <w:szCs w:val="20"/>
              </w:rPr>
              <w:t>$12</w:t>
            </w:r>
            <w:r w:rsidR="0073764B" w:rsidRPr="00CD6245">
              <w:rPr>
                <w:rFonts w:ascii="Calibri" w:hAnsi="Calibri"/>
                <w:sz w:val="20"/>
                <w:szCs w:val="20"/>
              </w:rPr>
              <w:t>6.8M</w:t>
            </w:r>
          </w:p>
        </w:tc>
        <w:tc>
          <w:tcPr>
            <w:tcW w:w="1842" w:type="dxa"/>
            <w:vAlign w:val="center"/>
          </w:tcPr>
          <w:p w:rsidR="0073764B" w:rsidRPr="00CD6245" w:rsidRDefault="0073764B">
            <w:pPr>
              <w:jc w:val="right"/>
              <w:rPr>
                <w:rFonts w:ascii="Calibri" w:hAnsi="Calibri"/>
                <w:sz w:val="20"/>
                <w:szCs w:val="20"/>
              </w:rPr>
            </w:pPr>
            <w:r w:rsidRPr="00CD6245">
              <w:rPr>
                <w:rFonts w:ascii="Calibri" w:hAnsi="Calibri"/>
                <w:sz w:val="20"/>
                <w:szCs w:val="20"/>
              </w:rPr>
              <w:t>$0.9M</w:t>
            </w:r>
          </w:p>
        </w:tc>
      </w:tr>
      <w:tr w:rsidR="0073764B" w:rsidRPr="00CD6245" w:rsidTr="00806A27">
        <w:trPr>
          <w:trHeight w:val="300"/>
        </w:trPr>
        <w:tc>
          <w:tcPr>
            <w:tcW w:w="2211" w:type="dxa"/>
            <w:vAlign w:val="center"/>
          </w:tcPr>
          <w:p w:rsidR="0073764B" w:rsidRPr="00CD6245" w:rsidRDefault="0073764B">
            <w:pPr>
              <w:rPr>
                <w:rFonts w:ascii="Calibri" w:hAnsi="Calibri" w:cs="Arial"/>
                <w:sz w:val="20"/>
                <w:szCs w:val="20"/>
              </w:rPr>
            </w:pPr>
            <w:r w:rsidRPr="00CD6245">
              <w:rPr>
                <w:rFonts w:ascii="Calibri" w:hAnsi="Calibri" w:cs="Arial"/>
                <w:sz w:val="20"/>
                <w:szCs w:val="20"/>
              </w:rPr>
              <w:t xml:space="preserve">Strategic </w:t>
            </w:r>
          </w:p>
        </w:tc>
        <w:tc>
          <w:tcPr>
            <w:tcW w:w="1474" w:type="dxa"/>
            <w:vAlign w:val="bottom"/>
          </w:tcPr>
          <w:p w:rsidR="0073764B" w:rsidRPr="00CD6245" w:rsidRDefault="0073764B">
            <w:pPr>
              <w:jc w:val="center"/>
              <w:rPr>
                <w:rFonts w:ascii="Calibri" w:hAnsi="Calibri"/>
                <w:color w:val="000000"/>
                <w:sz w:val="20"/>
                <w:szCs w:val="20"/>
              </w:rPr>
            </w:pPr>
            <w:r w:rsidRPr="00CD6245">
              <w:rPr>
                <w:rFonts w:ascii="Calibri" w:hAnsi="Calibri"/>
                <w:color w:val="000000"/>
                <w:sz w:val="20"/>
                <w:szCs w:val="20"/>
              </w:rPr>
              <w:t>102</w:t>
            </w:r>
          </w:p>
        </w:tc>
        <w:tc>
          <w:tcPr>
            <w:tcW w:w="1560" w:type="dxa"/>
            <w:vAlign w:val="center"/>
          </w:tcPr>
          <w:p w:rsidR="0073764B" w:rsidRPr="00CD6245" w:rsidRDefault="0073764B">
            <w:pPr>
              <w:jc w:val="right"/>
              <w:rPr>
                <w:rFonts w:ascii="Calibri" w:hAnsi="Calibri"/>
                <w:sz w:val="20"/>
                <w:szCs w:val="20"/>
              </w:rPr>
            </w:pPr>
            <w:r w:rsidRPr="00CD6245">
              <w:rPr>
                <w:rFonts w:ascii="Calibri" w:hAnsi="Calibri"/>
                <w:sz w:val="20"/>
                <w:szCs w:val="20"/>
              </w:rPr>
              <w:t>$848.0M</w:t>
            </w:r>
          </w:p>
        </w:tc>
        <w:tc>
          <w:tcPr>
            <w:tcW w:w="1842" w:type="dxa"/>
            <w:vAlign w:val="center"/>
          </w:tcPr>
          <w:p w:rsidR="0073764B" w:rsidRPr="00CD6245" w:rsidRDefault="0073764B">
            <w:pPr>
              <w:jc w:val="right"/>
              <w:rPr>
                <w:rFonts w:ascii="Calibri" w:hAnsi="Calibri"/>
                <w:sz w:val="20"/>
                <w:szCs w:val="20"/>
              </w:rPr>
            </w:pPr>
            <w:r w:rsidRPr="00CD6245">
              <w:rPr>
                <w:rFonts w:ascii="Calibri" w:hAnsi="Calibri"/>
                <w:sz w:val="20"/>
                <w:szCs w:val="20"/>
              </w:rPr>
              <w:t>$8.3M</w:t>
            </w:r>
          </w:p>
        </w:tc>
      </w:tr>
      <w:tr w:rsidR="0073764B" w:rsidRPr="00CD6245" w:rsidTr="00BF7AF6">
        <w:trPr>
          <w:trHeight w:val="255"/>
        </w:trPr>
        <w:tc>
          <w:tcPr>
            <w:tcW w:w="2211" w:type="dxa"/>
            <w:shd w:val="clear" w:color="auto" w:fill="A6A6A6" w:themeFill="background1" w:themeFillShade="A6"/>
            <w:noWrap/>
            <w:vAlign w:val="center"/>
          </w:tcPr>
          <w:p w:rsidR="0073764B" w:rsidRPr="00CD6245" w:rsidRDefault="0073764B">
            <w:pPr>
              <w:rPr>
                <w:rFonts w:ascii="Calibri" w:hAnsi="Calibri" w:cs="Arial"/>
                <w:b/>
                <w:bCs/>
                <w:color w:val="FFFFFF"/>
                <w:sz w:val="20"/>
                <w:szCs w:val="20"/>
              </w:rPr>
            </w:pPr>
            <w:r w:rsidRPr="00CD6245">
              <w:rPr>
                <w:rFonts w:ascii="Calibri" w:hAnsi="Calibri" w:cs="Arial"/>
                <w:b/>
                <w:bCs/>
                <w:color w:val="FFFFFF"/>
                <w:sz w:val="20"/>
                <w:szCs w:val="20"/>
              </w:rPr>
              <w:t>Totals</w:t>
            </w:r>
          </w:p>
        </w:tc>
        <w:tc>
          <w:tcPr>
            <w:tcW w:w="1474" w:type="dxa"/>
            <w:shd w:val="clear" w:color="auto" w:fill="A6A6A6" w:themeFill="background1" w:themeFillShade="A6"/>
            <w:noWrap/>
            <w:vAlign w:val="bottom"/>
          </w:tcPr>
          <w:p w:rsidR="0073764B" w:rsidRPr="00CD6245" w:rsidRDefault="0073764B">
            <w:pPr>
              <w:jc w:val="center"/>
              <w:rPr>
                <w:rFonts w:ascii="Calibri" w:hAnsi="Calibri"/>
                <w:color w:val="FFFFFF"/>
                <w:sz w:val="20"/>
                <w:szCs w:val="20"/>
              </w:rPr>
            </w:pPr>
            <w:r w:rsidRPr="00CD6245">
              <w:rPr>
                <w:rFonts w:ascii="Calibri" w:hAnsi="Calibri"/>
                <w:color w:val="FFFFFF"/>
                <w:sz w:val="20"/>
                <w:szCs w:val="20"/>
              </w:rPr>
              <w:t>790</w:t>
            </w:r>
          </w:p>
        </w:tc>
        <w:tc>
          <w:tcPr>
            <w:tcW w:w="1560" w:type="dxa"/>
            <w:shd w:val="clear" w:color="auto" w:fill="A6A6A6" w:themeFill="background1" w:themeFillShade="A6"/>
            <w:noWrap/>
            <w:vAlign w:val="bottom"/>
          </w:tcPr>
          <w:p w:rsidR="0073764B" w:rsidRPr="00CD6245" w:rsidRDefault="0073764B" w:rsidP="003A18AB">
            <w:pPr>
              <w:jc w:val="right"/>
              <w:rPr>
                <w:rFonts w:ascii="Calibri" w:hAnsi="Calibri"/>
                <w:color w:val="FFFFFF"/>
                <w:sz w:val="20"/>
                <w:szCs w:val="20"/>
              </w:rPr>
            </w:pPr>
            <w:r w:rsidRPr="00CD6245">
              <w:rPr>
                <w:rFonts w:ascii="Calibri" w:hAnsi="Calibri"/>
                <w:color w:val="FFFFFF"/>
                <w:sz w:val="20"/>
                <w:szCs w:val="20"/>
              </w:rPr>
              <w:t>$2</w:t>
            </w:r>
            <w:r w:rsidR="00CD2864" w:rsidRPr="00CD6245">
              <w:rPr>
                <w:rFonts w:ascii="Calibri" w:hAnsi="Calibri"/>
                <w:color w:val="FFFFFF"/>
                <w:sz w:val="20"/>
                <w:szCs w:val="20"/>
              </w:rPr>
              <w:t> </w:t>
            </w:r>
            <w:r w:rsidRPr="00CD6245">
              <w:rPr>
                <w:rFonts w:ascii="Calibri" w:hAnsi="Calibri"/>
                <w:color w:val="FFFFFF"/>
                <w:sz w:val="20"/>
                <w:szCs w:val="20"/>
              </w:rPr>
              <w:t>4</w:t>
            </w:r>
            <w:r w:rsidR="003A18AB" w:rsidRPr="00CD6245">
              <w:rPr>
                <w:rFonts w:ascii="Calibri" w:hAnsi="Calibri"/>
                <w:color w:val="FFFFFF"/>
                <w:sz w:val="20"/>
                <w:szCs w:val="20"/>
              </w:rPr>
              <w:t>1</w:t>
            </w:r>
            <w:r w:rsidR="003E659F" w:rsidRPr="00CD6245">
              <w:rPr>
                <w:rFonts w:ascii="Calibri" w:hAnsi="Calibri"/>
                <w:color w:val="FFFFFF"/>
                <w:sz w:val="20"/>
                <w:szCs w:val="20"/>
              </w:rPr>
              <w:t>4</w:t>
            </w:r>
            <w:r w:rsidRPr="00CD6245">
              <w:rPr>
                <w:rFonts w:ascii="Calibri" w:hAnsi="Calibri"/>
                <w:color w:val="FFFFFF"/>
                <w:sz w:val="20"/>
                <w:szCs w:val="20"/>
              </w:rPr>
              <w:t>.9M</w:t>
            </w:r>
          </w:p>
        </w:tc>
        <w:tc>
          <w:tcPr>
            <w:tcW w:w="1842" w:type="dxa"/>
            <w:shd w:val="clear" w:color="auto" w:fill="A6A6A6" w:themeFill="background1" w:themeFillShade="A6"/>
            <w:vAlign w:val="bottom"/>
          </w:tcPr>
          <w:p w:rsidR="0073764B" w:rsidRPr="00CD6245" w:rsidRDefault="0073764B">
            <w:pPr>
              <w:jc w:val="right"/>
              <w:rPr>
                <w:rFonts w:ascii="Calibri" w:hAnsi="Calibri"/>
                <w:color w:val="FFFFFF"/>
                <w:sz w:val="20"/>
                <w:szCs w:val="20"/>
              </w:rPr>
            </w:pPr>
            <w:r w:rsidRPr="00CD6245">
              <w:rPr>
                <w:rFonts w:ascii="Calibri" w:hAnsi="Calibri"/>
                <w:color w:val="FFFFFF"/>
                <w:sz w:val="20"/>
                <w:szCs w:val="20"/>
              </w:rPr>
              <w:t>$3.1M</w:t>
            </w:r>
          </w:p>
        </w:tc>
      </w:tr>
    </w:tbl>
    <w:p w:rsidR="00F61B1C" w:rsidRDefault="00017DE8" w:rsidP="00986F3F">
      <w:pPr>
        <w:pStyle w:val="Heading3NoNum"/>
        <w:spacing w:before="40" w:after="60"/>
        <w:rPr>
          <w:b w:val="0"/>
          <w:sz w:val="20"/>
          <w:szCs w:val="20"/>
        </w:rPr>
      </w:pPr>
      <w:bookmarkStart w:id="86" w:name="_Ref425590345"/>
      <w:bookmarkStart w:id="87" w:name="_Ref425590335"/>
      <w:r w:rsidRPr="00CD6245">
        <w:rPr>
          <w:b w:val="0"/>
          <w:sz w:val="20"/>
          <w:szCs w:val="20"/>
        </w:rPr>
        <w:t>Note:</w:t>
      </w:r>
      <w:r w:rsidR="00986F3F">
        <w:rPr>
          <w:b w:val="0"/>
          <w:sz w:val="20"/>
          <w:szCs w:val="20"/>
        </w:rPr>
        <w:t xml:space="preserve"> </w:t>
      </w:r>
      <w:r w:rsidRPr="00CD6245">
        <w:rPr>
          <w:b w:val="0"/>
          <w:sz w:val="20"/>
          <w:szCs w:val="20"/>
        </w:rPr>
        <w:t>The</w:t>
      </w:r>
      <w:r w:rsidR="008E63A8" w:rsidRPr="00CD6245">
        <w:rPr>
          <w:b w:val="0"/>
          <w:sz w:val="20"/>
          <w:szCs w:val="20"/>
        </w:rPr>
        <w:t xml:space="preserve"> leveraged quadrant includes two</w:t>
      </w:r>
      <w:r w:rsidRPr="00CD6245">
        <w:rPr>
          <w:b w:val="0"/>
          <w:sz w:val="20"/>
          <w:szCs w:val="20"/>
        </w:rPr>
        <w:t xml:space="preserve"> high value SEPC</w:t>
      </w:r>
      <w:r w:rsidR="008E63A8" w:rsidRPr="00CD6245">
        <w:rPr>
          <w:b w:val="0"/>
          <w:sz w:val="20"/>
          <w:szCs w:val="20"/>
        </w:rPr>
        <w:t>s</w:t>
      </w:r>
      <w:r w:rsidRPr="00CD6245">
        <w:rPr>
          <w:b w:val="0"/>
          <w:sz w:val="20"/>
          <w:szCs w:val="20"/>
        </w:rPr>
        <w:t xml:space="preserve"> </w:t>
      </w:r>
      <w:r w:rsidR="0073764B" w:rsidRPr="00CD6245">
        <w:rPr>
          <w:b w:val="0"/>
          <w:sz w:val="20"/>
          <w:szCs w:val="20"/>
        </w:rPr>
        <w:t>valued at S495</w:t>
      </w:r>
      <w:r w:rsidRPr="00CD6245">
        <w:rPr>
          <w:b w:val="0"/>
          <w:sz w:val="20"/>
          <w:szCs w:val="20"/>
        </w:rPr>
        <w:t xml:space="preserve"> million</w:t>
      </w:r>
      <w:r w:rsidR="008E63A8" w:rsidRPr="00CD6245">
        <w:rPr>
          <w:b w:val="0"/>
          <w:sz w:val="20"/>
          <w:szCs w:val="20"/>
        </w:rPr>
        <w:t xml:space="preserve"> </w:t>
      </w:r>
      <w:r w:rsidR="00CD2864" w:rsidRPr="00CD6245">
        <w:rPr>
          <w:b w:val="0"/>
          <w:sz w:val="20"/>
          <w:szCs w:val="20"/>
        </w:rPr>
        <w:t xml:space="preserve">and </w:t>
      </w:r>
      <w:r w:rsidR="008E63A8" w:rsidRPr="00CD6245">
        <w:rPr>
          <w:b w:val="0"/>
          <w:sz w:val="20"/>
          <w:szCs w:val="20"/>
        </w:rPr>
        <w:t>$10</w:t>
      </w:r>
      <w:r w:rsidR="0073764B" w:rsidRPr="00CD6245">
        <w:rPr>
          <w:b w:val="0"/>
          <w:sz w:val="20"/>
          <w:szCs w:val="20"/>
        </w:rPr>
        <w:t>5</w:t>
      </w:r>
      <w:r w:rsidR="008E63A8" w:rsidRPr="00CD6245">
        <w:rPr>
          <w:b w:val="0"/>
          <w:sz w:val="20"/>
          <w:szCs w:val="20"/>
        </w:rPr>
        <w:t xml:space="preserve"> million</w:t>
      </w:r>
      <w:r w:rsidRPr="00CD6245">
        <w:rPr>
          <w:b w:val="0"/>
          <w:sz w:val="20"/>
          <w:szCs w:val="20"/>
        </w:rPr>
        <w:t>. Without th</w:t>
      </w:r>
      <w:r w:rsidR="008E63A8" w:rsidRPr="00CD6245">
        <w:rPr>
          <w:b w:val="0"/>
          <w:sz w:val="20"/>
          <w:szCs w:val="20"/>
        </w:rPr>
        <w:t>ese</w:t>
      </w:r>
      <w:r w:rsidRPr="00CD6245">
        <w:rPr>
          <w:b w:val="0"/>
          <w:sz w:val="20"/>
          <w:szCs w:val="20"/>
        </w:rPr>
        <w:t xml:space="preserve"> SEPC</w:t>
      </w:r>
      <w:r w:rsidR="008E63A8" w:rsidRPr="00CD6245">
        <w:rPr>
          <w:b w:val="0"/>
          <w:sz w:val="20"/>
          <w:szCs w:val="20"/>
        </w:rPr>
        <w:t>s</w:t>
      </w:r>
      <w:r w:rsidRPr="00CD6245">
        <w:rPr>
          <w:b w:val="0"/>
          <w:sz w:val="20"/>
          <w:szCs w:val="20"/>
        </w:rPr>
        <w:t xml:space="preserve"> the average contra</w:t>
      </w:r>
      <w:r w:rsidR="008E63A8" w:rsidRPr="00CD6245">
        <w:rPr>
          <w:b w:val="0"/>
          <w:sz w:val="20"/>
          <w:szCs w:val="20"/>
        </w:rPr>
        <w:t>ct value would be closer to $1.8</w:t>
      </w:r>
      <w:r w:rsidRPr="00CD6245">
        <w:rPr>
          <w:b w:val="0"/>
          <w:sz w:val="20"/>
          <w:szCs w:val="20"/>
        </w:rPr>
        <w:t xml:space="preserve"> million. The strategic quadrant include</w:t>
      </w:r>
      <w:r w:rsidR="00C8230B">
        <w:rPr>
          <w:b w:val="0"/>
          <w:sz w:val="20"/>
          <w:szCs w:val="20"/>
        </w:rPr>
        <w:t>s one high-</w:t>
      </w:r>
      <w:r w:rsidRPr="00CD6245">
        <w:rPr>
          <w:b w:val="0"/>
          <w:sz w:val="20"/>
          <w:szCs w:val="20"/>
        </w:rPr>
        <w:t>value SPC valued at $414 million. Without this SPC</w:t>
      </w:r>
      <w:r w:rsidR="00C8230B">
        <w:rPr>
          <w:b w:val="0"/>
          <w:sz w:val="20"/>
          <w:szCs w:val="20"/>
        </w:rPr>
        <w:t>,</w:t>
      </w:r>
      <w:r w:rsidRPr="00CD6245">
        <w:rPr>
          <w:b w:val="0"/>
          <w:sz w:val="20"/>
          <w:szCs w:val="20"/>
        </w:rPr>
        <w:t xml:space="preserve"> the average contract value would be closer to $4.</w:t>
      </w:r>
      <w:r w:rsidR="0073764B" w:rsidRPr="00CD6245">
        <w:rPr>
          <w:b w:val="0"/>
          <w:sz w:val="20"/>
          <w:szCs w:val="20"/>
        </w:rPr>
        <w:t>3</w:t>
      </w:r>
      <w:r w:rsidRPr="00CD6245">
        <w:rPr>
          <w:b w:val="0"/>
          <w:sz w:val="20"/>
          <w:szCs w:val="20"/>
        </w:rPr>
        <w:t xml:space="preserve"> million.</w:t>
      </w:r>
    </w:p>
    <w:p w:rsidR="00986F3F" w:rsidRPr="00986F3F" w:rsidRDefault="00986F3F" w:rsidP="00986F3F">
      <w:pPr>
        <w:pStyle w:val="Heading3NoNum"/>
        <w:spacing w:before="40" w:after="60"/>
        <w:rPr>
          <w:b w:val="0"/>
          <w:sz w:val="20"/>
          <w:szCs w:val="20"/>
        </w:rPr>
      </w:pPr>
      <w:r w:rsidRPr="00986F3F">
        <w:rPr>
          <w:b w:val="0"/>
          <w:sz w:val="20"/>
          <w:szCs w:val="20"/>
        </w:rPr>
        <w:t xml:space="preserve">The total average value reflects total value divided by total number and not the sum of the average value components. </w:t>
      </w:r>
    </w:p>
    <w:p w:rsidR="00F61B1C" w:rsidRPr="00CD6245" w:rsidRDefault="00F61B1C" w:rsidP="00F61B1C">
      <w:pPr>
        <w:rPr>
          <w:rFonts w:ascii="Calibri" w:hAnsi="Calibri" w:cs="Calibri"/>
          <w:color w:val="4D4D4D"/>
          <w:kern w:val="28"/>
          <w:sz w:val="26"/>
          <w:szCs w:val="22"/>
          <w:lang w:eastAsia="en-US"/>
        </w:rPr>
      </w:pPr>
      <w:r w:rsidRPr="00CD6245">
        <w:br w:type="page"/>
      </w:r>
    </w:p>
    <w:p w:rsidR="00425661" w:rsidRPr="00CD6245" w:rsidRDefault="00425661" w:rsidP="00425661">
      <w:pPr>
        <w:pStyle w:val="Heading3NoNum"/>
      </w:pPr>
      <w:r w:rsidRPr="00CD6245">
        <w:lastRenderedPageBreak/>
        <w:t>Number of procurement approvals by complexity quadrant</w:t>
      </w:r>
    </w:p>
    <w:p w:rsidR="00414AE0" w:rsidRPr="00CD6245" w:rsidRDefault="00844BC9" w:rsidP="001A257C">
      <w:pPr>
        <w:pStyle w:val="Normal1"/>
      </w:pPr>
      <w:r w:rsidRPr="00CD6245">
        <w:t>Most procurement approvals were assessed as leveraged (</w:t>
      </w:r>
      <w:r w:rsidR="0064672C" w:rsidRPr="00CD6245">
        <w:t>39 per</w:t>
      </w:r>
      <w:r w:rsidRPr="00CD6245">
        <w:t xml:space="preserve"> cent)</w:t>
      </w:r>
      <w:r w:rsidR="00941E57" w:rsidRPr="00CD6245">
        <w:t xml:space="preserve"> followed by transactional (31</w:t>
      </w:r>
      <w:r w:rsidR="00017DE8" w:rsidRPr="00CD6245">
        <w:t xml:space="preserve"> per cent)</w:t>
      </w:r>
      <w:r w:rsidRPr="00CD6245">
        <w:t xml:space="preserve">. </w:t>
      </w:r>
      <w:r w:rsidR="00941E57" w:rsidRPr="00CD6245">
        <w:t>F</w:t>
      </w:r>
      <w:r w:rsidRPr="00CD6245">
        <w:t xml:space="preserve">ocused </w:t>
      </w:r>
      <w:r w:rsidR="00941E57" w:rsidRPr="00CD6245">
        <w:t xml:space="preserve">was 17 per cent and </w:t>
      </w:r>
      <w:r w:rsidRPr="00CD6245">
        <w:t xml:space="preserve">strategic </w:t>
      </w:r>
      <w:r w:rsidR="00017DE8" w:rsidRPr="00CD6245">
        <w:t>13</w:t>
      </w:r>
      <w:r w:rsidRPr="00CD6245">
        <w:t xml:space="preserve"> per cent (see </w:t>
      </w:r>
      <w:r w:rsidR="00AC517C">
        <w:fldChar w:fldCharType="begin"/>
      </w:r>
      <w:r w:rsidR="00AC517C">
        <w:instrText xml:space="preserve"> REF _Ref425763003 \h  \* MERGEFORMAT </w:instrText>
      </w:r>
      <w:r w:rsidR="00AC517C">
        <w:fldChar w:fldCharType="separate"/>
      </w:r>
      <w:r w:rsidR="002E75B9" w:rsidRPr="00CD6245">
        <w:t xml:space="preserve">Figure </w:t>
      </w:r>
      <w:r w:rsidR="002E75B9">
        <w:t>8</w:t>
      </w:r>
      <w:r w:rsidR="00AC517C">
        <w:fldChar w:fldCharType="end"/>
      </w:r>
      <w:r w:rsidRPr="00CD6245">
        <w:t>).</w:t>
      </w:r>
    </w:p>
    <w:p w:rsidR="001A257C" w:rsidRPr="00CD6245" w:rsidRDefault="00844BC9" w:rsidP="001A257C">
      <w:pPr>
        <w:pStyle w:val="Normal1"/>
      </w:pPr>
      <w:r w:rsidRPr="00CD6245">
        <w:t>This compares with 36 per cent</w:t>
      </w:r>
      <w:r w:rsidR="001A257C" w:rsidRPr="00CD6245">
        <w:t xml:space="preserve"> </w:t>
      </w:r>
      <w:r w:rsidR="00A40F7C" w:rsidRPr="00CD6245">
        <w:t>leveraged</w:t>
      </w:r>
      <w:r w:rsidRPr="00CD6245">
        <w:t xml:space="preserve">, </w:t>
      </w:r>
      <w:r w:rsidR="00C303BA" w:rsidRPr="00CD6245">
        <w:t xml:space="preserve">26 </w:t>
      </w:r>
      <w:r w:rsidR="001A257C" w:rsidRPr="00CD6245">
        <w:t xml:space="preserve">per cent </w:t>
      </w:r>
      <w:r w:rsidRPr="00CD6245">
        <w:t xml:space="preserve">transactional, 19 per cent </w:t>
      </w:r>
      <w:r w:rsidR="00A40F7C" w:rsidRPr="00CD6245">
        <w:t xml:space="preserve">focused and </w:t>
      </w:r>
      <w:r w:rsidRPr="00CD6245">
        <w:t xml:space="preserve">19 per cent </w:t>
      </w:r>
      <w:r w:rsidR="00A40F7C" w:rsidRPr="00CD6245">
        <w:t>strategic</w:t>
      </w:r>
      <w:r w:rsidRPr="00CD6245">
        <w:t xml:space="preserve"> in 2014–15</w:t>
      </w:r>
      <w:r w:rsidR="001A257C" w:rsidRPr="00CD6245">
        <w:t>.</w:t>
      </w:r>
    </w:p>
    <w:p w:rsidR="00F225B1" w:rsidRDefault="00F225B1" w:rsidP="00F225B1">
      <w:pPr>
        <w:pStyle w:val="Caption"/>
      </w:pPr>
      <w:bookmarkStart w:id="88" w:name="_Ref425763003"/>
      <w:bookmarkStart w:id="89" w:name="_Toc463527873"/>
      <w:r w:rsidRPr="00CD6245">
        <w:t xml:space="preserve">Figure </w:t>
      </w:r>
      <w:r w:rsidR="002B07C2" w:rsidRPr="00CD6245">
        <w:fldChar w:fldCharType="begin"/>
      </w:r>
      <w:r w:rsidR="00600068" w:rsidRPr="00CD6245">
        <w:instrText xml:space="preserve"> SEQ Figure \* ARABIC </w:instrText>
      </w:r>
      <w:r w:rsidR="002B07C2" w:rsidRPr="00CD6245">
        <w:fldChar w:fldCharType="separate"/>
      </w:r>
      <w:r w:rsidR="002E75B9">
        <w:rPr>
          <w:noProof/>
        </w:rPr>
        <w:t>8</w:t>
      </w:r>
      <w:r w:rsidR="002B07C2" w:rsidRPr="00CD6245">
        <w:fldChar w:fldCharType="end"/>
      </w:r>
      <w:bookmarkEnd w:id="86"/>
      <w:bookmarkEnd w:id="88"/>
      <w:r w:rsidRPr="00CD6245">
        <w:t xml:space="preserve">: </w:t>
      </w:r>
      <w:r w:rsidR="00A5366C" w:rsidRPr="00CD6245">
        <w:t xml:space="preserve">Number of </w:t>
      </w:r>
      <w:r w:rsidR="00F9369A" w:rsidRPr="00CD6245">
        <w:t>procurement</w:t>
      </w:r>
      <w:r w:rsidR="00A5366C" w:rsidRPr="00CD6245">
        <w:t xml:space="preserve"> approvals </w:t>
      </w:r>
      <w:r w:rsidRPr="00CD6245">
        <w:t xml:space="preserve">by complexity quadrant in </w:t>
      </w:r>
      <w:r w:rsidR="00414AE0" w:rsidRPr="00CD6245">
        <w:t>2015–16</w:t>
      </w:r>
      <w:bookmarkEnd w:id="87"/>
      <w:bookmarkEnd w:id="89"/>
    </w:p>
    <w:p w:rsidR="00C8230B" w:rsidRPr="00C8230B" w:rsidRDefault="00C8230B" w:rsidP="00C8230B">
      <w:pPr>
        <w:ind w:left="810"/>
      </w:pPr>
      <w:r>
        <w:rPr>
          <w:noProof/>
        </w:rPr>
        <w:drawing>
          <wp:inline distT="0" distB="0" distL="0" distR="0" wp14:anchorId="5BB64E17" wp14:editId="7BDEAC15">
            <wp:extent cx="2674158" cy="2634476"/>
            <wp:effectExtent l="0" t="0" r="0" b="7620"/>
            <wp:docPr id="29" name="Picture 29" descr="Orange Crush:Users:chrisashe:Desktop:DTF033_VGPB-F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Orange Crush:Users:chrisashe:Desktop:DTF033_VGPB-F8.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674158" cy="2634476"/>
                    </a:xfrm>
                    <a:prstGeom prst="rect">
                      <a:avLst/>
                    </a:prstGeom>
                    <a:noFill/>
                    <a:ln>
                      <a:noFill/>
                    </a:ln>
                  </pic:spPr>
                </pic:pic>
              </a:graphicData>
            </a:graphic>
          </wp:inline>
        </w:drawing>
      </w:r>
    </w:p>
    <w:p w:rsidR="00571152" w:rsidRPr="00CD6245" w:rsidRDefault="00571152" w:rsidP="00571152">
      <w:pPr>
        <w:pStyle w:val="Heading4NoNum"/>
      </w:pPr>
      <w:r>
        <w:t>Number of c</w:t>
      </w:r>
      <w:r w:rsidRPr="00CD6245">
        <w:t>omplexity quadrants by organisation</w:t>
      </w:r>
    </w:p>
    <w:p w:rsidR="00571152" w:rsidRPr="00CD6245" w:rsidRDefault="00AC517C" w:rsidP="00571152">
      <w:pPr>
        <w:pStyle w:val="Normal1"/>
        <w:rPr>
          <w:lang w:eastAsia="en-US"/>
        </w:rPr>
      </w:pPr>
      <w:r>
        <w:fldChar w:fldCharType="begin"/>
      </w:r>
      <w:r>
        <w:instrText xml:space="preserve"> REF _Ref450556561 \h  \* MERGEFORMAT </w:instrText>
      </w:r>
      <w:r>
        <w:fldChar w:fldCharType="separate"/>
      </w:r>
      <w:r w:rsidR="002E75B9" w:rsidRPr="00CD6245">
        <w:t xml:space="preserve">Table </w:t>
      </w:r>
      <w:r w:rsidR="002E75B9">
        <w:rPr>
          <w:noProof/>
        </w:rPr>
        <w:t>14</w:t>
      </w:r>
      <w:r>
        <w:fldChar w:fldCharType="end"/>
      </w:r>
      <w:r w:rsidR="00571152" w:rsidRPr="00CD6245">
        <w:rPr>
          <w:lang w:eastAsia="en-US"/>
        </w:rPr>
        <w:t xml:space="preserve"> shows a breakdown of complexity quadrants by organisation giving an insight into the procurement profile of each organisation.</w:t>
      </w:r>
    </w:p>
    <w:p w:rsidR="00571152" w:rsidRPr="00CD6245" w:rsidRDefault="00571152" w:rsidP="00571152">
      <w:pPr>
        <w:pStyle w:val="Caption"/>
        <w:rPr>
          <w:lang w:eastAsia="en-US"/>
        </w:rPr>
      </w:pPr>
      <w:bookmarkStart w:id="90" w:name="_Ref450556561"/>
      <w:bookmarkStart w:id="91" w:name="_Toc463527849"/>
      <w:r w:rsidRPr="00CD6245">
        <w:t xml:space="preserve">Table </w:t>
      </w:r>
      <w:r w:rsidR="002B07C2" w:rsidRPr="00CD6245">
        <w:fldChar w:fldCharType="begin"/>
      </w:r>
      <w:r w:rsidRPr="00CD6245">
        <w:instrText xml:space="preserve"> SEQ Table \* ARABIC </w:instrText>
      </w:r>
      <w:r w:rsidR="002B07C2" w:rsidRPr="00CD6245">
        <w:fldChar w:fldCharType="separate"/>
      </w:r>
      <w:r w:rsidR="002E75B9">
        <w:rPr>
          <w:noProof/>
        </w:rPr>
        <w:t>14</w:t>
      </w:r>
      <w:r w:rsidR="002B07C2" w:rsidRPr="00CD6245">
        <w:fldChar w:fldCharType="end"/>
      </w:r>
      <w:bookmarkEnd w:id="90"/>
      <w:r w:rsidRPr="00CD6245">
        <w:t xml:space="preserve">: Complexity quadrants </w:t>
      </w:r>
      <w:r>
        <w:t xml:space="preserve">(number) </w:t>
      </w:r>
      <w:r w:rsidRPr="00CD6245">
        <w:t>by organisation</w:t>
      </w:r>
      <w:bookmarkEnd w:id="91"/>
    </w:p>
    <w:tbl>
      <w:tblPr>
        <w:tblW w:w="8493"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7"/>
        <w:gridCol w:w="1417"/>
        <w:gridCol w:w="1138"/>
        <w:gridCol w:w="953"/>
        <w:gridCol w:w="1004"/>
        <w:gridCol w:w="1004"/>
      </w:tblGrid>
      <w:tr w:rsidR="00571152" w:rsidRPr="00CD6245" w:rsidTr="00571152">
        <w:trPr>
          <w:trHeight w:val="115"/>
        </w:trPr>
        <w:tc>
          <w:tcPr>
            <w:tcW w:w="2977" w:type="dxa"/>
            <w:shd w:val="clear" w:color="auto" w:fill="A6A6A6" w:themeFill="background1" w:themeFillShade="A6"/>
            <w:vAlign w:val="bottom"/>
          </w:tcPr>
          <w:p w:rsidR="00571152" w:rsidRPr="00CD6245" w:rsidRDefault="00571152" w:rsidP="00571152">
            <w:pPr>
              <w:pStyle w:val="TableHeader"/>
              <w:rPr>
                <w:b/>
                <w:sz w:val="20"/>
              </w:rPr>
            </w:pPr>
            <w:r w:rsidRPr="00CD6245">
              <w:rPr>
                <w:b/>
                <w:sz w:val="20"/>
              </w:rPr>
              <w:t>Organisation</w:t>
            </w:r>
          </w:p>
        </w:tc>
        <w:tc>
          <w:tcPr>
            <w:tcW w:w="1417" w:type="dxa"/>
            <w:shd w:val="clear" w:color="auto" w:fill="A6A6A6" w:themeFill="background1" w:themeFillShade="A6"/>
            <w:vAlign w:val="bottom"/>
          </w:tcPr>
          <w:p w:rsidR="00571152" w:rsidRPr="00CD6245" w:rsidRDefault="00571152" w:rsidP="00571152">
            <w:pPr>
              <w:pStyle w:val="TableHeader"/>
              <w:rPr>
                <w:b/>
                <w:kern w:val="28"/>
                <w:sz w:val="20"/>
                <w:lang w:eastAsia="en-US"/>
              </w:rPr>
            </w:pPr>
            <w:r w:rsidRPr="00CD6245">
              <w:rPr>
                <w:b/>
                <w:sz w:val="20"/>
              </w:rPr>
              <w:t>Transactional</w:t>
            </w:r>
          </w:p>
        </w:tc>
        <w:tc>
          <w:tcPr>
            <w:tcW w:w="1138" w:type="dxa"/>
            <w:shd w:val="clear" w:color="auto" w:fill="A6A6A6" w:themeFill="background1" w:themeFillShade="A6"/>
            <w:noWrap/>
            <w:vAlign w:val="bottom"/>
          </w:tcPr>
          <w:p w:rsidR="00571152" w:rsidRPr="00CD6245" w:rsidRDefault="00571152" w:rsidP="00571152">
            <w:pPr>
              <w:pStyle w:val="TableHeader"/>
              <w:rPr>
                <w:b/>
                <w:kern w:val="28"/>
                <w:sz w:val="20"/>
                <w:lang w:eastAsia="en-US"/>
              </w:rPr>
            </w:pPr>
            <w:r w:rsidRPr="00CD6245">
              <w:rPr>
                <w:b/>
                <w:sz w:val="20"/>
              </w:rPr>
              <w:t>Leveraged</w:t>
            </w:r>
          </w:p>
        </w:tc>
        <w:tc>
          <w:tcPr>
            <w:tcW w:w="953" w:type="dxa"/>
            <w:shd w:val="clear" w:color="auto" w:fill="A6A6A6" w:themeFill="background1" w:themeFillShade="A6"/>
            <w:vAlign w:val="bottom"/>
          </w:tcPr>
          <w:p w:rsidR="00571152" w:rsidRPr="00CD6245" w:rsidRDefault="00571152" w:rsidP="00571152">
            <w:pPr>
              <w:pStyle w:val="TableHeader"/>
              <w:rPr>
                <w:b/>
                <w:kern w:val="28"/>
                <w:sz w:val="20"/>
                <w:lang w:eastAsia="en-US"/>
              </w:rPr>
            </w:pPr>
            <w:r w:rsidRPr="00CD6245">
              <w:rPr>
                <w:b/>
                <w:sz w:val="20"/>
              </w:rPr>
              <w:t xml:space="preserve">Focused </w:t>
            </w:r>
          </w:p>
        </w:tc>
        <w:tc>
          <w:tcPr>
            <w:tcW w:w="1004" w:type="dxa"/>
            <w:shd w:val="clear" w:color="auto" w:fill="A6A6A6" w:themeFill="background1" w:themeFillShade="A6"/>
            <w:vAlign w:val="bottom"/>
          </w:tcPr>
          <w:p w:rsidR="00571152" w:rsidRPr="00CD6245" w:rsidRDefault="00571152" w:rsidP="00571152">
            <w:pPr>
              <w:pStyle w:val="TableHeader"/>
              <w:rPr>
                <w:b/>
                <w:kern w:val="28"/>
                <w:sz w:val="20"/>
                <w:lang w:eastAsia="en-US"/>
              </w:rPr>
            </w:pPr>
            <w:r w:rsidRPr="00CD6245">
              <w:rPr>
                <w:b/>
                <w:sz w:val="20"/>
              </w:rPr>
              <w:t>Strategic</w:t>
            </w:r>
          </w:p>
        </w:tc>
        <w:tc>
          <w:tcPr>
            <w:tcW w:w="1004" w:type="dxa"/>
            <w:shd w:val="clear" w:color="auto" w:fill="A6A6A6" w:themeFill="background1" w:themeFillShade="A6"/>
          </w:tcPr>
          <w:p w:rsidR="00571152" w:rsidRPr="00CD6245" w:rsidRDefault="00571152" w:rsidP="00571152">
            <w:pPr>
              <w:pStyle w:val="TableHeader"/>
              <w:rPr>
                <w:b/>
                <w:sz w:val="20"/>
              </w:rPr>
            </w:pPr>
            <w:r w:rsidRPr="00CD6245">
              <w:rPr>
                <w:b/>
                <w:sz w:val="20"/>
              </w:rPr>
              <w:t>Totals</w:t>
            </w:r>
          </w:p>
        </w:tc>
      </w:tr>
      <w:tr w:rsidR="00571152" w:rsidRPr="00CD6245" w:rsidTr="00571152">
        <w:trPr>
          <w:trHeight w:val="540"/>
        </w:trPr>
        <w:tc>
          <w:tcPr>
            <w:tcW w:w="2977" w:type="dxa"/>
            <w:shd w:val="clear" w:color="auto" w:fill="auto"/>
          </w:tcPr>
          <w:p w:rsidR="00571152" w:rsidRPr="00CD6245" w:rsidRDefault="00571152" w:rsidP="00571152">
            <w:pPr>
              <w:pStyle w:val="TableText"/>
            </w:pPr>
            <w:r w:rsidRPr="00CD6245">
              <w:t>Economic Development, Jobs, Transport and Resources</w:t>
            </w:r>
          </w:p>
        </w:tc>
        <w:tc>
          <w:tcPr>
            <w:tcW w:w="1417" w:type="dxa"/>
            <w:shd w:val="clear" w:color="auto" w:fill="auto"/>
            <w:vAlign w:val="bottom"/>
          </w:tcPr>
          <w:p w:rsidR="00571152" w:rsidRPr="00CD6245" w:rsidRDefault="00571152" w:rsidP="00571152">
            <w:pPr>
              <w:jc w:val="right"/>
              <w:rPr>
                <w:rFonts w:ascii="Calibri" w:hAnsi="Calibri"/>
                <w:color w:val="000000"/>
                <w:sz w:val="20"/>
                <w:szCs w:val="20"/>
              </w:rPr>
            </w:pPr>
            <w:r w:rsidRPr="00CD6245">
              <w:rPr>
                <w:rFonts w:ascii="Calibri" w:hAnsi="Calibri"/>
                <w:color w:val="000000"/>
                <w:sz w:val="20"/>
                <w:szCs w:val="20"/>
              </w:rPr>
              <w:t>30</w:t>
            </w:r>
          </w:p>
        </w:tc>
        <w:tc>
          <w:tcPr>
            <w:tcW w:w="1138" w:type="dxa"/>
            <w:shd w:val="clear" w:color="auto" w:fill="auto"/>
            <w:noWrap/>
            <w:vAlign w:val="bottom"/>
          </w:tcPr>
          <w:p w:rsidR="00571152" w:rsidRPr="00CD6245" w:rsidRDefault="00571152" w:rsidP="00571152">
            <w:pPr>
              <w:jc w:val="right"/>
              <w:rPr>
                <w:rFonts w:ascii="Calibri" w:hAnsi="Calibri"/>
                <w:color w:val="000000"/>
                <w:sz w:val="20"/>
                <w:szCs w:val="20"/>
              </w:rPr>
            </w:pPr>
            <w:r w:rsidRPr="00CD6245">
              <w:rPr>
                <w:rFonts w:ascii="Calibri" w:hAnsi="Calibri"/>
                <w:color w:val="000000"/>
                <w:sz w:val="20"/>
                <w:szCs w:val="20"/>
              </w:rPr>
              <w:t>1</w:t>
            </w:r>
          </w:p>
        </w:tc>
        <w:tc>
          <w:tcPr>
            <w:tcW w:w="953" w:type="dxa"/>
            <w:vAlign w:val="bottom"/>
          </w:tcPr>
          <w:p w:rsidR="00571152" w:rsidRPr="00CD6245" w:rsidRDefault="00571152" w:rsidP="00571152">
            <w:pPr>
              <w:jc w:val="right"/>
              <w:rPr>
                <w:rFonts w:ascii="Calibri" w:hAnsi="Calibri"/>
                <w:color w:val="000000"/>
                <w:sz w:val="20"/>
                <w:szCs w:val="20"/>
              </w:rPr>
            </w:pPr>
            <w:r w:rsidRPr="00CD6245">
              <w:rPr>
                <w:rFonts w:ascii="Calibri" w:hAnsi="Calibri"/>
                <w:color w:val="000000"/>
                <w:sz w:val="20"/>
                <w:szCs w:val="20"/>
              </w:rPr>
              <w:t>40</w:t>
            </w:r>
          </w:p>
        </w:tc>
        <w:tc>
          <w:tcPr>
            <w:tcW w:w="1004" w:type="dxa"/>
            <w:vAlign w:val="bottom"/>
          </w:tcPr>
          <w:p w:rsidR="00571152" w:rsidRPr="00CD6245" w:rsidRDefault="00571152" w:rsidP="00571152">
            <w:pPr>
              <w:jc w:val="right"/>
              <w:rPr>
                <w:rFonts w:ascii="Calibri" w:hAnsi="Calibri"/>
                <w:color w:val="000000"/>
                <w:sz w:val="20"/>
                <w:szCs w:val="20"/>
              </w:rPr>
            </w:pPr>
            <w:r w:rsidRPr="00CD6245">
              <w:rPr>
                <w:rFonts w:ascii="Calibri" w:hAnsi="Calibri"/>
                <w:color w:val="000000"/>
                <w:sz w:val="20"/>
                <w:szCs w:val="20"/>
              </w:rPr>
              <w:t>3</w:t>
            </w:r>
          </w:p>
        </w:tc>
        <w:tc>
          <w:tcPr>
            <w:tcW w:w="1004" w:type="dxa"/>
            <w:vAlign w:val="bottom"/>
          </w:tcPr>
          <w:p w:rsidR="00571152" w:rsidRPr="00CD6245" w:rsidRDefault="00571152" w:rsidP="00571152">
            <w:pPr>
              <w:jc w:val="right"/>
              <w:rPr>
                <w:rFonts w:ascii="Calibri" w:hAnsi="Calibri"/>
                <w:color w:val="000000"/>
                <w:sz w:val="20"/>
                <w:szCs w:val="20"/>
              </w:rPr>
            </w:pPr>
            <w:r w:rsidRPr="00CD6245">
              <w:rPr>
                <w:rFonts w:ascii="Calibri" w:hAnsi="Calibri"/>
                <w:color w:val="000000"/>
                <w:sz w:val="20"/>
                <w:szCs w:val="20"/>
              </w:rPr>
              <w:t>74</w:t>
            </w:r>
          </w:p>
        </w:tc>
      </w:tr>
      <w:tr w:rsidR="00571152" w:rsidRPr="00CD6245" w:rsidTr="00571152">
        <w:trPr>
          <w:trHeight w:val="269"/>
        </w:trPr>
        <w:tc>
          <w:tcPr>
            <w:tcW w:w="2977" w:type="dxa"/>
            <w:shd w:val="clear" w:color="auto" w:fill="auto"/>
          </w:tcPr>
          <w:p w:rsidR="00571152" w:rsidRPr="00CD6245" w:rsidRDefault="00571152" w:rsidP="00571152">
            <w:pPr>
              <w:pStyle w:val="TableText"/>
            </w:pPr>
            <w:r w:rsidRPr="00CD6245">
              <w:t>Education and Training</w:t>
            </w:r>
          </w:p>
        </w:tc>
        <w:tc>
          <w:tcPr>
            <w:tcW w:w="1417" w:type="dxa"/>
            <w:shd w:val="clear" w:color="auto" w:fill="auto"/>
            <w:vAlign w:val="bottom"/>
          </w:tcPr>
          <w:p w:rsidR="00571152" w:rsidRPr="00CD6245" w:rsidRDefault="00571152" w:rsidP="00571152">
            <w:pPr>
              <w:jc w:val="right"/>
              <w:rPr>
                <w:rFonts w:ascii="Calibri" w:hAnsi="Calibri"/>
                <w:color w:val="000000"/>
                <w:sz w:val="20"/>
                <w:szCs w:val="20"/>
              </w:rPr>
            </w:pPr>
            <w:r w:rsidRPr="00CD6245">
              <w:rPr>
                <w:rFonts w:ascii="Calibri" w:hAnsi="Calibri"/>
                <w:color w:val="000000"/>
                <w:sz w:val="20"/>
                <w:szCs w:val="20"/>
              </w:rPr>
              <w:t>7</w:t>
            </w:r>
          </w:p>
        </w:tc>
        <w:tc>
          <w:tcPr>
            <w:tcW w:w="1138" w:type="dxa"/>
            <w:shd w:val="clear" w:color="auto" w:fill="auto"/>
            <w:noWrap/>
            <w:vAlign w:val="bottom"/>
          </w:tcPr>
          <w:p w:rsidR="00571152" w:rsidRPr="00CD6245" w:rsidRDefault="00571152" w:rsidP="00571152">
            <w:pPr>
              <w:jc w:val="right"/>
              <w:rPr>
                <w:rFonts w:ascii="Calibri" w:hAnsi="Calibri"/>
                <w:color w:val="000000"/>
                <w:sz w:val="20"/>
                <w:szCs w:val="20"/>
              </w:rPr>
            </w:pPr>
            <w:r w:rsidRPr="00CD6245">
              <w:rPr>
                <w:rFonts w:ascii="Calibri" w:hAnsi="Calibri"/>
                <w:color w:val="000000"/>
                <w:sz w:val="20"/>
                <w:szCs w:val="20"/>
              </w:rPr>
              <w:t>217</w:t>
            </w:r>
          </w:p>
        </w:tc>
        <w:tc>
          <w:tcPr>
            <w:tcW w:w="953" w:type="dxa"/>
            <w:vAlign w:val="bottom"/>
          </w:tcPr>
          <w:p w:rsidR="00571152" w:rsidRPr="00CD6245" w:rsidRDefault="00571152" w:rsidP="00571152">
            <w:pPr>
              <w:jc w:val="right"/>
              <w:rPr>
                <w:rFonts w:ascii="Calibri" w:hAnsi="Calibri"/>
                <w:color w:val="000000"/>
                <w:sz w:val="20"/>
                <w:szCs w:val="20"/>
              </w:rPr>
            </w:pPr>
            <w:r w:rsidRPr="00CD6245">
              <w:rPr>
                <w:rFonts w:ascii="Calibri" w:hAnsi="Calibri"/>
                <w:color w:val="000000"/>
                <w:sz w:val="20"/>
                <w:szCs w:val="20"/>
              </w:rPr>
              <w:t>30</w:t>
            </w:r>
          </w:p>
        </w:tc>
        <w:tc>
          <w:tcPr>
            <w:tcW w:w="1004" w:type="dxa"/>
            <w:vAlign w:val="bottom"/>
          </w:tcPr>
          <w:p w:rsidR="00571152" w:rsidRPr="00CD6245" w:rsidRDefault="00571152" w:rsidP="00571152">
            <w:pPr>
              <w:jc w:val="right"/>
              <w:rPr>
                <w:rFonts w:ascii="Calibri" w:hAnsi="Calibri"/>
                <w:color w:val="000000"/>
                <w:sz w:val="20"/>
                <w:szCs w:val="20"/>
              </w:rPr>
            </w:pPr>
            <w:r w:rsidRPr="00CD6245">
              <w:rPr>
                <w:rFonts w:ascii="Calibri" w:hAnsi="Calibri"/>
                <w:color w:val="000000"/>
                <w:sz w:val="20"/>
                <w:szCs w:val="20"/>
              </w:rPr>
              <w:t>..</w:t>
            </w:r>
          </w:p>
        </w:tc>
        <w:tc>
          <w:tcPr>
            <w:tcW w:w="1004" w:type="dxa"/>
            <w:vAlign w:val="bottom"/>
          </w:tcPr>
          <w:p w:rsidR="00571152" w:rsidRPr="00CD6245" w:rsidRDefault="00571152" w:rsidP="00571152">
            <w:pPr>
              <w:jc w:val="right"/>
              <w:rPr>
                <w:rFonts w:ascii="Calibri" w:hAnsi="Calibri"/>
                <w:color w:val="000000"/>
                <w:sz w:val="20"/>
                <w:szCs w:val="20"/>
              </w:rPr>
            </w:pPr>
            <w:r w:rsidRPr="00CD6245">
              <w:rPr>
                <w:rFonts w:ascii="Calibri" w:hAnsi="Calibri"/>
                <w:color w:val="000000"/>
                <w:sz w:val="20"/>
                <w:szCs w:val="20"/>
              </w:rPr>
              <w:t>254</w:t>
            </w:r>
          </w:p>
        </w:tc>
      </w:tr>
      <w:tr w:rsidR="00571152" w:rsidRPr="00CD6245" w:rsidTr="00571152">
        <w:trPr>
          <w:trHeight w:val="269"/>
        </w:trPr>
        <w:tc>
          <w:tcPr>
            <w:tcW w:w="2977" w:type="dxa"/>
            <w:shd w:val="clear" w:color="auto" w:fill="auto"/>
          </w:tcPr>
          <w:p w:rsidR="00571152" w:rsidRPr="00CD6245" w:rsidRDefault="00571152" w:rsidP="00571152">
            <w:pPr>
              <w:pStyle w:val="TableText"/>
            </w:pPr>
            <w:r w:rsidRPr="00CD6245">
              <w:t>Environment, Land, Water and Planning</w:t>
            </w:r>
          </w:p>
        </w:tc>
        <w:tc>
          <w:tcPr>
            <w:tcW w:w="1417" w:type="dxa"/>
            <w:shd w:val="clear" w:color="auto" w:fill="auto"/>
            <w:vAlign w:val="bottom"/>
          </w:tcPr>
          <w:p w:rsidR="00571152" w:rsidRPr="00CD6245" w:rsidRDefault="00571152" w:rsidP="00571152">
            <w:pPr>
              <w:jc w:val="right"/>
              <w:rPr>
                <w:rFonts w:ascii="Calibri" w:hAnsi="Calibri"/>
                <w:color w:val="000000"/>
                <w:sz w:val="20"/>
                <w:szCs w:val="20"/>
              </w:rPr>
            </w:pPr>
            <w:r w:rsidRPr="00CD6245">
              <w:rPr>
                <w:rFonts w:ascii="Calibri" w:hAnsi="Calibri"/>
                <w:color w:val="000000"/>
                <w:sz w:val="20"/>
                <w:szCs w:val="20"/>
              </w:rPr>
              <w:t>75</w:t>
            </w:r>
          </w:p>
        </w:tc>
        <w:tc>
          <w:tcPr>
            <w:tcW w:w="1138" w:type="dxa"/>
            <w:shd w:val="clear" w:color="auto" w:fill="auto"/>
            <w:noWrap/>
            <w:vAlign w:val="bottom"/>
          </w:tcPr>
          <w:p w:rsidR="00571152" w:rsidRPr="00CD6245" w:rsidRDefault="00571152" w:rsidP="00571152">
            <w:pPr>
              <w:jc w:val="right"/>
              <w:rPr>
                <w:rFonts w:ascii="Calibri" w:hAnsi="Calibri"/>
                <w:color w:val="000000"/>
                <w:sz w:val="20"/>
                <w:szCs w:val="20"/>
              </w:rPr>
            </w:pPr>
            <w:r w:rsidRPr="00CD6245">
              <w:rPr>
                <w:rFonts w:ascii="Calibri" w:hAnsi="Calibri"/>
                <w:color w:val="000000"/>
                <w:sz w:val="20"/>
                <w:szCs w:val="20"/>
              </w:rPr>
              <w:t>5</w:t>
            </w:r>
          </w:p>
        </w:tc>
        <w:tc>
          <w:tcPr>
            <w:tcW w:w="953" w:type="dxa"/>
            <w:vAlign w:val="bottom"/>
          </w:tcPr>
          <w:p w:rsidR="00571152" w:rsidRPr="00CD6245" w:rsidRDefault="00571152" w:rsidP="00571152">
            <w:pPr>
              <w:jc w:val="right"/>
              <w:rPr>
                <w:rFonts w:ascii="Calibri" w:hAnsi="Calibri"/>
                <w:color w:val="000000"/>
                <w:sz w:val="20"/>
                <w:szCs w:val="20"/>
              </w:rPr>
            </w:pPr>
            <w:r w:rsidRPr="00CD6245">
              <w:rPr>
                <w:rFonts w:ascii="Calibri" w:hAnsi="Calibri"/>
                <w:color w:val="000000"/>
                <w:sz w:val="20"/>
                <w:szCs w:val="20"/>
              </w:rPr>
              <w:t>28</w:t>
            </w:r>
          </w:p>
        </w:tc>
        <w:tc>
          <w:tcPr>
            <w:tcW w:w="1004" w:type="dxa"/>
            <w:vAlign w:val="bottom"/>
          </w:tcPr>
          <w:p w:rsidR="00571152" w:rsidRPr="00CD6245" w:rsidRDefault="00571152" w:rsidP="00571152">
            <w:pPr>
              <w:jc w:val="right"/>
              <w:rPr>
                <w:rFonts w:ascii="Calibri" w:hAnsi="Calibri"/>
                <w:color w:val="000000"/>
                <w:sz w:val="20"/>
                <w:szCs w:val="20"/>
              </w:rPr>
            </w:pPr>
            <w:r w:rsidRPr="00CD6245">
              <w:rPr>
                <w:rFonts w:ascii="Calibri" w:hAnsi="Calibri"/>
                <w:color w:val="000000"/>
                <w:sz w:val="20"/>
                <w:szCs w:val="20"/>
              </w:rPr>
              <w:t>6</w:t>
            </w:r>
          </w:p>
        </w:tc>
        <w:tc>
          <w:tcPr>
            <w:tcW w:w="1004" w:type="dxa"/>
            <w:vAlign w:val="bottom"/>
          </w:tcPr>
          <w:p w:rsidR="00571152" w:rsidRPr="00CD6245" w:rsidRDefault="00571152" w:rsidP="00571152">
            <w:pPr>
              <w:jc w:val="right"/>
              <w:rPr>
                <w:rFonts w:ascii="Calibri" w:hAnsi="Calibri"/>
                <w:color w:val="000000"/>
                <w:sz w:val="20"/>
                <w:szCs w:val="20"/>
              </w:rPr>
            </w:pPr>
            <w:r w:rsidRPr="00CD6245">
              <w:rPr>
                <w:rFonts w:ascii="Calibri" w:hAnsi="Calibri"/>
                <w:color w:val="000000"/>
                <w:sz w:val="20"/>
                <w:szCs w:val="20"/>
              </w:rPr>
              <w:t>114</w:t>
            </w:r>
          </w:p>
        </w:tc>
      </w:tr>
      <w:tr w:rsidR="00571152" w:rsidRPr="00CD6245" w:rsidTr="00571152">
        <w:trPr>
          <w:trHeight w:val="255"/>
        </w:trPr>
        <w:tc>
          <w:tcPr>
            <w:tcW w:w="2977" w:type="dxa"/>
            <w:shd w:val="clear" w:color="auto" w:fill="auto"/>
          </w:tcPr>
          <w:p w:rsidR="00571152" w:rsidRPr="00CD6245" w:rsidRDefault="00571152" w:rsidP="00571152">
            <w:pPr>
              <w:pStyle w:val="TableText"/>
            </w:pPr>
            <w:r w:rsidRPr="00CD6245">
              <w:t>Health and Human Services</w:t>
            </w:r>
          </w:p>
        </w:tc>
        <w:tc>
          <w:tcPr>
            <w:tcW w:w="1417" w:type="dxa"/>
            <w:shd w:val="clear" w:color="auto" w:fill="auto"/>
            <w:vAlign w:val="bottom"/>
          </w:tcPr>
          <w:p w:rsidR="00571152" w:rsidRPr="00CD6245" w:rsidRDefault="00571152" w:rsidP="00571152">
            <w:pPr>
              <w:jc w:val="right"/>
              <w:rPr>
                <w:rFonts w:ascii="Calibri" w:hAnsi="Calibri"/>
                <w:color w:val="000000"/>
                <w:sz w:val="20"/>
                <w:szCs w:val="20"/>
              </w:rPr>
            </w:pPr>
            <w:r w:rsidRPr="00CD6245">
              <w:rPr>
                <w:rFonts w:ascii="Calibri" w:hAnsi="Calibri"/>
                <w:color w:val="000000"/>
                <w:sz w:val="20"/>
                <w:szCs w:val="20"/>
              </w:rPr>
              <w:t>3</w:t>
            </w:r>
          </w:p>
        </w:tc>
        <w:tc>
          <w:tcPr>
            <w:tcW w:w="1138" w:type="dxa"/>
            <w:shd w:val="clear" w:color="auto" w:fill="auto"/>
            <w:noWrap/>
            <w:vAlign w:val="bottom"/>
          </w:tcPr>
          <w:p w:rsidR="00571152" w:rsidRPr="00CD6245" w:rsidRDefault="00571152" w:rsidP="00571152">
            <w:pPr>
              <w:jc w:val="right"/>
              <w:rPr>
                <w:rFonts w:ascii="Calibri" w:hAnsi="Calibri"/>
                <w:color w:val="000000"/>
                <w:sz w:val="20"/>
                <w:szCs w:val="20"/>
              </w:rPr>
            </w:pPr>
            <w:r w:rsidRPr="00CD6245">
              <w:rPr>
                <w:rFonts w:ascii="Calibri" w:hAnsi="Calibri"/>
                <w:color w:val="000000"/>
                <w:sz w:val="20"/>
                <w:szCs w:val="20"/>
              </w:rPr>
              <w:t>10</w:t>
            </w:r>
          </w:p>
        </w:tc>
        <w:tc>
          <w:tcPr>
            <w:tcW w:w="953" w:type="dxa"/>
            <w:vAlign w:val="bottom"/>
          </w:tcPr>
          <w:p w:rsidR="00571152" w:rsidRPr="00CD6245" w:rsidRDefault="00571152" w:rsidP="00571152">
            <w:pPr>
              <w:jc w:val="right"/>
              <w:rPr>
                <w:rFonts w:ascii="Calibri" w:hAnsi="Calibri"/>
                <w:color w:val="000000"/>
                <w:sz w:val="20"/>
                <w:szCs w:val="20"/>
              </w:rPr>
            </w:pPr>
            <w:r w:rsidRPr="00CD6245">
              <w:rPr>
                <w:rFonts w:ascii="Calibri" w:hAnsi="Calibri"/>
                <w:color w:val="000000"/>
                <w:sz w:val="20"/>
                <w:szCs w:val="20"/>
              </w:rPr>
              <w:t>2</w:t>
            </w:r>
          </w:p>
        </w:tc>
        <w:tc>
          <w:tcPr>
            <w:tcW w:w="1004" w:type="dxa"/>
            <w:vAlign w:val="bottom"/>
          </w:tcPr>
          <w:p w:rsidR="00571152" w:rsidRPr="00CD6245" w:rsidRDefault="00571152" w:rsidP="00571152">
            <w:pPr>
              <w:jc w:val="right"/>
              <w:rPr>
                <w:rFonts w:ascii="Calibri" w:hAnsi="Calibri"/>
                <w:color w:val="000000"/>
                <w:sz w:val="20"/>
                <w:szCs w:val="20"/>
              </w:rPr>
            </w:pPr>
            <w:r w:rsidRPr="00CD6245">
              <w:rPr>
                <w:rFonts w:ascii="Calibri" w:hAnsi="Calibri"/>
                <w:color w:val="000000"/>
                <w:sz w:val="20"/>
                <w:szCs w:val="20"/>
              </w:rPr>
              <w:t>83</w:t>
            </w:r>
          </w:p>
        </w:tc>
        <w:tc>
          <w:tcPr>
            <w:tcW w:w="1004" w:type="dxa"/>
            <w:vAlign w:val="bottom"/>
          </w:tcPr>
          <w:p w:rsidR="00571152" w:rsidRPr="00CD6245" w:rsidRDefault="00571152" w:rsidP="00571152">
            <w:pPr>
              <w:jc w:val="right"/>
              <w:rPr>
                <w:rFonts w:ascii="Calibri" w:hAnsi="Calibri"/>
                <w:color w:val="000000"/>
                <w:sz w:val="20"/>
                <w:szCs w:val="20"/>
              </w:rPr>
            </w:pPr>
            <w:r w:rsidRPr="00CD6245">
              <w:rPr>
                <w:rFonts w:ascii="Calibri" w:hAnsi="Calibri"/>
                <w:color w:val="000000"/>
                <w:sz w:val="20"/>
                <w:szCs w:val="20"/>
              </w:rPr>
              <w:t>98</w:t>
            </w:r>
          </w:p>
        </w:tc>
      </w:tr>
      <w:tr w:rsidR="00571152" w:rsidRPr="00CD6245" w:rsidTr="00571152">
        <w:trPr>
          <w:trHeight w:val="255"/>
        </w:trPr>
        <w:tc>
          <w:tcPr>
            <w:tcW w:w="2977" w:type="dxa"/>
            <w:shd w:val="clear" w:color="auto" w:fill="auto"/>
          </w:tcPr>
          <w:p w:rsidR="00571152" w:rsidRPr="00CD6245" w:rsidRDefault="00571152" w:rsidP="00571152">
            <w:pPr>
              <w:pStyle w:val="TableText"/>
            </w:pPr>
            <w:r w:rsidRPr="00CD6245">
              <w:t>Justice and Regulation</w:t>
            </w:r>
          </w:p>
        </w:tc>
        <w:tc>
          <w:tcPr>
            <w:tcW w:w="1417" w:type="dxa"/>
            <w:shd w:val="clear" w:color="auto" w:fill="auto"/>
            <w:vAlign w:val="bottom"/>
          </w:tcPr>
          <w:p w:rsidR="00571152" w:rsidRPr="00CD6245" w:rsidRDefault="00571152" w:rsidP="00571152">
            <w:pPr>
              <w:jc w:val="right"/>
              <w:rPr>
                <w:rFonts w:ascii="Calibri" w:hAnsi="Calibri"/>
                <w:color w:val="000000"/>
                <w:sz w:val="20"/>
                <w:szCs w:val="20"/>
              </w:rPr>
            </w:pPr>
            <w:r w:rsidRPr="00CD6245">
              <w:rPr>
                <w:rFonts w:ascii="Calibri" w:hAnsi="Calibri"/>
                <w:color w:val="000000"/>
                <w:sz w:val="20"/>
                <w:szCs w:val="20"/>
              </w:rPr>
              <w:t>18</w:t>
            </w:r>
          </w:p>
        </w:tc>
        <w:tc>
          <w:tcPr>
            <w:tcW w:w="1138" w:type="dxa"/>
            <w:shd w:val="clear" w:color="auto" w:fill="auto"/>
            <w:noWrap/>
            <w:vAlign w:val="bottom"/>
          </w:tcPr>
          <w:p w:rsidR="00571152" w:rsidRPr="00CD6245" w:rsidRDefault="00571152" w:rsidP="00571152">
            <w:pPr>
              <w:jc w:val="right"/>
              <w:rPr>
                <w:rFonts w:ascii="Calibri" w:hAnsi="Calibri"/>
                <w:color w:val="000000"/>
                <w:sz w:val="20"/>
                <w:szCs w:val="20"/>
              </w:rPr>
            </w:pPr>
            <w:r w:rsidRPr="00CD6245">
              <w:rPr>
                <w:rFonts w:ascii="Calibri" w:hAnsi="Calibri"/>
                <w:color w:val="000000"/>
                <w:sz w:val="20"/>
                <w:szCs w:val="20"/>
              </w:rPr>
              <w:t>15</w:t>
            </w:r>
          </w:p>
        </w:tc>
        <w:tc>
          <w:tcPr>
            <w:tcW w:w="953" w:type="dxa"/>
            <w:vAlign w:val="bottom"/>
          </w:tcPr>
          <w:p w:rsidR="00571152" w:rsidRPr="00CD6245" w:rsidRDefault="00571152" w:rsidP="00571152">
            <w:pPr>
              <w:jc w:val="right"/>
              <w:rPr>
                <w:rFonts w:ascii="Calibri" w:hAnsi="Calibri"/>
                <w:color w:val="000000"/>
                <w:sz w:val="20"/>
                <w:szCs w:val="20"/>
              </w:rPr>
            </w:pPr>
            <w:r w:rsidRPr="00CD6245">
              <w:rPr>
                <w:rFonts w:ascii="Calibri" w:hAnsi="Calibri"/>
                <w:color w:val="000000"/>
                <w:sz w:val="20"/>
                <w:szCs w:val="20"/>
              </w:rPr>
              <w:t>24</w:t>
            </w:r>
          </w:p>
        </w:tc>
        <w:tc>
          <w:tcPr>
            <w:tcW w:w="1004" w:type="dxa"/>
            <w:vAlign w:val="bottom"/>
          </w:tcPr>
          <w:p w:rsidR="00571152" w:rsidRPr="00CD6245" w:rsidRDefault="00571152" w:rsidP="00571152">
            <w:pPr>
              <w:jc w:val="right"/>
              <w:rPr>
                <w:rFonts w:ascii="Calibri" w:hAnsi="Calibri"/>
                <w:color w:val="000000"/>
                <w:sz w:val="20"/>
                <w:szCs w:val="20"/>
              </w:rPr>
            </w:pPr>
            <w:r w:rsidRPr="00CD6245">
              <w:rPr>
                <w:rFonts w:ascii="Calibri" w:hAnsi="Calibri"/>
                <w:color w:val="000000"/>
                <w:sz w:val="20"/>
                <w:szCs w:val="20"/>
              </w:rPr>
              <w:t>6</w:t>
            </w:r>
          </w:p>
        </w:tc>
        <w:tc>
          <w:tcPr>
            <w:tcW w:w="1004" w:type="dxa"/>
            <w:vAlign w:val="bottom"/>
          </w:tcPr>
          <w:p w:rsidR="00571152" w:rsidRPr="00CD6245" w:rsidRDefault="00571152" w:rsidP="00571152">
            <w:pPr>
              <w:jc w:val="right"/>
              <w:rPr>
                <w:rFonts w:ascii="Calibri" w:hAnsi="Calibri"/>
                <w:color w:val="000000"/>
                <w:sz w:val="20"/>
                <w:szCs w:val="20"/>
              </w:rPr>
            </w:pPr>
            <w:r w:rsidRPr="00CD6245">
              <w:rPr>
                <w:rFonts w:ascii="Calibri" w:hAnsi="Calibri"/>
                <w:color w:val="000000"/>
                <w:sz w:val="20"/>
                <w:szCs w:val="20"/>
              </w:rPr>
              <w:t>63</w:t>
            </w:r>
          </w:p>
        </w:tc>
      </w:tr>
      <w:tr w:rsidR="00571152" w:rsidRPr="00CD6245" w:rsidTr="00571152">
        <w:trPr>
          <w:trHeight w:val="255"/>
        </w:trPr>
        <w:tc>
          <w:tcPr>
            <w:tcW w:w="2977" w:type="dxa"/>
            <w:shd w:val="clear" w:color="auto" w:fill="auto"/>
          </w:tcPr>
          <w:p w:rsidR="00571152" w:rsidRPr="00CD6245" w:rsidRDefault="00571152" w:rsidP="00571152">
            <w:pPr>
              <w:pStyle w:val="TableText"/>
            </w:pPr>
            <w:r w:rsidRPr="00CD6245">
              <w:t>Premier and Cabinet</w:t>
            </w:r>
          </w:p>
        </w:tc>
        <w:tc>
          <w:tcPr>
            <w:tcW w:w="1417" w:type="dxa"/>
            <w:shd w:val="clear" w:color="auto" w:fill="auto"/>
            <w:vAlign w:val="bottom"/>
          </w:tcPr>
          <w:p w:rsidR="00571152" w:rsidRPr="00CD6245" w:rsidRDefault="00571152" w:rsidP="00571152">
            <w:pPr>
              <w:jc w:val="right"/>
              <w:rPr>
                <w:rFonts w:ascii="Calibri" w:hAnsi="Calibri"/>
                <w:color w:val="000000"/>
                <w:sz w:val="20"/>
                <w:szCs w:val="20"/>
              </w:rPr>
            </w:pPr>
            <w:r w:rsidRPr="00CD6245">
              <w:rPr>
                <w:rFonts w:ascii="Calibri" w:hAnsi="Calibri"/>
                <w:color w:val="000000"/>
                <w:sz w:val="20"/>
                <w:szCs w:val="20"/>
              </w:rPr>
              <w:t>27</w:t>
            </w:r>
          </w:p>
        </w:tc>
        <w:tc>
          <w:tcPr>
            <w:tcW w:w="1138" w:type="dxa"/>
            <w:shd w:val="clear" w:color="auto" w:fill="auto"/>
            <w:noWrap/>
            <w:vAlign w:val="bottom"/>
          </w:tcPr>
          <w:p w:rsidR="00571152" w:rsidRPr="00CD6245" w:rsidRDefault="00571152" w:rsidP="00571152">
            <w:pPr>
              <w:jc w:val="right"/>
              <w:rPr>
                <w:rFonts w:ascii="Calibri" w:hAnsi="Calibri"/>
                <w:color w:val="000000"/>
                <w:sz w:val="20"/>
                <w:szCs w:val="20"/>
              </w:rPr>
            </w:pPr>
            <w:r w:rsidRPr="00CD6245">
              <w:rPr>
                <w:rFonts w:ascii="Calibri" w:hAnsi="Calibri"/>
                <w:color w:val="000000"/>
                <w:sz w:val="20"/>
                <w:szCs w:val="20"/>
              </w:rPr>
              <w:t>4</w:t>
            </w:r>
          </w:p>
        </w:tc>
        <w:tc>
          <w:tcPr>
            <w:tcW w:w="953" w:type="dxa"/>
            <w:vAlign w:val="bottom"/>
          </w:tcPr>
          <w:p w:rsidR="00571152" w:rsidRPr="00CD6245" w:rsidRDefault="00571152" w:rsidP="00571152">
            <w:pPr>
              <w:jc w:val="right"/>
              <w:rPr>
                <w:rFonts w:ascii="Calibri" w:hAnsi="Calibri"/>
                <w:color w:val="000000"/>
                <w:sz w:val="20"/>
                <w:szCs w:val="20"/>
              </w:rPr>
            </w:pPr>
            <w:r w:rsidRPr="00CD6245">
              <w:rPr>
                <w:rFonts w:ascii="Calibri" w:hAnsi="Calibri"/>
                <w:color w:val="000000"/>
                <w:sz w:val="20"/>
                <w:szCs w:val="20"/>
              </w:rPr>
              <w:t>1</w:t>
            </w:r>
          </w:p>
        </w:tc>
        <w:tc>
          <w:tcPr>
            <w:tcW w:w="1004" w:type="dxa"/>
            <w:vAlign w:val="bottom"/>
          </w:tcPr>
          <w:p w:rsidR="00571152" w:rsidRPr="00CD6245" w:rsidRDefault="00571152" w:rsidP="00571152">
            <w:pPr>
              <w:jc w:val="right"/>
              <w:rPr>
                <w:rFonts w:ascii="Calibri" w:hAnsi="Calibri"/>
                <w:color w:val="000000"/>
                <w:sz w:val="20"/>
                <w:szCs w:val="20"/>
              </w:rPr>
            </w:pPr>
            <w:r w:rsidRPr="00CD6245">
              <w:rPr>
                <w:rFonts w:ascii="Calibri" w:hAnsi="Calibri"/>
                <w:color w:val="000000"/>
                <w:sz w:val="20"/>
                <w:szCs w:val="20"/>
              </w:rPr>
              <w:t>..</w:t>
            </w:r>
          </w:p>
        </w:tc>
        <w:tc>
          <w:tcPr>
            <w:tcW w:w="1004" w:type="dxa"/>
            <w:vAlign w:val="bottom"/>
          </w:tcPr>
          <w:p w:rsidR="00571152" w:rsidRPr="00CD6245" w:rsidRDefault="00571152" w:rsidP="00571152">
            <w:pPr>
              <w:jc w:val="right"/>
              <w:rPr>
                <w:rFonts w:ascii="Calibri" w:hAnsi="Calibri"/>
                <w:color w:val="000000"/>
                <w:sz w:val="20"/>
                <w:szCs w:val="20"/>
              </w:rPr>
            </w:pPr>
            <w:r w:rsidRPr="00CD6245">
              <w:rPr>
                <w:rFonts w:ascii="Calibri" w:hAnsi="Calibri"/>
                <w:color w:val="000000"/>
                <w:sz w:val="20"/>
                <w:szCs w:val="20"/>
              </w:rPr>
              <w:t>32</w:t>
            </w:r>
          </w:p>
        </w:tc>
      </w:tr>
      <w:tr w:rsidR="00571152" w:rsidRPr="00CD6245" w:rsidTr="00571152">
        <w:trPr>
          <w:trHeight w:val="335"/>
        </w:trPr>
        <w:tc>
          <w:tcPr>
            <w:tcW w:w="2977" w:type="dxa"/>
            <w:shd w:val="clear" w:color="auto" w:fill="auto"/>
          </w:tcPr>
          <w:p w:rsidR="00571152" w:rsidRPr="00CD6245" w:rsidRDefault="00571152" w:rsidP="00571152">
            <w:pPr>
              <w:pStyle w:val="TableText"/>
            </w:pPr>
            <w:r w:rsidRPr="00CD6245">
              <w:t>Treasury and Finance</w:t>
            </w:r>
          </w:p>
        </w:tc>
        <w:tc>
          <w:tcPr>
            <w:tcW w:w="1417" w:type="dxa"/>
            <w:shd w:val="clear" w:color="auto" w:fill="auto"/>
            <w:vAlign w:val="bottom"/>
          </w:tcPr>
          <w:p w:rsidR="00571152" w:rsidRPr="00CD6245" w:rsidRDefault="00571152" w:rsidP="00571152">
            <w:pPr>
              <w:jc w:val="right"/>
              <w:rPr>
                <w:rFonts w:ascii="Calibri" w:hAnsi="Calibri"/>
                <w:color w:val="000000"/>
                <w:sz w:val="20"/>
                <w:szCs w:val="20"/>
              </w:rPr>
            </w:pPr>
            <w:r w:rsidRPr="00CD6245">
              <w:rPr>
                <w:rFonts w:ascii="Calibri" w:hAnsi="Calibri"/>
                <w:color w:val="000000"/>
                <w:sz w:val="20"/>
                <w:szCs w:val="20"/>
              </w:rPr>
              <w:t>25</w:t>
            </w:r>
          </w:p>
        </w:tc>
        <w:tc>
          <w:tcPr>
            <w:tcW w:w="1138" w:type="dxa"/>
            <w:shd w:val="clear" w:color="auto" w:fill="auto"/>
            <w:noWrap/>
            <w:vAlign w:val="bottom"/>
          </w:tcPr>
          <w:p w:rsidR="00571152" w:rsidRPr="00CD6245" w:rsidRDefault="00571152" w:rsidP="00571152">
            <w:pPr>
              <w:jc w:val="right"/>
              <w:rPr>
                <w:rFonts w:ascii="Calibri" w:hAnsi="Calibri"/>
                <w:color w:val="000000"/>
                <w:sz w:val="20"/>
                <w:szCs w:val="20"/>
              </w:rPr>
            </w:pPr>
            <w:r w:rsidRPr="00CD6245">
              <w:rPr>
                <w:rFonts w:ascii="Calibri" w:hAnsi="Calibri"/>
                <w:color w:val="000000"/>
                <w:sz w:val="20"/>
                <w:szCs w:val="20"/>
              </w:rPr>
              <w:t>1</w:t>
            </w:r>
          </w:p>
        </w:tc>
        <w:tc>
          <w:tcPr>
            <w:tcW w:w="953" w:type="dxa"/>
            <w:vAlign w:val="bottom"/>
          </w:tcPr>
          <w:p w:rsidR="00571152" w:rsidRPr="00CD6245" w:rsidRDefault="00571152" w:rsidP="00571152">
            <w:pPr>
              <w:jc w:val="right"/>
              <w:rPr>
                <w:rFonts w:ascii="Calibri" w:hAnsi="Calibri"/>
                <w:color w:val="000000"/>
                <w:sz w:val="20"/>
                <w:szCs w:val="20"/>
              </w:rPr>
            </w:pPr>
            <w:r w:rsidRPr="00CD6245">
              <w:rPr>
                <w:rFonts w:ascii="Calibri" w:hAnsi="Calibri"/>
                <w:color w:val="000000"/>
                <w:sz w:val="20"/>
                <w:szCs w:val="20"/>
              </w:rPr>
              <w:t>..</w:t>
            </w:r>
          </w:p>
        </w:tc>
        <w:tc>
          <w:tcPr>
            <w:tcW w:w="1004" w:type="dxa"/>
            <w:vAlign w:val="bottom"/>
          </w:tcPr>
          <w:p w:rsidR="00571152" w:rsidRPr="00CD6245" w:rsidRDefault="00571152" w:rsidP="00571152">
            <w:pPr>
              <w:jc w:val="right"/>
              <w:rPr>
                <w:rFonts w:ascii="Calibri" w:hAnsi="Calibri"/>
                <w:color w:val="000000"/>
                <w:sz w:val="20"/>
                <w:szCs w:val="20"/>
              </w:rPr>
            </w:pPr>
            <w:r w:rsidRPr="00CD6245">
              <w:rPr>
                <w:rFonts w:ascii="Calibri" w:hAnsi="Calibri"/>
                <w:color w:val="000000"/>
                <w:sz w:val="20"/>
                <w:szCs w:val="20"/>
              </w:rPr>
              <w:t>4</w:t>
            </w:r>
          </w:p>
        </w:tc>
        <w:tc>
          <w:tcPr>
            <w:tcW w:w="1004" w:type="dxa"/>
            <w:vAlign w:val="bottom"/>
          </w:tcPr>
          <w:p w:rsidR="00571152" w:rsidRPr="00CD6245" w:rsidRDefault="00571152" w:rsidP="00571152">
            <w:pPr>
              <w:jc w:val="right"/>
              <w:rPr>
                <w:rFonts w:ascii="Calibri" w:hAnsi="Calibri"/>
                <w:color w:val="000000"/>
                <w:sz w:val="20"/>
                <w:szCs w:val="20"/>
              </w:rPr>
            </w:pPr>
            <w:r w:rsidRPr="00CD6245">
              <w:rPr>
                <w:rFonts w:ascii="Calibri" w:hAnsi="Calibri"/>
                <w:color w:val="000000"/>
                <w:sz w:val="20"/>
                <w:szCs w:val="20"/>
              </w:rPr>
              <w:t>30</w:t>
            </w:r>
          </w:p>
        </w:tc>
      </w:tr>
      <w:tr w:rsidR="00571152" w:rsidRPr="00CD6245" w:rsidTr="00571152">
        <w:trPr>
          <w:trHeight w:val="255"/>
        </w:trPr>
        <w:tc>
          <w:tcPr>
            <w:tcW w:w="2977" w:type="dxa"/>
            <w:shd w:val="clear" w:color="auto" w:fill="auto"/>
          </w:tcPr>
          <w:p w:rsidR="00571152" w:rsidRPr="00CD6245" w:rsidRDefault="00571152" w:rsidP="00571152">
            <w:pPr>
              <w:pStyle w:val="TableText"/>
            </w:pPr>
            <w:r w:rsidRPr="00CD6245">
              <w:t>VicRoads</w:t>
            </w:r>
          </w:p>
        </w:tc>
        <w:tc>
          <w:tcPr>
            <w:tcW w:w="1417" w:type="dxa"/>
            <w:shd w:val="clear" w:color="auto" w:fill="auto"/>
            <w:vAlign w:val="bottom"/>
          </w:tcPr>
          <w:p w:rsidR="00571152" w:rsidRPr="00CD6245" w:rsidRDefault="00571152" w:rsidP="00571152">
            <w:pPr>
              <w:jc w:val="right"/>
              <w:rPr>
                <w:rFonts w:ascii="Calibri" w:hAnsi="Calibri"/>
                <w:color w:val="000000"/>
                <w:sz w:val="20"/>
                <w:szCs w:val="20"/>
              </w:rPr>
            </w:pPr>
            <w:r w:rsidRPr="00CD6245">
              <w:rPr>
                <w:rFonts w:ascii="Calibri" w:hAnsi="Calibri"/>
                <w:color w:val="000000"/>
                <w:sz w:val="20"/>
                <w:szCs w:val="20"/>
              </w:rPr>
              <w:t>20</w:t>
            </w:r>
          </w:p>
        </w:tc>
        <w:tc>
          <w:tcPr>
            <w:tcW w:w="1138" w:type="dxa"/>
            <w:shd w:val="clear" w:color="auto" w:fill="auto"/>
            <w:noWrap/>
            <w:vAlign w:val="bottom"/>
          </w:tcPr>
          <w:p w:rsidR="00571152" w:rsidRPr="00CD6245" w:rsidRDefault="00571152" w:rsidP="00571152">
            <w:pPr>
              <w:jc w:val="right"/>
              <w:rPr>
                <w:rFonts w:ascii="Calibri" w:hAnsi="Calibri"/>
                <w:color w:val="000000"/>
                <w:sz w:val="20"/>
                <w:szCs w:val="20"/>
              </w:rPr>
            </w:pPr>
            <w:r w:rsidRPr="00CD6245">
              <w:rPr>
                <w:rFonts w:ascii="Calibri" w:hAnsi="Calibri"/>
                <w:color w:val="000000"/>
                <w:sz w:val="20"/>
                <w:szCs w:val="20"/>
              </w:rPr>
              <w:t>57</w:t>
            </w:r>
          </w:p>
        </w:tc>
        <w:tc>
          <w:tcPr>
            <w:tcW w:w="953" w:type="dxa"/>
            <w:vAlign w:val="bottom"/>
          </w:tcPr>
          <w:p w:rsidR="00571152" w:rsidRPr="00CD6245" w:rsidRDefault="00571152" w:rsidP="00571152">
            <w:pPr>
              <w:jc w:val="right"/>
              <w:rPr>
                <w:rFonts w:ascii="Calibri" w:hAnsi="Calibri"/>
                <w:color w:val="000000"/>
                <w:sz w:val="20"/>
                <w:szCs w:val="20"/>
              </w:rPr>
            </w:pPr>
            <w:r w:rsidRPr="00CD6245">
              <w:rPr>
                <w:rFonts w:ascii="Calibri" w:hAnsi="Calibri"/>
                <w:color w:val="000000"/>
                <w:sz w:val="20"/>
                <w:szCs w:val="20"/>
              </w:rPr>
              <w:t>..</w:t>
            </w:r>
          </w:p>
        </w:tc>
        <w:tc>
          <w:tcPr>
            <w:tcW w:w="1004" w:type="dxa"/>
            <w:vAlign w:val="bottom"/>
          </w:tcPr>
          <w:p w:rsidR="00571152" w:rsidRPr="00CD6245" w:rsidRDefault="00571152" w:rsidP="00571152">
            <w:pPr>
              <w:jc w:val="right"/>
              <w:rPr>
                <w:rFonts w:ascii="Calibri" w:hAnsi="Calibri"/>
                <w:color w:val="000000"/>
                <w:sz w:val="20"/>
                <w:szCs w:val="20"/>
              </w:rPr>
            </w:pPr>
            <w:r w:rsidRPr="00CD6245">
              <w:rPr>
                <w:rFonts w:ascii="Calibri" w:hAnsi="Calibri"/>
                <w:color w:val="000000"/>
                <w:sz w:val="20"/>
                <w:szCs w:val="20"/>
              </w:rPr>
              <w:t>..</w:t>
            </w:r>
          </w:p>
        </w:tc>
        <w:tc>
          <w:tcPr>
            <w:tcW w:w="1004" w:type="dxa"/>
            <w:vAlign w:val="bottom"/>
          </w:tcPr>
          <w:p w:rsidR="00571152" w:rsidRPr="00CD6245" w:rsidRDefault="00571152" w:rsidP="00571152">
            <w:pPr>
              <w:jc w:val="right"/>
              <w:rPr>
                <w:rFonts w:ascii="Calibri" w:hAnsi="Calibri"/>
                <w:color w:val="000000"/>
                <w:sz w:val="20"/>
                <w:szCs w:val="20"/>
              </w:rPr>
            </w:pPr>
            <w:r w:rsidRPr="00CD6245">
              <w:rPr>
                <w:rFonts w:ascii="Calibri" w:hAnsi="Calibri"/>
                <w:color w:val="000000"/>
                <w:sz w:val="20"/>
                <w:szCs w:val="20"/>
              </w:rPr>
              <w:t>77</w:t>
            </w:r>
          </w:p>
        </w:tc>
      </w:tr>
      <w:tr w:rsidR="00571152" w:rsidRPr="00CD6245" w:rsidTr="00571152">
        <w:trPr>
          <w:trHeight w:val="255"/>
        </w:trPr>
        <w:tc>
          <w:tcPr>
            <w:tcW w:w="2977" w:type="dxa"/>
            <w:shd w:val="clear" w:color="auto" w:fill="auto"/>
          </w:tcPr>
          <w:p w:rsidR="00571152" w:rsidRPr="00CD6245" w:rsidRDefault="00571152" w:rsidP="00571152">
            <w:pPr>
              <w:pStyle w:val="TableText"/>
            </w:pPr>
            <w:r w:rsidRPr="00CD6245">
              <w:t>Victoria Police</w:t>
            </w:r>
          </w:p>
        </w:tc>
        <w:tc>
          <w:tcPr>
            <w:tcW w:w="1417" w:type="dxa"/>
            <w:shd w:val="clear" w:color="auto" w:fill="auto"/>
            <w:vAlign w:val="bottom"/>
          </w:tcPr>
          <w:p w:rsidR="00571152" w:rsidRPr="00CD6245" w:rsidRDefault="00571152" w:rsidP="00571152">
            <w:pPr>
              <w:jc w:val="right"/>
              <w:rPr>
                <w:rFonts w:ascii="Calibri" w:hAnsi="Calibri"/>
                <w:color w:val="000000"/>
                <w:sz w:val="20"/>
                <w:szCs w:val="20"/>
              </w:rPr>
            </w:pPr>
            <w:r w:rsidRPr="00CD6245">
              <w:rPr>
                <w:rFonts w:ascii="Calibri" w:hAnsi="Calibri"/>
                <w:color w:val="000000"/>
                <w:sz w:val="20"/>
                <w:szCs w:val="20"/>
              </w:rPr>
              <w:t>36</w:t>
            </w:r>
          </w:p>
        </w:tc>
        <w:tc>
          <w:tcPr>
            <w:tcW w:w="1138" w:type="dxa"/>
            <w:shd w:val="clear" w:color="auto" w:fill="auto"/>
            <w:noWrap/>
            <w:vAlign w:val="bottom"/>
          </w:tcPr>
          <w:p w:rsidR="00571152" w:rsidRPr="00CD6245" w:rsidRDefault="00571152" w:rsidP="00571152">
            <w:pPr>
              <w:jc w:val="right"/>
              <w:rPr>
                <w:rFonts w:ascii="Calibri" w:hAnsi="Calibri"/>
                <w:color w:val="000000"/>
                <w:sz w:val="20"/>
                <w:szCs w:val="20"/>
              </w:rPr>
            </w:pPr>
            <w:r w:rsidRPr="00CD6245">
              <w:rPr>
                <w:rFonts w:ascii="Calibri" w:hAnsi="Calibri"/>
                <w:color w:val="000000"/>
                <w:sz w:val="20"/>
                <w:szCs w:val="20"/>
              </w:rPr>
              <w:t>2</w:t>
            </w:r>
          </w:p>
        </w:tc>
        <w:tc>
          <w:tcPr>
            <w:tcW w:w="953" w:type="dxa"/>
            <w:vAlign w:val="bottom"/>
          </w:tcPr>
          <w:p w:rsidR="00571152" w:rsidRPr="00CD6245" w:rsidRDefault="00571152" w:rsidP="00571152">
            <w:pPr>
              <w:jc w:val="right"/>
              <w:rPr>
                <w:rFonts w:ascii="Calibri" w:hAnsi="Calibri"/>
                <w:color w:val="000000"/>
                <w:sz w:val="20"/>
                <w:szCs w:val="20"/>
              </w:rPr>
            </w:pPr>
            <w:r w:rsidRPr="00CD6245">
              <w:rPr>
                <w:rFonts w:ascii="Calibri" w:hAnsi="Calibri"/>
                <w:color w:val="000000"/>
                <w:sz w:val="20"/>
                <w:szCs w:val="20"/>
              </w:rPr>
              <w:t>10</w:t>
            </w:r>
          </w:p>
        </w:tc>
        <w:tc>
          <w:tcPr>
            <w:tcW w:w="1004" w:type="dxa"/>
            <w:vAlign w:val="bottom"/>
          </w:tcPr>
          <w:p w:rsidR="00571152" w:rsidRPr="00CD6245" w:rsidRDefault="00571152" w:rsidP="00571152">
            <w:pPr>
              <w:jc w:val="right"/>
              <w:rPr>
                <w:rFonts w:ascii="Calibri" w:hAnsi="Calibri"/>
                <w:color w:val="000000"/>
                <w:sz w:val="20"/>
                <w:szCs w:val="20"/>
              </w:rPr>
            </w:pPr>
            <w:r w:rsidRPr="00CD6245">
              <w:rPr>
                <w:rFonts w:ascii="Calibri" w:hAnsi="Calibri"/>
                <w:color w:val="000000"/>
                <w:sz w:val="20"/>
                <w:szCs w:val="20"/>
              </w:rPr>
              <w:t>..</w:t>
            </w:r>
          </w:p>
        </w:tc>
        <w:tc>
          <w:tcPr>
            <w:tcW w:w="1004" w:type="dxa"/>
            <w:vAlign w:val="bottom"/>
          </w:tcPr>
          <w:p w:rsidR="00571152" w:rsidRPr="00CD6245" w:rsidRDefault="00571152" w:rsidP="00571152">
            <w:pPr>
              <w:jc w:val="right"/>
              <w:rPr>
                <w:rFonts w:ascii="Calibri" w:hAnsi="Calibri"/>
                <w:color w:val="000000"/>
                <w:sz w:val="20"/>
                <w:szCs w:val="20"/>
              </w:rPr>
            </w:pPr>
            <w:r w:rsidRPr="00CD6245">
              <w:rPr>
                <w:rFonts w:ascii="Calibri" w:hAnsi="Calibri"/>
                <w:color w:val="000000"/>
                <w:sz w:val="20"/>
                <w:szCs w:val="20"/>
              </w:rPr>
              <w:t>48</w:t>
            </w:r>
          </w:p>
        </w:tc>
      </w:tr>
      <w:tr w:rsidR="00571152" w:rsidRPr="00CD6245" w:rsidTr="00571152">
        <w:trPr>
          <w:trHeight w:val="255"/>
        </w:trPr>
        <w:tc>
          <w:tcPr>
            <w:tcW w:w="2977" w:type="dxa"/>
            <w:shd w:val="clear" w:color="auto" w:fill="A6A6A6" w:themeFill="background1" w:themeFillShade="A6"/>
            <w:noWrap/>
          </w:tcPr>
          <w:p w:rsidR="00571152" w:rsidRPr="00CD6245" w:rsidRDefault="00571152" w:rsidP="00571152">
            <w:pPr>
              <w:rPr>
                <w:rFonts w:ascii="Calibri" w:hAnsi="Calibri" w:cs="Calibri"/>
                <w:bCs/>
                <w:sz w:val="20"/>
                <w:szCs w:val="20"/>
              </w:rPr>
            </w:pPr>
            <w:r w:rsidRPr="00CD6245">
              <w:rPr>
                <w:rFonts w:ascii="Calibri" w:hAnsi="Calibri" w:cs="Calibri"/>
                <w:bCs/>
                <w:sz w:val="20"/>
                <w:szCs w:val="20"/>
              </w:rPr>
              <w:t>Totals</w:t>
            </w:r>
          </w:p>
        </w:tc>
        <w:tc>
          <w:tcPr>
            <w:tcW w:w="1417" w:type="dxa"/>
            <w:shd w:val="clear" w:color="auto" w:fill="A6A6A6" w:themeFill="background1" w:themeFillShade="A6"/>
            <w:noWrap/>
            <w:vAlign w:val="bottom"/>
          </w:tcPr>
          <w:p w:rsidR="00571152" w:rsidRPr="00CD6245" w:rsidRDefault="00571152" w:rsidP="00571152">
            <w:pPr>
              <w:jc w:val="right"/>
              <w:rPr>
                <w:rFonts w:ascii="Calibri" w:hAnsi="Calibri"/>
                <w:color w:val="000000"/>
                <w:sz w:val="20"/>
                <w:szCs w:val="20"/>
              </w:rPr>
            </w:pPr>
            <w:r w:rsidRPr="00CD6245">
              <w:rPr>
                <w:rFonts w:ascii="Calibri" w:hAnsi="Calibri"/>
                <w:color w:val="000000"/>
                <w:sz w:val="20"/>
                <w:szCs w:val="20"/>
              </w:rPr>
              <w:t>241</w:t>
            </w:r>
          </w:p>
        </w:tc>
        <w:tc>
          <w:tcPr>
            <w:tcW w:w="1138" w:type="dxa"/>
            <w:shd w:val="clear" w:color="auto" w:fill="A6A6A6" w:themeFill="background1" w:themeFillShade="A6"/>
            <w:noWrap/>
            <w:vAlign w:val="bottom"/>
          </w:tcPr>
          <w:p w:rsidR="00571152" w:rsidRPr="00CD6245" w:rsidRDefault="00571152" w:rsidP="00571152">
            <w:pPr>
              <w:jc w:val="right"/>
              <w:rPr>
                <w:rFonts w:ascii="Calibri" w:hAnsi="Calibri"/>
                <w:color w:val="000000"/>
                <w:sz w:val="20"/>
                <w:szCs w:val="20"/>
              </w:rPr>
            </w:pPr>
            <w:r w:rsidRPr="00CD6245">
              <w:rPr>
                <w:rFonts w:ascii="Calibri" w:hAnsi="Calibri"/>
                <w:color w:val="000000"/>
                <w:sz w:val="20"/>
                <w:szCs w:val="20"/>
              </w:rPr>
              <w:t>312</w:t>
            </w:r>
          </w:p>
        </w:tc>
        <w:tc>
          <w:tcPr>
            <w:tcW w:w="953" w:type="dxa"/>
            <w:shd w:val="clear" w:color="auto" w:fill="A6A6A6" w:themeFill="background1" w:themeFillShade="A6"/>
            <w:vAlign w:val="bottom"/>
          </w:tcPr>
          <w:p w:rsidR="00571152" w:rsidRPr="00CD6245" w:rsidRDefault="00571152" w:rsidP="00571152">
            <w:pPr>
              <w:jc w:val="right"/>
              <w:rPr>
                <w:rFonts w:ascii="Calibri" w:hAnsi="Calibri"/>
                <w:color w:val="000000"/>
                <w:sz w:val="20"/>
                <w:szCs w:val="20"/>
              </w:rPr>
            </w:pPr>
            <w:r w:rsidRPr="00CD6245">
              <w:rPr>
                <w:rFonts w:ascii="Calibri" w:hAnsi="Calibri"/>
                <w:color w:val="000000"/>
                <w:sz w:val="20"/>
                <w:szCs w:val="20"/>
              </w:rPr>
              <w:t>135</w:t>
            </w:r>
          </w:p>
        </w:tc>
        <w:tc>
          <w:tcPr>
            <w:tcW w:w="1004" w:type="dxa"/>
            <w:shd w:val="clear" w:color="auto" w:fill="A6A6A6" w:themeFill="background1" w:themeFillShade="A6"/>
            <w:vAlign w:val="bottom"/>
          </w:tcPr>
          <w:p w:rsidR="00571152" w:rsidRPr="00CD6245" w:rsidRDefault="00571152" w:rsidP="00571152">
            <w:pPr>
              <w:jc w:val="right"/>
              <w:rPr>
                <w:rFonts w:ascii="Calibri" w:hAnsi="Calibri"/>
                <w:color w:val="000000"/>
                <w:sz w:val="20"/>
                <w:szCs w:val="20"/>
              </w:rPr>
            </w:pPr>
            <w:r w:rsidRPr="00CD6245">
              <w:rPr>
                <w:rFonts w:ascii="Calibri" w:hAnsi="Calibri"/>
                <w:color w:val="000000"/>
                <w:sz w:val="20"/>
                <w:szCs w:val="20"/>
              </w:rPr>
              <w:t>102</w:t>
            </w:r>
          </w:p>
        </w:tc>
        <w:tc>
          <w:tcPr>
            <w:tcW w:w="1004" w:type="dxa"/>
            <w:shd w:val="clear" w:color="auto" w:fill="A6A6A6" w:themeFill="background1" w:themeFillShade="A6"/>
            <w:vAlign w:val="bottom"/>
          </w:tcPr>
          <w:p w:rsidR="00571152" w:rsidRPr="00CD6245" w:rsidRDefault="00571152" w:rsidP="00571152">
            <w:pPr>
              <w:jc w:val="right"/>
              <w:rPr>
                <w:rFonts w:ascii="Calibri" w:hAnsi="Calibri"/>
                <w:color w:val="000000"/>
                <w:sz w:val="20"/>
                <w:szCs w:val="20"/>
              </w:rPr>
            </w:pPr>
            <w:r w:rsidRPr="00CD6245">
              <w:rPr>
                <w:rFonts w:ascii="Calibri" w:hAnsi="Calibri"/>
                <w:color w:val="000000"/>
                <w:sz w:val="20"/>
                <w:szCs w:val="20"/>
              </w:rPr>
              <w:t>790</w:t>
            </w:r>
          </w:p>
        </w:tc>
      </w:tr>
    </w:tbl>
    <w:p w:rsidR="00571152" w:rsidRDefault="00571152" w:rsidP="00425661">
      <w:pPr>
        <w:pStyle w:val="Heading3NoNum"/>
      </w:pPr>
    </w:p>
    <w:p w:rsidR="00571152" w:rsidRDefault="00571152" w:rsidP="00571152">
      <w:pPr>
        <w:rPr>
          <w:rFonts w:ascii="Calibri" w:hAnsi="Calibri" w:cs="Calibri"/>
          <w:color w:val="4D4D4D"/>
          <w:kern w:val="28"/>
          <w:sz w:val="26"/>
          <w:szCs w:val="22"/>
          <w:lang w:eastAsia="en-US"/>
        </w:rPr>
      </w:pPr>
      <w:r>
        <w:br w:type="page"/>
      </w:r>
    </w:p>
    <w:p w:rsidR="00425661" w:rsidRPr="00CD6245" w:rsidRDefault="00425661" w:rsidP="00425661">
      <w:pPr>
        <w:pStyle w:val="Heading3NoNum"/>
      </w:pPr>
      <w:r w:rsidRPr="00CD6245">
        <w:lastRenderedPageBreak/>
        <w:t>Value of procurement approvals by complexity quadrant</w:t>
      </w:r>
    </w:p>
    <w:p w:rsidR="00286425" w:rsidRPr="00CD6245" w:rsidRDefault="00F93247" w:rsidP="00AC4590">
      <w:pPr>
        <w:pStyle w:val="Normal1"/>
      </w:pPr>
      <w:r w:rsidRPr="00CD6245">
        <w:t xml:space="preserve">The </w:t>
      </w:r>
      <w:r w:rsidR="00BF7AF6" w:rsidRPr="00CD6245">
        <w:t xml:space="preserve">leveraged </w:t>
      </w:r>
      <w:r w:rsidRPr="00CD6245">
        <w:t xml:space="preserve">quadrant had the highest total value with </w:t>
      </w:r>
      <w:r w:rsidR="0073764B" w:rsidRPr="00CD6245">
        <w:t>4</w:t>
      </w:r>
      <w:r w:rsidR="00E609CF" w:rsidRPr="00CD6245">
        <w:t>8</w:t>
      </w:r>
      <w:r w:rsidR="00844BC9" w:rsidRPr="00CD6245">
        <w:t xml:space="preserve"> </w:t>
      </w:r>
      <w:r w:rsidR="00035999" w:rsidRPr="00CD6245">
        <w:t>per</w:t>
      </w:r>
      <w:r w:rsidRPr="00CD6245">
        <w:t xml:space="preserve"> cent of </w:t>
      </w:r>
      <w:r w:rsidR="001869C0" w:rsidRPr="00CD6245">
        <w:t xml:space="preserve">the value of all </w:t>
      </w:r>
      <w:r w:rsidRPr="00CD6245">
        <w:t>procurement approvals</w:t>
      </w:r>
      <w:r w:rsidR="00BF7AF6" w:rsidRPr="00CD6245">
        <w:t xml:space="preserve">, followed by strategic </w:t>
      </w:r>
      <w:r w:rsidR="0064672C" w:rsidRPr="00CD6245">
        <w:t>at 35</w:t>
      </w:r>
      <w:r w:rsidR="00BF7AF6" w:rsidRPr="00CD6245">
        <w:t xml:space="preserve"> per cent</w:t>
      </w:r>
      <w:r w:rsidR="004A2888" w:rsidRPr="00CD6245">
        <w:t xml:space="preserve"> (see </w:t>
      </w:r>
      <w:r w:rsidR="00AC517C">
        <w:fldChar w:fldCharType="begin"/>
      </w:r>
      <w:r w:rsidR="00AC517C">
        <w:instrText xml:space="preserve"> REF _Ref425681974 \h  \* MERGEFORMAT </w:instrText>
      </w:r>
      <w:r w:rsidR="00AC517C">
        <w:fldChar w:fldCharType="separate"/>
      </w:r>
      <w:r w:rsidR="002E75B9" w:rsidRPr="00CD6245">
        <w:t xml:space="preserve">Figure </w:t>
      </w:r>
      <w:r w:rsidR="002E75B9">
        <w:t>9</w:t>
      </w:r>
      <w:r w:rsidR="00AC517C">
        <w:fldChar w:fldCharType="end"/>
      </w:r>
      <w:r w:rsidR="004A2888" w:rsidRPr="00CD6245">
        <w:t>)</w:t>
      </w:r>
      <w:r w:rsidRPr="00CD6245">
        <w:t>.</w:t>
      </w:r>
    </w:p>
    <w:p w:rsidR="007778C5" w:rsidRPr="00CD6245" w:rsidRDefault="00F93247" w:rsidP="00AC4590">
      <w:pPr>
        <w:pStyle w:val="Normal1"/>
      </w:pPr>
      <w:r w:rsidRPr="00CD6245">
        <w:t>The focused quadrant had t</w:t>
      </w:r>
      <w:r w:rsidR="007778C5" w:rsidRPr="00CD6245">
        <w:t xml:space="preserve">he lowest </w:t>
      </w:r>
      <w:r w:rsidRPr="00CD6245">
        <w:t xml:space="preserve">total </w:t>
      </w:r>
      <w:r w:rsidR="007778C5" w:rsidRPr="00CD6245">
        <w:t>value of procurement process approvals (</w:t>
      </w:r>
      <w:r w:rsidR="00A61D76" w:rsidRPr="00CD6245">
        <w:t xml:space="preserve">5 </w:t>
      </w:r>
      <w:r w:rsidR="007778C5" w:rsidRPr="00CD6245">
        <w:t>per cent). This would be expected given that the focused quadrant is for procurements where a limited number of suppliers are available or where novel commercial arrangements are in place.</w:t>
      </w:r>
      <w:r w:rsidR="00691AB2" w:rsidRPr="00CD6245">
        <w:t xml:space="preserve"> T</w:t>
      </w:r>
      <w:r w:rsidR="00067653" w:rsidRPr="00CD6245">
        <w:t>he t</w:t>
      </w:r>
      <w:r w:rsidR="00691AB2" w:rsidRPr="00CD6245">
        <w:t xml:space="preserve">ransactional </w:t>
      </w:r>
      <w:r w:rsidR="00067653" w:rsidRPr="00CD6245">
        <w:t xml:space="preserve">quadrant had </w:t>
      </w:r>
      <w:r w:rsidR="00691AB2" w:rsidRPr="00CD6245">
        <w:t>1</w:t>
      </w:r>
      <w:r w:rsidR="00E609CF" w:rsidRPr="00CD6245">
        <w:t>2</w:t>
      </w:r>
      <w:r w:rsidR="00691AB2" w:rsidRPr="00CD6245">
        <w:t xml:space="preserve"> per cent</w:t>
      </w:r>
      <w:r w:rsidR="00067653" w:rsidRPr="00CD6245">
        <w:t xml:space="preserve"> of the value of all procurement approvals</w:t>
      </w:r>
      <w:r w:rsidR="00691AB2" w:rsidRPr="00CD6245">
        <w:t>.</w:t>
      </w:r>
    </w:p>
    <w:p w:rsidR="00CD2864" w:rsidRPr="00CD6245" w:rsidRDefault="00844BC9" w:rsidP="00AC4590">
      <w:pPr>
        <w:pStyle w:val="Normal1"/>
      </w:pPr>
      <w:r w:rsidRPr="00CD6245">
        <w:t>Th</w:t>
      </w:r>
      <w:r w:rsidR="00067653" w:rsidRPr="00CD6245">
        <w:t xml:space="preserve">ese figures </w:t>
      </w:r>
      <w:r w:rsidRPr="00CD6245">
        <w:t xml:space="preserve">compare with 70 per cent strategic, 18 per cent leveraged, </w:t>
      </w:r>
      <w:r w:rsidR="00067653" w:rsidRPr="00CD6245">
        <w:t xml:space="preserve">8 </w:t>
      </w:r>
      <w:r w:rsidRPr="00CD6245">
        <w:t>per cent transactional and</w:t>
      </w:r>
      <w:r w:rsidR="00CD2864" w:rsidRPr="00CD6245">
        <w:t xml:space="preserve"> </w:t>
      </w:r>
      <w:r w:rsidR="00067653" w:rsidRPr="00CD6245">
        <w:t xml:space="preserve">5 </w:t>
      </w:r>
      <w:r w:rsidRPr="00CD6245">
        <w:t>per cent focused in 2014–15</w:t>
      </w:r>
      <w:r w:rsidR="00941E57" w:rsidRPr="00CD6245">
        <w:rPr>
          <w:rStyle w:val="FootnoteReference"/>
        </w:rPr>
        <w:footnoteReference w:id="1"/>
      </w:r>
      <w:r w:rsidRPr="00CD6245">
        <w:t>.</w:t>
      </w:r>
    </w:p>
    <w:p w:rsidR="00844BC9" w:rsidRPr="00CD6245" w:rsidRDefault="00C8230B" w:rsidP="00AC4590">
      <w:pPr>
        <w:pStyle w:val="Normal1"/>
      </w:pPr>
      <w:r>
        <w:t>Both the high-</w:t>
      </w:r>
      <w:r w:rsidR="00CD2864" w:rsidRPr="00CD6245">
        <w:t>value SEPCs ($495 and $105 million) reported by the Department of Education and Training were in the leveraged quadrant whi</w:t>
      </w:r>
      <w:r>
        <w:t>ch explains the rise in value in</w:t>
      </w:r>
      <w:r w:rsidR="00CD2864" w:rsidRPr="00CD6245">
        <w:t xml:space="preserve"> this quadrant compared to the previous year.</w:t>
      </w:r>
    </w:p>
    <w:p w:rsidR="00425661" w:rsidRDefault="00425661" w:rsidP="00425661">
      <w:pPr>
        <w:pStyle w:val="Caption"/>
      </w:pPr>
      <w:bookmarkStart w:id="92" w:name="_Ref425681974"/>
      <w:bookmarkStart w:id="93" w:name="_Toc463527874"/>
      <w:r w:rsidRPr="00CD6245">
        <w:t xml:space="preserve">Figure </w:t>
      </w:r>
      <w:r w:rsidR="002B07C2" w:rsidRPr="00CD6245">
        <w:fldChar w:fldCharType="begin"/>
      </w:r>
      <w:r w:rsidR="00600068" w:rsidRPr="00CD6245">
        <w:instrText xml:space="preserve"> SEQ Figure \* ARABIC </w:instrText>
      </w:r>
      <w:r w:rsidR="002B07C2" w:rsidRPr="00CD6245">
        <w:fldChar w:fldCharType="separate"/>
      </w:r>
      <w:r w:rsidR="002E75B9">
        <w:rPr>
          <w:noProof/>
        </w:rPr>
        <w:t>9</w:t>
      </w:r>
      <w:r w:rsidR="002B07C2" w:rsidRPr="00CD6245">
        <w:fldChar w:fldCharType="end"/>
      </w:r>
      <w:bookmarkEnd w:id="92"/>
      <w:r w:rsidR="00F9369A" w:rsidRPr="00CD6245">
        <w:t>: Value of procurement</w:t>
      </w:r>
      <w:r w:rsidRPr="00CD6245">
        <w:t xml:space="preserve"> approvals by complexity quadrant in </w:t>
      </w:r>
      <w:r w:rsidR="00414AE0" w:rsidRPr="00CD6245">
        <w:t>2015–16</w:t>
      </w:r>
      <w:bookmarkEnd w:id="93"/>
    </w:p>
    <w:p w:rsidR="00C8230B" w:rsidRPr="00C8230B" w:rsidRDefault="00C8230B" w:rsidP="00C8230B">
      <w:pPr>
        <w:ind w:left="810"/>
      </w:pPr>
      <w:r>
        <w:rPr>
          <w:noProof/>
        </w:rPr>
        <w:drawing>
          <wp:inline distT="0" distB="0" distL="0" distR="0" wp14:anchorId="287C98C4" wp14:editId="4EFD69D9">
            <wp:extent cx="2623324" cy="2623324"/>
            <wp:effectExtent l="0" t="0" r="0" b="0"/>
            <wp:docPr id="31" name="Picture 31" descr="Orange Crush:Users:chrisashe:Desktop:DTF033_VGPB-F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Orange Crush:Users:chrisashe:Desktop:DTF033_VGPB-F9.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623324" cy="2623324"/>
                    </a:xfrm>
                    <a:prstGeom prst="rect">
                      <a:avLst/>
                    </a:prstGeom>
                    <a:noFill/>
                    <a:ln>
                      <a:noFill/>
                    </a:ln>
                  </pic:spPr>
                </pic:pic>
              </a:graphicData>
            </a:graphic>
          </wp:inline>
        </w:drawing>
      </w:r>
    </w:p>
    <w:p w:rsidR="007A12CA" w:rsidRPr="00CD6245" w:rsidRDefault="007A12CA" w:rsidP="00C67522">
      <w:pPr>
        <w:ind w:left="851"/>
      </w:pPr>
    </w:p>
    <w:p w:rsidR="007A12CA" w:rsidRPr="00CD6245" w:rsidRDefault="007A12CA"/>
    <w:p w:rsidR="00571152" w:rsidRDefault="00571152" w:rsidP="00F9369A">
      <w:pPr>
        <w:pStyle w:val="Heading3NoNum"/>
      </w:pPr>
    </w:p>
    <w:p w:rsidR="00571152" w:rsidRDefault="00571152" w:rsidP="00634B20">
      <w:pPr>
        <w:pStyle w:val="Heading2NoNum"/>
      </w:pPr>
    </w:p>
    <w:p w:rsidR="00571152" w:rsidRDefault="00571152" w:rsidP="00571152">
      <w:pPr>
        <w:rPr>
          <w:rFonts w:ascii="Calibri" w:hAnsi="Calibri" w:cs="Calibri"/>
          <w:color w:val="4D4D4D"/>
          <w:kern w:val="28"/>
          <w:sz w:val="30"/>
          <w:szCs w:val="22"/>
          <w:lang w:eastAsia="en-US"/>
        </w:rPr>
      </w:pPr>
      <w:r>
        <w:br w:type="page"/>
      </w:r>
    </w:p>
    <w:p w:rsidR="00634B20" w:rsidRPr="00CD6245" w:rsidRDefault="00634B20" w:rsidP="00C8230B">
      <w:pPr>
        <w:pStyle w:val="Heading3NoNum"/>
      </w:pPr>
      <w:r w:rsidRPr="00CD6245">
        <w:lastRenderedPageBreak/>
        <w:t>Trends in procurement complexity</w:t>
      </w:r>
    </w:p>
    <w:p w:rsidR="00941E57" w:rsidRPr="00CD6245" w:rsidRDefault="00622691" w:rsidP="00634B20">
      <w:pPr>
        <w:pStyle w:val="Normal1"/>
        <w:rPr>
          <w:lang w:eastAsia="en-US"/>
        </w:rPr>
      </w:pPr>
      <w:r w:rsidRPr="00CD6245">
        <w:rPr>
          <w:lang w:eastAsia="en-US"/>
        </w:rPr>
        <w:t xml:space="preserve">As shown in Table 15, there has been an upward trend in </w:t>
      </w:r>
      <w:r w:rsidR="007E10A1" w:rsidRPr="00CD6245">
        <w:rPr>
          <w:lang w:eastAsia="en-US"/>
        </w:rPr>
        <w:t xml:space="preserve">the number and </w:t>
      </w:r>
      <w:r w:rsidRPr="00CD6245">
        <w:rPr>
          <w:lang w:eastAsia="en-US"/>
        </w:rPr>
        <w:t xml:space="preserve">value </w:t>
      </w:r>
      <w:r w:rsidR="007E10A1" w:rsidRPr="00CD6245">
        <w:rPr>
          <w:lang w:eastAsia="en-US"/>
        </w:rPr>
        <w:t>of all complexity quadrants,</w:t>
      </w:r>
      <w:r w:rsidR="00941E57" w:rsidRPr="00CD6245">
        <w:rPr>
          <w:lang w:eastAsia="en-US"/>
        </w:rPr>
        <w:t xml:space="preserve"> except </w:t>
      </w:r>
      <w:r w:rsidR="00A82FFD" w:rsidRPr="00CD6245">
        <w:rPr>
          <w:lang w:eastAsia="en-US"/>
        </w:rPr>
        <w:t xml:space="preserve">for </w:t>
      </w:r>
      <w:r w:rsidR="00941E57" w:rsidRPr="00CD6245">
        <w:rPr>
          <w:lang w:eastAsia="en-US"/>
        </w:rPr>
        <w:t xml:space="preserve">strategic. This can be partly explained by </w:t>
      </w:r>
      <w:r w:rsidR="007E10A1" w:rsidRPr="00CD6245">
        <w:rPr>
          <w:lang w:eastAsia="en-US"/>
        </w:rPr>
        <w:t xml:space="preserve">the </w:t>
      </w:r>
      <w:r w:rsidR="00941E57" w:rsidRPr="00CD6245">
        <w:rPr>
          <w:lang w:eastAsia="en-US"/>
        </w:rPr>
        <w:t xml:space="preserve">overall </w:t>
      </w:r>
      <w:r w:rsidR="007E10A1" w:rsidRPr="00CD6245">
        <w:rPr>
          <w:lang w:eastAsia="en-US"/>
        </w:rPr>
        <w:t>increase in the number and value of contracts approved in 2014–15.</w:t>
      </w:r>
    </w:p>
    <w:p w:rsidR="00A81314" w:rsidRPr="00CD6245" w:rsidRDefault="007E10A1" w:rsidP="00634B20">
      <w:pPr>
        <w:pStyle w:val="Normal1"/>
        <w:rPr>
          <w:lang w:eastAsia="en-US"/>
        </w:rPr>
      </w:pPr>
      <w:r w:rsidRPr="00CD6245">
        <w:rPr>
          <w:lang w:eastAsia="en-US"/>
        </w:rPr>
        <w:t xml:space="preserve">The largest increase in value is in the leveraged quadrant. </w:t>
      </w:r>
      <w:r w:rsidR="00CD2864" w:rsidRPr="00CD6245">
        <w:rPr>
          <w:lang w:eastAsia="en-US"/>
        </w:rPr>
        <w:t>As mentioned previously, t</w:t>
      </w:r>
      <w:r w:rsidRPr="00CD6245">
        <w:rPr>
          <w:lang w:eastAsia="en-US"/>
        </w:rPr>
        <w:t xml:space="preserve">his </w:t>
      </w:r>
      <w:r w:rsidR="00CD2864" w:rsidRPr="00CD6245">
        <w:rPr>
          <w:lang w:eastAsia="en-US"/>
        </w:rPr>
        <w:t xml:space="preserve">can be partly explained by </w:t>
      </w:r>
      <w:r w:rsidR="00870CCC" w:rsidRPr="00CD6245">
        <w:rPr>
          <w:lang w:eastAsia="en-US"/>
        </w:rPr>
        <w:t xml:space="preserve">the </w:t>
      </w:r>
      <w:r w:rsidR="00CD2864" w:rsidRPr="00CD6245">
        <w:rPr>
          <w:lang w:eastAsia="en-US"/>
        </w:rPr>
        <w:t>two high value SEPCs for technical support services in schools ($495</w:t>
      </w:r>
      <w:r w:rsidR="00A82FFD" w:rsidRPr="00CD6245">
        <w:rPr>
          <w:lang w:eastAsia="en-US"/>
        </w:rPr>
        <w:t> </w:t>
      </w:r>
      <w:r w:rsidR="00CD2864" w:rsidRPr="00CD6245">
        <w:rPr>
          <w:lang w:eastAsia="en-US"/>
        </w:rPr>
        <w:t xml:space="preserve">million) and managed services contract ($105 million) reported by the </w:t>
      </w:r>
      <w:r w:rsidRPr="00CD6245">
        <w:rPr>
          <w:lang w:eastAsia="en-US"/>
        </w:rPr>
        <w:t>D</w:t>
      </w:r>
      <w:r w:rsidR="00870CCC" w:rsidRPr="00CD6245">
        <w:rPr>
          <w:lang w:eastAsia="en-US"/>
        </w:rPr>
        <w:t>epartment o</w:t>
      </w:r>
      <w:r w:rsidR="00CD2864" w:rsidRPr="00CD6245">
        <w:rPr>
          <w:lang w:eastAsia="en-US"/>
        </w:rPr>
        <w:t>f Education and Training.</w:t>
      </w:r>
    </w:p>
    <w:p w:rsidR="00B32361" w:rsidRPr="00CD6245" w:rsidRDefault="000C5BC5" w:rsidP="00634B20">
      <w:pPr>
        <w:pStyle w:val="Normal1"/>
        <w:rPr>
          <w:lang w:eastAsia="en-US"/>
        </w:rPr>
      </w:pPr>
      <w:r w:rsidRPr="00CD6245">
        <w:rPr>
          <w:lang w:eastAsia="en-US"/>
        </w:rPr>
        <w:t>I</w:t>
      </w:r>
      <w:r w:rsidR="00B32361" w:rsidRPr="00CD6245">
        <w:rPr>
          <w:lang w:eastAsia="en-US"/>
        </w:rPr>
        <w:t>t could also indicat</w:t>
      </w:r>
      <w:r w:rsidR="00941E57" w:rsidRPr="00CD6245">
        <w:rPr>
          <w:lang w:eastAsia="en-US"/>
        </w:rPr>
        <w:t xml:space="preserve">e </w:t>
      </w:r>
      <w:r w:rsidR="00A81314" w:rsidRPr="00CD6245">
        <w:rPr>
          <w:lang w:eastAsia="en-US"/>
        </w:rPr>
        <w:t xml:space="preserve">that </w:t>
      </w:r>
      <w:r w:rsidR="00941E57" w:rsidRPr="00CD6245">
        <w:rPr>
          <w:lang w:eastAsia="en-US"/>
        </w:rPr>
        <w:t xml:space="preserve">organisations </w:t>
      </w:r>
      <w:r w:rsidR="00A81314" w:rsidRPr="00CD6245">
        <w:rPr>
          <w:lang w:eastAsia="en-US"/>
        </w:rPr>
        <w:t xml:space="preserve">are </w:t>
      </w:r>
      <w:r w:rsidR="00B32361" w:rsidRPr="00CD6245">
        <w:rPr>
          <w:lang w:eastAsia="en-US"/>
        </w:rPr>
        <w:t>taking a more strategic approach to procurement</w:t>
      </w:r>
      <w:r w:rsidR="00720B3B" w:rsidRPr="00CD6245">
        <w:rPr>
          <w:lang w:eastAsia="en-US"/>
        </w:rPr>
        <w:t>. The VGPB</w:t>
      </w:r>
      <w:r w:rsidR="00C8230B">
        <w:rPr>
          <w:lang w:eastAsia="en-US"/>
        </w:rPr>
        <w:t>’s</w:t>
      </w:r>
      <w:r w:rsidR="00720B3B" w:rsidRPr="00CD6245">
        <w:rPr>
          <w:lang w:eastAsia="en-US"/>
        </w:rPr>
        <w:t xml:space="preserve"> supply policies require</w:t>
      </w:r>
      <w:r w:rsidR="00CD2864" w:rsidRPr="00CD6245">
        <w:rPr>
          <w:lang w:eastAsia="en-US"/>
        </w:rPr>
        <w:t xml:space="preserve"> better </w:t>
      </w:r>
      <w:r w:rsidR="00941E57" w:rsidRPr="00CD6245">
        <w:rPr>
          <w:lang w:eastAsia="en-US"/>
        </w:rPr>
        <w:t xml:space="preserve">upfront planning, </w:t>
      </w:r>
      <w:r w:rsidRPr="00CD6245">
        <w:rPr>
          <w:lang w:eastAsia="en-US"/>
        </w:rPr>
        <w:t>category management</w:t>
      </w:r>
      <w:r w:rsidR="00941E57" w:rsidRPr="00CD6245">
        <w:rPr>
          <w:lang w:eastAsia="en-US"/>
        </w:rPr>
        <w:t xml:space="preserve"> and detailed market analysis. </w:t>
      </w:r>
      <w:r w:rsidR="00720B3B" w:rsidRPr="00CD6245">
        <w:rPr>
          <w:lang w:eastAsia="en-US"/>
        </w:rPr>
        <w:t xml:space="preserve">Organisations </w:t>
      </w:r>
      <w:r w:rsidR="00A81314" w:rsidRPr="00CD6245">
        <w:rPr>
          <w:lang w:eastAsia="en-US"/>
        </w:rPr>
        <w:t>identify</w:t>
      </w:r>
      <w:r w:rsidRPr="00CD6245">
        <w:rPr>
          <w:lang w:eastAsia="en-US"/>
        </w:rPr>
        <w:t xml:space="preserve"> the best approach to market for any given category while also </w:t>
      </w:r>
      <w:r w:rsidR="00B32361" w:rsidRPr="00CD6245">
        <w:rPr>
          <w:lang w:eastAsia="en-US"/>
        </w:rPr>
        <w:t xml:space="preserve">identifying opportunities to aggregate demand for frequently used goods and services </w:t>
      </w:r>
      <w:r w:rsidRPr="00CD6245">
        <w:rPr>
          <w:lang w:eastAsia="en-US"/>
        </w:rPr>
        <w:t xml:space="preserve">procured </w:t>
      </w:r>
      <w:r w:rsidR="00B32361" w:rsidRPr="00CD6245">
        <w:rPr>
          <w:lang w:eastAsia="en-US"/>
        </w:rPr>
        <w:t>from a competitive marketplace</w:t>
      </w:r>
      <w:r w:rsidR="00A81314" w:rsidRPr="00CD6245">
        <w:rPr>
          <w:lang w:eastAsia="en-US"/>
        </w:rPr>
        <w:t xml:space="preserve">, </w:t>
      </w:r>
      <w:r w:rsidRPr="00CD6245">
        <w:rPr>
          <w:lang w:eastAsia="en-US"/>
        </w:rPr>
        <w:t>giv</w:t>
      </w:r>
      <w:r w:rsidR="00A81314" w:rsidRPr="00CD6245">
        <w:rPr>
          <w:lang w:eastAsia="en-US"/>
        </w:rPr>
        <w:t>ing</w:t>
      </w:r>
      <w:r w:rsidRPr="00CD6245">
        <w:rPr>
          <w:lang w:eastAsia="en-US"/>
        </w:rPr>
        <w:t xml:space="preserve"> </w:t>
      </w:r>
      <w:r w:rsidR="00A81314" w:rsidRPr="00CD6245">
        <w:rPr>
          <w:lang w:eastAsia="en-US"/>
        </w:rPr>
        <w:t>them</w:t>
      </w:r>
      <w:r w:rsidRPr="00CD6245">
        <w:rPr>
          <w:lang w:eastAsia="en-US"/>
        </w:rPr>
        <w:t xml:space="preserve"> more buying power to drive value for money.</w:t>
      </w:r>
    </w:p>
    <w:p w:rsidR="00634B20" w:rsidRPr="00CD6245" w:rsidRDefault="00634B20" w:rsidP="00634B20">
      <w:pPr>
        <w:pStyle w:val="Caption"/>
        <w:rPr>
          <w:lang w:eastAsia="en-US"/>
        </w:rPr>
      </w:pPr>
      <w:bookmarkStart w:id="94" w:name="_Toc463527850"/>
      <w:r w:rsidRPr="00CD6245">
        <w:t xml:space="preserve">Table </w:t>
      </w:r>
      <w:r w:rsidR="002B07C2" w:rsidRPr="00CD6245">
        <w:fldChar w:fldCharType="begin"/>
      </w:r>
      <w:r w:rsidR="005C04D8" w:rsidRPr="00CD6245">
        <w:instrText xml:space="preserve"> SEQ Table \* ARABIC </w:instrText>
      </w:r>
      <w:r w:rsidR="002B07C2" w:rsidRPr="00CD6245">
        <w:fldChar w:fldCharType="separate"/>
      </w:r>
      <w:r w:rsidR="002E75B9">
        <w:rPr>
          <w:noProof/>
        </w:rPr>
        <w:t>15</w:t>
      </w:r>
      <w:r w:rsidR="002B07C2" w:rsidRPr="00CD6245">
        <w:fldChar w:fldCharType="end"/>
      </w:r>
      <w:r w:rsidRPr="00CD6245">
        <w:t>: Trends in procurement complexity</w:t>
      </w:r>
      <w:bookmarkEnd w:id="94"/>
    </w:p>
    <w:tbl>
      <w:tblPr>
        <w:tblStyle w:val="TableGrid"/>
        <w:tblW w:w="8365" w:type="dxa"/>
        <w:tblInd w:w="959" w:type="dxa"/>
        <w:tblLook w:val="04A0" w:firstRow="1" w:lastRow="0" w:firstColumn="1" w:lastColumn="0" w:noHBand="0" w:noVBand="1"/>
      </w:tblPr>
      <w:tblGrid>
        <w:gridCol w:w="2211"/>
        <w:gridCol w:w="1474"/>
        <w:gridCol w:w="1560"/>
        <w:gridCol w:w="1560"/>
        <w:gridCol w:w="1560"/>
      </w:tblGrid>
      <w:tr w:rsidR="00634B20" w:rsidRPr="00CD6245" w:rsidTr="005319F2">
        <w:trPr>
          <w:trHeight w:val="255"/>
        </w:trPr>
        <w:tc>
          <w:tcPr>
            <w:tcW w:w="2211" w:type="dxa"/>
            <w:shd w:val="clear" w:color="auto" w:fill="A6A6A6" w:themeFill="background1" w:themeFillShade="A6"/>
          </w:tcPr>
          <w:p w:rsidR="00634B20" w:rsidRPr="00CD6245" w:rsidRDefault="00634B20" w:rsidP="005319F2">
            <w:pPr>
              <w:pStyle w:val="TableHeader"/>
            </w:pPr>
          </w:p>
        </w:tc>
        <w:tc>
          <w:tcPr>
            <w:tcW w:w="3034" w:type="dxa"/>
            <w:gridSpan w:val="2"/>
            <w:shd w:val="clear" w:color="auto" w:fill="A6A6A6" w:themeFill="background1" w:themeFillShade="A6"/>
          </w:tcPr>
          <w:p w:rsidR="00634B20" w:rsidRPr="00CD6245" w:rsidRDefault="007C3CF8" w:rsidP="005319F2">
            <w:pPr>
              <w:pStyle w:val="TableHeader"/>
              <w:jc w:val="center"/>
            </w:pPr>
            <w:r w:rsidRPr="00CD6245">
              <w:t>2014–15</w:t>
            </w:r>
          </w:p>
        </w:tc>
        <w:tc>
          <w:tcPr>
            <w:tcW w:w="3120" w:type="dxa"/>
            <w:gridSpan w:val="2"/>
            <w:shd w:val="clear" w:color="auto" w:fill="A6A6A6" w:themeFill="background1" w:themeFillShade="A6"/>
          </w:tcPr>
          <w:p w:rsidR="00634B20" w:rsidRPr="00CD6245" w:rsidRDefault="007C3CF8" w:rsidP="005319F2">
            <w:pPr>
              <w:pStyle w:val="TableHeader"/>
              <w:jc w:val="center"/>
            </w:pPr>
            <w:r w:rsidRPr="00CD6245">
              <w:t>2015–16</w:t>
            </w:r>
          </w:p>
        </w:tc>
      </w:tr>
      <w:tr w:rsidR="00634B20" w:rsidRPr="00CD6245" w:rsidTr="005319F2">
        <w:trPr>
          <w:trHeight w:val="255"/>
        </w:trPr>
        <w:tc>
          <w:tcPr>
            <w:tcW w:w="2211" w:type="dxa"/>
            <w:shd w:val="clear" w:color="auto" w:fill="A6A6A6" w:themeFill="background1" w:themeFillShade="A6"/>
          </w:tcPr>
          <w:p w:rsidR="00634B20" w:rsidRPr="00CD6245" w:rsidRDefault="00634B20" w:rsidP="005319F2">
            <w:pPr>
              <w:pStyle w:val="TableHeader"/>
            </w:pPr>
            <w:r w:rsidRPr="00CD6245">
              <w:t>Type of complexity</w:t>
            </w:r>
          </w:p>
        </w:tc>
        <w:tc>
          <w:tcPr>
            <w:tcW w:w="1474" w:type="dxa"/>
            <w:shd w:val="clear" w:color="auto" w:fill="A6A6A6" w:themeFill="background1" w:themeFillShade="A6"/>
          </w:tcPr>
          <w:p w:rsidR="00634B20" w:rsidRPr="00CD6245" w:rsidRDefault="00634B20" w:rsidP="005319F2">
            <w:pPr>
              <w:pStyle w:val="TableHeader"/>
              <w:jc w:val="center"/>
            </w:pPr>
            <w:r w:rsidRPr="00CD6245">
              <w:t>Number</w:t>
            </w:r>
          </w:p>
        </w:tc>
        <w:tc>
          <w:tcPr>
            <w:tcW w:w="1560" w:type="dxa"/>
            <w:shd w:val="clear" w:color="auto" w:fill="A6A6A6" w:themeFill="background1" w:themeFillShade="A6"/>
          </w:tcPr>
          <w:p w:rsidR="00634B20" w:rsidRPr="00CD6245" w:rsidRDefault="00634B20" w:rsidP="005319F2">
            <w:pPr>
              <w:pStyle w:val="TableHeader"/>
              <w:jc w:val="center"/>
            </w:pPr>
            <w:r w:rsidRPr="00CD6245">
              <w:t>Value</w:t>
            </w:r>
          </w:p>
        </w:tc>
        <w:tc>
          <w:tcPr>
            <w:tcW w:w="1560" w:type="dxa"/>
            <w:shd w:val="clear" w:color="auto" w:fill="A6A6A6" w:themeFill="background1" w:themeFillShade="A6"/>
          </w:tcPr>
          <w:p w:rsidR="00634B20" w:rsidRPr="00CD6245" w:rsidRDefault="00634B20" w:rsidP="005319F2">
            <w:pPr>
              <w:pStyle w:val="TableHeader"/>
              <w:jc w:val="center"/>
            </w:pPr>
            <w:r w:rsidRPr="00CD6245">
              <w:t>Number</w:t>
            </w:r>
          </w:p>
        </w:tc>
        <w:tc>
          <w:tcPr>
            <w:tcW w:w="1560" w:type="dxa"/>
            <w:shd w:val="clear" w:color="auto" w:fill="A6A6A6" w:themeFill="background1" w:themeFillShade="A6"/>
          </w:tcPr>
          <w:p w:rsidR="00634B20" w:rsidRPr="00CD6245" w:rsidRDefault="00634B20" w:rsidP="005319F2">
            <w:pPr>
              <w:pStyle w:val="TableHeader"/>
              <w:jc w:val="center"/>
            </w:pPr>
            <w:r w:rsidRPr="00CD6245">
              <w:t>Value</w:t>
            </w:r>
          </w:p>
        </w:tc>
      </w:tr>
      <w:tr w:rsidR="00941E57" w:rsidRPr="00CD6245" w:rsidTr="00870CCC">
        <w:trPr>
          <w:trHeight w:val="255"/>
        </w:trPr>
        <w:tc>
          <w:tcPr>
            <w:tcW w:w="2211" w:type="dxa"/>
            <w:vAlign w:val="center"/>
          </w:tcPr>
          <w:p w:rsidR="00941E57" w:rsidRPr="00CD6245" w:rsidRDefault="00941E57" w:rsidP="005319F2">
            <w:pPr>
              <w:rPr>
                <w:rFonts w:ascii="Calibri" w:hAnsi="Calibri" w:cs="Arial"/>
                <w:sz w:val="20"/>
                <w:szCs w:val="20"/>
              </w:rPr>
            </w:pPr>
            <w:r w:rsidRPr="00CD6245">
              <w:rPr>
                <w:rFonts w:ascii="Calibri" w:hAnsi="Calibri" w:cs="Arial"/>
                <w:sz w:val="20"/>
                <w:szCs w:val="20"/>
              </w:rPr>
              <w:t>Transactional</w:t>
            </w:r>
          </w:p>
        </w:tc>
        <w:tc>
          <w:tcPr>
            <w:tcW w:w="1474" w:type="dxa"/>
            <w:vAlign w:val="bottom"/>
          </w:tcPr>
          <w:p w:rsidR="00941E57" w:rsidRPr="00CD6245" w:rsidRDefault="00941E57" w:rsidP="007C3CF8">
            <w:pPr>
              <w:jc w:val="right"/>
              <w:rPr>
                <w:rFonts w:ascii="Calibri" w:hAnsi="Calibri"/>
                <w:color w:val="000000"/>
                <w:sz w:val="20"/>
                <w:szCs w:val="20"/>
              </w:rPr>
            </w:pPr>
            <w:r w:rsidRPr="00CD6245">
              <w:rPr>
                <w:rFonts w:ascii="Calibri" w:hAnsi="Calibri"/>
                <w:color w:val="000000"/>
                <w:sz w:val="20"/>
                <w:szCs w:val="20"/>
              </w:rPr>
              <w:t>149</w:t>
            </w:r>
          </w:p>
        </w:tc>
        <w:tc>
          <w:tcPr>
            <w:tcW w:w="1560" w:type="dxa"/>
            <w:vAlign w:val="bottom"/>
          </w:tcPr>
          <w:p w:rsidR="00941E57" w:rsidRPr="00CD6245" w:rsidRDefault="00941E57" w:rsidP="007C3CF8">
            <w:pPr>
              <w:jc w:val="right"/>
              <w:rPr>
                <w:rFonts w:ascii="Calibri" w:hAnsi="Calibri"/>
                <w:color w:val="000000"/>
                <w:sz w:val="20"/>
                <w:szCs w:val="20"/>
              </w:rPr>
            </w:pPr>
            <w:r w:rsidRPr="00CD6245">
              <w:rPr>
                <w:rFonts w:ascii="Calibri" w:hAnsi="Calibri"/>
                <w:color w:val="000000"/>
                <w:sz w:val="20"/>
                <w:szCs w:val="20"/>
              </w:rPr>
              <w:t>$109.6M</w:t>
            </w:r>
          </w:p>
        </w:tc>
        <w:tc>
          <w:tcPr>
            <w:tcW w:w="1560" w:type="dxa"/>
            <w:vAlign w:val="bottom"/>
          </w:tcPr>
          <w:p w:rsidR="00941E57" w:rsidRPr="00CD6245" w:rsidRDefault="00941E57">
            <w:pPr>
              <w:jc w:val="right"/>
              <w:rPr>
                <w:rFonts w:ascii="Calibri" w:hAnsi="Calibri"/>
                <w:color w:val="000000"/>
                <w:sz w:val="20"/>
                <w:szCs w:val="20"/>
              </w:rPr>
            </w:pPr>
            <w:r w:rsidRPr="00CD6245">
              <w:rPr>
                <w:rFonts w:ascii="Calibri" w:hAnsi="Calibri"/>
                <w:color w:val="000000"/>
                <w:sz w:val="20"/>
                <w:szCs w:val="20"/>
              </w:rPr>
              <w:t>241</w:t>
            </w:r>
          </w:p>
        </w:tc>
        <w:tc>
          <w:tcPr>
            <w:tcW w:w="1560" w:type="dxa"/>
            <w:vAlign w:val="bottom"/>
          </w:tcPr>
          <w:p w:rsidR="00941E57" w:rsidRPr="00CD6245" w:rsidRDefault="00941E57">
            <w:pPr>
              <w:jc w:val="right"/>
              <w:rPr>
                <w:rFonts w:ascii="Calibri" w:hAnsi="Calibri"/>
                <w:color w:val="000000"/>
                <w:sz w:val="20"/>
                <w:szCs w:val="20"/>
              </w:rPr>
            </w:pPr>
            <w:r w:rsidRPr="00CD6245">
              <w:rPr>
                <w:rFonts w:ascii="Calibri" w:hAnsi="Calibri"/>
                <w:color w:val="000000"/>
                <w:sz w:val="20"/>
                <w:szCs w:val="20"/>
              </w:rPr>
              <w:t>$275.2M</w:t>
            </w:r>
          </w:p>
        </w:tc>
      </w:tr>
      <w:tr w:rsidR="00941E57" w:rsidRPr="00CD6245" w:rsidTr="00870CCC">
        <w:trPr>
          <w:trHeight w:val="255"/>
        </w:trPr>
        <w:tc>
          <w:tcPr>
            <w:tcW w:w="2211" w:type="dxa"/>
            <w:vAlign w:val="center"/>
          </w:tcPr>
          <w:p w:rsidR="00941E57" w:rsidRPr="00CD6245" w:rsidRDefault="00941E57" w:rsidP="005319F2">
            <w:pPr>
              <w:rPr>
                <w:rFonts w:ascii="Calibri" w:hAnsi="Calibri" w:cs="Arial"/>
                <w:sz w:val="20"/>
                <w:szCs w:val="20"/>
              </w:rPr>
            </w:pPr>
            <w:r w:rsidRPr="00CD6245">
              <w:rPr>
                <w:rFonts w:ascii="Calibri" w:hAnsi="Calibri" w:cs="Arial"/>
                <w:sz w:val="20"/>
                <w:szCs w:val="20"/>
              </w:rPr>
              <w:t>Leveraged</w:t>
            </w:r>
          </w:p>
        </w:tc>
        <w:tc>
          <w:tcPr>
            <w:tcW w:w="1474" w:type="dxa"/>
            <w:vAlign w:val="bottom"/>
          </w:tcPr>
          <w:p w:rsidR="00941E57" w:rsidRPr="00CD6245" w:rsidRDefault="00941E57" w:rsidP="007C3CF8">
            <w:pPr>
              <w:jc w:val="right"/>
              <w:rPr>
                <w:rFonts w:ascii="Calibri" w:hAnsi="Calibri"/>
                <w:color w:val="000000"/>
                <w:sz w:val="20"/>
                <w:szCs w:val="20"/>
              </w:rPr>
            </w:pPr>
            <w:r w:rsidRPr="00CD6245">
              <w:rPr>
                <w:rFonts w:ascii="Calibri" w:hAnsi="Calibri"/>
                <w:color w:val="000000"/>
                <w:sz w:val="20"/>
                <w:szCs w:val="20"/>
              </w:rPr>
              <w:t>208</w:t>
            </w:r>
          </w:p>
        </w:tc>
        <w:tc>
          <w:tcPr>
            <w:tcW w:w="1560" w:type="dxa"/>
            <w:vAlign w:val="bottom"/>
          </w:tcPr>
          <w:p w:rsidR="00941E57" w:rsidRPr="00CD6245" w:rsidRDefault="00941E57" w:rsidP="007C3CF8">
            <w:pPr>
              <w:jc w:val="right"/>
              <w:rPr>
                <w:rFonts w:ascii="Calibri" w:hAnsi="Calibri"/>
                <w:color w:val="000000"/>
                <w:sz w:val="20"/>
                <w:szCs w:val="20"/>
              </w:rPr>
            </w:pPr>
            <w:r w:rsidRPr="00CD6245">
              <w:rPr>
                <w:rFonts w:ascii="Calibri" w:hAnsi="Calibri"/>
                <w:color w:val="000000"/>
                <w:sz w:val="20"/>
                <w:szCs w:val="20"/>
              </w:rPr>
              <w:t>$240.1M</w:t>
            </w:r>
          </w:p>
        </w:tc>
        <w:tc>
          <w:tcPr>
            <w:tcW w:w="1560" w:type="dxa"/>
            <w:vAlign w:val="bottom"/>
          </w:tcPr>
          <w:p w:rsidR="00941E57" w:rsidRPr="00CD6245" w:rsidRDefault="00941E57">
            <w:pPr>
              <w:jc w:val="right"/>
              <w:rPr>
                <w:rFonts w:ascii="Calibri" w:hAnsi="Calibri"/>
                <w:color w:val="000000"/>
                <w:sz w:val="20"/>
                <w:szCs w:val="20"/>
              </w:rPr>
            </w:pPr>
            <w:r w:rsidRPr="00CD6245">
              <w:rPr>
                <w:rFonts w:ascii="Calibri" w:hAnsi="Calibri"/>
                <w:color w:val="000000"/>
                <w:sz w:val="20"/>
                <w:szCs w:val="20"/>
              </w:rPr>
              <w:t>312</w:t>
            </w:r>
          </w:p>
        </w:tc>
        <w:tc>
          <w:tcPr>
            <w:tcW w:w="1560" w:type="dxa"/>
            <w:vAlign w:val="bottom"/>
          </w:tcPr>
          <w:p w:rsidR="00941E57" w:rsidRPr="00CD6245" w:rsidRDefault="00941E57" w:rsidP="00720B3B">
            <w:pPr>
              <w:jc w:val="right"/>
              <w:rPr>
                <w:rFonts w:ascii="Calibri" w:hAnsi="Calibri"/>
                <w:color w:val="000000"/>
                <w:sz w:val="20"/>
                <w:szCs w:val="20"/>
              </w:rPr>
            </w:pPr>
            <w:r w:rsidRPr="00CD6245">
              <w:rPr>
                <w:rFonts w:ascii="Calibri" w:hAnsi="Calibri"/>
                <w:color w:val="000000"/>
                <w:sz w:val="20"/>
                <w:szCs w:val="20"/>
              </w:rPr>
              <w:t>$1</w:t>
            </w:r>
            <w:r w:rsidR="00720B3B" w:rsidRPr="00CD6245">
              <w:rPr>
                <w:rFonts w:ascii="Calibri" w:hAnsi="Calibri"/>
                <w:color w:val="000000"/>
                <w:sz w:val="20"/>
                <w:szCs w:val="20"/>
              </w:rPr>
              <w:t> </w:t>
            </w:r>
            <w:r w:rsidRPr="00CD6245">
              <w:rPr>
                <w:rFonts w:ascii="Calibri" w:hAnsi="Calibri"/>
                <w:color w:val="000000"/>
                <w:sz w:val="20"/>
                <w:szCs w:val="20"/>
              </w:rPr>
              <w:t>1</w:t>
            </w:r>
            <w:r w:rsidR="00720B3B" w:rsidRPr="00CD6245">
              <w:rPr>
                <w:rFonts w:ascii="Calibri" w:hAnsi="Calibri"/>
                <w:color w:val="000000"/>
                <w:sz w:val="20"/>
                <w:szCs w:val="20"/>
              </w:rPr>
              <w:t>6</w:t>
            </w:r>
            <w:r w:rsidRPr="00CD6245">
              <w:rPr>
                <w:rFonts w:ascii="Calibri" w:hAnsi="Calibri"/>
                <w:color w:val="000000"/>
                <w:sz w:val="20"/>
                <w:szCs w:val="20"/>
              </w:rPr>
              <w:t>4.9M</w:t>
            </w:r>
          </w:p>
        </w:tc>
      </w:tr>
      <w:tr w:rsidR="00941E57" w:rsidRPr="00CD6245" w:rsidTr="00870CCC">
        <w:trPr>
          <w:trHeight w:val="345"/>
        </w:trPr>
        <w:tc>
          <w:tcPr>
            <w:tcW w:w="2211" w:type="dxa"/>
            <w:vAlign w:val="center"/>
          </w:tcPr>
          <w:p w:rsidR="00941E57" w:rsidRPr="00CD6245" w:rsidRDefault="00941E57" w:rsidP="005319F2">
            <w:pPr>
              <w:rPr>
                <w:rFonts w:ascii="Calibri" w:hAnsi="Calibri" w:cs="Arial"/>
                <w:sz w:val="20"/>
                <w:szCs w:val="20"/>
              </w:rPr>
            </w:pPr>
            <w:r w:rsidRPr="00CD6245">
              <w:rPr>
                <w:rFonts w:ascii="Calibri" w:hAnsi="Calibri" w:cs="Arial"/>
                <w:sz w:val="20"/>
                <w:szCs w:val="20"/>
              </w:rPr>
              <w:t>Focused</w:t>
            </w:r>
          </w:p>
        </w:tc>
        <w:tc>
          <w:tcPr>
            <w:tcW w:w="1474" w:type="dxa"/>
            <w:vAlign w:val="bottom"/>
          </w:tcPr>
          <w:p w:rsidR="00941E57" w:rsidRPr="00CD6245" w:rsidRDefault="00941E57" w:rsidP="007C3CF8">
            <w:pPr>
              <w:jc w:val="right"/>
              <w:rPr>
                <w:rFonts w:ascii="Calibri" w:hAnsi="Calibri"/>
                <w:color w:val="000000"/>
                <w:sz w:val="20"/>
                <w:szCs w:val="20"/>
              </w:rPr>
            </w:pPr>
            <w:r w:rsidRPr="00CD6245">
              <w:rPr>
                <w:rFonts w:ascii="Calibri" w:hAnsi="Calibri"/>
                <w:color w:val="000000"/>
                <w:sz w:val="20"/>
                <w:szCs w:val="20"/>
              </w:rPr>
              <w:t>112</w:t>
            </w:r>
          </w:p>
        </w:tc>
        <w:tc>
          <w:tcPr>
            <w:tcW w:w="1560" w:type="dxa"/>
            <w:vAlign w:val="bottom"/>
          </w:tcPr>
          <w:p w:rsidR="00941E57" w:rsidRPr="00CD6245" w:rsidRDefault="00941E57" w:rsidP="007C3CF8">
            <w:pPr>
              <w:jc w:val="right"/>
              <w:rPr>
                <w:rFonts w:ascii="Calibri" w:hAnsi="Calibri"/>
                <w:color w:val="000000"/>
                <w:sz w:val="20"/>
                <w:szCs w:val="20"/>
              </w:rPr>
            </w:pPr>
            <w:r w:rsidRPr="00CD6245">
              <w:rPr>
                <w:rFonts w:ascii="Calibri" w:hAnsi="Calibri"/>
                <w:color w:val="000000"/>
                <w:sz w:val="20"/>
                <w:szCs w:val="20"/>
              </w:rPr>
              <w:t>$62.4M</w:t>
            </w:r>
          </w:p>
        </w:tc>
        <w:tc>
          <w:tcPr>
            <w:tcW w:w="1560" w:type="dxa"/>
            <w:vAlign w:val="bottom"/>
          </w:tcPr>
          <w:p w:rsidR="00941E57" w:rsidRPr="00CD6245" w:rsidRDefault="00941E57">
            <w:pPr>
              <w:jc w:val="right"/>
              <w:rPr>
                <w:rFonts w:ascii="Calibri" w:hAnsi="Calibri"/>
                <w:color w:val="000000"/>
                <w:sz w:val="20"/>
                <w:szCs w:val="20"/>
              </w:rPr>
            </w:pPr>
            <w:r w:rsidRPr="00CD6245">
              <w:rPr>
                <w:rFonts w:ascii="Calibri" w:hAnsi="Calibri"/>
                <w:color w:val="000000"/>
                <w:sz w:val="20"/>
                <w:szCs w:val="20"/>
              </w:rPr>
              <w:t>135</w:t>
            </w:r>
          </w:p>
        </w:tc>
        <w:tc>
          <w:tcPr>
            <w:tcW w:w="1560" w:type="dxa"/>
            <w:vAlign w:val="bottom"/>
          </w:tcPr>
          <w:p w:rsidR="00941E57" w:rsidRPr="00CD6245" w:rsidRDefault="00720B3B">
            <w:pPr>
              <w:jc w:val="right"/>
              <w:rPr>
                <w:rFonts w:ascii="Calibri" w:hAnsi="Calibri"/>
                <w:color w:val="000000"/>
                <w:sz w:val="20"/>
                <w:szCs w:val="20"/>
              </w:rPr>
            </w:pPr>
            <w:r w:rsidRPr="00CD6245">
              <w:rPr>
                <w:rFonts w:ascii="Calibri" w:hAnsi="Calibri"/>
                <w:color w:val="000000"/>
                <w:sz w:val="20"/>
                <w:szCs w:val="20"/>
              </w:rPr>
              <w:t>$12</w:t>
            </w:r>
            <w:r w:rsidR="00941E57" w:rsidRPr="00CD6245">
              <w:rPr>
                <w:rFonts w:ascii="Calibri" w:hAnsi="Calibri"/>
                <w:color w:val="000000"/>
                <w:sz w:val="20"/>
                <w:szCs w:val="20"/>
              </w:rPr>
              <w:t>6.8M</w:t>
            </w:r>
          </w:p>
        </w:tc>
      </w:tr>
      <w:tr w:rsidR="00941E57" w:rsidRPr="00CD6245" w:rsidTr="00870CCC">
        <w:trPr>
          <w:trHeight w:val="300"/>
        </w:trPr>
        <w:tc>
          <w:tcPr>
            <w:tcW w:w="2211" w:type="dxa"/>
            <w:vAlign w:val="center"/>
          </w:tcPr>
          <w:p w:rsidR="00941E57" w:rsidRPr="00CD6245" w:rsidRDefault="00941E57" w:rsidP="005319F2">
            <w:pPr>
              <w:rPr>
                <w:rFonts w:ascii="Calibri" w:hAnsi="Calibri" w:cs="Arial"/>
                <w:sz w:val="20"/>
                <w:szCs w:val="20"/>
              </w:rPr>
            </w:pPr>
            <w:r w:rsidRPr="00CD6245">
              <w:rPr>
                <w:rFonts w:ascii="Calibri" w:hAnsi="Calibri" w:cs="Arial"/>
                <w:sz w:val="20"/>
                <w:szCs w:val="20"/>
              </w:rPr>
              <w:t xml:space="preserve">Strategic </w:t>
            </w:r>
          </w:p>
        </w:tc>
        <w:tc>
          <w:tcPr>
            <w:tcW w:w="1474" w:type="dxa"/>
            <w:vAlign w:val="bottom"/>
          </w:tcPr>
          <w:p w:rsidR="00941E57" w:rsidRPr="00CD6245" w:rsidRDefault="00941E57" w:rsidP="007C3CF8">
            <w:pPr>
              <w:jc w:val="right"/>
              <w:rPr>
                <w:rFonts w:ascii="Calibri" w:hAnsi="Calibri"/>
                <w:color w:val="000000"/>
                <w:sz w:val="20"/>
                <w:szCs w:val="20"/>
              </w:rPr>
            </w:pPr>
            <w:r w:rsidRPr="00CD6245">
              <w:rPr>
                <w:rFonts w:ascii="Calibri" w:hAnsi="Calibri"/>
                <w:color w:val="000000"/>
                <w:sz w:val="20"/>
                <w:szCs w:val="20"/>
              </w:rPr>
              <w:t>107</w:t>
            </w:r>
          </w:p>
        </w:tc>
        <w:tc>
          <w:tcPr>
            <w:tcW w:w="1560" w:type="dxa"/>
            <w:vAlign w:val="bottom"/>
          </w:tcPr>
          <w:p w:rsidR="00941E57" w:rsidRPr="00CD6245" w:rsidRDefault="00941E57" w:rsidP="007C3CF8">
            <w:pPr>
              <w:jc w:val="right"/>
              <w:rPr>
                <w:rFonts w:ascii="Calibri" w:hAnsi="Calibri"/>
                <w:color w:val="000000"/>
                <w:sz w:val="20"/>
                <w:szCs w:val="20"/>
              </w:rPr>
            </w:pPr>
            <w:r w:rsidRPr="00CD6245">
              <w:rPr>
                <w:rFonts w:ascii="Calibri" w:hAnsi="Calibri"/>
                <w:color w:val="000000"/>
                <w:sz w:val="20"/>
                <w:szCs w:val="20"/>
              </w:rPr>
              <w:t>$954.3M</w:t>
            </w:r>
          </w:p>
        </w:tc>
        <w:tc>
          <w:tcPr>
            <w:tcW w:w="1560" w:type="dxa"/>
            <w:vAlign w:val="bottom"/>
          </w:tcPr>
          <w:p w:rsidR="00941E57" w:rsidRPr="00CD6245" w:rsidRDefault="00941E57">
            <w:pPr>
              <w:jc w:val="right"/>
              <w:rPr>
                <w:rFonts w:ascii="Calibri" w:hAnsi="Calibri"/>
                <w:color w:val="000000"/>
                <w:sz w:val="20"/>
                <w:szCs w:val="20"/>
              </w:rPr>
            </w:pPr>
            <w:r w:rsidRPr="00CD6245">
              <w:rPr>
                <w:rFonts w:ascii="Calibri" w:hAnsi="Calibri"/>
                <w:color w:val="000000"/>
                <w:sz w:val="20"/>
                <w:szCs w:val="20"/>
              </w:rPr>
              <w:t>102</w:t>
            </w:r>
          </w:p>
        </w:tc>
        <w:tc>
          <w:tcPr>
            <w:tcW w:w="1560" w:type="dxa"/>
            <w:vAlign w:val="bottom"/>
          </w:tcPr>
          <w:p w:rsidR="00941E57" w:rsidRPr="00CD6245" w:rsidRDefault="00941E57">
            <w:pPr>
              <w:jc w:val="right"/>
              <w:rPr>
                <w:rFonts w:ascii="Calibri" w:hAnsi="Calibri"/>
                <w:color w:val="000000"/>
                <w:sz w:val="20"/>
                <w:szCs w:val="20"/>
              </w:rPr>
            </w:pPr>
            <w:r w:rsidRPr="00CD6245">
              <w:rPr>
                <w:rFonts w:ascii="Calibri" w:hAnsi="Calibri"/>
                <w:color w:val="000000"/>
                <w:sz w:val="20"/>
                <w:szCs w:val="20"/>
              </w:rPr>
              <w:t>$848.0M</w:t>
            </w:r>
          </w:p>
        </w:tc>
      </w:tr>
      <w:tr w:rsidR="00941E57" w:rsidRPr="00CD6245" w:rsidTr="00870CCC">
        <w:trPr>
          <w:trHeight w:val="255"/>
        </w:trPr>
        <w:tc>
          <w:tcPr>
            <w:tcW w:w="2211" w:type="dxa"/>
            <w:shd w:val="clear" w:color="auto" w:fill="A6A6A6" w:themeFill="background1" w:themeFillShade="A6"/>
            <w:noWrap/>
            <w:vAlign w:val="center"/>
          </w:tcPr>
          <w:p w:rsidR="00941E57" w:rsidRPr="00CD6245" w:rsidRDefault="00941E57" w:rsidP="005319F2">
            <w:pPr>
              <w:rPr>
                <w:rFonts w:ascii="Calibri" w:hAnsi="Calibri" w:cs="Arial"/>
                <w:b/>
                <w:bCs/>
                <w:color w:val="FFFFFF"/>
                <w:sz w:val="20"/>
                <w:szCs w:val="20"/>
              </w:rPr>
            </w:pPr>
            <w:r w:rsidRPr="00CD6245">
              <w:rPr>
                <w:rFonts w:ascii="Calibri" w:hAnsi="Calibri" w:cs="Arial"/>
                <w:b/>
                <w:bCs/>
                <w:color w:val="FFFFFF"/>
                <w:sz w:val="20"/>
                <w:szCs w:val="20"/>
              </w:rPr>
              <w:t>Totals</w:t>
            </w:r>
          </w:p>
        </w:tc>
        <w:tc>
          <w:tcPr>
            <w:tcW w:w="1474" w:type="dxa"/>
            <w:shd w:val="clear" w:color="auto" w:fill="A6A6A6" w:themeFill="background1" w:themeFillShade="A6"/>
            <w:noWrap/>
            <w:vAlign w:val="bottom"/>
          </w:tcPr>
          <w:p w:rsidR="00941E57" w:rsidRPr="00CD6245" w:rsidRDefault="00941E57" w:rsidP="007C3CF8">
            <w:pPr>
              <w:jc w:val="right"/>
              <w:rPr>
                <w:rFonts w:ascii="Calibri" w:hAnsi="Calibri"/>
                <w:color w:val="FFFFFF"/>
                <w:sz w:val="20"/>
                <w:szCs w:val="20"/>
              </w:rPr>
            </w:pPr>
            <w:r w:rsidRPr="00CD6245">
              <w:rPr>
                <w:rFonts w:ascii="Calibri" w:hAnsi="Calibri"/>
                <w:color w:val="FFFFFF"/>
                <w:sz w:val="20"/>
                <w:szCs w:val="20"/>
              </w:rPr>
              <w:t>576</w:t>
            </w:r>
          </w:p>
        </w:tc>
        <w:tc>
          <w:tcPr>
            <w:tcW w:w="1560" w:type="dxa"/>
            <w:shd w:val="clear" w:color="auto" w:fill="A6A6A6" w:themeFill="background1" w:themeFillShade="A6"/>
            <w:vAlign w:val="bottom"/>
          </w:tcPr>
          <w:p w:rsidR="00941E57" w:rsidRPr="00CD6245" w:rsidRDefault="00941E57" w:rsidP="007C3CF8">
            <w:pPr>
              <w:jc w:val="right"/>
              <w:rPr>
                <w:rFonts w:ascii="Calibri" w:hAnsi="Calibri"/>
                <w:color w:val="FFFFFF"/>
                <w:sz w:val="20"/>
                <w:szCs w:val="20"/>
              </w:rPr>
            </w:pPr>
            <w:r w:rsidRPr="00CD6245">
              <w:rPr>
                <w:rFonts w:ascii="Calibri" w:hAnsi="Calibri"/>
                <w:color w:val="FFFFFF"/>
                <w:sz w:val="20"/>
                <w:szCs w:val="20"/>
              </w:rPr>
              <w:t>$1 366.5M</w:t>
            </w:r>
          </w:p>
        </w:tc>
        <w:tc>
          <w:tcPr>
            <w:tcW w:w="1560" w:type="dxa"/>
            <w:shd w:val="clear" w:color="auto" w:fill="A6A6A6" w:themeFill="background1" w:themeFillShade="A6"/>
            <w:vAlign w:val="bottom"/>
          </w:tcPr>
          <w:p w:rsidR="00941E57" w:rsidRPr="00CD6245" w:rsidRDefault="00941E57">
            <w:pPr>
              <w:jc w:val="right"/>
              <w:rPr>
                <w:rFonts w:ascii="Calibri" w:hAnsi="Calibri"/>
                <w:color w:val="FFFFFF"/>
                <w:sz w:val="20"/>
                <w:szCs w:val="20"/>
              </w:rPr>
            </w:pPr>
            <w:r w:rsidRPr="00CD6245">
              <w:rPr>
                <w:rFonts w:ascii="Calibri" w:hAnsi="Calibri"/>
                <w:color w:val="FFFFFF"/>
                <w:sz w:val="20"/>
                <w:szCs w:val="20"/>
              </w:rPr>
              <w:t>790</w:t>
            </w:r>
          </w:p>
        </w:tc>
        <w:tc>
          <w:tcPr>
            <w:tcW w:w="1560" w:type="dxa"/>
            <w:shd w:val="clear" w:color="auto" w:fill="A6A6A6" w:themeFill="background1" w:themeFillShade="A6"/>
            <w:noWrap/>
            <w:vAlign w:val="bottom"/>
          </w:tcPr>
          <w:p w:rsidR="00941E57" w:rsidRPr="00CD6245" w:rsidRDefault="00941E57">
            <w:pPr>
              <w:jc w:val="right"/>
              <w:rPr>
                <w:rFonts w:ascii="Calibri" w:hAnsi="Calibri"/>
                <w:color w:val="FFFFFF"/>
                <w:sz w:val="20"/>
                <w:szCs w:val="20"/>
              </w:rPr>
            </w:pPr>
            <w:r w:rsidRPr="00CD6245">
              <w:rPr>
                <w:rFonts w:ascii="Calibri" w:hAnsi="Calibri"/>
                <w:color w:val="FFFFFF"/>
                <w:sz w:val="20"/>
                <w:szCs w:val="20"/>
              </w:rPr>
              <w:t>$2</w:t>
            </w:r>
            <w:r w:rsidR="00720B3B" w:rsidRPr="00CD6245">
              <w:rPr>
                <w:rFonts w:ascii="Calibri" w:hAnsi="Calibri"/>
                <w:color w:val="FFFFFF"/>
                <w:sz w:val="20"/>
                <w:szCs w:val="20"/>
              </w:rPr>
              <w:t> 41</w:t>
            </w:r>
            <w:r w:rsidRPr="00CD6245">
              <w:rPr>
                <w:rFonts w:ascii="Calibri" w:hAnsi="Calibri"/>
                <w:color w:val="FFFFFF"/>
                <w:sz w:val="20"/>
                <w:szCs w:val="20"/>
              </w:rPr>
              <w:t>4.9M</w:t>
            </w:r>
          </w:p>
        </w:tc>
      </w:tr>
    </w:tbl>
    <w:p w:rsidR="00634B20" w:rsidRPr="00CD6245" w:rsidRDefault="00AC517C" w:rsidP="00A81314">
      <w:pPr>
        <w:pStyle w:val="Normal1"/>
      </w:pPr>
      <w:r>
        <w:fldChar w:fldCharType="begin"/>
      </w:r>
      <w:r>
        <w:instrText xml:space="preserve"> REF _Ref457845345 \h  \* MERGEFORMAT </w:instrText>
      </w:r>
      <w:r>
        <w:fldChar w:fldCharType="separate"/>
      </w:r>
      <w:r w:rsidR="002E75B9" w:rsidRPr="00CD6245">
        <w:t xml:space="preserve">Table </w:t>
      </w:r>
      <w:r w:rsidR="002E75B9">
        <w:rPr>
          <w:noProof/>
        </w:rPr>
        <w:t>16</w:t>
      </w:r>
      <w:r>
        <w:fldChar w:fldCharType="end"/>
      </w:r>
      <w:r w:rsidR="00A81314" w:rsidRPr="00CD6245">
        <w:t xml:space="preserve"> shows how complexity quadrants have changed between 2014–15 and 2015-16 by organisation.</w:t>
      </w:r>
    </w:p>
    <w:p w:rsidR="00634B20" w:rsidRPr="00CD6245" w:rsidRDefault="00634B20" w:rsidP="00634B20">
      <w:pPr>
        <w:pStyle w:val="Caption"/>
        <w:rPr>
          <w:lang w:eastAsia="en-US"/>
        </w:rPr>
      </w:pPr>
      <w:bookmarkStart w:id="95" w:name="_Ref457845345"/>
      <w:bookmarkStart w:id="96" w:name="_Toc463527851"/>
      <w:r w:rsidRPr="00CD6245">
        <w:t xml:space="preserve">Table </w:t>
      </w:r>
      <w:r w:rsidR="002B07C2" w:rsidRPr="00CD6245">
        <w:fldChar w:fldCharType="begin"/>
      </w:r>
      <w:r w:rsidR="005C04D8" w:rsidRPr="00CD6245">
        <w:instrText xml:space="preserve"> SEQ Table \* ARABIC </w:instrText>
      </w:r>
      <w:r w:rsidR="002B07C2" w:rsidRPr="00CD6245">
        <w:fldChar w:fldCharType="separate"/>
      </w:r>
      <w:r w:rsidR="002E75B9">
        <w:rPr>
          <w:noProof/>
        </w:rPr>
        <w:t>16</w:t>
      </w:r>
      <w:r w:rsidR="002B07C2" w:rsidRPr="00CD6245">
        <w:fldChar w:fldCharType="end"/>
      </w:r>
      <w:bookmarkEnd w:id="95"/>
      <w:r w:rsidRPr="00CD6245">
        <w:t>: Trends in complexity quadrants by organisation</w:t>
      </w:r>
      <w:bookmarkEnd w:id="96"/>
    </w:p>
    <w:tbl>
      <w:tblPr>
        <w:tblW w:w="1028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0"/>
        <w:gridCol w:w="992"/>
        <w:gridCol w:w="993"/>
        <w:gridCol w:w="992"/>
        <w:gridCol w:w="992"/>
        <w:gridCol w:w="984"/>
        <w:gridCol w:w="947"/>
        <w:gridCol w:w="998"/>
        <w:gridCol w:w="974"/>
      </w:tblGrid>
      <w:tr w:rsidR="00013E63" w:rsidRPr="00CD6245" w:rsidTr="00013E63">
        <w:trPr>
          <w:trHeight w:val="115"/>
        </w:trPr>
        <w:tc>
          <w:tcPr>
            <w:tcW w:w="2410" w:type="dxa"/>
            <w:vMerge w:val="restart"/>
            <w:shd w:val="clear" w:color="auto" w:fill="A6A6A6" w:themeFill="background1" w:themeFillShade="A6"/>
          </w:tcPr>
          <w:p w:rsidR="00013E63" w:rsidRPr="00CD6245" w:rsidRDefault="00013E63" w:rsidP="00013E63">
            <w:pPr>
              <w:pStyle w:val="TableHeader"/>
              <w:rPr>
                <w:b/>
                <w:sz w:val="20"/>
              </w:rPr>
            </w:pPr>
            <w:r w:rsidRPr="00CD6245">
              <w:rPr>
                <w:b/>
                <w:sz w:val="20"/>
              </w:rPr>
              <w:t>Organisation</w:t>
            </w:r>
          </w:p>
        </w:tc>
        <w:tc>
          <w:tcPr>
            <w:tcW w:w="1985" w:type="dxa"/>
            <w:gridSpan w:val="2"/>
            <w:shd w:val="clear" w:color="auto" w:fill="A6A6A6" w:themeFill="background1" w:themeFillShade="A6"/>
          </w:tcPr>
          <w:p w:rsidR="00013E63" w:rsidRPr="00CD6245" w:rsidRDefault="00013E63" w:rsidP="005319F2">
            <w:pPr>
              <w:pStyle w:val="TableHeader"/>
              <w:jc w:val="center"/>
              <w:rPr>
                <w:b/>
                <w:kern w:val="28"/>
                <w:sz w:val="20"/>
                <w:lang w:eastAsia="en-US"/>
              </w:rPr>
            </w:pPr>
            <w:r w:rsidRPr="00CD6245">
              <w:rPr>
                <w:b/>
                <w:sz w:val="20"/>
              </w:rPr>
              <w:t>Transactional</w:t>
            </w:r>
          </w:p>
        </w:tc>
        <w:tc>
          <w:tcPr>
            <w:tcW w:w="1984" w:type="dxa"/>
            <w:gridSpan w:val="2"/>
            <w:shd w:val="clear" w:color="auto" w:fill="A6A6A6" w:themeFill="background1" w:themeFillShade="A6"/>
          </w:tcPr>
          <w:p w:rsidR="00013E63" w:rsidRPr="00CD6245" w:rsidRDefault="00013E63" w:rsidP="005319F2">
            <w:pPr>
              <w:pStyle w:val="TableHeader"/>
              <w:jc w:val="center"/>
              <w:rPr>
                <w:b/>
                <w:sz w:val="20"/>
              </w:rPr>
            </w:pPr>
            <w:r w:rsidRPr="00CD6245">
              <w:rPr>
                <w:b/>
                <w:sz w:val="20"/>
              </w:rPr>
              <w:t>Leveraged</w:t>
            </w:r>
          </w:p>
        </w:tc>
        <w:tc>
          <w:tcPr>
            <w:tcW w:w="1931" w:type="dxa"/>
            <w:gridSpan w:val="2"/>
            <w:shd w:val="clear" w:color="auto" w:fill="A6A6A6" w:themeFill="background1" w:themeFillShade="A6"/>
            <w:noWrap/>
            <w:vAlign w:val="bottom"/>
          </w:tcPr>
          <w:p w:rsidR="00013E63" w:rsidRPr="00CD6245" w:rsidRDefault="00013E63" w:rsidP="005319F2">
            <w:pPr>
              <w:pStyle w:val="TableHeader"/>
              <w:jc w:val="center"/>
              <w:rPr>
                <w:b/>
                <w:kern w:val="28"/>
                <w:sz w:val="20"/>
                <w:lang w:eastAsia="en-US"/>
              </w:rPr>
            </w:pPr>
            <w:r w:rsidRPr="00CD6245">
              <w:rPr>
                <w:b/>
                <w:sz w:val="20"/>
              </w:rPr>
              <w:t>Focused</w:t>
            </w:r>
          </w:p>
        </w:tc>
        <w:tc>
          <w:tcPr>
            <w:tcW w:w="1972" w:type="dxa"/>
            <w:gridSpan w:val="2"/>
            <w:shd w:val="clear" w:color="auto" w:fill="A6A6A6" w:themeFill="background1" w:themeFillShade="A6"/>
            <w:vAlign w:val="bottom"/>
          </w:tcPr>
          <w:p w:rsidR="00013E63" w:rsidRPr="00CD6245" w:rsidRDefault="00013E63" w:rsidP="005319F2">
            <w:pPr>
              <w:pStyle w:val="TableHeader"/>
              <w:jc w:val="center"/>
              <w:rPr>
                <w:b/>
                <w:kern w:val="28"/>
                <w:sz w:val="20"/>
                <w:lang w:eastAsia="en-US"/>
              </w:rPr>
            </w:pPr>
            <w:r w:rsidRPr="00CD6245">
              <w:rPr>
                <w:b/>
                <w:sz w:val="20"/>
              </w:rPr>
              <w:t>Strategic</w:t>
            </w:r>
          </w:p>
        </w:tc>
      </w:tr>
      <w:tr w:rsidR="00013E63" w:rsidRPr="00CD6245" w:rsidTr="00013E63">
        <w:trPr>
          <w:trHeight w:val="115"/>
        </w:trPr>
        <w:tc>
          <w:tcPr>
            <w:tcW w:w="2410" w:type="dxa"/>
            <w:vMerge/>
            <w:shd w:val="clear" w:color="auto" w:fill="A6A6A6" w:themeFill="background1" w:themeFillShade="A6"/>
            <w:vAlign w:val="bottom"/>
          </w:tcPr>
          <w:p w:rsidR="00013E63" w:rsidRPr="00CD6245" w:rsidRDefault="00013E63" w:rsidP="005319F2">
            <w:pPr>
              <w:pStyle w:val="TableHeader"/>
              <w:rPr>
                <w:b/>
                <w:sz w:val="20"/>
              </w:rPr>
            </w:pPr>
          </w:p>
        </w:tc>
        <w:tc>
          <w:tcPr>
            <w:tcW w:w="992" w:type="dxa"/>
            <w:shd w:val="clear" w:color="auto" w:fill="A6A6A6" w:themeFill="background1" w:themeFillShade="A6"/>
          </w:tcPr>
          <w:p w:rsidR="00013E63" w:rsidRPr="00CD6245" w:rsidRDefault="00013E63" w:rsidP="005319F2">
            <w:pPr>
              <w:pStyle w:val="TableHeader"/>
              <w:jc w:val="center"/>
              <w:rPr>
                <w:b/>
                <w:kern w:val="28"/>
                <w:sz w:val="20"/>
                <w:lang w:eastAsia="en-US"/>
              </w:rPr>
            </w:pPr>
            <w:r w:rsidRPr="00CD6245">
              <w:rPr>
                <w:b/>
                <w:kern w:val="28"/>
                <w:sz w:val="20"/>
                <w:lang w:eastAsia="en-US"/>
              </w:rPr>
              <w:t>2014–15</w:t>
            </w:r>
          </w:p>
        </w:tc>
        <w:tc>
          <w:tcPr>
            <w:tcW w:w="993" w:type="dxa"/>
            <w:shd w:val="clear" w:color="auto" w:fill="A6A6A6" w:themeFill="background1" w:themeFillShade="A6"/>
            <w:vAlign w:val="bottom"/>
          </w:tcPr>
          <w:p w:rsidR="00013E63" w:rsidRPr="00CD6245" w:rsidRDefault="00013E63" w:rsidP="005319F2">
            <w:pPr>
              <w:pStyle w:val="TableHeader"/>
              <w:jc w:val="center"/>
              <w:rPr>
                <w:b/>
                <w:kern w:val="28"/>
                <w:sz w:val="20"/>
                <w:lang w:eastAsia="en-US"/>
              </w:rPr>
            </w:pPr>
            <w:r w:rsidRPr="00CD6245">
              <w:rPr>
                <w:b/>
                <w:kern w:val="28"/>
                <w:sz w:val="20"/>
                <w:lang w:eastAsia="en-US"/>
              </w:rPr>
              <w:t>2015–16</w:t>
            </w:r>
          </w:p>
        </w:tc>
        <w:tc>
          <w:tcPr>
            <w:tcW w:w="992" w:type="dxa"/>
            <w:shd w:val="clear" w:color="auto" w:fill="A6A6A6" w:themeFill="background1" w:themeFillShade="A6"/>
          </w:tcPr>
          <w:p w:rsidR="00013E63" w:rsidRPr="00CD6245" w:rsidRDefault="00013E63" w:rsidP="005319F2">
            <w:pPr>
              <w:pStyle w:val="TableHeader"/>
              <w:jc w:val="center"/>
              <w:rPr>
                <w:b/>
                <w:kern w:val="28"/>
                <w:sz w:val="20"/>
                <w:lang w:eastAsia="en-US"/>
              </w:rPr>
            </w:pPr>
            <w:r w:rsidRPr="00CD6245">
              <w:rPr>
                <w:b/>
                <w:kern w:val="28"/>
                <w:sz w:val="20"/>
                <w:lang w:eastAsia="en-US"/>
              </w:rPr>
              <w:t>2014–15</w:t>
            </w:r>
          </w:p>
        </w:tc>
        <w:tc>
          <w:tcPr>
            <w:tcW w:w="992" w:type="dxa"/>
            <w:shd w:val="clear" w:color="auto" w:fill="A6A6A6" w:themeFill="background1" w:themeFillShade="A6"/>
            <w:vAlign w:val="bottom"/>
          </w:tcPr>
          <w:p w:rsidR="00013E63" w:rsidRPr="00CD6245" w:rsidRDefault="00013E63" w:rsidP="005319F2">
            <w:pPr>
              <w:pStyle w:val="TableHeader"/>
              <w:jc w:val="center"/>
              <w:rPr>
                <w:b/>
                <w:kern w:val="28"/>
                <w:sz w:val="20"/>
                <w:lang w:eastAsia="en-US"/>
              </w:rPr>
            </w:pPr>
            <w:r w:rsidRPr="00CD6245">
              <w:rPr>
                <w:b/>
                <w:kern w:val="28"/>
                <w:sz w:val="20"/>
                <w:lang w:eastAsia="en-US"/>
              </w:rPr>
              <w:t>2015–16</w:t>
            </w:r>
          </w:p>
        </w:tc>
        <w:tc>
          <w:tcPr>
            <w:tcW w:w="984" w:type="dxa"/>
            <w:shd w:val="clear" w:color="auto" w:fill="A6A6A6" w:themeFill="background1" w:themeFillShade="A6"/>
            <w:noWrap/>
          </w:tcPr>
          <w:p w:rsidR="00013E63" w:rsidRPr="00CD6245" w:rsidRDefault="00013E63" w:rsidP="005319F2">
            <w:pPr>
              <w:pStyle w:val="TableHeader"/>
              <w:jc w:val="center"/>
              <w:rPr>
                <w:b/>
                <w:kern w:val="28"/>
                <w:sz w:val="20"/>
                <w:lang w:eastAsia="en-US"/>
              </w:rPr>
            </w:pPr>
            <w:r w:rsidRPr="00CD6245">
              <w:rPr>
                <w:b/>
                <w:kern w:val="28"/>
                <w:sz w:val="20"/>
                <w:lang w:eastAsia="en-US"/>
              </w:rPr>
              <w:t>2014–15</w:t>
            </w:r>
          </w:p>
        </w:tc>
        <w:tc>
          <w:tcPr>
            <w:tcW w:w="947" w:type="dxa"/>
            <w:shd w:val="clear" w:color="auto" w:fill="A6A6A6" w:themeFill="background1" w:themeFillShade="A6"/>
            <w:vAlign w:val="bottom"/>
          </w:tcPr>
          <w:p w:rsidR="00013E63" w:rsidRPr="00CD6245" w:rsidRDefault="00013E63" w:rsidP="005319F2">
            <w:pPr>
              <w:pStyle w:val="TableHeader"/>
              <w:jc w:val="center"/>
              <w:rPr>
                <w:b/>
                <w:kern w:val="28"/>
                <w:sz w:val="20"/>
                <w:lang w:eastAsia="en-US"/>
              </w:rPr>
            </w:pPr>
            <w:r w:rsidRPr="00CD6245">
              <w:rPr>
                <w:b/>
                <w:kern w:val="28"/>
                <w:sz w:val="20"/>
                <w:lang w:eastAsia="en-US"/>
              </w:rPr>
              <w:t>2015–16</w:t>
            </w:r>
          </w:p>
        </w:tc>
        <w:tc>
          <w:tcPr>
            <w:tcW w:w="998" w:type="dxa"/>
            <w:shd w:val="clear" w:color="auto" w:fill="A6A6A6" w:themeFill="background1" w:themeFillShade="A6"/>
          </w:tcPr>
          <w:p w:rsidR="00013E63" w:rsidRPr="00CD6245" w:rsidRDefault="00013E63" w:rsidP="005319F2">
            <w:pPr>
              <w:pStyle w:val="TableHeader"/>
              <w:jc w:val="center"/>
              <w:rPr>
                <w:b/>
                <w:kern w:val="28"/>
                <w:sz w:val="20"/>
                <w:lang w:eastAsia="en-US"/>
              </w:rPr>
            </w:pPr>
            <w:r w:rsidRPr="00CD6245">
              <w:rPr>
                <w:b/>
                <w:kern w:val="28"/>
                <w:sz w:val="20"/>
                <w:lang w:eastAsia="en-US"/>
              </w:rPr>
              <w:t>2014–15</w:t>
            </w:r>
          </w:p>
        </w:tc>
        <w:tc>
          <w:tcPr>
            <w:tcW w:w="974" w:type="dxa"/>
            <w:shd w:val="clear" w:color="auto" w:fill="A6A6A6" w:themeFill="background1" w:themeFillShade="A6"/>
            <w:vAlign w:val="bottom"/>
          </w:tcPr>
          <w:p w:rsidR="00013E63" w:rsidRPr="00CD6245" w:rsidRDefault="00013E63" w:rsidP="005319F2">
            <w:pPr>
              <w:pStyle w:val="TableHeader"/>
              <w:jc w:val="center"/>
              <w:rPr>
                <w:b/>
                <w:kern w:val="28"/>
                <w:sz w:val="20"/>
                <w:lang w:eastAsia="en-US"/>
              </w:rPr>
            </w:pPr>
            <w:r w:rsidRPr="00CD6245">
              <w:rPr>
                <w:b/>
                <w:kern w:val="28"/>
                <w:sz w:val="20"/>
                <w:lang w:eastAsia="en-US"/>
              </w:rPr>
              <w:t>2015–16</w:t>
            </w:r>
          </w:p>
        </w:tc>
      </w:tr>
      <w:tr w:rsidR="00A81314" w:rsidRPr="00CD6245" w:rsidTr="00013E63">
        <w:trPr>
          <w:trHeight w:val="540"/>
        </w:trPr>
        <w:tc>
          <w:tcPr>
            <w:tcW w:w="2410" w:type="dxa"/>
            <w:shd w:val="clear" w:color="auto" w:fill="auto"/>
          </w:tcPr>
          <w:p w:rsidR="00A81314" w:rsidRPr="00CD6245" w:rsidRDefault="00A81314" w:rsidP="005319F2">
            <w:pPr>
              <w:pStyle w:val="TableText"/>
            </w:pPr>
            <w:r w:rsidRPr="00CD6245">
              <w:t>Economic Development, Jobs, Transport and Resources</w:t>
            </w:r>
          </w:p>
        </w:tc>
        <w:tc>
          <w:tcPr>
            <w:tcW w:w="992" w:type="dxa"/>
            <w:vAlign w:val="center"/>
          </w:tcPr>
          <w:p w:rsidR="00A81314" w:rsidRPr="00CD6245" w:rsidRDefault="00A81314">
            <w:pPr>
              <w:jc w:val="right"/>
              <w:rPr>
                <w:rFonts w:ascii="Calibri" w:hAnsi="Calibri"/>
                <w:color w:val="000000"/>
                <w:sz w:val="20"/>
                <w:szCs w:val="20"/>
              </w:rPr>
            </w:pPr>
            <w:r w:rsidRPr="00CD6245">
              <w:rPr>
                <w:rFonts w:ascii="Calibri" w:hAnsi="Calibri"/>
                <w:color w:val="000000"/>
                <w:sz w:val="20"/>
                <w:szCs w:val="20"/>
              </w:rPr>
              <w:t>4</w:t>
            </w:r>
          </w:p>
        </w:tc>
        <w:tc>
          <w:tcPr>
            <w:tcW w:w="993" w:type="dxa"/>
            <w:shd w:val="clear" w:color="auto" w:fill="auto"/>
            <w:vAlign w:val="center"/>
          </w:tcPr>
          <w:p w:rsidR="00A81314" w:rsidRPr="00CD6245" w:rsidRDefault="00A81314">
            <w:pPr>
              <w:jc w:val="right"/>
              <w:rPr>
                <w:rFonts w:ascii="Calibri" w:hAnsi="Calibri"/>
                <w:color w:val="000000"/>
                <w:sz w:val="20"/>
                <w:szCs w:val="20"/>
              </w:rPr>
            </w:pPr>
            <w:r w:rsidRPr="00CD6245">
              <w:rPr>
                <w:rFonts w:ascii="Calibri" w:hAnsi="Calibri"/>
                <w:color w:val="000000"/>
                <w:sz w:val="20"/>
                <w:szCs w:val="20"/>
              </w:rPr>
              <w:t>30</w:t>
            </w:r>
          </w:p>
        </w:tc>
        <w:tc>
          <w:tcPr>
            <w:tcW w:w="992" w:type="dxa"/>
            <w:vAlign w:val="center"/>
          </w:tcPr>
          <w:p w:rsidR="00A81314" w:rsidRPr="00CD6245" w:rsidRDefault="00A81314">
            <w:pPr>
              <w:jc w:val="right"/>
              <w:rPr>
                <w:rFonts w:ascii="Calibri" w:hAnsi="Calibri"/>
                <w:color w:val="000000"/>
                <w:sz w:val="20"/>
                <w:szCs w:val="20"/>
              </w:rPr>
            </w:pPr>
            <w:r w:rsidRPr="00CD6245">
              <w:rPr>
                <w:rFonts w:ascii="Calibri" w:hAnsi="Calibri"/>
                <w:color w:val="000000"/>
                <w:sz w:val="20"/>
                <w:szCs w:val="20"/>
              </w:rPr>
              <w:t>17</w:t>
            </w:r>
          </w:p>
        </w:tc>
        <w:tc>
          <w:tcPr>
            <w:tcW w:w="992" w:type="dxa"/>
            <w:vAlign w:val="center"/>
          </w:tcPr>
          <w:p w:rsidR="00A81314" w:rsidRPr="00CD6245" w:rsidRDefault="00A81314">
            <w:pPr>
              <w:jc w:val="right"/>
              <w:rPr>
                <w:rFonts w:ascii="Calibri" w:hAnsi="Calibri"/>
                <w:color w:val="000000"/>
                <w:sz w:val="20"/>
                <w:szCs w:val="20"/>
              </w:rPr>
            </w:pPr>
            <w:r w:rsidRPr="00CD6245">
              <w:rPr>
                <w:rFonts w:ascii="Calibri" w:hAnsi="Calibri"/>
                <w:color w:val="000000"/>
                <w:sz w:val="20"/>
                <w:szCs w:val="20"/>
              </w:rPr>
              <w:t>1</w:t>
            </w:r>
          </w:p>
        </w:tc>
        <w:tc>
          <w:tcPr>
            <w:tcW w:w="984" w:type="dxa"/>
            <w:shd w:val="clear" w:color="auto" w:fill="auto"/>
            <w:noWrap/>
            <w:vAlign w:val="center"/>
          </w:tcPr>
          <w:p w:rsidR="00A81314" w:rsidRPr="00CD6245" w:rsidRDefault="00A81314">
            <w:pPr>
              <w:jc w:val="right"/>
              <w:rPr>
                <w:rFonts w:ascii="Calibri" w:hAnsi="Calibri"/>
                <w:color w:val="000000"/>
                <w:sz w:val="20"/>
                <w:szCs w:val="20"/>
              </w:rPr>
            </w:pPr>
            <w:r w:rsidRPr="00CD6245">
              <w:rPr>
                <w:rFonts w:ascii="Calibri" w:hAnsi="Calibri"/>
                <w:color w:val="000000"/>
                <w:sz w:val="20"/>
                <w:szCs w:val="20"/>
              </w:rPr>
              <w:t>50</w:t>
            </w:r>
          </w:p>
        </w:tc>
        <w:tc>
          <w:tcPr>
            <w:tcW w:w="947" w:type="dxa"/>
            <w:vAlign w:val="center"/>
          </w:tcPr>
          <w:p w:rsidR="00A81314" w:rsidRPr="00CD6245" w:rsidRDefault="00A81314">
            <w:pPr>
              <w:jc w:val="right"/>
              <w:rPr>
                <w:rFonts w:ascii="Calibri" w:hAnsi="Calibri"/>
                <w:color w:val="000000"/>
                <w:sz w:val="20"/>
                <w:szCs w:val="20"/>
              </w:rPr>
            </w:pPr>
            <w:r w:rsidRPr="00CD6245">
              <w:rPr>
                <w:rFonts w:ascii="Calibri" w:hAnsi="Calibri"/>
                <w:color w:val="000000"/>
                <w:sz w:val="20"/>
                <w:szCs w:val="20"/>
              </w:rPr>
              <w:t>40</w:t>
            </w:r>
          </w:p>
        </w:tc>
        <w:tc>
          <w:tcPr>
            <w:tcW w:w="998" w:type="dxa"/>
            <w:vAlign w:val="center"/>
          </w:tcPr>
          <w:p w:rsidR="00A81314" w:rsidRPr="00CD6245" w:rsidRDefault="00A81314">
            <w:pPr>
              <w:jc w:val="right"/>
              <w:rPr>
                <w:rFonts w:ascii="Calibri" w:hAnsi="Calibri"/>
                <w:color w:val="000000"/>
                <w:sz w:val="20"/>
                <w:szCs w:val="20"/>
              </w:rPr>
            </w:pPr>
            <w:r w:rsidRPr="00CD6245">
              <w:rPr>
                <w:rFonts w:ascii="Calibri" w:hAnsi="Calibri"/>
                <w:color w:val="000000"/>
                <w:sz w:val="20"/>
                <w:szCs w:val="20"/>
              </w:rPr>
              <w:t>3</w:t>
            </w:r>
          </w:p>
        </w:tc>
        <w:tc>
          <w:tcPr>
            <w:tcW w:w="974" w:type="dxa"/>
            <w:vAlign w:val="center"/>
          </w:tcPr>
          <w:p w:rsidR="00A81314" w:rsidRPr="00CD6245" w:rsidRDefault="00A81314">
            <w:pPr>
              <w:jc w:val="right"/>
              <w:rPr>
                <w:rFonts w:ascii="Calibri" w:hAnsi="Calibri"/>
                <w:color w:val="000000"/>
                <w:sz w:val="20"/>
                <w:szCs w:val="20"/>
              </w:rPr>
            </w:pPr>
            <w:r w:rsidRPr="00CD6245">
              <w:rPr>
                <w:rFonts w:ascii="Calibri" w:hAnsi="Calibri"/>
                <w:color w:val="000000"/>
                <w:sz w:val="20"/>
                <w:szCs w:val="20"/>
              </w:rPr>
              <w:t>3</w:t>
            </w:r>
          </w:p>
        </w:tc>
      </w:tr>
      <w:tr w:rsidR="00A81314" w:rsidRPr="00CD6245" w:rsidTr="00013E63">
        <w:trPr>
          <w:trHeight w:val="269"/>
        </w:trPr>
        <w:tc>
          <w:tcPr>
            <w:tcW w:w="2410" w:type="dxa"/>
            <w:shd w:val="clear" w:color="auto" w:fill="auto"/>
          </w:tcPr>
          <w:p w:rsidR="00A81314" w:rsidRPr="00CD6245" w:rsidRDefault="00A81314" w:rsidP="005319F2">
            <w:pPr>
              <w:pStyle w:val="TableText"/>
            </w:pPr>
            <w:r w:rsidRPr="00CD6245">
              <w:t>Education and Training</w:t>
            </w:r>
          </w:p>
        </w:tc>
        <w:tc>
          <w:tcPr>
            <w:tcW w:w="992" w:type="dxa"/>
            <w:vAlign w:val="center"/>
          </w:tcPr>
          <w:p w:rsidR="00A81314" w:rsidRPr="00CD6245" w:rsidRDefault="00A81314">
            <w:pPr>
              <w:jc w:val="right"/>
              <w:rPr>
                <w:rFonts w:ascii="Calibri" w:hAnsi="Calibri"/>
                <w:color w:val="000000"/>
                <w:sz w:val="20"/>
                <w:szCs w:val="20"/>
              </w:rPr>
            </w:pPr>
            <w:r w:rsidRPr="00CD6245">
              <w:rPr>
                <w:rFonts w:ascii="Calibri" w:hAnsi="Calibri"/>
                <w:color w:val="000000"/>
                <w:sz w:val="20"/>
                <w:szCs w:val="20"/>
              </w:rPr>
              <w:t>3</w:t>
            </w:r>
          </w:p>
        </w:tc>
        <w:tc>
          <w:tcPr>
            <w:tcW w:w="993" w:type="dxa"/>
            <w:shd w:val="clear" w:color="auto" w:fill="auto"/>
            <w:vAlign w:val="center"/>
          </w:tcPr>
          <w:p w:rsidR="00A81314" w:rsidRPr="00CD6245" w:rsidRDefault="00A81314">
            <w:pPr>
              <w:jc w:val="right"/>
              <w:rPr>
                <w:rFonts w:ascii="Calibri" w:hAnsi="Calibri"/>
                <w:color w:val="000000"/>
                <w:sz w:val="20"/>
                <w:szCs w:val="20"/>
              </w:rPr>
            </w:pPr>
            <w:r w:rsidRPr="00CD6245">
              <w:rPr>
                <w:rFonts w:ascii="Calibri" w:hAnsi="Calibri"/>
                <w:color w:val="000000"/>
                <w:sz w:val="20"/>
                <w:szCs w:val="20"/>
              </w:rPr>
              <w:t>7</w:t>
            </w:r>
          </w:p>
        </w:tc>
        <w:tc>
          <w:tcPr>
            <w:tcW w:w="992" w:type="dxa"/>
            <w:vAlign w:val="center"/>
          </w:tcPr>
          <w:p w:rsidR="00A81314" w:rsidRPr="00CD6245" w:rsidRDefault="00A81314">
            <w:pPr>
              <w:jc w:val="right"/>
              <w:rPr>
                <w:rFonts w:ascii="Calibri" w:hAnsi="Calibri"/>
                <w:color w:val="000000"/>
                <w:sz w:val="20"/>
                <w:szCs w:val="20"/>
              </w:rPr>
            </w:pPr>
            <w:r w:rsidRPr="00CD6245">
              <w:rPr>
                <w:rFonts w:ascii="Calibri" w:hAnsi="Calibri"/>
                <w:color w:val="000000"/>
                <w:sz w:val="20"/>
                <w:szCs w:val="20"/>
              </w:rPr>
              <w:t>170</w:t>
            </w:r>
          </w:p>
        </w:tc>
        <w:tc>
          <w:tcPr>
            <w:tcW w:w="992" w:type="dxa"/>
            <w:vAlign w:val="center"/>
          </w:tcPr>
          <w:p w:rsidR="00A81314" w:rsidRPr="00CD6245" w:rsidRDefault="00A81314">
            <w:pPr>
              <w:jc w:val="right"/>
              <w:rPr>
                <w:rFonts w:ascii="Calibri" w:hAnsi="Calibri"/>
                <w:color w:val="000000"/>
                <w:sz w:val="20"/>
                <w:szCs w:val="20"/>
              </w:rPr>
            </w:pPr>
            <w:r w:rsidRPr="00CD6245">
              <w:rPr>
                <w:rFonts w:ascii="Calibri" w:hAnsi="Calibri"/>
                <w:color w:val="000000"/>
                <w:sz w:val="20"/>
                <w:szCs w:val="20"/>
              </w:rPr>
              <w:t>217</w:t>
            </w:r>
          </w:p>
        </w:tc>
        <w:tc>
          <w:tcPr>
            <w:tcW w:w="984" w:type="dxa"/>
            <w:shd w:val="clear" w:color="auto" w:fill="auto"/>
            <w:noWrap/>
            <w:vAlign w:val="center"/>
          </w:tcPr>
          <w:p w:rsidR="00A81314" w:rsidRPr="00CD6245" w:rsidRDefault="00A81314">
            <w:pPr>
              <w:jc w:val="right"/>
              <w:rPr>
                <w:rFonts w:ascii="Calibri" w:hAnsi="Calibri"/>
                <w:color w:val="000000"/>
                <w:sz w:val="20"/>
                <w:szCs w:val="20"/>
              </w:rPr>
            </w:pPr>
            <w:r w:rsidRPr="00CD6245">
              <w:rPr>
                <w:rFonts w:ascii="Calibri" w:hAnsi="Calibri"/>
                <w:color w:val="000000"/>
                <w:sz w:val="20"/>
                <w:szCs w:val="20"/>
              </w:rPr>
              <w:t>21</w:t>
            </w:r>
          </w:p>
        </w:tc>
        <w:tc>
          <w:tcPr>
            <w:tcW w:w="947" w:type="dxa"/>
            <w:vAlign w:val="center"/>
          </w:tcPr>
          <w:p w:rsidR="00A81314" w:rsidRPr="00CD6245" w:rsidRDefault="00A81314">
            <w:pPr>
              <w:jc w:val="right"/>
              <w:rPr>
                <w:rFonts w:ascii="Calibri" w:hAnsi="Calibri"/>
                <w:color w:val="000000"/>
                <w:sz w:val="20"/>
                <w:szCs w:val="20"/>
              </w:rPr>
            </w:pPr>
            <w:r w:rsidRPr="00CD6245">
              <w:rPr>
                <w:rFonts w:ascii="Calibri" w:hAnsi="Calibri"/>
                <w:color w:val="000000"/>
                <w:sz w:val="20"/>
                <w:szCs w:val="20"/>
              </w:rPr>
              <w:t>30</w:t>
            </w:r>
          </w:p>
        </w:tc>
        <w:tc>
          <w:tcPr>
            <w:tcW w:w="998" w:type="dxa"/>
            <w:vAlign w:val="center"/>
          </w:tcPr>
          <w:p w:rsidR="00A81314" w:rsidRPr="00CD6245" w:rsidRDefault="00A81314">
            <w:pPr>
              <w:jc w:val="right"/>
              <w:rPr>
                <w:rFonts w:ascii="Calibri" w:hAnsi="Calibri"/>
                <w:color w:val="000000"/>
                <w:sz w:val="20"/>
                <w:szCs w:val="20"/>
              </w:rPr>
            </w:pPr>
            <w:r w:rsidRPr="00CD6245">
              <w:rPr>
                <w:rFonts w:ascii="Calibri" w:hAnsi="Calibri"/>
                <w:color w:val="000000"/>
                <w:sz w:val="20"/>
                <w:szCs w:val="20"/>
              </w:rPr>
              <w:t>..</w:t>
            </w:r>
          </w:p>
        </w:tc>
        <w:tc>
          <w:tcPr>
            <w:tcW w:w="974" w:type="dxa"/>
            <w:vAlign w:val="center"/>
          </w:tcPr>
          <w:p w:rsidR="00A81314" w:rsidRPr="00CD6245" w:rsidRDefault="00A81314">
            <w:pPr>
              <w:jc w:val="right"/>
              <w:rPr>
                <w:rFonts w:ascii="Calibri" w:hAnsi="Calibri"/>
                <w:color w:val="000000"/>
                <w:sz w:val="20"/>
                <w:szCs w:val="20"/>
              </w:rPr>
            </w:pPr>
            <w:r w:rsidRPr="00CD6245">
              <w:rPr>
                <w:rFonts w:ascii="Calibri" w:hAnsi="Calibri"/>
                <w:color w:val="000000"/>
                <w:sz w:val="20"/>
                <w:szCs w:val="20"/>
              </w:rPr>
              <w:t>..</w:t>
            </w:r>
          </w:p>
        </w:tc>
      </w:tr>
      <w:tr w:rsidR="00A81314" w:rsidRPr="00CD6245" w:rsidTr="00013E63">
        <w:trPr>
          <w:trHeight w:val="269"/>
        </w:trPr>
        <w:tc>
          <w:tcPr>
            <w:tcW w:w="2410" w:type="dxa"/>
            <w:shd w:val="clear" w:color="auto" w:fill="auto"/>
          </w:tcPr>
          <w:p w:rsidR="00A81314" w:rsidRPr="00CD6245" w:rsidRDefault="00A81314" w:rsidP="005319F2">
            <w:pPr>
              <w:pStyle w:val="TableText"/>
            </w:pPr>
            <w:r w:rsidRPr="00CD6245">
              <w:t>Environment, Land, Water and Planning</w:t>
            </w:r>
          </w:p>
        </w:tc>
        <w:tc>
          <w:tcPr>
            <w:tcW w:w="992" w:type="dxa"/>
            <w:vAlign w:val="center"/>
          </w:tcPr>
          <w:p w:rsidR="00A81314" w:rsidRPr="00CD6245" w:rsidRDefault="00A81314">
            <w:pPr>
              <w:jc w:val="right"/>
              <w:rPr>
                <w:rFonts w:ascii="Calibri" w:hAnsi="Calibri"/>
                <w:color w:val="000000"/>
                <w:sz w:val="20"/>
                <w:szCs w:val="20"/>
              </w:rPr>
            </w:pPr>
            <w:r w:rsidRPr="00CD6245">
              <w:rPr>
                <w:rFonts w:ascii="Calibri" w:hAnsi="Calibri"/>
                <w:color w:val="000000"/>
                <w:sz w:val="20"/>
                <w:szCs w:val="20"/>
              </w:rPr>
              <w:t>11</w:t>
            </w:r>
          </w:p>
        </w:tc>
        <w:tc>
          <w:tcPr>
            <w:tcW w:w="993" w:type="dxa"/>
            <w:shd w:val="clear" w:color="auto" w:fill="auto"/>
            <w:vAlign w:val="center"/>
          </w:tcPr>
          <w:p w:rsidR="00A81314" w:rsidRPr="00CD6245" w:rsidRDefault="00A81314">
            <w:pPr>
              <w:jc w:val="right"/>
              <w:rPr>
                <w:rFonts w:ascii="Calibri" w:hAnsi="Calibri"/>
                <w:color w:val="000000"/>
                <w:sz w:val="20"/>
                <w:szCs w:val="20"/>
              </w:rPr>
            </w:pPr>
            <w:r w:rsidRPr="00CD6245">
              <w:rPr>
                <w:rFonts w:ascii="Calibri" w:hAnsi="Calibri"/>
                <w:color w:val="000000"/>
                <w:sz w:val="20"/>
                <w:szCs w:val="20"/>
              </w:rPr>
              <w:t>75</w:t>
            </w:r>
          </w:p>
        </w:tc>
        <w:tc>
          <w:tcPr>
            <w:tcW w:w="992" w:type="dxa"/>
            <w:vAlign w:val="center"/>
          </w:tcPr>
          <w:p w:rsidR="00A81314" w:rsidRPr="00CD6245" w:rsidRDefault="00A81314">
            <w:pPr>
              <w:jc w:val="right"/>
              <w:rPr>
                <w:rFonts w:ascii="Calibri" w:hAnsi="Calibri"/>
                <w:color w:val="000000"/>
                <w:sz w:val="20"/>
                <w:szCs w:val="20"/>
              </w:rPr>
            </w:pPr>
            <w:r w:rsidRPr="00CD6245">
              <w:rPr>
                <w:rFonts w:ascii="Calibri" w:hAnsi="Calibri"/>
                <w:color w:val="000000"/>
                <w:sz w:val="20"/>
                <w:szCs w:val="20"/>
              </w:rPr>
              <w:t>2</w:t>
            </w:r>
          </w:p>
        </w:tc>
        <w:tc>
          <w:tcPr>
            <w:tcW w:w="992" w:type="dxa"/>
            <w:vAlign w:val="center"/>
          </w:tcPr>
          <w:p w:rsidR="00A81314" w:rsidRPr="00CD6245" w:rsidRDefault="00A81314">
            <w:pPr>
              <w:jc w:val="right"/>
              <w:rPr>
                <w:rFonts w:ascii="Calibri" w:hAnsi="Calibri"/>
                <w:color w:val="000000"/>
                <w:sz w:val="20"/>
                <w:szCs w:val="20"/>
              </w:rPr>
            </w:pPr>
            <w:r w:rsidRPr="00CD6245">
              <w:rPr>
                <w:rFonts w:ascii="Calibri" w:hAnsi="Calibri"/>
                <w:color w:val="000000"/>
                <w:sz w:val="20"/>
                <w:szCs w:val="20"/>
              </w:rPr>
              <w:t>5</w:t>
            </w:r>
          </w:p>
        </w:tc>
        <w:tc>
          <w:tcPr>
            <w:tcW w:w="984" w:type="dxa"/>
            <w:shd w:val="clear" w:color="auto" w:fill="auto"/>
            <w:noWrap/>
            <w:vAlign w:val="center"/>
          </w:tcPr>
          <w:p w:rsidR="00A81314" w:rsidRPr="00CD6245" w:rsidRDefault="00A81314">
            <w:pPr>
              <w:jc w:val="right"/>
              <w:rPr>
                <w:rFonts w:ascii="Calibri" w:hAnsi="Calibri"/>
                <w:color w:val="000000"/>
                <w:sz w:val="20"/>
                <w:szCs w:val="20"/>
              </w:rPr>
            </w:pPr>
            <w:r w:rsidRPr="00CD6245">
              <w:rPr>
                <w:rFonts w:ascii="Calibri" w:hAnsi="Calibri"/>
                <w:color w:val="000000"/>
                <w:sz w:val="20"/>
                <w:szCs w:val="20"/>
              </w:rPr>
              <w:t>3</w:t>
            </w:r>
          </w:p>
        </w:tc>
        <w:tc>
          <w:tcPr>
            <w:tcW w:w="947" w:type="dxa"/>
            <w:vAlign w:val="center"/>
          </w:tcPr>
          <w:p w:rsidR="00A81314" w:rsidRPr="00CD6245" w:rsidRDefault="00A81314">
            <w:pPr>
              <w:jc w:val="right"/>
              <w:rPr>
                <w:rFonts w:ascii="Calibri" w:hAnsi="Calibri"/>
                <w:color w:val="000000"/>
                <w:sz w:val="20"/>
                <w:szCs w:val="20"/>
              </w:rPr>
            </w:pPr>
            <w:r w:rsidRPr="00CD6245">
              <w:rPr>
                <w:rFonts w:ascii="Calibri" w:hAnsi="Calibri"/>
                <w:color w:val="000000"/>
                <w:sz w:val="20"/>
                <w:szCs w:val="20"/>
              </w:rPr>
              <w:t>28</w:t>
            </w:r>
          </w:p>
        </w:tc>
        <w:tc>
          <w:tcPr>
            <w:tcW w:w="998" w:type="dxa"/>
            <w:vAlign w:val="center"/>
          </w:tcPr>
          <w:p w:rsidR="00A81314" w:rsidRPr="00CD6245" w:rsidRDefault="00A81314">
            <w:pPr>
              <w:jc w:val="right"/>
              <w:rPr>
                <w:rFonts w:ascii="Calibri" w:hAnsi="Calibri"/>
                <w:color w:val="000000"/>
                <w:sz w:val="20"/>
                <w:szCs w:val="20"/>
              </w:rPr>
            </w:pPr>
            <w:r w:rsidRPr="00CD6245">
              <w:rPr>
                <w:rFonts w:ascii="Calibri" w:hAnsi="Calibri"/>
                <w:color w:val="000000"/>
                <w:sz w:val="20"/>
                <w:szCs w:val="20"/>
              </w:rPr>
              <w:t>2</w:t>
            </w:r>
          </w:p>
        </w:tc>
        <w:tc>
          <w:tcPr>
            <w:tcW w:w="974" w:type="dxa"/>
            <w:vAlign w:val="center"/>
          </w:tcPr>
          <w:p w:rsidR="00A81314" w:rsidRPr="00CD6245" w:rsidRDefault="00A81314">
            <w:pPr>
              <w:jc w:val="right"/>
              <w:rPr>
                <w:rFonts w:ascii="Calibri" w:hAnsi="Calibri"/>
                <w:color w:val="000000"/>
                <w:sz w:val="20"/>
                <w:szCs w:val="20"/>
              </w:rPr>
            </w:pPr>
            <w:r w:rsidRPr="00CD6245">
              <w:rPr>
                <w:rFonts w:ascii="Calibri" w:hAnsi="Calibri"/>
                <w:color w:val="000000"/>
                <w:sz w:val="20"/>
                <w:szCs w:val="20"/>
              </w:rPr>
              <w:t>6</w:t>
            </w:r>
          </w:p>
        </w:tc>
      </w:tr>
      <w:tr w:rsidR="00A81314" w:rsidRPr="00CD6245" w:rsidTr="00013E63">
        <w:trPr>
          <w:trHeight w:val="255"/>
        </w:trPr>
        <w:tc>
          <w:tcPr>
            <w:tcW w:w="2410" w:type="dxa"/>
            <w:shd w:val="clear" w:color="auto" w:fill="auto"/>
          </w:tcPr>
          <w:p w:rsidR="00A81314" w:rsidRPr="00CD6245" w:rsidRDefault="00A81314" w:rsidP="005319F2">
            <w:pPr>
              <w:pStyle w:val="TableText"/>
            </w:pPr>
            <w:r w:rsidRPr="00CD6245">
              <w:t>Health and Human Services</w:t>
            </w:r>
          </w:p>
        </w:tc>
        <w:tc>
          <w:tcPr>
            <w:tcW w:w="992" w:type="dxa"/>
            <w:vAlign w:val="center"/>
          </w:tcPr>
          <w:p w:rsidR="00A81314" w:rsidRPr="00CD6245" w:rsidRDefault="00A81314">
            <w:pPr>
              <w:jc w:val="right"/>
              <w:rPr>
                <w:rFonts w:ascii="Calibri" w:hAnsi="Calibri"/>
                <w:color w:val="000000"/>
                <w:sz w:val="20"/>
                <w:szCs w:val="20"/>
              </w:rPr>
            </w:pPr>
            <w:r w:rsidRPr="00CD6245">
              <w:rPr>
                <w:rFonts w:ascii="Calibri" w:hAnsi="Calibri"/>
                <w:color w:val="000000"/>
                <w:sz w:val="20"/>
                <w:szCs w:val="20"/>
              </w:rPr>
              <w:t>9</w:t>
            </w:r>
          </w:p>
        </w:tc>
        <w:tc>
          <w:tcPr>
            <w:tcW w:w="993" w:type="dxa"/>
            <w:shd w:val="clear" w:color="auto" w:fill="auto"/>
            <w:vAlign w:val="center"/>
          </w:tcPr>
          <w:p w:rsidR="00A81314" w:rsidRPr="00CD6245" w:rsidRDefault="00A81314">
            <w:pPr>
              <w:jc w:val="right"/>
              <w:rPr>
                <w:rFonts w:ascii="Calibri" w:hAnsi="Calibri"/>
                <w:color w:val="000000"/>
                <w:sz w:val="20"/>
                <w:szCs w:val="20"/>
              </w:rPr>
            </w:pPr>
            <w:r w:rsidRPr="00CD6245">
              <w:rPr>
                <w:rFonts w:ascii="Calibri" w:hAnsi="Calibri"/>
                <w:color w:val="000000"/>
                <w:sz w:val="20"/>
                <w:szCs w:val="20"/>
              </w:rPr>
              <w:t>3</w:t>
            </w:r>
          </w:p>
        </w:tc>
        <w:tc>
          <w:tcPr>
            <w:tcW w:w="992" w:type="dxa"/>
            <w:vAlign w:val="center"/>
          </w:tcPr>
          <w:p w:rsidR="00A81314" w:rsidRPr="00CD6245" w:rsidRDefault="00A81314">
            <w:pPr>
              <w:jc w:val="right"/>
              <w:rPr>
                <w:rFonts w:ascii="Calibri" w:hAnsi="Calibri"/>
                <w:color w:val="000000"/>
                <w:sz w:val="20"/>
                <w:szCs w:val="20"/>
              </w:rPr>
            </w:pPr>
            <w:r w:rsidRPr="00CD6245">
              <w:rPr>
                <w:rFonts w:ascii="Calibri" w:hAnsi="Calibri"/>
                <w:color w:val="000000"/>
                <w:sz w:val="20"/>
                <w:szCs w:val="20"/>
              </w:rPr>
              <w:t>9</w:t>
            </w:r>
          </w:p>
        </w:tc>
        <w:tc>
          <w:tcPr>
            <w:tcW w:w="992" w:type="dxa"/>
            <w:vAlign w:val="center"/>
          </w:tcPr>
          <w:p w:rsidR="00A81314" w:rsidRPr="00CD6245" w:rsidRDefault="00A81314">
            <w:pPr>
              <w:jc w:val="right"/>
              <w:rPr>
                <w:rFonts w:ascii="Calibri" w:hAnsi="Calibri"/>
                <w:color w:val="000000"/>
                <w:sz w:val="20"/>
                <w:szCs w:val="20"/>
              </w:rPr>
            </w:pPr>
            <w:r w:rsidRPr="00CD6245">
              <w:rPr>
                <w:rFonts w:ascii="Calibri" w:hAnsi="Calibri"/>
                <w:color w:val="000000"/>
                <w:sz w:val="20"/>
                <w:szCs w:val="20"/>
              </w:rPr>
              <w:t>10</w:t>
            </w:r>
          </w:p>
        </w:tc>
        <w:tc>
          <w:tcPr>
            <w:tcW w:w="984" w:type="dxa"/>
            <w:shd w:val="clear" w:color="auto" w:fill="auto"/>
            <w:noWrap/>
            <w:vAlign w:val="center"/>
          </w:tcPr>
          <w:p w:rsidR="00A81314" w:rsidRPr="00CD6245" w:rsidRDefault="00A81314">
            <w:pPr>
              <w:jc w:val="right"/>
              <w:rPr>
                <w:rFonts w:ascii="Calibri" w:hAnsi="Calibri"/>
                <w:color w:val="000000"/>
                <w:sz w:val="20"/>
                <w:szCs w:val="20"/>
              </w:rPr>
            </w:pPr>
            <w:r w:rsidRPr="00CD6245">
              <w:rPr>
                <w:rFonts w:ascii="Calibri" w:hAnsi="Calibri"/>
                <w:color w:val="000000"/>
                <w:sz w:val="20"/>
                <w:szCs w:val="20"/>
              </w:rPr>
              <w:t>..</w:t>
            </w:r>
          </w:p>
        </w:tc>
        <w:tc>
          <w:tcPr>
            <w:tcW w:w="947" w:type="dxa"/>
            <w:vAlign w:val="center"/>
          </w:tcPr>
          <w:p w:rsidR="00A81314" w:rsidRPr="00CD6245" w:rsidRDefault="00A81314">
            <w:pPr>
              <w:jc w:val="right"/>
              <w:rPr>
                <w:rFonts w:ascii="Calibri" w:hAnsi="Calibri"/>
                <w:color w:val="000000"/>
                <w:sz w:val="20"/>
                <w:szCs w:val="20"/>
              </w:rPr>
            </w:pPr>
            <w:r w:rsidRPr="00CD6245">
              <w:rPr>
                <w:rFonts w:ascii="Calibri" w:hAnsi="Calibri"/>
                <w:color w:val="000000"/>
                <w:sz w:val="20"/>
                <w:szCs w:val="20"/>
              </w:rPr>
              <w:t>2</w:t>
            </w:r>
          </w:p>
        </w:tc>
        <w:tc>
          <w:tcPr>
            <w:tcW w:w="998" w:type="dxa"/>
            <w:vAlign w:val="center"/>
          </w:tcPr>
          <w:p w:rsidR="00A81314" w:rsidRPr="00CD6245" w:rsidRDefault="00A81314">
            <w:pPr>
              <w:jc w:val="right"/>
              <w:rPr>
                <w:rFonts w:ascii="Calibri" w:hAnsi="Calibri"/>
                <w:color w:val="000000"/>
                <w:sz w:val="20"/>
                <w:szCs w:val="20"/>
              </w:rPr>
            </w:pPr>
            <w:r w:rsidRPr="00CD6245">
              <w:rPr>
                <w:rFonts w:ascii="Calibri" w:hAnsi="Calibri"/>
                <w:color w:val="000000"/>
                <w:sz w:val="20"/>
                <w:szCs w:val="20"/>
              </w:rPr>
              <w:t>97</w:t>
            </w:r>
          </w:p>
        </w:tc>
        <w:tc>
          <w:tcPr>
            <w:tcW w:w="974" w:type="dxa"/>
            <w:vAlign w:val="center"/>
          </w:tcPr>
          <w:p w:rsidR="00A81314" w:rsidRPr="00CD6245" w:rsidRDefault="00A81314">
            <w:pPr>
              <w:jc w:val="right"/>
              <w:rPr>
                <w:rFonts w:ascii="Calibri" w:hAnsi="Calibri"/>
                <w:color w:val="000000"/>
                <w:sz w:val="20"/>
                <w:szCs w:val="20"/>
              </w:rPr>
            </w:pPr>
            <w:r w:rsidRPr="00CD6245">
              <w:rPr>
                <w:rFonts w:ascii="Calibri" w:hAnsi="Calibri"/>
                <w:color w:val="000000"/>
                <w:sz w:val="20"/>
                <w:szCs w:val="20"/>
              </w:rPr>
              <w:t>83</w:t>
            </w:r>
          </w:p>
        </w:tc>
      </w:tr>
      <w:tr w:rsidR="00A81314" w:rsidRPr="00CD6245" w:rsidTr="00013E63">
        <w:trPr>
          <w:trHeight w:val="407"/>
        </w:trPr>
        <w:tc>
          <w:tcPr>
            <w:tcW w:w="2410" w:type="dxa"/>
            <w:shd w:val="clear" w:color="auto" w:fill="auto"/>
          </w:tcPr>
          <w:p w:rsidR="00A81314" w:rsidRPr="00CD6245" w:rsidRDefault="00A81314" w:rsidP="005319F2">
            <w:pPr>
              <w:pStyle w:val="TableText"/>
            </w:pPr>
            <w:r w:rsidRPr="00CD6245">
              <w:t>Justice and Regulation</w:t>
            </w:r>
          </w:p>
        </w:tc>
        <w:tc>
          <w:tcPr>
            <w:tcW w:w="992" w:type="dxa"/>
            <w:vAlign w:val="center"/>
          </w:tcPr>
          <w:p w:rsidR="00A81314" w:rsidRPr="00CD6245" w:rsidRDefault="00A81314">
            <w:pPr>
              <w:jc w:val="right"/>
              <w:rPr>
                <w:rFonts w:ascii="Calibri" w:hAnsi="Calibri"/>
                <w:color w:val="000000"/>
                <w:sz w:val="20"/>
                <w:szCs w:val="20"/>
              </w:rPr>
            </w:pPr>
            <w:r w:rsidRPr="00CD6245">
              <w:rPr>
                <w:rFonts w:ascii="Calibri" w:hAnsi="Calibri"/>
                <w:color w:val="000000"/>
                <w:sz w:val="20"/>
                <w:szCs w:val="20"/>
              </w:rPr>
              <w:t>25</w:t>
            </w:r>
          </w:p>
        </w:tc>
        <w:tc>
          <w:tcPr>
            <w:tcW w:w="993" w:type="dxa"/>
            <w:shd w:val="clear" w:color="auto" w:fill="auto"/>
            <w:vAlign w:val="center"/>
          </w:tcPr>
          <w:p w:rsidR="00A81314" w:rsidRPr="00CD6245" w:rsidRDefault="00A81314">
            <w:pPr>
              <w:jc w:val="right"/>
              <w:rPr>
                <w:rFonts w:ascii="Calibri" w:hAnsi="Calibri"/>
                <w:color w:val="000000"/>
                <w:sz w:val="20"/>
                <w:szCs w:val="20"/>
              </w:rPr>
            </w:pPr>
            <w:r w:rsidRPr="00CD6245">
              <w:rPr>
                <w:rFonts w:ascii="Calibri" w:hAnsi="Calibri"/>
                <w:color w:val="000000"/>
                <w:sz w:val="20"/>
                <w:szCs w:val="20"/>
              </w:rPr>
              <w:t>18</w:t>
            </w:r>
          </w:p>
        </w:tc>
        <w:tc>
          <w:tcPr>
            <w:tcW w:w="992" w:type="dxa"/>
            <w:vAlign w:val="center"/>
          </w:tcPr>
          <w:p w:rsidR="00A81314" w:rsidRPr="00CD6245" w:rsidRDefault="00A81314">
            <w:pPr>
              <w:jc w:val="right"/>
              <w:rPr>
                <w:rFonts w:ascii="Calibri" w:hAnsi="Calibri"/>
                <w:color w:val="000000"/>
                <w:sz w:val="20"/>
                <w:szCs w:val="20"/>
              </w:rPr>
            </w:pPr>
            <w:r w:rsidRPr="00CD6245">
              <w:rPr>
                <w:rFonts w:ascii="Calibri" w:hAnsi="Calibri"/>
                <w:color w:val="000000"/>
                <w:sz w:val="20"/>
                <w:szCs w:val="20"/>
              </w:rPr>
              <w:t>3</w:t>
            </w:r>
          </w:p>
        </w:tc>
        <w:tc>
          <w:tcPr>
            <w:tcW w:w="992" w:type="dxa"/>
            <w:vAlign w:val="center"/>
          </w:tcPr>
          <w:p w:rsidR="00A81314" w:rsidRPr="00CD6245" w:rsidRDefault="00A81314">
            <w:pPr>
              <w:jc w:val="right"/>
              <w:rPr>
                <w:rFonts w:ascii="Calibri" w:hAnsi="Calibri"/>
                <w:color w:val="000000"/>
                <w:sz w:val="20"/>
                <w:szCs w:val="20"/>
              </w:rPr>
            </w:pPr>
            <w:r w:rsidRPr="00CD6245">
              <w:rPr>
                <w:rFonts w:ascii="Calibri" w:hAnsi="Calibri"/>
                <w:color w:val="000000"/>
                <w:sz w:val="20"/>
                <w:szCs w:val="20"/>
              </w:rPr>
              <w:t>15</w:t>
            </w:r>
          </w:p>
        </w:tc>
        <w:tc>
          <w:tcPr>
            <w:tcW w:w="984" w:type="dxa"/>
            <w:shd w:val="clear" w:color="auto" w:fill="auto"/>
            <w:noWrap/>
            <w:vAlign w:val="center"/>
          </w:tcPr>
          <w:p w:rsidR="00A81314" w:rsidRPr="00CD6245" w:rsidRDefault="00A81314">
            <w:pPr>
              <w:jc w:val="right"/>
              <w:rPr>
                <w:rFonts w:ascii="Calibri" w:hAnsi="Calibri"/>
                <w:color w:val="000000"/>
                <w:sz w:val="20"/>
                <w:szCs w:val="20"/>
              </w:rPr>
            </w:pPr>
            <w:r w:rsidRPr="00CD6245">
              <w:rPr>
                <w:rFonts w:ascii="Calibri" w:hAnsi="Calibri"/>
                <w:color w:val="000000"/>
                <w:sz w:val="20"/>
                <w:szCs w:val="20"/>
              </w:rPr>
              <w:t>25</w:t>
            </w:r>
          </w:p>
        </w:tc>
        <w:tc>
          <w:tcPr>
            <w:tcW w:w="947" w:type="dxa"/>
            <w:vAlign w:val="center"/>
          </w:tcPr>
          <w:p w:rsidR="00A81314" w:rsidRPr="00CD6245" w:rsidRDefault="00A81314">
            <w:pPr>
              <w:jc w:val="right"/>
              <w:rPr>
                <w:rFonts w:ascii="Calibri" w:hAnsi="Calibri"/>
                <w:color w:val="000000"/>
                <w:sz w:val="20"/>
                <w:szCs w:val="20"/>
              </w:rPr>
            </w:pPr>
            <w:r w:rsidRPr="00CD6245">
              <w:rPr>
                <w:rFonts w:ascii="Calibri" w:hAnsi="Calibri"/>
                <w:color w:val="000000"/>
                <w:sz w:val="20"/>
                <w:szCs w:val="20"/>
              </w:rPr>
              <w:t>24</w:t>
            </w:r>
          </w:p>
        </w:tc>
        <w:tc>
          <w:tcPr>
            <w:tcW w:w="998" w:type="dxa"/>
            <w:vAlign w:val="center"/>
          </w:tcPr>
          <w:p w:rsidR="00A81314" w:rsidRPr="00CD6245" w:rsidRDefault="00720B3B">
            <w:pPr>
              <w:jc w:val="right"/>
              <w:rPr>
                <w:rFonts w:ascii="Calibri" w:hAnsi="Calibri"/>
                <w:color w:val="000000"/>
                <w:sz w:val="20"/>
                <w:szCs w:val="20"/>
              </w:rPr>
            </w:pPr>
            <w:r w:rsidRPr="00CD6245">
              <w:rPr>
                <w:rFonts w:ascii="Calibri" w:hAnsi="Calibri"/>
                <w:color w:val="000000"/>
                <w:sz w:val="20"/>
                <w:szCs w:val="20"/>
              </w:rPr>
              <w:t>3</w:t>
            </w:r>
          </w:p>
        </w:tc>
        <w:tc>
          <w:tcPr>
            <w:tcW w:w="974" w:type="dxa"/>
            <w:vAlign w:val="center"/>
          </w:tcPr>
          <w:p w:rsidR="00A81314" w:rsidRPr="00CD6245" w:rsidRDefault="00A81314">
            <w:pPr>
              <w:jc w:val="right"/>
              <w:rPr>
                <w:rFonts w:ascii="Calibri" w:hAnsi="Calibri"/>
                <w:color w:val="000000"/>
                <w:sz w:val="20"/>
                <w:szCs w:val="20"/>
              </w:rPr>
            </w:pPr>
            <w:r w:rsidRPr="00CD6245">
              <w:rPr>
                <w:rFonts w:ascii="Calibri" w:hAnsi="Calibri"/>
                <w:color w:val="000000"/>
                <w:sz w:val="20"/>
                <w:szCs w:val="20"/>
              </w:rPr>
              <w:t>6</w:t>
            </w:r>
          </w:p>
        </w:tc>
      </w:tr>
      <w:tr w:rsidR="00A81314" w:rsidRPr="00CD6245" w:rsidTr="00013E63">
        <w:trPr>
          <w:trHeight w:val="255"/>
        </w:trPr>
        <w:tc>
          <w:tcPr>
            <w:tcW w:w="2410" w:type="dxa"/>
            <w:shd w:val="clear" w:color="auto" w:fill="auto"/>
          </w:tcPr>
          <w:p w:rsidR="00A81314" w:rsidRPr="00CD6245" w:rsidRDefault="00A81314" w:rsidP="005319F2">
            <w:pPr>
              <w:pStyle w:val="TableText"/>
            </w:pPr>
            <w:r w:rsidRPr="00CD6245">
              <w:t>Premier and Cabinet</w:t>
            </w:r>
          </w:p>
        </w:tc>
        <w:tc>
          <w:tcPr>
            <w:tcW w:w="992" w:type="dxa"/>
            <w:vAlign w:val="center"/>
          </w:tcPr>
          <w:p w:rsidR="00A81314" w:rsidRPr="00CD6245" w:rsidRDefault="00A81314">
            <w:pPr>
              <w:jc w:val="right"/>
              <w:rPr>
                <w:rFonts w:ascii="Calibri" w:hAnsi="Calibri"/>
                <w:color w:val="000000"/>
                <w:sz w:val="20"/>
                <w:szCs w:val="20"/>
              </w:rPr>
            </w:pPr>
            <w:r w:rsidRPr="00CD6245">
              <w:rPr>
                <w:rFonts w:ascii="Calibri" w:hAnsi="Calibri"/>
                <w:color w:val="000000"/>
                <w:sz w:val="20"/>
                <w:szCs w:val="20"/>
              </w:rPr>
              <w:t>54</w:t>
            </w:r>
          </w:p>
        </w:tc>
        <w:tc>
          <w:tcPr>
            <w:tcW w:w="993" w:type="dxa"/>
            <w:shd w:val="clear" w:color="auto" w:fill="auto"/>
            <w:vAlign w:val="center"/>
          </w:tcPr>
          <w:p w:rsidR="00A81314" w:rsidRPr="00CD6245" w:rsidRDefault="00A81314">
            <w:pPr>
              <w:jc w:val="right"/>
              <w:rPr>
                <w:rFonts w:ascii="Calibri" w:hAnsi="Calibri"/>
                <w:color w:val="000000"/>
                <w:sz w:val="20"/>
                <w:szCs w:val="20"/>
              </w:rPr>
            </w:pPr>
            <w:r w:rsidRPr="00CD6245">
              <w:rPr>
                <w:rFonts w:ascii="Calibri" w:hAnsi="Calibri"/>
                <w:color w:val="000000"/>
                <w:sz w:val="20"/>
                <w:szCs w:val="20"/>
              </w:rPr>
              <w:t>27</w:t>
            </w:r>
          </w:p>
        </w:tc>
        <w:tc>
          <w:tcPr>
            <w:tcW w:w="992" w:type="dxa"/>
            <w:vAlign w:val="center"/>
          </w:tcPr>
          <w:p w:rsidR="00A81314" w:rsidRPr="00CD6245" w:rsidRDefault="00720B3B">
            <w:pPr>
              <w:jc w:val="right"/>
              <w:rPr>
                <w:rFonts w:ascii="Calibri" w:hAnsi="Calibri"/>
                <w:color w:val="000000"/>
                <w:sz w:val="20"/>
                <w:szCs w:val="20"/>
              </w:rPr>
            </w:pPr>
            <w:r w:rsidRPr="00CD6245">
              <w:rPr>
                <w:rFonts w:ascii="Calibri" w:hAnsi="Calibri"/>
                <w:color w:val="000000"/>
                <w:sz w:val="20"/>
                <w:szCs w:val="20"/>
              </w:rPr>
              <w:t>2</w:t>
            </w:r>
          </w:p>
        </w:tc>
        <w:tc>
          <w:tcPr>
            <w:tcW w:w="992" w:type="dxa"/>
            <w:vAlign w:val="center"/>
          </w:tcPr>
          <w:p w:rsidR="00A81314" w:rsidRPr="00CD6245" w:rsidRDefault="00A81314">
            <w:pPr>
              <w:jc w:val="right"/>
              <w:rPr>
                <w:rFonts w:ascii="Calibri" w:hAnsi="Calibri"/>
                <w:color w:val="000000"/>
                <w:sz w:val="20"/>
                <w:szCs w:val="20"/>
              </w:rPr>
            </w:pPr>
            <w:r w:rsidRPr="00CD6245">
              <w:rPr>
                <w:rFonts w:ascii="Calibri" w:hAnsi="Calibri"/>
                <w:color w:val="000000"/>
                <w:sz w:val="20"/>
                <w:szCs w:val="20"/>
              </w:rPr>
              <w:t>4</w:t>
            </w:r>
          </w:p>
        </w:tc>
        <w:tc>
          <w:tcPr>
            <w:tcW w:w="984" w:type="dxa"/>
            <w:shd w:val="clear" w:color="auto" w:fill="auto"/>
            <w:noWrap/>
            <w:vAlign w:val="center"/>
          </w:tcPr>
          <w:p w:rsidR="00A81314" w:rsidRPr="00CD6245" w:rsidRDefault="00A81314">
            <w:pPr>
              <w:jc w:val="right"/>
              <w:rPr>
                <w:rFonts w:ascii="Calibri" w:hAnsi="Calibri"/>
                <w:color w:val="000000"/>
                <w:sz w:val="20"/>
                <w:szCs w:val="20"/>
              </w:rPr>
            </w:pPr>
            <w:r w:rsidRPr="00CD6245">
              <w:rPr>
                <w:rFonts w:ascii="Calibri" w:hAnsi="Calibri"/>
                <w:color w:val="000000"/>
                <w:sz w:val="20"/>
                <w:szCs w:val="20"/>
              </w:rPr>
              <w:t>..</w:t>
            </w:r>
          </w:p>
        </w:tc>
        <w:tc>
          <w:tcPr>
            <w:tcW w:w="947" w:type="dxa"/>
            <w:vAlign w:val="center"/>
          </w:tcPr>
          <w:p w:rsidR="00A81314" w:rsidRPr="00CD6245" w:rsidRDefault="00A81314">
            <w:pPr>
              <w:jc w:val="right"/>
              <w:rPr>
                <w:rFonts w:ascii="Calibri" w:hAnsi="Calibri"/>
                <w:color w:val="000000"/>
                <w:sz w:val="20"/>
                <w:szCs w:val="20"/>
              </w:rPr>
            </w:pPr>
            <w:r w:rsidRPr="00CD6245">
              <w:rPr>
                <w:rFonts w:ascii="Calibri" w:hAnsi="Calibri"/>
                <w:color w:val="000000"/>
                <w:sz w:val="20"/>
                <w:szCs w:val="20"/>
              </w:rPr>
              <w:t>1</w:t>
            </w:r>
          </w:p>
        </w:tc>
        <w:tc>
          <w:tcPr>
            <w:tcW w:w="998" w:type="dxa"/>
            <w:vAlign w:val="center"/>
          </w:tcPr>
          <w:p w:rsidR="00A81314" w:rsidRPr="00CD6245" w:rsidRDefault="00720B3B">
            <w:pPr>
              <w:jc w:val="right"/>
              <w:rPr>
                <w:rFonts w:ascii="Calibri" w:hAnsi="Calibri"/>
                <w:color w:val="000000"/>
                <w:sz w:val="20"/>
                <w:szCs w:val="20"/>
              </w:rPr>
            </w:pPr>
            <w:r w:rsidRPr="00CD6245">
              <w:rPr>
                <w:rFonts w:ascii="Calibri" w:hAnsi="Calibri"/>
                <w:color w:val="000000"/>
                <w:sz w:val="20"/>
                <w:szCs w:val="20"/>
              </w:rPr>
              <w:t>1</w:t>
            </w:r>
          </w:p>
        </w:tc>
        <w:tc>
          <w:tcPr>
            <w:tcW w:w="974" w:type="dxa"/>
            <w:vAlign w:val="center"/>
          </w:tcPr>
          <w:p w:rsidR="00A81314" w:rsidRPr="00CD6245" w:rsidRDefault="00A81314">
            <w:pPr>
              <w:jc w:val="right"/>
              <w:rPr>
                <w:rFonts w:ascii="Calibri" w:hAnsi="Calibri"/>
                <w:color w:val="000000"/>
                <w:sz w:val="20"/>
                <w:szCs w:val="20"/>
              </w:rPr>
            </w:pPr>
            <w:r w:rsidRPr="00CD6245">
              <w:rPr>
                <w:rFonts w:ascii="Calibri" w:hAnsi="Calibri"/>
                <w:color w:val="000000"/>
                <w:sz w:val="20"/>
                <w:szCs w:val="20"/>
              </w:rPr>
              <w:t>..</w:t>
            </w:r>
          </w:p>
        </w:tc>
      </w:tr>
      <w:tr w:rsidR="00A81314" w:rsidRPr="00CD6245" w:rsidTr="00013E63">
        <w:trPr>
          <w:trHeight w:val="335"/>
        </w:trPr>
        <w:tc>
          <w:tcPr>
            <w:tcW w:w="2410" w:type="dxa"/>
            <w:shd w:val="clear" w:color="auto" w:fill="auto"/>
          </w:tcPr>
          <w:p w:rsidR="00A81314" w:rsidRPr="00CD6245" w:rsidRDefault="00A81314" w:rsidP="005319F2">
            <w:pPr>
              <w:pStyle w:val="TableText"/>
            </w:pPr>
            <w:r w:rsidRPr="00CD6245">
              <w:t>Treasury and Finance</w:t>
            </w:r>
          </w:p>
        </w:tc>
        <w:tc>
          <w:tcPr>
            <w:tcW w:w="992" w:type="dxa"/>
            <w:vAlign w:val="center"/>
          </w:tcPr>
          <w:p w:rsidR="00A81314" w:rsidRPr="00CD6245" w:rsidRDefault="00720B3B">
            <w:pPr>
              <w:jc w:val="right"/>
              <w:rPr>
                <w:rFonts w:ascii="Calibri" w:hAnsi="Calibri"/>
                <w:color w:val="000000"/>
                <w:sz w:val="20"/>
                <w:szCs w:val="20"/>
              </w:rPr>
            </w:pPr>
            <w:r w:rsidRPr="00CD6245">
              <w:rPr>
                <w:rFonts w:ascii="Calibri" w:hAnsi="Calibri"/>
                <w:color w:val="000000"/>
                <w:sz w:val="20"/>
                <w:szCs w:val="20"/>
              </w:rPr>
              <w:t>18</w:t>
            </w:r>
          </w:p>
        </w:tc>
        <w:tc>
          <w:tcPr>
            <w:tcW w:w="993" w:type="dxa"/>
            <w:shd w:val="clear" w:color="auto" w:fill="auto"/>
            <w:vAlign w:val="center"/>
          </w:tcPr>
          <w:p w:rsidR="00A81314" w:rsidRPr="00CD6245" w:rsidRDefault="00A81314">
            <w:pPr>
              <w:jc w:val="right"/>
              <w:rPr>
                <w:rFonts w:ascii="Calibri" w:hAnsi="Calibri"/>
                <w:color w:val="000000"/>
                <w:sz w:val="20"/>
                <w:szCs w:val="20"/>
              </w:rPr>
            </w:pPr>
            <w:r w:rsidRPr="00CD6245">
              <w:rPr>
                <w:rFonts w:ascii="Calibri" w:hAnsi="Calibri"/>
                <w:color w:val="000000"/>
                <w:sz w:val="20"/>
                <w:szCs w:val="20"/>
              </w:rPr>
              <w:t>25</w:t>
            </w:r>
          </w:p>
        </w:tc>
        <w:tc>
          <w:tcPr>
            <w:tcW w:w="992" w:type="dxa"/>
            <w:vAlign w:val="center"/>
          </w:tcPr>
          <w:p w:rsidR="00A81314" w:rsidRPr="00CD6245" w:rsidRDefault="00A81314">
            <w:pPr>
              <w:jc w:val="right"/>
              <w:rPr>
                <w:rFonts w:ascii="Calibri" w:hAnsi="Calibri"/>
                <w:color w:val="000000"/>
                <w:sz w:val="20"/>
                <w:szCs w:val="20"/>
              </w:rPr>
            </w:pPr>
            <w:r w:rsidRPr="00CD6245">
              <w:rPr>
                <w:rFonts w:ascii="Calibri" w:hAnsi="Calibri"/>
                <w:color w:val="000000"/>
                <w:sz w:val="20"/>
                <w:szCs w:val="20"/>
              </w:rPr>
              <w:t>..</w:t>
            </w:r>
          </w:p>
        </w:tc>
        <w:tc>
          <w:tcPr>
            <w:tcW w:w="992" w:type="dxa"/>
            <w:vAlign w:val="center"/>
          </w:tcPr>
          <w:p w:rsidR="00A81314" w:rsidRPr="00CD6245" w:rsidRDefault="00A81314">
            <w:pPr>
              <w:jc w:val="right"/>
              <w:rPr>
                <w:rFonts w:ascii="Calibri" w:hAnsi="Calibri"/>
                <w:color w:val="000000"/>
                <w:sz w:val="20"/>
                <w:szCs w:val="20"/>
              </w:rPr>
            </w:pPr>
            <w:r w:rsidRPr="00CD6245">
              <w:rPr>
                <w:rFonts w:ascii="Calibri" w:hAnsi="Calibri"/>
                <w:color w:val="000000"/>
                <w:sz w:val="20"/>
                <w:szCs w:val="20"/>
              </w:rPr>
              <w:t>1</w:t>
            </w:r>
          </w:p>
        </w:tc>
        <w:tc>
          <w:tcPr>
            <w:tcW w:w="984" w:type="dxa"/>
            <w:shd w:val="clear" w:color="auto" w:fill="auto"/>
            <w:noWrap/>
            <w:vAlign w:val="center"/>
          </w:tcPr>
          <w:p w:rsidR="00A81314" w:rsidRPr="00CD6245" w:rsidRDefault="00A81314">
            <w:pPr>
              <w:jc w:val="right"/>
              <w:rPr>
                <w:rFonts w:ascii="Calibri" w:hAnsi="Calibri"/>
                <w:color w:val="000000"/>
                <w:sz w:val="20"/>
                <w:szCs w:val="20"/>
              </w:rPr>
            </w:pPr>
            <w:r w:rsidRPr="00CD6245">
              <w:rPr>
                <w:rFonts w:ascii="Calibri" w:hAnsi="Calibri"/>
                <w:color w:val="000000"/>
                <w:sz w:val="20"/>
                <w:szCs w:val="20"/>
              </w:rPr>
              <w:t>5</w:t>
            </w:r>
          </w:p>
        </w:tc>
        <w:tc>
          <w:tcPr>
            <w:tcW w:w="947" w:type="dxa"/>
            <w:vAlign w:val="center"/>
          </w:tcPr>
          <w:p w:rsidR="00A81314" w:rsidRPr="00CD6245" w:rsidRDefault="00A81314">
            <w:pPr>
              <w:jc w:val="right"/>
              <w:rPr>
                <w:rFonts w:ascii="Calibri" w:hAnsi="Calibri"/>
                <w:color w:val="000000"/>
                <w:sz w:val="20"/>
                <w:szCs w:val="20"/>
              </w:rPr>
            </w:pPr>
            <w:r w:rsidRPr="00CD6245">
              <w:rPr>
                <w:rFonts w:ascii="Calibri" w:hAnsi="Calibri"/>
                <w:color w:val="000000"/>
                <w:sz w:val="20"/>
                <w:szCs w:val="20"/>
              </w:rPr>
              <w:t>..</w:t>
            </w:r>
          </w:p>
        </w:tc>
        <w:tc>
          <w:tcPr>
            <w:tcW w:w="998" w:type="dxa"/>
            <w:vAlign w:val="center"/>
          </w:tcPr>
          <w:p w:rsidR="00A81314" w:rsidRPr="00CD6245" w:rsidRDefault="00A81314">
            <w:pPr>
              <w:jc w:val="right"/>
              <w:rPr>
                <w:rFonts w:ascii="Calibri" w:hAnsi="Calibri"/>
                <w:color w:val="000000"/>
                <w:sz w:val="20"/>
                <w:szCs w:val="20"/>
              </w:rPr>
            </w:pPr>
            <w:r w:rsidRPr="00CD6245">
              <w:rPr>
                <w:rFonts w:ascii="Calibri" w:hAnsi="Calibri"/>
                <w:color w:val="000000"/>
                <w:sz w:val="20"/>
                <w:szCs w:val="20"/>
              </w:rPr>
              <w:t>..</w:t>
            </w:r>
          </w:p>
        </w:tc>
        <w:tc>
          <w:tcPr>
            <w:tcW w:w="974" w:type="dxa"/>
            <w:vAlign w:val="center"/>
          </w:tcPr>
          <w:p w:rsidR="00A81314" w:rsidRPr="00CD6245" w:rsidRDefault="00A81314">
            <w:pPr>
              <w:jc w:val="right"/>
              <w:rPr>
                <w:rFonts w:ascii="Calibri" w:hAnsi="Calibri"/>
                <w:color w:val="000000"/>
                <w:sz w:val="20"/>
                <w:szCs w:val="20"/>
              </w:rPr>
            </w:pPr>
            <w:r w:rsidRPr="00CD6245">
              <w:rPr>
                <w:rFonts w:ascii="Calibri" w:hAnsi="Calibri"/>
                <w:color w:val="000000"/>
                <w:sz w:val="20"/>
                <w:szCs w:val="20"/>
              </w:rPr>
              <w:t>4</w:t>
            </w:r>
          </w:p>
        </w:tc>
      </w:tr>
      <w:tr w:rsidR="00A81314" w:rsidRPr="00CD6245" w:rsidTr="00013E63">
        <w:trPr>
          <w:trHeight w:val="255"/>
        </w:trPr>
        <w:tc>
          <w:tcPr>
            <w:tcW w:w="2410" w:type="dxa"/>
            <w:shd w:val="clear" w:color="auto" w:fill="auto"/>
          </w:tcPr>
          <w:p w:rsidR="00A81314" w:rsidRPr="00CD6245" w:rsidRDefault="00A81314" w:rsidP="005319F2">
            <w:pPr>
              <w:pStyle w:val="TableText"/>
            </w:pPr>
            <w:r w:rsidRPr="00CD6245">
              <w:t>VicRoads</w:t>
            </w:r>
          </w:p>
        </w:tc>
        <w:tc>
          <w:tcPr>
            <w:tcW w:w="992" w:type="dxa"/>
            <w:vAlign w:val="center"/>
          </w:tcPr>
          <w:p w:rsidR="00A81314" w:rsidRPr="00CD6245" w:rsidRDefault="00A81314">
            <w:pPr>
              <w:jc w:val="right"/>
              <w:rPr>
                <w:rFonts w:ascii="Calibri" w:hAnsi="Calibri"/>
                <w:color w:val="000000"/>
                <w:sz w:val="20"/>
                <w:szCs w:val="20"/>
              </w:rPr>
            </w:pPr>
            <w:r w:rsidRPr="00CD6245">
              <w:rPr>
                <w:rFonts w:ascii="Calibri" w:hAnsi="Calibri"/>
                <w:color w:val="000000"/>
                <w:sz w:val="20"/>
                <w:szCs w:val="20"/>
              </w:rPr>
              <w:t>n/a</w:t>
            </w:r>
          </w:p>
        </w:tc>
        <w:tc>
          <w:tcPr>
            <w:tcW w:w="993" w:type="dxa"/>
            <w:shd w:val="clear" w:color="auto" w:fill="auto"/>
            <w:vAlign w:val="center"/>
          </w:tcPr>
          <w:p w:rsidR="00A81314" w:rsidRPr="00CD6245" w:rsidRDefault="00A81314">
            <w:pPr>
              <w:jc w:val="right"/>
              <w:rPr>
                <w:rFonts w:ascii="Calibri" w:hAnsi="Calibri"/>
                <w:color w:val="000000"/>
                <w:sz w:val="20"/>
                <w:szCs w:val="20"/>
              </w:rPr>
            </w:pPr>
            <w:r w:rsidRPr="00CD6245">
              <w:rPr>
                <w:rFonts w:ascii="Calibri" w:hAnsi="Calibri"/>
                <w:color w:val="000000"/>
                <w:sz w:val="20"/>
                <w:szCs w:val="20"/>
              </w:rPr>
              <w:t>20</w:t>
            </w:r>
          </w:p>
        </w:tc>
        <w:tc>
          <w:tcPr>
            <w:tcW w:w="992" w:type="dxa"/>
            <w:vAlign w:val="center"/>
          </w:tcPr>
          <w:p w:rsidR="00A81314" w:rsidRPr="00CD6245" w:rsidRDefault="00A81314">
            <w:pPr>
              <w:jc w:val="right"/>
              <w:rPr>
                <w:rFonts w:ascii="Calibri" w:hAnsi="Calibri"/>
                <w:color w:val="000000"/>
                <w:sz w:val="20"/>
                <w:szCs w:val="20"/>
              </w:rPr>
            </w:pPr>
            <w:r w:rsidRPr="00CD6245">
              <w:rPr>
                <w:rFonts w:ascii="Calibri" w:hAnsi="Calibri"/>
                <w:color w:val="000000"/>
                <w:sz w:val="20"/>
                <w:szCs w:val="20"/>
              </w:rPr>
              <w:t>n/a</w:t>
            </w:r>
          </w:p>
        </w:tc>
        <w:tc>
          <w:tcPr>
            <w:tcW w:w="992" w:type="dxa"/>
            <w:vAlign w:val="center"/>
          </w:tcPr>
          <w:p w:rsidR="00A81314" w:rsidRPr="00CD6245" w:rsidRDefault="00A81314">
            <w:pPr>
              <w:jc w:val="right"/>
              <w:rPr>
                <w:rFonts w:ascii="Calibri" w:hAnsi="Calibri"/>
                <w:color w:val="000000"/>
                <w:sz w:val="20"/>
                <w:szCs w:val="20"/>
              </w:rPr>
            </w:pPr>
            <w:r w:rsidRPr="00CD6245">
              <w:rPr>
                <w:rFonts w:ascii="Calibri" w:hAnsi="Calibri"/>
                <w:color w:val="000000"/>
                <w:sz w:val="20"/>
                <w:szCs w:val="20"/>
              </w:rPr>
              <w:t>57</w:t>
            </w:r>
          </w:p>
        </w:tc>
        <w:tc>
          <w:tcPr>
            <w:tcW w:w="984" w:type="dxa"/>
            <w:shd w:val="clear" w:color="auto" w:fill="auto"/>
            <w:noWrap/>
            <w:vAlign w:val="center"/>
          </w:tcPr>
          <w:p w:rsidR="00A81314" w:rsidRPr="00CD6245" w:rsidRDefault="00A81314">
            <w:pPr>
              <w:jc w:val="right"/>
              <w:rPr>
                <w:rFonts w:ascii="Calibri" w:hAnsi="Calibri"/>
                <w:color w:val="000000"/>
                <w:sz w:val="20"/>
                <w:szCs w:val="20"/>
              </w:rPr>
            </w:pPr>
            <w:r w:rsidRPr="00CD6245">
              <w:rPr>
                <w:rFonts w:ascii="Calibri" w:hAnsi="Calibri"/>
                <w:color w:val="000000"/>
                <w:sz w:val="20"/>
                <w:szCs w:val="20"/>
              </w:rPr>
              <w:t>n/a</w:t>
            </w:r>
          </w:p>
        </w:tc>
        <w:tc>
          <w:tcPr>
            <w:tcW w:w="947" w:type="dxa"/>
            <w:vAlign w:val="center"/>
          </w:tcPr>
          <w:p w:rsidR="00A81314" w:rsidRPr="00CD6245" w:rsidRDefault="00A81314">
            <w:pPr>
              <w:jc w:val="right"/>
              <w:rPr>
                <w:rFonts w:ascii="Calibri" w:hAnsi="Calibri"/>
                <w:color w:val="000000"/>
                <w:sz w:val="20"/>
                <w:szCs w:val="20"/>
              </w:rPr>
            </w:pPr>
            <w:r w:rsidRPr="00CD6245">
              <w:rPr>
                <w:rFonts w:ascii="Calibri" w:hAnsi="Calibri"/>
                <w:color w:val="000000"/>
                <w:sz w:val="20"/>
                <w:szCs w:val="20"/>
              </w:rPr>
              <w:t>..</w:t>
            </w:r>
          </w:p>
        </w:tc>
        <w:tc>
          <w:tcPr>
            <w:tcW w:w="998" w:type="dxa"/>
            <w:vAlign w:val="center"/>
          </w:tcPr>
          <w:p w:rsidR="00A81314" w:rsidRPr="00CD6245" w:rsidRDefault="00A81314">
            <w:pPr>
              <w:jc w:val="right"/>
              <w:rPr>
                <w:rFonts w:ascii="Calibri" w:hAnsi="Calibri"/>
                <w:color w:val="000000"/>
                <w:sz w:val="20"/>
                <w:szCs w:val="20"/>
              </w:rPr>
            </w:pPr>
            <w:r w:rsidRPr="00CD6245">
              <w:rPr>
                <w:rFonts w:ascii="Calibri" w:hAnsi="Calibri"/>
                <w:color w:val="000000"/>
                <w:sz w:val="20"/>
                <w:szCs w:val="20"/>
              </w:rPr>
              <w:t>n/a</w:t>
            </w:r>
          </w:p>
        </w:tc>
        <w:tc>
          <w:tcPr>
            <w:tcW w:w="974" w:type="dxa"/>
            <w:vAlign w:val="center"/>
          </w:tcPr>
          <w:p w:rsidR="00A81314" w:rsidRPr="00CD6245" w:rsidRDefault="00A81314">
            <w:pPr>
              <w:jc w:val="right"/>
              <w:rPr>
                <w:rFonts w:ascii="Calibri" w:hAnsi="Calibri"/>
                <w:color w:val="000000"/>
                <w:sz w:val="20"/>
                <w:szCs w:val="20"/>
              </w:rPr>
            </w:pPr>
            <w:r w:rsidRPr="00CD6245">
              <w:rPr>
                <w:rFonts w:ascii="Calibri" w:hAnsi="Calibri"/>
                <w:color w:val="000000"/>
                <w:sz w:val="20"/>
                <w:szCs w:val="20"/>
              </w:rPr>
              <w:t>..</w:t>
            </w:r>
          </w:p>
        </w:tc>
      </w:tr>
      <w:tr w:rsidR="00A81314" w:rsidRPr="00CD6245" w:rsidTr="00013E63">
        <w:trPr>
          <w:trHeight w:val="255"/>
        </w:trPr>
        <w:tc>
          <w:tcPr>
            <w:tcW w:w="2410" w:type="dxa"/>
            <w:shd w:val="clear" w:color="auto" w:fill="auto"/>
          </w:tcPr>
          <w:p w:rsidR="00A81314" w:rsidRPr="00CD6245" w:rsidRDefault="00A81314" w:rsidP="005319F2">
            <w:pPr>
              <w:pStyle w:val="TableText"/>
            </w:pPr>
            <w:r w:rsidRPr="00CD6245">
              <w:t>Victoria Police</w:t>
            </w:r>
          </w:p>
        </w:tc>
        <w:tc>
          <w:tcPr>
            <w:tcW w:w="992" w:type="dxa"/>
            <w:vAlign w:val="center"/>
          </w:tcPr>
          <w:p w:rsidR="00A81314" w:rsidRPr="00CD6245" w:rsidRDefault="00A81314">
            <w:pPr>
              <w:jc w:val="right"/>
              <w:rPr>
                <w:rFonts w:ascii="Calibri" w:hAnsi="Calibri"/>
                <w:color w:val="000000"/>
                <w:sz w:val="20"/>
                <w:szCs w:val="20"/>
              </w:rPr>
            </w:pPr>
            <w:r w:rsidRPr="00CD6245">
              <w:rPr>
                <w:rFonts w:ascii="Calibri" w:hAnsi="Calibri"/>
                <w:color w:val="000000"/>
                <w:sz w:val="20"/>
                <w:szCs w:val="20"/>
              </w:rPr>
              <w:t>25</w:t>
            </w:r>
          </w:p>
        </w:tc>
        <w:tc>
          <w:tcPr>
            <w:tcW w:w="993" w:type="dxa"/>
            <w:shd w:val="clear" w:color="auto" w:fill="auto"/>
            <w:vAlign w:val="center"/>
          </w:tcPr>
          <w:p w:rsidR="00A81314" w:rsidRPr="00CD6245" w:rsidRDefault="00A81314">
            <w:pPr>
              <w:jc w:val="right"/>
              <w:rPr>
                <w:rFonts w:ascii="Calibri" w:hAnsi="Calibri"/>
                <w:color w:val="000000"/>
                <w:sz w:val="20"/>
                <w:szCs w:val="20"/>
              </w:rPr>
            </w:pPr>
            <w:r w:rsidRPr="00CD6245">
              <w:rPr>
                <w:rFonts w:ascii="Calibri" w:hAnsi="Calibri"/>
                <w:color w:val="000000"/>
                <w:sz w:val="20"/>
                <w:szCs w:val="20"/>
              </w:rPr>
              <w:t>36</w:t>
            </w:r>
          </w:p>
        </w:tc>
        <w:tc>
          <w:tcPr>
            <w:tcW w:w="992" w:type="dxa"/>
            <w:vAlign w:val="center"/>
          </w:tcPr>
          <w:p w:rsidR="00A81314" w:rsidRPr="00CD6245" w:rsidRDefault="00A81314">
            <w:pPr>
              <w:jc w:val="right"/>
              <w:rPr>
                <w:rFonts w:ascii="Calibri" w:hAnsi="Calibri"/>
                <w:color w:val="000000"/>
                <w:sz w:val="20"/>
                <w:szCs w:val="20"/>
              </w:rPr>
            </w:pPr>
            <w:r w:rsidRPr="00CD6245">
              <w:rPr>
                <w:rFonts w:ascii="Calibri" w:hAnsi="Calibri"/>
                <w:color w:val="000000"/>
                <w:sz w:val="20"/>
                <w:szCs w:val="20"/>
              </w:rPr>
              <w:t>5</w:t>
            </w:r>
          </w:p>
        </w:tc>
        <w:tc>
          <w:tcPr>
            <w:tcW w:w="992" w:type="dxa"/>
            <w:vAlign w:val="center"/>
          </w:tcPr>
          <w:p w:rsidR="00A81314" w:rsidRPr="00CD6245" w:rsidRDefault="00A81314">
            <w:pPr>
              <w:jc w:val="right"/>
              <w:rPr>
                <w:rFonts w:ascii="Calibri" w:hAnsi="Calibri"/>
                <w:color w:val="000000"/>
                <w:sz w:val="20"/>
                <w:szCs w:val="20"/>
              </w:rPr>
            </w:pPr>
            <w:r w:rsidRPr="00CD6245">
              <w:rPr>
                <w:rFonts w:ascii="Calibri" w:hAnsi="Calibri"/>
                <w:color w:val="000000"/>
                <w:sz w:val="20"/>
                <w:szCs w:val="20"/>
              </w:rPr>
              <w:t>2</w:t>
            </w:r>
          </w:p>
        </w:tc>
        <w:tc>
          <w:tcPr>
            <w:tcW w:w="984" w:type="dxa"/>
            <w:shd w:val="clear" w:color="auto" w:fill="auto"/>
            <w:noWrap/>
            <w:vAlign w:val="center"/>
          </w:tcPr>
          <w:p w:rsidR="00A81314" w:rsidRPr="00CD6245" w:rsidRDefault="00A81314">
            <w:pPr>
              <w:jc w:val="right"/>
              <w:rPr>
                <w:rFonts w:ascii="Calibri" w:hAnsi="Calibri"/>
                <w:color w:val="000000"/>
                <w:sz w:val="20"/>
                <w:szCs w:val="20"/>
              </w:rPr>
            </w:pPr>
            <w:r w:rsidRPr="00CD6245">
              <w:rPr>
                <w:rFonts w:ascii="Calibri" w:hAnsi="Calibri"/>
                <w:color w:val="000000"/>
                <w:sz w:val="20"/>
                <w:szCs w:val="20"/>
              </w:rPr>
              <w:t>8</w:t>
            </w:r>
          </w:p>
        </w:tc>
        <w:tc>
          <w:tcPr>
            <w:tcW w:w="947" w:type="dxa"/>
            <w:vAlign w:val="center"/>
          </w:tcPr>
          <w:p w:rsidR="00A81314" w:rsidRPr="00CD6245" w:rsidRDefault="00A81314">
            <w:pPr>
              <w:jc w:val="right"/>
              <w:rPr>
                <w:rFonts w:ascii="Calibri" w:hAnsi="Calibri"/>
                <w:color w:val="000000"/>
                <w:sz w:val="20"/>
                <w:szCs w:val="20"/>
              </w:rPr>
            </w:pPr>
            <w:r w:rsidRPr="00CD6245">
              <w:rPr>
                <w:rFonts w:ascii="Calibri" w:hAnsi="Calibri"/>
                <w:color w:val="000000"/>
                <w:sz w:val="20"/>
                <w:szCs w:val="20"/>
              </w:rPr>
              <w:t>10</w:t>
            </w:r>
          </w:p>
        </w:tc>
        <w:tc>
          <w:tcPr>
            <w:tcW w:w="998" w:type="dxa"/>
            <w:vAlign w:val="center"/>
          </w:tcPr>
          <w:p w:rsidR="00A81314" w:rsidRPr="00CD6245" w:rsidRDefault="00A81314">
            <w:pPr>
              <w:jc w:val="right"/>
              <w:rPr>
                <w:rFonts w:ascii="Calibri" w:hAnsi="Calibri"/>
                <w:color w:val="000000"/>
                <w:sz w:val="20"/>
                <w:szCs w:val="20"/>
              </w:rPr>
            </w:pPr>
            <w:r w:rsidRPr="00CD6245">
              <w:rPr>
                <w:rFonts w:ascii="Calibri" w:hAnsi="Calibri"/>
                <w:color w:val="000000"/>
                <w:sz w:val="20"/>
                <w:szCs w:val="20"/>
              </w:rPr>
              <w:t>1</w:t>
            </w:r>
          </w:p>
        </w:tc>
        <w:tc>
          <w:tcPr>
            <w:tcW w:w="974" w:type="dxa"/>
            <w:vAlign w:val="center"/>
          </w:tcPr>
          <w:p w:rsidR="00A81314" w:rsidRPr="00CD6245" w:rsidRDefault="00A81314">
            <w:pPr>
              <w:jc w:val="right"/>
              <w:rPr>
                <w:rFonts w:ascii="Calibri" w:hAnsi="Calibri"/>
                <w:color w:val="000000"/>
                <w:sz w:val="20"/>
                <w:szCs w:val="20"/>
              </w:rPr>
            </w:pPr>
            <w:r w:rsidRPr="00CD6245">
              <w:rPr>
                <w:rFonts w:ascii="Calibri" w:hAnsi="Calibri"/>
                <w:color w:val="000000"/>
                <w:sz w:val="20"/>
                <w:szCs w:val="20"/>
              </w:rPr>
              <w:t>..</w:t>
            </w:r>
          </w:p>
        </w:tc>
      </w:tr>
      <w:tr w:rsidR="00A81314" w:rsidRPr="00CD6245" w:rsidTr="00013E63">
        <w:trPr>
          <w:trHeight w:val="255"/>
        </w:trPr>
        <w:tc>
          <w:tcPr>
            <w:tcW w:w="2410" w:type="dxa"/>
            <w:shd w:val="clear" w:color="auto" w:fill="A6A6A6" w:themeFill="background1" w:themeFillShade="A6"/>
            <w:noWrap/>
          </w:tcPr>
          <w:p w:rsidR="00A81314" w:rsidRPr="00CD6245" w:rsidRDefault="00A81314" w:rsidP="005319F2">
            <w:pPr>
              <w:rPr>
                <w:rFonts w:ascii="Calibri" w:hAnsi="Calibri" w:cs="Calibri"/>
                <w:bCs/>
                <w:sz w:val="20"/>
                <w:szCs w:val="20"/>
              </w:rPr>
            </w:pPr>
            <w:r w:rsidRPr="00CD6245">
              <w:rPr>
                <w:rFonts w:ascii="Calibri" w:hAnsi="Calibri" w:cs="Calibri"/>
                <w:bCs/>
                <w:sz w:val="20"/>
                <w:szCs w:val="20"/>
              </w:rPr>
              <w:t>Totals</w:t>
            </w:r>
          </w:p>
        </w:tc>
        <w:tc>
          <w:tcPr>
            <w:tcW w:w="992" w:type="dxa"/>
            <w:shd w:val="clear" w:color="auto" w:fill="A6A6A6" w:themeFill="background1" w:themeFillShade="A6"/>
            <w:vAlign w:val="center"/>
          </w:tcPr>
          <w:p w:rsidR="00A81314" w:rsidRPr="00CD6245" w:rsidRDefault="00720B3B">
            <w:pPr>
              <w:jc w:val="right"/>
              <w:rPr>
                <w:rFonts w:ascii="Calibri" w:hAnsi="Calibri"/>
                <w:color w:val="000000"/>
                <w:sz w:val="20"/>
                <w:szCs w:val="20"/>
              </w:rPr>
            </w:pPr>
            <w:r w:rsidRPr="00CD6245">
              <w:rPr>
                <w:rFonts w:ascii="Calibri" w:hAnsi="Calibri"/>
                <w:color w:val="000000"/>
                <w:sz w:val="20"/>
                <w:szCs w:val="20"/>
              </w:rPr>
              <w:t>149</w:t>
            </w:r>
          </w:p>
        </w:tc>
        <w:tc>
          <w:tcPr>
            <w:tcW w:w="993" w:type="dxa"/>
            <w:shd w:val="clear" w:color="auto" w:fill="A6A6A6" w:themeFill="background1" w:themeFillShade="A6"/>
            <w:noWrap/>
            <w:vAlign w:val="center"/>
          </w:tcPr>
          <w:p w:rsidR="00A81314" w:rsidRPr="00CD6245" w:rsidRDefault="00A81314">
            <w:pPr>
              <w:jc w:val="right"/>
              <w:rPr>
                <w:rFonts w:ascii="Calibri" w:hAnsi="Calibri"/>
                <w:color w:val="000000"/>
                <w:sz w:val="20"/>
                <w:szCs w:val="20"/>
              </w:rPr>
            </w:pPr>
            <w:r w:rsidRPr="00CD6245">
              <w:rPr>
                <w:rFonts w:ascii="Calibri" w:hAnsi="Calibri"/>
                <w:color w:val="000000"/>
                <w:sz w:val="20"/>
                <w:szCs w:val="20"/>
              </w:rPr>
              <w:t>241</w:t>
            </w:r>
          </w:p>
        </w:tc>
        <w:tc>
          <w:tcPr>
            <w:tcW w:w="992" w:type="dxa"/>
            <w:shd w:val="clear" w:color="auto" w:fill="A6A6A6" w:themeFill="background1" w:themeFillShade="A6"/>
            <w:vAlign w:val="center"/>
          </w:tcPr>
          <w:p w:rsidR="00A81314" w:rsidRPr="00CD6245" w:rsidRDefault="00A81314">
            <w:pPr>
              <w:jc w:val="right"/>
              <w:rPr>
                <w:rFonts w:ascii="Calibri" w:hAnsi="Calibri"/>
                <w:color w:val="000000"/>
                <w:sz w:val="20"/>
                <w:szCs w:val="20"/>
              </w:rPr>
            </w:pPr>
            <w:r w:rsidRPr="00CD6245">
              <w:rPr>
                <w:rFonts w:ascii="Calibri" w:hAnsi="Calibri"/>
                <w:color w:val="000000"/>
                <w:sz w:val="20"/>
                <w:szCs w:val="20"/>
              </w:rPr>
              <w:t>2</w:t>
            </w:r>
            <w:r w:rsidR="00720B3B" w:rsidRPr="00CD6245">
              <w:rPr>
                <w:rFonts w:ascii="Calibri" w:hAnsi="Calibri"/>
                <w:color w:val="000000"/>
                <w:sz w:val="20"/>
                <w:szCs w:val="20"/>
              </w:rPr>
              <w:t>08</w:t>
            </w:r>
          </w:p>
        </w:tc>
        <w:tc>
          <w:tcPr>
            <w:tcW w:w="992" w:type="dxa"/>
            <w:shd w:val="clear" w:color="auto" w:fill="A6A6A6" w:themeFill="background1" w:themeFillShade="A6"/>
            <w:vAlign w:val="center"/>
          </w:tcPr>
          <w:p w:rsidR="00A81314" w:rsidRPr="00CD6245" w:rsidRDefault="00A81314">
            <w:pPr>
              <w:jc w:val="right"/>
              <w:rPr>
                <w:rFonts w:ascii="Calibri" w:hAnsi="Calibri"/>
                <w:color w:val="000000"/>
                <w:sz w:val="20"/>
                <w:szCs w:val="20"/>
              </w:rPr>
            </w:pPr>
            <w:r w:rsidRPr="00CD6245">
              <w:rPr>
                <w:rFonts w:ascii="Calibri" w:hAnsi="Calibri"/>
                <w:color w:val="000000"/>
                <w:sz w:val="20"/>
                <w:szCs w:val="20"/>
              </w:rPr>
              <w:t>312</w:t>
            </w:r>
          </w:p>
        </w:tc>
        <w:tc>
          <w:tcPr>
            <w:tcW w:w="984" w:type="dxa"/>
            <w:shd w:val="clear" w:color="auto" w:fill="A6A6A6" w:themeFill="background1" w:themeFillShade="A6"/>
            <w:noWrap/>
            <w:vAlign w:val="center"/>
          </w:tcPr>
          <w:p w:rsidR="00A81314" w:rsidRPr="00CD6245" w:rsidRDefault="00A81314">
            <w:pPr>
              <w:jc w:val="right"/>
              <w:rPr>
                <w:rFonts w:ascii="Calibri" w:hAnsi="Calibri"/>
                <w:color w:val="000000"/>
                <w:sz w:val="20"/>
                <w:szCs w:val="20"/>
              </w:rPr>
            </w:pPr>
            <w:r w:rsidRPr="00CD6245">
              <w:rPr>
                <w:rFonts w:ascii="Calibri" w:hAnsi="Calibri"/>
                <w:color w:val="000000"/>
                <w:sz w:val="20"/>
                <w:szCs w:val="20"/>
              </w:rPr>
              <w:t>112</w:t>
            </w:r>
          </w:p>
        </w:tc>
        <w:tc>
          <w:tcPr>
            <w:tcW w:w="947" w:type="dxa"/>
            <w:shd w:val="clear" w:color="auto" w:fill="A6A6A6" w:themeFill="background1" w:themeFillShade="A6"/>
            <w:vAlign w:val="center"/>
          </w:tcPr>
          <w:p w:rsidR="00A81314" w:rsidRPr="00CD6245" w:rsidRDefault="00A81314">
            <w:pPr>
              <w:jc w:val="right"/>
              <w:rPr>
                <w:rFonts w:ascii="Calibri" w:hAnsi="Calibri"/>
                <w:color w:val="000000"/>
                <w:sz w:val="20"/>
                <w:szCs w:val="20"/>
              </w:rPr>
            </w:pPr>
            <w:r w:rsidRPr="00CD6245">
              <w:rPr>
                <w:rFonts w:ascii="Calibri" w:hAnsi="Calibri"/>
                <w:color w:val="000000"/>
                <w:sz w:val="20"/>
                <w:szCs w:val="20"/>
              </w:rPr>
              <w:t>135</w:t>
            </w:r>
          </w:p>
        </w:tc>
        <w:tc>
          <w:tcPr>
            <w:tcW w:w="998" w:type="dxa"/>
            <w:shd w:val="clear" w:color="auto" w:fill="A6A6A6" w:themeFill="background1" w:themeFillShade="A6"/>
            <w:vAlign w:val="center"/>
          </w:tcPr>
          <w:p w:rsidR="00A81314" w:rsidRPr="00CD6245" w:rsidRDefault="00720B3B">
            <w:pPr>
              <w:jc w:val="right"/>
              <w:rPr>
                <w:rFonts w:ascii="Calibri" w:hAnsi="Calibri"/>
                <w:color w:val="000000"/>
                <w:sz w:val="20"/>
                <w:szCs w:val="20"/>
              </w:rPr>
            </w:pPr>
            <w:r w:rsidRPr="00CD6245">
              <w:rPr>
                <w:rFonts w:ascii="Calibri" w:hAnsi="Calibri"/>
                <w:color w:val="000000"/>
                <w:sz w:val="20"/>
                <w:szCs w:val="20"/>
              </w:rPr>
              <w:t>107</w:t>
            </w:r>
          </w:p>
        </w:tc>
        <w:tc>
          <w:tcPr>
            <w:tcW w:w="974" w:type="dxa"/>
            <w:shd w:val="clear" w:color="auto" w:fill="A6A6A6" w:themeFill="background1" w:themeFillShade="A6"/>
            <w:vAlign w:val="center"/>
          </w:tcPr>
          <w:p w:rsidR="00A81314" w:rsidRPr="00CD6245" w:rsidRDefault="00A81314">
            <w:pPr>
              <w:jc w:val="right"/>
              <w:rPr>
                <w:rFonts w:ascii="Calibri" w:hAnsi="Calibri"/>
                <w:color w:val="000000"/>
                <w:sz w:val="20"/>
                <w:szCs w:val="20"/>
              </w:rPr>
            </w:pPr>
            <w:r w:rsidRPr="00CD6245">
              <w:rPr>
                <w:rFonts w:ascii="Calibri" w:hAnsi="Calibri"/>
                <w:color w:val="000000"/>
                <w:sz w:val="20"/>
                <w:szCs w:val="20"/>
              </w:rPr>
              <w:t>102</w:t>
            </w:r>
          </w:p>
        </w:tc>
      </w:tr>
    </w:tbl>
    <w:p w:rsidR="00143F89" w:rsidRPr="00CD6245" w:rsidRDefault="00A81314" w:rsidP="00A81314">
      <w:pPr>
        <w:pStyle w:val="Normal1"/>
        <w:rPr>
          <w:sz w:val="20"/>
          <w:szCs w:val="20"/>
        </w:rPr>
      </w:pPr>
      <w:r w:rsidRPr="00CD6245">
        <w:rPr>
          <w:sz w:val="20"/>
          <w:szCs w:val="20"/>
        </w:rPr>
        <w:t xml:space="preserve">Note: VicRoads began operating under the VGPB policies on 1 July 2015 so did not provide data in </w:t>
      </w:r>
      <w:r w:rsidR="00C8230B">
        <w:rPr>
          <w:sz w:val="20"/>
          <w:szCs w:val="20"/>
        </w:rPr>
        <w:t> </w:t>
      </w:r>
      <w:r w:rsidRPr="00CD6245">
        <w:rPr>
          <w:sz w:val="20"/>
          <w:szCs w:val="20"/>
        </w:rPr>
        <w:t>2014–15.</w:t>
      </w:r>
    </w:p>
    <w:p w:rsidR="00FB07F4" w:rsidRPr="00CD6245" w:rsidRDefault="004A2888" w:rsidP="00640574">
      <w:pPr>
        <w:pStyle w:val="Heading3NoNum"/>
      </w:pPr>
      <w:r w:rsidRPr="00CD6245">
        <w:br w:type="page"/>
      </w:r>
    </w:p>
    <w:p w:rsidR="00E844B0" w:rsidRPr="00CD6245" w:rsidRDefault="00E844B0" w:rsidP="00E844B0">
      <w:pPr>
        <w:pStyle w:val="Heading2NoNum"/>
      </w:pPr>
      <w:bookmarkStart w:id="97" w:name="_Toc463527725"/>
      <w:r w:rsidRPr="00CD6245">
        <w:lastRenderedPageBreak/>
        <w:t>Procurement activity subject to VGPB oversight</w:t>
      </w:r>
      <w:bookmarkEnd w:id="97"/>
    </w:p>
    <w:p w:rsidR="00E844B0" w:rsidRPr="00CD6245" w:rsidRDefault="00E844B0" w:rsidP="00E844B0">
      <w:pPr>
        <w:pStyle w:val="Normal1"/>
        <w:rPr>
          <w:lang w:eastAsia="en-US"/>
        </w:rPr>
      </w:pPr>
      <w:r w:rsidRPr="00CD6245">
        <w:t xml:space="preserve">The VGPB reviews specific procurement activities for process and probity oversight. </w:t>
      </w:r>
      <w:r w:rsidRPr="00CD6245">
        <w:rPr>
          <w:lang w:eastAsia="en-US"/>
        </w:rPr>
        <w:t>Procurement oversight projects typically run across multiple years</w:t>
      </w:r>
      <w:r w:rsidR="00137DA4" w:rsidRPr="00CD6245">
        <w:rPr>
          <w:lang w:eastAsia="en-US"/>
        </w:rPr>
        <w:t>.</w:t>
      </w:r>
      <w:r w:rsidR="00F83143" w:rsidRPr="00CD6245">
        <w:rPr>
          <w:lang w:eastAsia="en-US"/>
        </w:rPr>
        <w:t xml:space="preserve"> </w:t>
      </w:r>
      <w:r w:rsidRPr="00CD6245">
        <w:t xml:space="preserve">The VGPB </w:t>
      </w:r>
      <w:r w:rsidRPr="00CD6245">
        <w:rPr>
          <w:lang w:eastAsia="en-US"/>
        </w:rPr>
        <w:t xml:space="preserve">actively managed </w:t>
      </w:r>
      <w:r w:rsidR="00F83143" w:rsidRPr="00CD6245">
        <w:rPr>
          <w:lang w:eastAsia="en-US"/>
        </w:rPr>
        <w:t>1</w:t>
      </w:r>
      <w:r w:rsidR="007278E9" w:rsidRPr="00CD6245">
        <w:rPr>
          <w:lang w:eastAsia="en-US"/>
        </w:rPr>
        <w:t>2</w:t>
      </w:r>
      <w:r w:rsidRPr="00CD6245">
        <w:rPr>
          <w:lang w:eastAsia="en-US"/>
        </w:rPr>
        <w:t xml:space="preserve"> oversight projects during </w:t>
      </w:r>
      <w:r w:rsidR="00414AE0" w:rsidRPr="00CD6245">
        <w:rPr>
          <w:lang w:eastAsia="en-US"/>
        </w:rPr>
        <w:t>2015–16</w:t>
      </w:r>
      <w:r w:rsidR="00F83143" w:rsidRPr="00CD6245">
        <w:rPr>
          <w:lang w:eastAsia="en-US"/>
        </w:rPr>
        <w:t xml:space="preserve"> as listed in </w:t>
      </w:r>
      <w:r w:rsidR="00AC517C">
        <w:fldChar w:fldCharType="begin"/>
      </w:r>
      <w:r w:rsidR="00AC517C">
        <w:instrText xml:space="preserve"> REF _Ref417732048 \h  \* MERGEFORMAT </w:instrText>
      </w:r>
      <w:r w:rsidR="00AC517C">
        <w:fldChar w:fldCharType="separate"/>
      </w:r>
      <w:r w:rsidR="002E75B9" w:rsidRPr="00CD6245">
        <w:t xml:space="preserve">Table </w:t>
      </w:r>
      <w:r w:rsidR="002E75B9">
        <w:rPr>
          <w:noProof/>
        </w:rPr>
        <w:t>17</w:t>
      </w:r>
      <w:r w:rsidR="00AC517C">
        <w:fldChar w:fldCharType="end"/>
      </w:r>
      <w:r w:rsidR="002705E0" w:rsidRPr="00CD6245">
        <w:rPr>
          <w:lang w:eastAsia="en-US"/>
        </w:rPr>
        <w:t>.</w:t>
      </w:r>
      <w:r w:rsidR="00FC3A08" w:rsidRPr="00CD6245">
        <w:rPr>
          <w:lang w:eastAsia="en-US"/>
        </w:rPr>
        <w:t xml:space="preserve"> </w:t>
      </w:r>
    </w:p>
    <w:p w:rsidR="002705E0" w:rsidRPr="00CD6245" w:rsidRDefault="002705E0" w:rsidP="00E844B0">
      <w:pPr>
        <w:pStyle w:val="Normal1"/>
        <w:rPr>
          <w:lang w:eastAsia="en-US"/>
        </w:rPr>
      </w:pPr>
      <w:r w:rsidRPr="00CD6245">
        <w:rPr>
          <w:lang w:eastAsia="en-US"/>
        </w:rPr>
        <w:t>The</w:t>
      </w:r>
      <w:r w:rsidR="00B91344" w:rsidRPr="00CD6245">
        <w:rPr>
          <w:lang w:eastAsia="en-US"/>
        </w:rPr>
        <w:t xml:space="preserve"> oversight process can cover one or more of </w:t>
      </w:r>
      <w:r w:rsidRPr="00CD6245">
        <w:rPr>
          <w:lang w:eastAsia="en-US"/>
        </w:rPr>
        <w:t xml:space="preserve">three different stages in the procurement process. Stage 1 </w:t>
      </w:r>
      <w:r w:rsidR="00B91344" w:rsidRPr="00CD6245">
        <w:rPr>
          <w:lang w:eastAsia="en-US"/>
        </w:rPr>
        <w:t xml:space="preserve">relates to </w:t>
      </w:r>
      <w:r w:rsidRPr="00CD6245">
        <w:rPr>
          <w:lang w:eastAsia="en-US"/>
        </w:rPr>
        <w:t>planning, Stage 2 is prior to contract execution and Stage 3</w:t>
      </w:r>
      <w:r w:rsidR="00B91344" w:rsidRPr="00CD6245">
        <w:rPr>
          <w:lang w:eastAsia="en-US"/>
        </w:rPr>
        <w:t xml:space="preserve"> covers</w:t>
      </w:r>
      <w:r w:rsidRPr="00CD6245">
        <w:rPr>
          <w:lang w:eastAsia="en-US"/>
        </w:rPr>
        <w:t xml:space="preserve"> </w:t>
      </w:r>
      <w:r w:rsidR="00B91344" w:rsidRPr="00CD6245">
        <w:rPr>
          <w:lang w:eastAsia="en-US"/>
        </w:rPr>
        <w:t>contract management</w:t>
      </w:r>
      <w:r w:rsidRPr="00CD6245">
        <w:rPr>
          <w:lang w:eastAsia="en-US"/>
        </w:rPr>
        <w:t xml:space="preserve">. The oversight stage of </w:t>
      </w:r>
      <w:r w:rsidR="00B91344" w:rsidRPr="00CD6245">
        <w:rPr>
          <w:lang w:eastAsia="en-US"/>
        </w:rPr>
        <w:t>the procurements reviewed by the VGPB in 2015–16</w:t>
      </w:r>
      <w:r w:rsidRPr="00CD6245">
        <w:rPr>
          <w:lang w:eastAsia="en-US"/>
        </w:rPr>
        <w:t xml:space="preserve"> is listed in Table 17.</w:t>
      </w:r>
      <w:r w:rsidR="00FC3A08" w:rsidRPr="00CD6245">
        <w:rPr>
          <w:lang w:eastAsia="en-US"/>
        </w:rPr>
        <w:t xml:space="preserve"> This table does not reflect approval timing of contractual spend.</w:t>
      </w:r>
    </w:p>
    <w:p w:rsidR="00E844B0" w:rsidRDefault="00E844B0" w:rsidP="00E844B0">
      <w:pPr>
        <w:pStyle w:val="Caption"/>
      </w:pPr>
      <w:bookmarkStart w:id="98" w:name="_Ref417732048"/>
      <w:bookmarkStart w:id="99" w:name="_Toc463527852"/>
      <w:r w:rsidRPr="00CD6245">
        <w:t xml:space="preserve">Table </w:t>
      </w:r>
      <w:r w:rsidR="002B07C2" w:rsidRPr="00CD6245">
        <w:fldChar w:fldCharType="begin"/>
      </w:r>
      <w:r w:rsidR="00600068" w:rsidRPr="00CD6245">
        <w:instrText xml:space="preserve"> SEQ Table \* ARABIC </w:instrText>
      </w:r>
      <w:r w:rsidR="002B07C2" w:rsidRPr="00CD6245">
        <w:fldChar w:fldCharType="separate"/>
      </w:r>
      <w:r w:rsidR="002E75B9">
        <w:rPr>
          <w:noProof/>
        </w:rPr>
        <w:t>17</w:t>
      </w:r>
      <w:r w:rsidR="002B07C2" w:rsidRPr="00CD6245">
        <w:fldChar w:fldCharType="end"/>
      </w:r>
      <w:bookmarkEnd w:id="98"/>
      <w:r w:rsidRPr="00CD6245">
        <w:t xml:space="preserve">: Number and estimated value of procurement activities subject to VGPB oversight in </w:t>
      </w:r>
      <w:r w:rsidR="00414AE0" w:rsidRPr="00CD6245">
        <w:t>2015–16</w:t>
      </w:r>
      <w:bookmarkEnd w:id="99"/>
    </w:p>
    <w:p w:rsidR="00C8230B" w:rsidRPr="00C8230B" w:rsidRDefault="00C8230B" w:rsidP="00C8230B">
      <w:pPr>
        <w:ind w:left="810"/>
      </w:pPr>
      <w:r>
        <w:rPr>
          <w:noProof/>
        </w:rPr>
        <w:drawing>
          <wp:inline distT="0" distB="0" distL="0" distR="0" wp14:anchorId="6AD29115" wp14:editId="2B14B802">
            <wp:extent cx="5263515" cy="5107305"/>
            <wp:effectExtent l="0" t="0" r="0" b="0"/>
            <wp:docPr id="35" name="Picture 35" descr="Orange Crush:Users:chrisashe:Desktop:DTF033_VGPB-T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Orange Crush:Users:chrisashe:Desktop:DTF033_VGPB-T17.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63515" cy="5107305"/>
                    </a:xfrm>
                    <a:prstGeom prst="rect">
                      <a:avLst/>
                    </a:prstGeom>
                    <a:noFill/>
                    <a:ln>
                      <a:noFill/>
                    </a:ln>
                  </pic:spPr>
                </pic:pic>
              </a:graphicData>
            </a:graphic>
          </wp:inline>
        </w:drawing>
      </w:r>
    </w:p>
    <w:p w:rsidR="004569B2" w:rsidRPr="00CD6245" w:rsidRDefault="004569B2" w:rsidP="004569B2">
      <w:pPr>
        <w:pStyle w:val="Heading1NoNum"/>
      </w:pPr>
      <w:bookmarkStart w:id="100" w:name="_Toc463527726"/>
      <w:bookmarkStart w:id="101" w:name="_Toc366693329"/>
      <w:bookmarkEnd w:id="80"/>
      <w:r w:rsidRPr="00CD6245">
        <w:lastRenderedPageBreak/>
        <w:t>Compliance with VGPB procurement policies</w:t>
      </w:r>
      <w:bookmarkEnd w:id="100"/>
    </w:p>
    <w:p w:rsidR="00BC1652" w:rsidRPr="00CD6245" w:rsidRDefault="004569B2" w:rsidP="004569B2">
      <w:pPr>
        <w:pStyle w:val="Normal1"/>
      </w:pPr>
      <w:r w:rsidRPr="00CD6245">
        <w:t xml:space="preserve">Section 54L of the </w:t>
      </w:r>
      <w:r w:rsidRPr="00CD6245">
        <w:rPr>
          <w:i/>
        </w:rPr>
        <w:t>Financial Management Act 1994</w:t>
      </w:r>
      <w:r w:rsidRPr="00CD6245">
        <w:t xml:space="preserve"> requires all accountable officers </w:t>
      </w:r>
      <w:r w:rsidR="00472D2D" w:rsidRPr="00CD6245">
        <w:t>and other members of staff o</w:t>
      </w:r>
      <w:r w:rsidR="00D23982" w:rsidRPr="00CD6245">
        <w:t xml:space="preserve">f </w:t>
      </w:r>
      <w:r w:rsidR="006F01CC" w:rsidRPr="00CD6245">
        <w:t>departments and specified entities</w:t>
      </w:r>
      <w:r w:rsidR="00D35046" w:rsidRPr="00CD6245">
        <w:t xml:space="preserve"> </w:t>
      </w:r>
      <w:r w:rsidR="00D23982" w:rsidRPr="00CD6245">
        <w:t>t</w:t>
      </w:r>
      <w:r w:rsidRPr="00CD6245">
        <w:t>o comply with VGPB procurement policies when acquiring goods and services.</w:t>
      </w:r>
    </w:p>
    <w:p w:rsidR="00AB1374" w:rsidRPr="00CD6245" w:rsidRDefault="00AB1374" w:rsidP="00AB1374">
      <w:pPr>
        <w:pStyle w:val="Normal1"/>
      </w:pPr>
      <w:r w:rsidRPr="00CD6245">
        <w:t>The VGPB continues to fulfil its legislative role of monitoring compliance with the VGPB supply policies by requiring organisations to attest each year that they comply with these policies and provide evidence of compliance-related initiatives and activities.</w:t>
      </w:r>
    </w:p>
    <w:p w:rsidR="00D65BAC" w:rsidRPr="00CD6245" w:rsidRDefault="00D65BAC" w:rsidP="004569B2">
      <w:pPr>
        <w:pStyle w:val="Normal1"/>
      </w:pPr>
      <w:r w:rsidRPr="00CD6245">
        <w:t>This section reports on actions taken by organisation</w:t>
      </w:r>
      <w:r w:rsidR="00FD5803" w:rsidRPr="00CD6245">
        <w:t>s</w:t>
      </w:r>
      <w:r w:rsidRPr="00CD6245">
        <w:t xml:space="preserve"> to demonstrate compliance with VGPB procurement policies in 2015–16.</w:t>
      </w:r>
    </w:p>
    <w:p w:rsidR="00D65BAC" w:rsidRPr="00CD6245" w:rsidRDefault="00D65BAC" w:rsidP="00D65BAC">
      <w:pPr>
        <w:pStyle w:val="Heading2NoNum"/>
      </w:pPr>
      <w:bookmarkStart w:id="102" w:name="_Toc463527727"/>
      <w:r w:rsidRPr="00CD6245">
        <w:t>Actions taken to ensure compliance</w:t>
      </w:r>
      <w:bookmarkEnd w:id="102"/>
    </w:p>
    <w:p w:rsidR="00C8230B" w:rsidRPr="00A64F1B" w:rsidRDefault="00C8230B" w:rsidP="00C8230B">
      <w:pPr>
        <w:pStyle w:val="Normal1"/>
      </w:pPr>
      <w:r w:rsidRPr="003F151D">
        <w:t xml:space="preserve">As part of the VGPB’s governance policy, each organisation must establish a CPO role and an internal procurement unit (IPU). The CPO and IPU work on numerous initiatives related to ensuring an effective governance framework and </w:t>
      </w:r>
      <w:r w:rsidRPr="00A64F1B">
        <w:t xml:space="preserve">compliance with VGPB supply policies across their organisation. </w:t>
      </w:r>
    </w:p>
    <w:p w:rsidR="00C8230B" w:rsidRPr="003F151D" w:rsidRDefault="00C8230B" w:rsidP="00C8230B">
      <w:pPr>
        <w:pStyle w:val="Normal1"/>
      </w:pPr>
      <w:r w:rsidRPr="003F151D">
        <w:t>The role of the CPO is to:</w:t>
      </w:r>
    </w:p>
    <w:p w:rsidR="00C8230B" w:rsidRPr="00A64F1B" w:rsidRDefault="00C8230B" w:rsidP="00C8230B">
      <w:pPr>
        <w:pStyle w:val="Bullet1"/>
      </w:pPr>
      <w:r w:rsidRPr="00A64F1B">
        <w:t>provide expert advice and guidance to the accountable officer on matters related to the governance framework;</w:t>
      </w:r>
    </w:p>
    <w:p w:rsidR="00C8230B" w:rsidRPr="00A64F1B" w:rsidRDefault="00C8230B" w:rsidP="00C8230B">
      <w:pPr>
        <w:pStyle w:val="Bullet1"/>
      </w:pPr>
      <w:r w:rsidRPr="00A64F1B">
        <w:t>oversee the development, application and ongoing assessment of the governance framework; and</w:t>
      </w:r>
    </w:p>
    <w:p w:rsidR="00C8230B" w:rsidRPr="00A64F1B" w:rsidRDefault="00C8230B" w:rsidP="00C8230B">
      <w:pPr>
        <w:pStyle w:val="Bullet1"/>
      </w:pPr>
      <w:r w:rsidRPr="00A64F1B">
        <w:t>ensure that the complaints management process demonstrates due process and integrity.</w:t>
      </w:r>
    </w:p>
    <w:p w:rsidR="00C8230B" w:rsidRPr="003F151D" w:rsidRDefault="00C8230B" w:rsidP="00C8230B">
      <w:pPr>
        <w:pStyle w:val="Normal1"/>
      </w:pPr>
      <w:r w:rsidRPr="003F151D">
        <w:t>The role of the IPU is to:</w:t>
      </w:r>
    </w:p>
    <w:p w:rsidR="00C8230B" w:rsidRPr="00A64F1B" w:rsidRDefault="00C8230B" w:rsidP="00C8230B">
      <w:pPr>
        <w:pStyle w:val="Bullet1"/>
      </w:pPr>
      <w:r w:rsidRPr="00A64F1B">
        <w:t>ensure that all procurement activity applies strategies, policies, procedures, practices and probity that comply with VGPB supply policies and any other requirements in the FMA or imposed by the accountable officer;</w:t>
      </w:r>
    </w:p>
    <w:p w:rsidR="00C8230B" w:rsidRPr="00A64F1B" w:rsidRDefault="00C8230B" w:rsidP="00C8230B">
      <w:pPr>
        <w:pStyle w:val="Bullet1"/>
      </w:pPr>
      <w:r w:rsidRPr="00A64F1B">
        <w:t>assess the procurement capability of the organisation on an annual basis;</w:t>
      </w:r>
    </w:p>
    <w:p w:rsidR="00C8230B" w:rsidRPr="00A64F1B" w:rsidRDefault="00C8230B" w:rsidP="00C8230B">
      <w:pPr>
        <w:pStyle w:val="Bullet1"/>
      </w:pPr>
      <w:r w:rsidRPr="00A64F1B">
        <w:t>manage the preparation of a capability development plan;</w:t>
      </w:r>
    </w:p>
    <w:p w:rsidR="00C8230B" w:rsidRPr="00A64F1B" w:rsidRDefault="00C8230B" w:rsidP="00C8230B">
      <w:pPr>
        <w:pStyle w:val="Bullet1"/>
      </w:pPr>
      <w:r w:rsidRPr="00A64F1B">
        <w:t>identify major procurement categories;</w:t>
      </w:r>
    </w:p>
    <w:p w:rsidR="00C8230B" w:rsidRPr="00A64F1B" w:rsidRDefault="00C8230B" w:rsidP="00C8230B">
      <w:pPr>
        <w:pStyle w:val="Bullet1"/>
      </w:pPr>
      <w:r w:rsidRPr="00A64F1B">
        <w:t>review its own performance and capability at regular intervals; and</w:t>
      </w:r>
    </w:p>
    <w:p w:rsidR="00C8230B" w:rsidRPr="00A64F1B" w:rsidRDefault="00C8230B" w:rsidP="00C8230B">
      <w:pPr>
        <w:pStyle w:val="Bullet1"/>
      </w:pPr>
      <w:r w:rsidRPr="00A64F1B">
        <w:t>report annually to the accountable officer on the organisation’s procurement activities.</w:t>
      </w:r>
    </w:p>
    <w:p w:rsidR="00C8230B" w:rsidRPr="00A64F1B" w:rsidRDefault="00C8230B" w:rsidP="00C8230B">
      <w:pPr>
        <w:pStyle w:val="Normal1"/>
      </w:pPr>
      <w:r w:rsidRPr="00A64F1B">
        <w:t xml:space="preserve">Organisations sometimes choose a different name for their IPU, such as procurement governance committee, or procurement approval board. </w:t>
      </w:r>
    </w:p>
    <w:p w:rsidR="00C8230B" w:rsidRPr="00A64F1B" w:rsidRDefault="00C8230B" w:rsidP="00C8230B">
      <w:pPr>
        <w:pStyle w:val="Normal1"/>
      </w:pPr>
      <w:r w:rsidRPr="00A64F1B">
        <w:t>At the end of each financial year, organisations complete an annual supply report (ASR) to provide the VGPB with procurement data, including actions taken to ensure compliance with VGPB policies. ASR data is signed off by the IPU chair.</w:t>
      </w:r>
    </w:p>
    <w:p w:rsidR="00D65BAC" w:rsidRPr="00CD6245" w:rsidRDefault="00AC517C" w:rsidP="00D65BAC">
      <w:pPr>
        <w:pStyle w:val="Normal1"/>
      </w:pPr>
      <w:r>
        <w:fldChar w:fldCharType="begin"/>
      </w:r>
      <w:r>
        <w:instrText xml:space="preserve"> REF _Ref417732315 \h  \* MERGEFORMAT </w:instrText>
      </w:r>
      <w:r>
        <w:fldChar w:fldCharType="separate"/>
      </w:r>
      <w:r w:rsidR="002E75B9" w:rsidRPr="00CD6245">
        <w:t xml:space="preserve">Table </w:t>
      </w:r>
      <w:r w:rsidR="002E75B9">
        <w:rPr>
          <w:noProof/>
        </w:rPr>
        <w:t>18</w:t>
      </w:r>
      <w:r>
        <w:fldChar w:fldCharType="end"/>
      </w:r>
      <w:r w:rsidR="00D65BAC" w:rsidRPr="00CD6245">
        <w:t xml:space="preserve"> summarises the actions taken by organisations to comply with VGPB policies </w:t>
      </w:r>
      <w:r w:rsidR="00AB1374" w:rsidRPr="00CD6245">
        <w:t xml:space="preserve">as provided in their ASR </w:t>
      </w:r>
      <w:r w:rsidR="00D65BAC" w:rsidRPr="00CD6245">
        <w:t>in 2015–16.</w:t>
      </w:r>
    </w:p>
    <w:p w:rsidR="00BC1652" w:rsidRDefault="00BC1652" w:rsidP="00BC1652">
      <w:pPr>
        <w:pStyle w:val="Caption"/>
      </w:pPr>
      <w:bookmarkStart w:id="103" w:name="_Ref417732315"/>
      <w:bookmarkStart w:id="104" w:name="_Toc463527853"/>
      <w:r w:rsidRPr="00CD6245">
        <w:lastRenderedPageBreak/>
        <w:t xml:space="preserve">Table </w:t>
      </w:r>
      <w:r w:rsidR="002B07C2" w:rsidRPr="00CD6245">
        <w:fldChar w:fldCharType="begin"/>
      </w:r>
      <w:r w:rsidR="007C6CD8" w:rsidRPr="00CD6245">
        <w:instrText xml:space="preserve"> SEQ Table \* ARABIC </w:instrText>
      </w:r>
      <w:r w:rsidR="002B07C2" w:rsidRPr="00CD6245">
        <w:fldChar w:fldCharType="separate"/>
      </w:r>
      <w:r w:rsidR="002E75B9">
        <w:rPr>
          <w:noProof/>
        </w:rPr>
        <w:t>18</w:t>
      </w:r>
      <w:r w:rsidR="002B07C2" w:rsidRPr="00CD6245">
        <w:rPr>
          <w:noProof/>
        </w:rPr>
        <w:fldChar w:fldCharType="end"/>
      </w:r>
      <w:bookmarkEnd w:id="103"/>
      <w:r w:rsidRPr="00CD6245">
        <w:t xml:space="preserve">: </w:t>
      </w:r>
      <w:r w:rsidR="00A46C6F" w:rsidRPr="00CD6245">
        <w:t>Summary of actions</w:t>
      </w:r>
      <w:r w:rsidR="00E66605" w:rsidRPr="00CD6245">
        <w:t xml:space="preserve"> </w:t>
      </w:r>
      <w:r w:rsidR="00A46C6F" w:rsidRPr="00CD6245">
        <w:t xml:space="preserve">taken </w:t>
      </w:r>
      <w:r w:rsidR="00E66605" w:rsidRPr="00CD6245">
        <w:t xml:space="preserve">by organisations </w:t>
      </w:r>
      <w:r w:rsidR="00A46C6F" w:rsidRPr="00CD6245">
        <w:t>to c</w:t>
      </w:r>
      <w:r w:rsidRPr="00CD6245">
        <w:t>ompl</w:t>
      </w:r>
      <w:r w:rsidR="00A46C6F" w:rsidRPr="00CD6245">
        <w:t>y</w:t>
      </w:r>
      <w:r w:rsidRPr="00CD6245">
        <w:t xml:space="preserve"> with VGPB </w:t>
      </w:r>
      <w:r w:rsidR="009F55C6" w:rsidRPr="00CD6245">
        <w:t xml:space="preserve">supply </w:t>
      </w:r>
      <w:r w:rsidRPr="00CD6245">
        <w:t xml:space="preserve">policies in </w:t>
      </w:r>
      <w:r w:rsidR="00414AE0" w:rsidRPr="00CD6245">
        <w:t>2015–16</w:t>
      </w:r>
      <w:bookmarkEnd w:id="104"/>
    </w:p>
    <w:p w:rsidR="00C8230B" w:rsidRDefault="00C8230B" w:rsidP="00C8230B">
      <w:pPr>
        <w:ind w:left="720"/>
      </w:pPr>
      <w:r>
        <w:rPr>
          <w:noProof/>
        </w:rPr>
        <w:drawing>
          <wp:inline distT="0" distB="0" distL="0" distR="0" wp14:anchorId="54E3F56C" wp14:editId="484B2220">
            <wp:extent cx="5274310" cy="4984750"/>
            <wp:effectExtent l="0" t="0" r="8890" b="0"/>
            <wp:docPr id="36" name="Picture 36" descr="Orange Crush:Users:chrisashe:Desktop:DTF033_VGPB-T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Orange Crush:Users:chrisashe:Desktop:DTF033_VGPB-T18.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274310" cy="4984750"/>
                    </a:xfrm>
                    <a:prstGeom prst="rect">
                      <a:avLst/>
                    </a:prstGeom>
                    <a:noFill/>
                    <a:ln>
                      <a:noFill/>
                    </a:ln>
                  </pic:spPr>
                </pic:pic>
              </a:graphicData>
            </a:graphic>
          </wp:inline>
        </w:drawing>
      </w:r>
    </w:p>
    <w:p w:rsidR="00C8230B" w:rsidRPr="00C8230B" w:rsidRDefault="00C8230B" w:rsidP="00C8230B">
      <w:pPr>
        <w:ind w:left="720"/>
      </w:pPr>
      <w:r>
        <w:rPr>
          <w:noProof/>
        </w:rPr>
        <w:lastRenderedPageBreak/>
        <w:drawing>
          <wp:inline distT="0" distB="0" distL="0" distR="0" wp14:anchorId="05690311" wp14:editId="28A743B2">
            <wp:extent cx="5263515" cy="4962525"/>
            <wp:effectExtent l="0" t="0" r="0" b="0"/>
            <wp:docPr id="37" name="Picture 37" descr="Orange Crush:Users:chrisashe:Desktop:DTF033_VGPB-T18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Orange Crush:Users:chrisashe:Desktop:DTF033_VGPB-T18_2.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263515" cy="4962525"/>
                    </a:xfrm>
                    <a:prstGeom prst="rect">
                      <a:avLst/>
                    </a:prstGeom>
                    <a:noFill/>
                    <a:ln>
                      <a:noFill/>
                    </a:ln>
                  </pic:spPr>
                </pic:pic>
              </a:graphicData>
            </a:graphic>
          </wp:inline>
        </w:drawing>
      </w:r>
    </w:p>
    <w:p w:rsidR="001A3EF9" w:rsidRPr="00CD6245" w:rsidRDefault="00C8230B" w:rsidP="00387C16">
      <w:pPr>
        <w:pStyle w:val="Normal1"/>
      </w:pPr>
      <w:r>
        <w:rPr>
          <w:noProof/>
        </w:rPr>
        <w:lastRenderedPageBreak/>
        <w:drawing>
          <wp:inline distT="0" distB="0" distL="0" distR="0" wp14:anchorId="33DCD70F" wp14:editId="3A333AA8">
            <wp:extent cx="5274310" cy="5419725"/>
            <wp:effectExtent l="0" t="0" r="8890" b="0"/>
            <wp:docPr id="38" name="Picture 38" descr="Orange Crush:Users:chrisashe:Desktop:DTF033_VGPB-T18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Orange Crush:Users:chrisashe:Desktop:DTF033_VGPB-T18_3.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274310" cy="5419725"/>
                    </a:xfrm>
                    <a:prstGeom prst="rect">
                      <a:avLst/>
                    </a:prstGeom>
                    <a:noFill/>
                    <a:ln>
                      <a:noFill/>
                    </a:ln>
                  </pic:spPr>
                </pic:pic>
              </a:graphicData>
            </a:graphic>
          </wp:inline>
        </w:drawing>
      </w:r>
    </w:p>
    <w:p w:rsidR="001A3EF9" w:rsidRPr="00CD6245" w:rsidRDefault="001A3EF9" w:rsidP="00C8230B">
      <w:pPr>
        <w:tabs>
          <w:tab w:val="left" w:pos="810"/>
        </w:tabs>
        <w:ind w:left="810"/>
        <w:rPr>
          <w:rFonts w:ascii="Calibri" w:hAnsi="Calibri" w:cs="Calibri"/>
          <w:color w:val="4D4D4D"/>
          <w:kern w:val="28"/>
          <w:sz w:val="30"/>
          <w:szCs w:val="22"/>
          <w:lang w:eastAsia="en-US"/>
        </w:rPr>
      </w:pPr>
      <w:r w:rsidRPr="00CD6245">
        <w:br w:type="page"/>
      </w:r>
      <w:r w:rsidR="00C8230B">
        <w:rPr>
          <w:noProof/>
        </w:rPr>
        <w:lastRenderedPageBreak/>
        <w:drawing>
          <wp:inline distT="0" distB="0" distL="0" distR="0" wp14:anchorId="5A5E2190" wp14:editId="683A65AE">
            <wp:extent cx="5263515" cy="5642610"/>
            <wp:effectExtent l="0" t="0" r="0" b="0"/>
            <wp:docPr id="39" name="Picture 39" descr="Orange Crush:Users:chrisashe:Desktop:DTF033_VGPB-T18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Orange Crush:Users:chrisashe:Desktop:DTF033_VGPB-T18_4.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263515" cy="5642610"/>
                    </a:xfrm>
                    <a:prstGeom prst="rect">
                      <a:avLst/>
                    </a:prstGeom>
                    <a:noFill/>
                    <a:ln>
                      <a:noFill/>
                    </a:ln>
                  </pic:spPr>
                </pic:pic>
              </a:graphicData>
            </a:graphic>
          </wp:inline>
        </w:drawing>
      </w:r>
    </w:p>
    <w:p w:rsidR="006D6406" w:rsidRPr="00CD6245" w:rsidRDefault="006D6406" w:rsidP="00E11F23">
      <w:pPr>
        <w:pStyle w:val="Heading2NoNum"/>
      </w:pPr>
      <w:bookmarkStart w:id="105" w:name="_Toc463527728"/>
      <w:r w:rsidRPr="00CD6245">
        <w:t>Audits</w:t>
      </w:r>
      <w:bookmarkEnd w:id="105"/>
    </w:p>
    <w:p w:rsidR="00AB1374" w:rsidRPr="00CD6245" w:rsidRDefault="00AB1374" w:rsidP="00AB1374">
      <w:pPr>
        <w:pStyle w:val="Normal1"/>
      </w:pPr>
      <w:r w:rsidRPr="00CD6245">
        <w:t>In 2015</w:t>
      </w:r>
      <w:r w:rsidR="0068462F" w:rsidRPr="00CD6245">
        <w:t>,</w:t>
      </w:r>
      <w:r w:rsidRPr="00CD6245">
        <w:t xml:space="preserve"> the VGPB implemented a comprehensive </w:t>
      </w:r>
      <w:r w:rsidR="008119D2" w:rsidRPr="00CD6245">
        <w:t xml:space="preserve">three-year rolling </w:t>
      </w:r>
      <w:r w:rsidRPr="00CD6245">
        <w:t>audit program to verify compliance with VGPB supply policies.</w:t>
      </w:r>
    </w:p>
    <w:p w:rsidR="00AB1374" w:rsidRPr="00CD6245" w:rsidRDefault="00AB1374" w:rsidP="00AB1374">
      <w:pPr>
        <w:pStyle w:val="Normal1"/>
      </w:pPr>
      <w:r w:rsidRPr="00CD6245">
        <w:t>The aim of the audit program is to minimise risks and improve processes to drive better procurement outcomes.</w:t>
      </w:r>
    </w:p>
    <w:p w:rsidR="00AB1374" w:rsidRPr="00CD6245" w:rsidRDefault="00AB1374" w:rsidP="00AB1374">
      <w:pPr>
        <w:pStyle w:val="Normal1"/>
      </w:pPr>
      <w:r w:rsidRPr="00CD6245">
        <w:t>DTF was the first organisation to be audited</w:t>
      </w:r>
      <w:r w:rsidR="00C82F09" w:rsidRPr="00CD6245">
        <w:t xml:space="preserve"> in 2015–16</w:t>
      </w:r>
      <w:r w:rsidRPr="00CD6245">
        <w:t xml:space="preserve">. The VGPB concluded that the audit was  thorough and overall findings </w:t>
      </w:r>
      <w:r w:rsidR="00B233EF">
        <w:t xml:space="preserve">were </w:t>
      </w:r>
      <w:r w:rsidRPr="00CD6245">
        <w:t>positive</w:t>
      </w:r>
      <w:r w:rsidR="008119D2" w:rsidRPr="00CD6245">
        <w:t>,</w:t>
      </w:r>
      <w:r w:rsidRPr="00CD6245">
        <w:t xml:space="preserve"> with minimal recommendations for improvement.</w:t>
      </w:r>
    </w:p>
    <w:p w:rsidR="00D35046" w:rsidRPr="00CD6245" w:rsidRDefault="00D35046" w:rsidP="00D35046">
      <w:pPr>
        <w:pStyle w:val="Normal1"/>
      </w:pPr>
      <w:r w:rsidRPr="00CD6245">
        <w:t>The Victoria Police audit is currently under</w:t>
      </w:r>
      <w:r w:rsidR="00E765C4" w:rsidRPr="00CD6245">
        <w:t xml:space="preserve"> way</w:t>
      </w:r>
      <w:r w:rsidRPr="00CD6245">
        <w:t xml:space="preserve"> and due for completion in </w:t>
      </w:r>
      <w:r w:rsidR="00C82F09" w:rsidRPr="00CD6245">
        <w:t xml:space="preserve">the second half of </w:t>
      </w:r>
      <w:r w:rsidRPr="00CD6245">
        <w:t>2016.</w:t>
      </w:r>
    </w:p>
    <w:p w:rsidR="00D35046" w:rsidRPr="00CD6245" w:rsidRDefault="00AC517C" w:rsidP="00D35046">
      <w:pPr>
        <w:pStyle w:val="Normal1"/>
      </w:pPr>
      <w:r>
        <w:fldChar w:fldCharType="begin"/>
      </w:r>
      <w:r>
        <w:instrText xml:space="preserve"> REF _Ref457120742 \h  \* MERGEFORMAT </w:instrText>
      </w:r>
      <w:r>
        <w:fldChar w:fldCharType="separate"/>
      </w:r>
      <w:r w:rsidR="002E75B9" w:rsidRPr="00CD6245">
        <w:t xml:space="preserve">Table </w:t>
      </w:r>
      <w:r w:rsidR="002E75B9">
        <w:rPr>
          <w:noProof/>
        </w:rPr>
        <w:t>19</w:t>
      </w:r>
      <w:r>
        <w:fldChar w:fldCharType="end"/>
      </w:r>
      <w:r w:rsidR="00D35046" w:rsidRPr="00CD6245">
        <w:t xml:space="preserve"> lists the audit program schedule</w:t>
      </w:r>
      <w:r w:rsidR="00C82F09" w:rsidRPr="00CD6245">
        <w:t xml:space="preserve"> and results to date</w:t>
      </w:r>
      <w:r w:rsidR="00D35046" w:rsidRPr="00CD6245">
        <w:t>.</w:t>
      </w:r>
    </w:p>
    <w:p w:rsidR="00D35046" w:rsidRDefault="00D35046" w:rsidP="00D35046">
      <w:pPr>
        <w:pStyle w:val="Caption"/>
      </w:pPr>
      <w:bookmarkStart w:id="106" w:name="_Ref457120742"/>
      <w:bookmarkStart w:id="107" w:name="_Toc463527854"/>
      <w:r w:rsidRPr="00CD6245">
        <w:lastRenderedPageBreak/>
        <w:t xml:space="preserve">Table </w:t>
      </w:r>
      <w:r w:rsidR="002B07C2" w:rsidRPr="00CD6245">
        <w:fldChar w:fldCharType="begin"/>
      </w:r>
      <w:r w:rsidR="005C04D8" w:rsidRPr="00CD6245">
        <w:instrText xml:space="preserve"> SEQ Table \* ARABIC </w:instrText>
      </w:r>
      <w:r w:rsidR="002B07C2" w:rsidRPr="00CD6245">
        <w:fldChar w:fldCharType="separate"/>
      </w:r>
      <w:r w:rsidR="002E75B9">
        <w:rPr>
          <w:noProof/>
        </w:rPr>
        <w:t>19</w:t>
      </w:r>
      <w:r w:rsidR="002B07C2" w:rsidRPr="00CD6245">
        <w:fldChar w:fldCharType="end"/>
      </w:r>
      <w:bookmarkEnd w:id="106"/>
      <w:r w:rsidR="00C82F09" w:rsidRPr="00CD6245">
        <w:t>: Audit program schedule and results as at 30 June 2016</w:t>
      </w:r>
      <w:bookmarkEnd w:id="107"/>
    </w:p>
    <w:p w:rsidR="00B233EF" w:rsidRPr="00B233EF" w:rsidRDefault="00B233EF" w:rsidP="00B233EF">
      <w:pPr>
        <w:ind w:left="720"/>
      </w:pPr>
      <w:r>
        <w:rPr>
          <w:noProof/>
        </w:rPr>
        <w:drawing>
          <wp:inline distT="0" distB="0" distL="0" distR="0" wp14:anchorId="235BB248" wp14:editId="0FD3477B">
            <wp:extent cx="5263515" cy="3423285"/>
            <wp:effectExtent l="0" t="0" r="0" b="5715"/>
            <wp:docPr id="40" name="Picture 40" descr="Orange Crush:Users:chrisashe:Desktop:DTF033_VGPB-T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Orange Crush:Users:chrisashe:Desktop:DTF033_VGPB-T19.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263515" cy="3423285"/>
                    </a:xfrm>
                    <a:prstGeom prst="rect">
                      <a:avLst/>
                    </a:prstGeom>
                    <a:noFill/>
                    <a:ln>
                      <a:noFill/>
                    </a:ln>
                  </pic:spPr>
                </pic:pic>
              </a:graphicData>
            </a:graphic>
          </wp:inline>
        </w:drawing>
      </w:r>
    </w:p>
    <w:p w:rsidR="006F01CC" w:rsidRPr="00CD6245" w:rsidRDefault="006F01CC" w:rsidP="00E11F23">
      <w:pPr>
        <w:pStyle w:val="Heading2NoNum"/>
      </w:pPr>
    </w:p>
    <w:p w:rsidR="006F01CC" w:rsidRPr="00CD6245" w:rsidRDefault="006F01CC" w:rsidP="006F01CC">
      <w:pPr>
        <w:rPr>
          <w:rFonts w:ascii="Calibri" w:hAnsi="Calibri" w:cs="Calibri"/>
          <w:color w:val="4D4D4D"/>
          <w:kern w:val="28"/>
          <w:sz w:val="30"/>
          <w:szCs w:val="22"/>
          <w:lang w:eastAsia="en-US"/>
        </w:rPr>
      </w:pPr>
      <w:r w:rsidRPr="00CD6245">
        <w:br w:type="page"/>
      </w:r>
    </w:p>
    <w:p w:rsidR="004569B2" w:rsidRPr="00CD6245" w:rsidRDefault="00BC1652" w:rsidP="00E11F23">
      <w:pPr>
        <w:pStyle w:val="Heading2NoNum"/>
      </w:pPr>
      <w:bookmarkStart w:id="108" w:name="_Toc463527729"/>
      <w:r w:rsidRPr="00CD6245">
        <w:lastRenderedPageBreak/>
        <w:t>Complaints</w:t>
      </w:r>
      <w:bookmarkEnd w:id="108"/>
    </w:p>
    <w:p w:rsidR="00904F12" w:rsidRPr="00CD6245" w:rsidRDefault="00FD0317" w:rsidP="00904F12">
      <w:pPr>
        <w:pStyle w:val="Normal1"/>
        <w:rPr>
          <w:lang w:eastAsia="en-US"/>
        </w:rPr>
      </w:pPr>
      <w:r w:rsidRPr="00CD6245">
        <w:rPr>
          <w:lang w:eastAsia="en-US"/>
        </w:rPr>
        <w:t>Organisation</w:t>
      </w:r>
      <w:r w:rsidR="00AC764D" w:rsidRPr="00CD6245">
        <w:rPr>
          <w:lang w:eastAsia="en-US"/>
        </w:rPr>
        <w:t xml:space="preserve">s </w:t>
      </w:r>
      <w:r w:rsidR="00417780" w:rsidRPr="00CD6245">
        <w:rPr>
          <w:lang w:eastAsia="en-US"/>
        </w:rPr>
        <w:t xml:space="preserve">are required </w:t>
      </w:r>
      <w:r w:rsidR="00AC764D" w:rsidRPr="00CD6245">
        <w:rPr>
          <w:lang w:eastAsia="en-US"/>
        </w:rPr>
        <w:t xml:space="preserve">to develop a complaints management system that sets out the process and procedures for addressing complaints by suppliers. </w:t>
      </w:r>
      <w:r w:rsidR="00904F12" w:rsidRPr="00CD6245">
        <w:t>C</w:t>
      </w:r>
      <w:r w:rsidR="006922F4" w:rsidRPr="00CD6245">
        <w:t>POs</w:t>
      </w:r>
      <w:r w:rsidR="00904F12" w:rsidRPr="00CD6245">
        <w:t xml:space="preserve"> are responsible for their </w:t>
      </w:r>
      <w:r w:rsidRPr="00CD6245">
        <w:t>organisation</w:t>
      </w:r>
      <w:r w:rsidR="00904F12" w:rsidRPr="00CD6245">
        <w:t>’s complaints management process.</w:t>
      </w:r>
    </w:p>
    <w:p w:rsidR="00AC764D" w:rsidRPr="00CD6245" w:rsidRDefault="00AC764D" w:rsidP="00BC1652">
      <w:pPr>
        <w:pStyle w:val="Normal1"/>
        <w:rPr>
          <w:lang w:eastAsia="en-US"/>
        </w:rPr>
      </w:pPr>
      <w:r w:rsidRPr="00CD6245">
        <w:rPr>
          <w:lang w:eastAsia="en-US"/>
        </w:rPr>
        <w:t>The VGPB defines a complaint as an issue or concern expressed by a supplier in relation to the process and probity applied by an organisation when carrying out a procurement activity.</w:t>
      </w:r>
    </w:p>
    <w:p w:rsidR="00443A35" w:rsidRPr="00CD6245" w:rsidRDefault="00791A53" w:rsidP="00443A35">
      <w:pPr>
        <w:pStyle w:val="Normal1"/>
      </w:pPr>
      <w:r w:rsidRPr="00CD6245">
        <w:t>I</w:t>
      </w:r>
      <w:r w:rsidR="00846EC6" w:rsidRPr="00CD6245">
        <w:t xml:space="preserve">n </w:t>
      </w:r>
      <w:r w:rsidR="00414AE0" w:rsidRPr="00CD6245">
        <w:t>2015–16</w:t>
      </w:r>
      <w:r w:rsidR="008119D2" w:rsidRPr="00CD6245">
        <w:t>,</w:t>
      </w:r>
      <w:r w:rsidRPr="00CD6245">
        <w:t xml:space="preserve"> </w:t>
      </w:r>
      <w:r w:rsidR="00FD0317" w:rsidRPr="00CD6245">
        <w:t>organisation</w:t>
      </w:r>
      <w:r w:rsidR="003352E3" w:rsidRPr="00CD6245">
        <w:t xml:space="preserve">s reported </w:t>
      </w:r>
      <w:r w:rsidR="004B5F2B" w:rsidRPr="00CD6245">
        <w:t>three</w:t>
      </w:r>
      <w:r w:rsidR="00081854" w:rsidRPr="00CD6245">
        <w:rPr>
          <w:lang w:eastAsia="en-US"/>
        </w:rPr>
        <w:t xml:space="preserve"> complaints </w:t>
      </w:r>
      <w:r w:rsidR="00081854" w:rsidRPr="00CD6245">
        <w:t>r</w:t>
      </w:r>
      <w:r w:rsidR="00846EC6" w:rsidRPr="00CD6245">
        <w:t xml:space="preserve">elated to procurement activity as shown in </w:t>
      </w:r>
      <w:r w:rsidR="00AC517C">
        <w:fldChar w:fldCharType="begin"/>
      </w:r>
      <w:r w:rsidR="00AC517C">
        <w:instrText xml:space="preserve"> REF _Ref425456874 \h  \* MERGEFORMAT </w:instrText>
      </w:r>
      <w:r w:rsidR="00AC517C">
        <w:fldChar w:fldCharType="separate"/>
      </w:r>
      <w:r w:rsidR="002E75B9" w:rsidRPr="00CD6245">
        <w:t xml:space="preserve">Table </w:t>
      </w:r>
      <w:r w:rsidR="002E75B9">
        <w:rPr>
          <w:noProof/>
        </w:rPr>
        <w:t>20</w:t>
      </w:r>
      <w:r w:rsidR="00AC517C">
        <w:fldChar w:fldCharType="end"/>
      </w:r>
      <w:r w:rsidR="009C3C92" w:rsidRPr="00CD6245">
        <w:t>.</w:t>
      </w:r>
      <w:r w:rsidR="00443A35" w:rsidRPr="00CD6245">
        <w:t xml:space="preserve"> </w:t>
      </w:r>
      <w:r w:rsidR="00443A35" w:rsidRPr="00CD6245">
        <w:rPr>
          <w:lang w:eastAsia="en-US"/>
        </w:rPr>
        <w:t>This compares to</w:t>
      </w:r>
      <w:r w:rsidR="00844BC9" w:rsidRPr="00CD6245">
        <w:rPr>
          <w:lang w:eastAsia="en-US"/>
        </w:rPr>
        <w:t xml:space="preserve"> six complaints in 2014–15 and</w:t>
      </w:r>
      <w:r w:rsidR="00443A35" w:rsidRPr="00CD6245">
        <w:rPr>
          <w:lang w:eastAsia="en-US"/>
        </w:rPr>
        <w:t xml:space="preserve"> three complaints </w:t>
      </w:r>
      <w:r w:rsidR="00443A35" w:rsidRPr="00CD6245">
        <w:t>in 2013–14.</w:t>
      </w:r>
    </w:p>
    <w:p w:rsidR="00C82F09" w:rsidRDefault="009C3C92" w:rsidP="00C82F09">
      <w:pPr>
        <w:pStyle w:val="Caption"/>
      </w:pPr>
      <w:bookmarkStart w:id="109" w:name="_Ref425456874"/>
      <w:bookmarkStart w:id="110" w:name="_Toc463527855"/>
      <w:r w:rsidRPr="00CD6245">
        <w:t xml:space="preserve">Table </w:t>
      </w:r>
      <w:r w:rsidR="002B07C2" w:rsidRPr="00CD6245">
        <w:fldChar w:fldCharType="begin"/>
      </w:r>
      <w:r w:rsidR="00600068" w:rsidRPr="00CD6245">
        <w:instrText xml:space="preserve"> SEQ Table \* ARABIC </w:instrText>
      </w:r>
      <w:r w:rsidR="002B07C2" w:rsidRPr="00CD6245">
        <w:fldChar w:fldCharType="separate"/>
      </w:r>
      <w:r w:rsidR="002E75B9">
        <w:rPr>
          <w:noProof/>
        </w:rPr>
        <w:t>20</w:t>
      </w:r>
      <w:r w:rsidR="002B07C2" w:rsidRPr="00CD6245">
        <w:fldChar w:fldCharType="end"/>
      </w:r>
      <w:bookmarkEnd w:id="109"/>
      <w:r w:rsidRPr="00CD6245">
        <w:t xml:space="preserve">: Complaints related to procurement activity in </w:t>
      </w:r>
      <w:r w:rsidR="00414AE0" w:rsidRPr="00CD6245">
        <w:t>2015–16</w:t>
      </w:r>
      <w:bookmarkEnd w:id="110"/>
    </w:p>
    <w:p w:rsidR="00B233EF" w:rsidRPr="00B233EF" w:rsidRDefault="00B233EF" w:rsidP="00B233EF">
      <w:pPr>
        <w:ind w:left="810"/>
      </w:pPr>
      <w:r>
        <w:rPr>
          <w:noProof/>
        </w:rPr>
        <w:drawing>
          <wp:inline distT="0" distB="0" distL="0" distR="0" wp14:anchorId="3769EC90" wp14:editId="75A51099">
            <wp:extent cx="5274310" cy="3947795"/>
            <wp:effectExtent l="0" t="0" r="8890" b="0"/>
            <wp:docPr id="42" name="Picture 42" descr="Orange Crush:Users:chrisashe:Desktop:DTF033_VGPB-T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Orange Crush:Users:chrisashe:Desktop:DTF033_VGPB-T20.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274310" cy="3947795"/>
                    </a:xfrm>
                    <a:prstGeom prst="rect">
                      <a:avLst/>
                    </a:prstGeom>
                    <a:noFill/>
                    <a:ln>
                      <a:noFill/>
                    </a:ln>
                  </pic:spPr>
                </pic:pic>
              </a:graphicData>
            </a:graphic>
          </wp:inline>
        </w:drawing>
      </w:r>
    </w:p>
    <w:p w:rsidR="00F83E44" w:rsidRPr="00CD6245" w:rsidRDefault="006E1F03" w:rsidP="00F83E44">
      <w:pPr>
        <w:pStyle w:val="Heading1NoNum"/>
      </w:pPr>
      <w:bookmarkStart w:id="111" w:name="_Toc463527730"/>
      <w:r w:rsidRPr="00CD6245">
        <w:lastRenderedPageBreak/>
        <w:t>Procurement profiles and performance by organisation</w:t>
      </w:r>
      <w:bookmarkEnd w:id="111"/>
    </w:p>
    <w:p w:rsidR="00A37AF3" w:rsidRPr="00CD6245" w:rsidRDefault="00A37AF3" w:rsidP="00A37AF3">
      <w:pPr>
        <w:spacing w:before="100" w:after="100"/>
        <w:ind w:left="794"/>
        <w:rPr>
          <w:rFonts w:ascii="Calibri" w:hAnsi="Calibri" w:cs="Calibri"/>
          <w:sz w:val="22"/>
          <w:szCs w:val="22"/>
        </w:rPr>
      </w:pPr>
      <w:bookmarkStart w:id="112" w:name="_Toc366693335"/>
      <w:r w:rsidRPr="00CD6245">
        <w:rPr>
          <w:rFonts w:ascii="Calibri" w:hAnsi="Calibri" w:cs="Calibri"/>
          <w:sz w:val="22"/>
          <w:szCs w:val="22"/>
        </w:rPr>
        <w:t>This section provides an overview of each organisation’s procurement profile, performance</w:t>
      </w:r>
      <w:r w:rsidR="003075AA" w:rsidRPr="00CD6245">
        <w:rPr>
          <w:rFonts w:ascii="Calibri" w:hAnsi="Calibri" w:cs="Calibri"/>
          <w:sz w:val="22"/>
          <w:szCs w:val="22"/>
        </w:rPr>
        <w:t xml:space="preserve"> and</w:t>
      </w:r>
      <w:r w:rsidRPr="00CD6245">
        <w:rPr>
          <w:rFonts w:ascii="Calibri" w:hAnsi="Calibri" w:cs="Calibri"/>
          <w:sz w:val="22"/>
          <w:szCs w:val="22"/>
        </w:rPr>
        <w:t xml:space="preserve"> procurement-related </w:t>
      </w:r>
      <w:r w:rsidR="00B233EF">
        <w:rPr>
          <w:rFonts w:ascii="Calibri" w:hAnsi="Calibri" w:cs="Calibri"/>
          <w:sz w:val="22"/>
          <w:szCs w:val="22"/>
        </w:rPr>
        <w:t>activities</w:t>
      </w:r>
      <w:r w:rsidRPr="00CD6245">
        <w:rPr>
          <w:rFonts w:ascii="Calibri" w:hAnsi="Calibri" w:cs="Calibri"/>
          <w:sz w:val="22"/>
          <w:szCs w:val="22"/>
        </w:rPr>
        <w:t xml:space="preserve"> in 2015–16.</w:t>
      </w:r>
    </w:p>
    <w:p w:rsidR="00A37AF3" w:rsidRPr="00CD6245" w:rsidRDefault="00A37AF3" w:rsidP="00A37AF3">
      <w:pPr>
        <w:keepNext/>
        <w:keepLines/>
        <w:widowControl w:val="0"/>
        <w:spacing w:before="200" w:after="120" w:line="216" w:lineRule="auto"/>
        <w:ind w:left="794"/>
        <w:outlineLvl w:val="2"/>
        <w:rPr>
          <w:rFonts w:ascii="Calibri" w:hAnsi="Calibri" w:cs="Calibri"/>
          <w:b/>
          <w:color w:val="4D4D4D"/>
          <w:kern w:val="28"/>
          <w:sz w:val="26"/>
          <w:szCs w:val="22"/>
          <w:lang w:eastAsia="en-US"/>
        </w:rPr>
      </w:pPr>
      <w:r w:rsidRPr="00CD6245">
        <w:rPr>
          <w:rFonts w:ascii="Calibri" w:hAnsi="Calibri" w:cs="Calibri"/>
          <w:b/>
          <w:color w:val="4D4D4D"/>
          <w:kern w:val="28"/>
          <w:sz w:val="26"/>
          <w:szCs w:val="22"/>
          <w:lang w:eastAsia="en-US"/>
        </w:rPr>
        <w:t>Reporting on performance measures</w:t>
      </w:r>
    </w:p>
    <w:p w:rsidR="00D5769D" w:rsidRPr="00CD6245" w:rsidRDefault="00A37AF3" w:rsidP="00A37AF3">
      <w:pPr>
        <w:spacing w:before="100" w:after="100"/>
        <w:ind w:left="794"/>
        <w:rPr>
          <w:rFonts w:ascii="Calibri" w:hAnsi="Calibri" w:cs="Calibri"/>
          <w:sz w:val="22"/>
          <w:szCs w:val="22"/>
        </w:rPr>
      </w:pPr>
      <w:r w:rsidRPr="00CD6245">
        <w:rPr>
          <w:rFonts w:ascii="Calibri" w:hAnsi="Calibri" w:cs="Calibri"/>
          <w:sz w:val="22"/>
          <w:szCs w:val="22"/>
        </w:rPr>
        <w:t>In 2015–16</w:t>
      </w:r>
      <w:r w:rsidR="008119D2" w:rsidRPr="00CD6245">
        <w:rPr>
          <w:rFonts w:ascii="Calibri" w:hAnsi="Calibri" w:cs="Calibri"/>
          <w:sz w:val="22"/>
          <w:szCs w:val="22"/>
        </w:rPr>
        <w:t>,</w:t>
      </w:r>
      <w:r w:rsidRPr="00CD6245">
        <w:rPr>
          <w:rFonts w:ascii="Calibri" w:hAnsi="Calibri" w:cs="Calibri"/>
          <w:sz w:val="22"/>
          <w:szCs w:val="22"/>
        </w:rPr>
        <w:t xml:space="preserve"> organisations began putting </w:t>
      </w:r>
      <w:r w:rsidR="008119D2" w:rsidRPr="00CD6245">
        <w:rPr>
          <w:rFonts w:ascii="Calibri" w:hAnsi="Calibri" w:cs="Calibri"/>
          <w:sz w:val="22"/>
          <w:szCs w:val="22"/>
        </w:rPr>
        <w:t xml:space="preserve">in place </w:t>
      </w:r>
      <w:r w:rsidRPr="00CD6245">
        <w:rPr>
          <w:rFonts w:ascii="Calibri" w:hAnsi="Calibri" w:cs="Calibri"/>
          <w:sz w:val="22"/>
          <w:szCs w:val="22"/>
        </w:rPr>
        <w:t>processes to capture the data needed to report on six new performance measures. Due to the significant amount of work involved in collecting this data for year one, the results reflect a ‘best endeavours’ approa</w:t>
      </w:r>
      <w:r w:rsidR="00D5769D" w:rsidRPr="00CD6245">
        <w:rPr>
          <w:rFonts w:ascii="Calibri" w:hAnsi="Calibri" w:cs="Calibri"/>
          <w:sz w:val="22"/>
          <w:szCs w:val="22"/>
        </w:rPr>
        <w:t>ch. As far as possible, the 2015–16 outcomes will help form the baseline against which organisations will measure performance in future years.</w:t>
      </w:r>
    </w:p>
    <w:p w:rsidR="00A37AF3" w:rsidRPr="00CD6245" w:rsidRDefault="00A37AF3" w:rsidP="00A37AF3">
      <w:pPr>
        <w:spacing w:before="100" w:after="100"/>
        <w:ind w:left="794"/>
        <w:rPr>
          <w:rFonts w:ascii="Calibri" w:hAnsi="Calibri" w:cs="Calibri"/>
          <w:sz w:val="22"/>
          <w:szCs w:val="22"/>
        </w:rPr>
      </w:pPr>
      <w:r w:rsidRPr="00CD6245">
        <w:rPr>
          <w:rFonts w:ascii="Calibri" w:hAnsi="Calibri" w:cs="Calibri"/>
          <w:sz w:val="22"/>
          <w:szCs w:val="22"/>
        </w:rPr>
        <w:t xml:space="preserve">The performance measures provide a consistent, quantifiable approach to measuring reform benefits. The VGPB will work with organisations </w:t>
      </w:r>
      <w:r w:rsidR="00A65FE7" w:rsidRPr="00CD6245">
        <w:rPr>
          <w:rFonts w:ascii="Calibri" w:hAnsi="Calibri" w:cs="Calibri"/>
          <w:sz w:val="22"/>
          <w:szCs w:val="22"/>
        </w:rPr>
        <w:t xml:space="preserve">in early 2016–17 </w:t>
      </w:r>
      <w:r w:rsidRPr="00CD6245">
        <w:rPr>
          <w:rFonts w:ascii="Calibri" w:hAnsi="Calibri" w:cs="Calibri"/>
          <w:sz w:val="22"/>
          <w:szCs w:val="22"/>
        </w:rPr>
        <w:t xml:space="preserve">to refine the measures before commencing </w:t>
      </w:r>
      <w:r w:rsidR="00A65FE7" w:rsidRPr="00CD6245">
        <w:rPr>
          <w:rFonts w:ascii="Calibri" w:hAnsi="Calibri" w:cs="Calibri"/>
          <w:sz w:val="22"/>
          <w:szCs w:val="22"/>
        </w:rPr>
        <w:t xml:space="preserve">the year two </w:t>
      </w:r>
      <w:r w:rsidRPr="00CD6245">
        <w:rPr>
          <w:rFonts w:ascii="Calibri" w:hAnsi="Calibri" w:cs="Calibri"/>
          <w:sz w:val="22"/>
          <w:szCs w:val="22"/>
        </w:rPr>
        <w:t>data collection.</w:t>
      </w:r>
    </w:p>
    <w:p w:rsidR="00FF15D3" w:rsidRPr="00CD6245" w:rsidRDefault="00AC517C" w:rsidP="00FF15D3">
      <w:pPr>
        <w:pStyle w:val="Normal1"/>
      </w:pPr>
      <w:r>
        <w:fldChar w:fldCharType="begin"/>
      </w:r>
      <w:r>
        <w:instrText xml:space="preserve"> REF _Ref457122529 \h  \* MERGEFORMAT </w:instrText>
      </w:r>
      <w:r>
        <w:fldChar w:fldCharType="separate"/>
      </w:r>
      <w:r w:rsidR="002E75B9" w:rsidRPr="00CD6245">
        <w:t xml:space="preserve">Table </w:t>
      </w:r>
      <w:r w:rsidR="002E75B9">
        <w:t>21</w:t>
      </w:r>
      <w:r>
        <w:fldChar w:fldCharType="end"/>
      </w:r>
      <w:r w:rsidR="00FF15D3" w:rsidRPr="00CD6245">
        <w:t xml:space="preserve"> lists the six performance measures and summarises the methodology for </w:t>
      </w:r>
      <w:r w:rsidR="00666B32" w:rsidRPr="00CD6245">
        <w:t xml:space="preserve">its </w:t>
      </w:r>
      <w:r w:rsidR="00FF15D3" w:rsidRPr="00CD6245">
        <w:t>calculati</w:t>
      </w:r>
      <w:r w:rsidR="00666B32" w:rsidRPr="00CD6245">
        <w:t>o</w:t>
      </w:r>
      <w:r w:rsidR="00FF15D3" w:rsidRPr="00CD6245">
        <w:t>n. As mentioned above</w:t>
      </w:r>
      <w:r w:rsidR="008528A7" w:rsidRPr="00CD6245">
        <w:t>,</w:t>
      </w:r>
      <w:r w:rsidR="00FF15D3" w:rsidRPr="00CD6245">
        <w:t xml:space="preserve"> the methodology may be adjusted in 2016–17 after reviewing year one results to ensure performance measures are relevant and improved where necessary.</w:t>
      </w:r>
    </w:p>
    <w:p w:rsidR="00A166D3" w:rsidRPr="00CD6245" w:rsidRDefault="00A166D3" w:rsidP="00A166D3">
      <w:pPr>
        <w:pStyle w:val="Caption"/>
      </w:pPr>
      <w:bookmarkStart w:id="113" w:name="_Ref457122529"/>
      <w:bookmarkStart w:id="114" w:name="_Toc463527856"/>
      <w:r w:rsidRPr="00CD6245">
        <w:t xml:space="preserve">Table </w:t>
      </w:r>
      <w:r w:rsidR="002B07C2" w:rsidRPr="00CD6245">
        <w:fldChar w:fldCharType="begin"/>
      </w:r>
      <w:r w:rsidR="005C04D8" w:rsidRPr="00CD6245">
        <w:instrText xml:space="preserve"> SEQ Table \* ARABIC </w:instrText>
      </w:r>
      <w:r w:rsidR="002B07C2" w:rsidRPr="00CD6245">
        <w:fldChar w:fldCharType="separate"/>
      </w:r>
      <w:r w:rsidR="002E75B9">
        <w:rPr>
          <w:noProof/>
        </w:rPr>
        <w:t>21</w:t>
      </w:r>
      <w:r w:rsidR="002B07C2" w:rsidRPr="00CD6245">
        <w:fldChar w:fldCharType="end"/>
      </w:r>
      <w:bookmarkEnd w:id="113"/>
      <w:r w:rsidRPr="00CD6245">
        <w:t>: Key performance measures to assess the benefits of procurement reform</w:t>
      </w:r>
      <w:bookmarkEnd w:id="114"/>
    </w:p>
    <w:tbl>
      <w:tblPr>
        <w:tblStyle w:val="TableGrid"/>
        <w:tblW w:w="8647" w:type="dxa"/>
        <w:tblInd w:w="959" w:type="dxa"/>
        <w:tblLook w:val="04A0" w:firstRow="1" w:lastRow="0" w:firstColumn="1" w:lastColumn="0" w:noHBand="0" w:noVBand="1"/>
      </w:tblPr>
      <w:tblGrid>
        <w:gridCol w:w="425"/>
        <w:gridCol w:w="2978"/>
        <w:gridCol w:w="5244"/>
      </w:tblGrid>
      <w:tr w:rsidR="00A166D3" w:rsidRPr="00CD6245" w:rsidTr="00553A4A">
        <w:tc>
          <w:tcPr>
            <w:tcW w:w="3403" w:type="dxa"/>
            <w:gridSpan w:val="2"/>
            <w:shd w:val="clear" w:color="auto" w:fill="808080" w:themeFill="background1" w:themeFillShade="80"/>
          </w:tcPr>
          <w:p w:rsidR="00A166D3" w:rsidRPr="00CD6245" w:rsidRDefault="00A166D3" w:rsidP="00A166D3">
            <w:pPr>
              <w:pStyle w:val="TableHeader"/>
              <w:rPr>
                <w:b/>
              </w:rPr>
            </w:pPr>
            <w:r w:rsidRPr="00CD6245">
              <w:rPr>
                <w:b/>
              </w:rPr>
              <w:t>Performance measure</w:t>
            </w:r>
          </w:p>
        </w:tc>
        <w:tc>
          <w:tcPr>
            <w:tcW w:w="5244" w:type="dxa"/>
            <w:shd w:val="clear" w:color="auto" w:fill="808080" w:themeFill="background1" w:themeFillShade="80"/>
          </w:tcPr>
          <w:p w:rsidR="00A166D3" w:rsidRPr="00CD6245" w:rsidRDefault="00A166D3" w:rsidP="00A166D3">
            <w:pPr>
              <w:pStyle w:val="TableHeader"/>
              <w:rPr>
                <w:b/>
              </w:rPr>
            </w:pPr>
            <w:r w:rsidRPr="00CD6245">
              <w:rPr>
                <w:b/>
              </w:rPr>
              <w:t>Definition</w:t>
            </w:r>
          </w:p>
        </w:tc>
      </w:tr>
      <w:tr w:rsidR="00A166D3" w:rsidRPr="00CD6245" w:rsidTr="00553A4A">
        <w:tc>
          <w:tcPr>
            <w:tcW w:w="425" w:type="dxa"/>
          </w:tcPr>
          <w:p w:rsidR="00A166D3" w:rsidRPr="00CD6245" w:rsidRDefault="00A166D3" w:rsidP="00472EAC">
            <w:pPr>
              <w:pStyle w:val="TableText"/>
            </w:pPr>
            <w:r w:rsidRPr="00CD6245">
              <w:t>1</w:t>
            </w:r>
          </w:p>
        </w:tc>
        <w:tc>
          <w:tcPr>
            <w:tcW w:w="2978" w:type="dxa"/>
          </w:tcPr>
          <w:p w:rsidR="00A166D3" w:rsidRPr="00CD6245" w:rsidRDefault="00A166D3" w:rsidP="00726B56">
            <w:pPr>
              <w:pStyle w:val="TableText"/>
            </w:pPr>
            <w:r w:rsidRPr="00CD6245">
              <w:t>Value created as a consequence of departme</w:t>
            </w:r>
            <w:r w:rsidR="00726B56" w:rsidRPr="00CD6245">
              <w:t>nt procurement activity</w:t>
            </w:r>
          </w:p>
        </w:tc>
        <w:tc>
          <w:tcPr>
            <w:tcW w:w="5244" w:type="dxa"/>
          </w:tcPr>
          <w:p w:rsidR="00A166D3" w:rsidRPr="00CD6245" w:rsidRDefault="00A166D3" w:rsidP="00DB075F">
            <w:pPr>
              <w:pStyle w:val="TableText"/>
            </w:pPr>
            <w:r w:rsidRPr="00CD6245">
              <w:t xml:space="preserve">Value of direct cost savings and potential costs avoided for </w:t>
            </w:r>
            <w:r w:rsidR="00726B56" w:rsidRPr="00CD6245">
              <w:t>department procurements of $100 </w:t>
            </w:r>
            <w:r w:rsidRPr="00CD6245">
              <w:t xml:space="preserve">000 and greater, conducted during the financial year as a percentage of the total value of </w:t>
            </w:r>
            <w:r w:rsidR="00DB075F" w:rsidRPr="00CD6245">
              <w:t>d</w:t>
            </w:r>
            <w:r w:rsidRPr="00CD6245">
              <w:t xml:space="preserve">epartment total contracted spend during the financial year. </w:t>
            </w:r>
          </w:p>
        </w:tc>
      </w:tr>
      <w:tr w:rsidR="00A166D3" w:rsidRPr="00CD6245" w:rsidTr="00553A4A">
        <w:tc>
          <w:tcPr>
            <w:tcW w:w="425" w:type="dxa"/>
          </w:tcPr>
          <w:p w:rsidR="00A166D3" w:rsidRPr="00CD6245" w:rsidRDefault="00A166D3" w:rsidP="00472EAC">
            <w:pPr>
              <w:pStyle w:val="TableText"/>
            </w:pPr>
            <w:r w:rsidRPr="00CD6245">
              <w:t>2</w:t>
            </w:r>
          </w:p>
        </w:tc>
        <w:tc>
          <w:tcPr>
            <w:tcW w:w="2978" w:type="dxa"/>
          </w:tcPr>
          <w:p w:rsidR="00A166D3" w:rsidRPr="00CD6245" w:rsidRDefault="00726B56" w:rsidP="00726B56">
            <w:pPr>
              <w:pStyle w:val="TableText"/>
            </w:pPr>
            <w:r w:rsidRPr="00CD6245">
              <w:t>Proportion of the number of transactions at or below $2 </w:t>
            </w:r>
            <w:r w:rsidR="00A166D3" w:rsidRPr="00CD6245">
              <w:t xml:space="preserve">000 through a P-Card or equivalent </w:t>
            </w:r>
          </w:p>
        </w:tc>
        <w:tc>
          <w:tcPr>
            <w:tcW w:w="5244" w:type="dxa"/>
          </w:tcPr>
          <w:p w:rsidR="00A166D3" w:rsidRPr="00CD6245" w:rsidRDefault="00A166D3">
            <w:pPr>
              <w:pStyle w:val="TableText"/>
            </w:pPr>
            <w:r w:rsidRPr="00CD6245">
              <w:t xml:space="preserve">Ratio of </w:t>
            </w:r>
            <w:r w:rsidR="00C8230B">
              <w:t>low-value</w:t>
            </w:r>
            <w:r w:rsidR="00726B56" w:rsidRPr="00CD6245">
              <w:t xml:space="preserve"> transactions less than $2 </w:t>
            </w:r>
            <w:r w:rsidRPr="00CD6245">
              <w:t>000 through a P-card or equivalent card v</w:t>
            </w:r>
            <w:r w:rsidR="008528A7" w:rsidRPr="00CD6245">
              <w:t>ersus</w:t>
            </w:r>
            <w:r w:rsidRPr="00CD6245">
              <w:t xml:space="preserve"> total number of </w:t>
            </w:r>
            <w:r w:rsidR="00C8230B">
              <w:t>low-value</w:t>
            </w:r>
            <w:r w:rsidR="00726B56" w:rsidRPr="00CD6245">
              <w:t xml:space="preserve"> transactions less than $2 </w:t>
            </w:r>
            <w:r w:rsidRPr="00CD6245">
              <w:t>000 paid by any means.</w:t>
            </w:r>
          </w:p>
        </w:tc>
      </w:tr>
      <w:tr w:rsidR="00A166D3" w:rsidRPr="00CD6245" w:rsidTr="00553A4A">
        <w:tc>
          <w:tcPr>
            <w:tcW w:w="425" w:type="dxa"/>
          </w:tcPr>
          <w:p w:rsidR="00A166D3" w:rsidRPr="00CD6245" w:rsidRDefault="00A166D3" w:rsidP="00472EAC">
            <w:pPr>
              <w:pStyle w:val="TableText"/>
            </w:pPr>
            <w:r w:rsidRPr="00CD6245">
              <w:t>3</w:t>
            </w:r>
          </w:p>
        </w:tc>
        <w:tc>
          <w:tcPr>
            <w:tcW w:w="2978" w:type="dxa"/>
          </w:tcPr>
          <w:p w:rsidR="00A166D3" w:rsidRPr="00CD6245" w:rsidRDefault="00A166D3" w:rsidP="00472EAC">
            <w:pPr>
              <w:pStyle w:val="TableText"/>
            </w:pPr>
            <w:r w:rsidRPr="00CD6245">
              <w:t>Increase in procurement capability</w:t>
            </w:r>
          </w:p>
        </w:tc>
        <w:tc>
          <w:tcPr>
            <w:tcW w:w="5244" w:type="dxa"/>
          </w:tcPr>
          <w:p w:rsidR="00A166D3" w:rsidRPr="00CD6245" w:rsidRDefault="00A166D3" w:rsidP="00472EAC">
            <w:pPr>
              <w:pStyle w:val="TableText"/>
            </w:pPr>
            <w:r w:rsidRPr="00CD6245">
              <w:t xml:space="preserve">Annual assessment of the improvement in departmental procurement capability year on year, measured by the department score on the VGPB </w:t>
            </w:r>
            <w:r w:rsidR="008528A7" w:rsidRPr="00CD6245">
              <w:t>capability assessment tool</w:t>
            </w:r>
            <w:r w:rsidRPr="00CD6245">
              <w:t xml:space="preserve"> and </w:t>
            </w:r>
            <w:r w:rsidR="008528A7" w:rsidRPr="00CD6245">
              <w:t>t</w:t>
            </w:r>
            <w:r w:rsidRPr="00CD6245">
              <w:t>emplate</w:t>
            </w:r>
            <w:r w:rsidR="000D7385" w:rsidRPr="00CD6245">
              <w:t>.</w:t>
            </w:r>
          </w:p>
        </w:tc>
      </w:tr>
      <w:tr w:rsidR="00A166D3" w:rsidRPr="00CD6245" w:rsidTr="00553A4A">
        <w:tc>
          <w:tcPr>
            <w:tcW w:w="425" w:type="dxa"/>
          </w:tcPr>
          <w:p w:rsidR="00A166D3" w:rsidRPr="00CD6245" w:rsidRDefault="00A166D3" w:rsidP="00472EAC">
            <w:pPr>
              <w:pStyle w:val="TableText"/>
            </w:pPr>
            <w:r w:rsidRPr="00CD6245">
              <w:t>4</w:t>
            </w:r>
          </w:p>
        </w:tc>
        <w:tc>
          <w:tcPr>
            <w:tcW w:w="2978" w:type="dxa"/>
          </w:tcPr>
          <w:p w:rsidR="00A166D3" w:rsidRPr="00CD6245" w:rsidRDefault="00A166D3" w:rsidP="00726B56">
            <w:pPr>
              <w:pStyle w:val="TableText"/>
            </w:pPr>
            <w:r w:rsidRPr="00CD6245">
              <w:t xml:space="preserve">Cost of </w:t>
            </w:r>
            <w:r w:rsidR="00726B56" w:rsidRPr="00CD6245">
              <w:t xml:space="preserve">department’s </w:t>
            </w:r>
            <w:r w:rsidRPr="00CD6245">
              <w:t>procurement resources as</w:t>
            </w:r>
            <w:r w:rsidR="00726B56" w:rsidRPr="00CD6245">
              <w:t xml:space="preserve"> a percentage of total contract</w:t>
            </w:r>
            <w:r w:rsidRPr="00CD6245">
              <w:t xml:space="preserve"> spend</w:t>
            </w:r>
          </w:p>
        </w:tc>
        <w:tc>
          <w:tcPr>
            <w:tcW w:w="5244" w:type="dxa"/>
          </w:tcPr>
          <w:p w:rsidR="00A166D3" w:rsidRPr="00CD6245" w:rsidRDefault="00A166D3" w:rsidP="00472EAC">
            <w:pPr>
              <w:pStyle w:val="TableText"/>
            </w:pPr>
            <w:r w:rsidRPr="00CD6245">
              <w:t xml:space="preserve">Percentage of the total salary and wages for all procurement resources allocating equal </w:t>
            </w:r>
            <w:r w:rsidR="008528A7" w:rsidRPr="00CD6245">
              <w:t xml:space="preserve">to, </w:t>
            </w:r>
            <w:r w:rsidRPr="00CD6245">
              <w:t>or greater than</w:t>
            </w:r>
            <w:r w:rsidR="008528A7" w:rsidRPr="00CD6245">
              <w:t>,</w:t>
            </w:r>
            <w:r w:rsidRPr="00CD6245">
              <w:t xml:space="preserve"> 80% of time on procurement tasks against total department spend for the year. </w:t>
            </w:r>
          </w:p>
        </w:tc>
      </w:tr>
      <w:tr w:rsidR="00A166D3" w:rsidRPr="00CD6245" w:rsidTr="00553A4A">
        <w:tc>
          <w:tcPr>
            <w:tcW w:w="425" w:type="dxa"/>
          </w:tcPr>
          <w:p w:rsidR="00A166D3" w:rsidRPr="00CD6245" w:rsidRDefault="00A166D3" w:rsidP="00472EAC">
            <w:pPr>
              <w:pStyle w:val="TableText"/>
            </w:pPr>
            <w:r w:rsidRPr="00CD6245">
              <w:t>5</w:t>
            </w:r>
          </w:p>
        </w:tc>
        <w:tc>
          <w:tcPr>
            <w:tcW w:w="2978" w:type="dxa"/>
          </w:tcPr>
          <w:p w:rsidR="00A166D3" w:rsidRPr="00CD6245" w:rsidRDefault="00A166D3" w:rsidP="00726B56">
            <w:pPr>
              <w:pStyle w:val="TableText"/>
            </w:pPr>
            <w:r w:rsidRPr="00CD6245">
              <w:t xml:space="preserve">Supplier </w:t>
            </w:r>
            <w:r w:rsidR="00726B56" w:rsidRPr="00CD6245">
              <w:t>satisfaction</w:t>
            </w:r>
            <w:r w:rsidRPr="00CD6245">
              <w:t xml:space="preserve"> assessment</w:t>
            </w:r>
          </w:p>
        </w:tc>
        <w:tc>
          <w:tcPr>
            <w:tcW w:w="5244" w:type="dxa"/>
          </w:tcPr>
          <w:p w:rsidR="00A166D3" w:rsidRPr="00CD6245" w:rsidRDefault="00A166D3" w:rsidP="00472EAC">
            <w:pPr>
              <w:pStyle w:val="TableText"/>
            </w:pPr>
            <w:r w:rsidRPr="00CD6245">
              <w:t xml:space="preserve">Satisfaction with quality of service provided by the department procurement function as provided by an annual survey of supplier perception of experience over time. </w:t>
            </w:r>
          </w:p>
        </w:tc>
      </w:tr>
      <w:tr w:rsidR="00A166D3" w:rsidRPr="00CD6245" w:rsidTr="00553A4A">
        <w:tc>
          <w:tcPr>
            <w:tcW w:w="425" w:type="dxa"/>
          </w:tcPr>
          <w:p w:rsidR="00A166D3" w:rsidRPr="00CD6245" w:rsidRDefault="00A166D3" w:rsidP="00472EAC">
            <w:pPr>
              <w:pStyle w:val="TableText"/>
            </w:pPr>
            <w:r w:rsidRPr="00CD6245">
              <w:t>6</w:t>
            </w:r>
          </w:p>
        </w:tc>
        <w:tc>
          <w:tcPr>
            <w:tcW w:w="2978" w:type="dxa"/>
          </w:tcPr>
          <w:p w:rsidR="00A166D3" w:rsidRPr="00CD6245" w:rsidRDefault="00A166D3" w:rsidP="00472EAC">
            <w:pPr>
              <w:pStyle w:val="TableText"/>
            </w:pPr>
            <w:r w:rsidRPr="00CD6245">
              <w:t>Planned procurement activity as a percentage of actual procurement activity</w:t>
            </w:r>
          </w:p>
        </w:tc>
        <w:tc>
          <w:tcPr>
            <w:tcW w:w="5244" w:type="dxa"/>
          </w:tcPr>
          <w:p w:rsidR="00A166D3" w:rsidRPr="00CD6245" w:rsidRDefault="00A166D3" w:rsidP="00472EAC">
            <w:pPr>
              <w:pStyle w:val="TableText"/>
            </w:pPr>
            <w:r w:rsidRPr="00CD6245">
              <w:t xml:space="preserve">Number of planned procurements captured in a department’s internal forward activity plan against the number of procurement activities awarded to the market. </w:t>
            </w:r>
          </w:p>
        </w:tc>
      </w:tr>
    </w:tbl>
    <w:p w:rsidR="00A166D3" w:rsidRPr="00CD6245" w:rsidRDefault="00A166D3" w:rsidP="00A166D3"/>
    <w:p w:rsidR="00A166D3" w:rsidRPr="00CD6245" w:rsidRDefault="00A166D3" w:rsidP="00A37AF3">
      <w:pPr>
        <w:spacing w:before="100" w:after="100"/>
        <w:ind w:left="794"/>
        <w:rPr>
          <w:rFonts w:ascii="Calibri" w:hAnsi="Calibri" w:cs="Calibri"/>
          <w:sz w:val="22"/>
          <w:szCs w:val="22"/>
        </w:rPr>
      </w:pPr>
    </w:p>
    <w:p w:rsidR="00A166D3" w:rsidRPr="00CD6245" w:rsidRDefault="00A166D3" w:rsidP="00A37AF3">
      <w:pPr>
        <w:spacing w:before="100" w:after="100"/>
        <w:ind w:left="794"/>
        <w:rPr>
          <w:rFonts w:ascii="Calibri" w:hAnsi="Calibri" w:cs="Calibri"/>
          <w:sz w:val="22"/>
          <w:szCs w:val="22"/>
        </w:rPr>
      </w:pPr>
    </w:p>
    <w:p w:rsidR="00B233EF" w:rsidRPr="00B233EF" w:rsidRDefault="00A37AF3" w:rsidP="00B233EF">
      <w:pPr>
        <w:pStyle w:val="Heading3NoNum"/>
        <w:rPr>
          <w:rStyle w:val="Heading2NoNumChar"/>
        </w:rPr>
      </w:pPr>
      <w:r w:rsidRPr="00CD6245">
        <w:lastRenderedPageBreak/>
        <w:t>Procurement-</w:t>
      </w:r>
      <w:r w:rsidRPr="00B233EF">
        <w:rPr>
          <w:szCs w:val="26"/>
        </w:rPr>
        <w:t xml:space="preserve">related </w:t>
      </w:r>
      <w:r w:rsidR="00B233EF" w:rsidRPr="00B233EF">
        <w:rPr>
          <w:rStyle w:val="Heading2NoNumChar"/>
          <w:sz w:val="26"/>
          <w:szCs w:val="26"/>
        </w:rPr>
        <w:t>activities</w:t>
      </w:r>
    </w:p>
    <w:p w:rsidR="00B233EF" w:rsidRPr="00B96DFD" w:rsidRDefault="00B233EF" w:rsidP="00B233EF">
      <w:pPr>
        <w:pStyle w:val="Normal1"/>
        <w:rPr>
          <w:color w:val="000000"/>
        </w:rPr>
      </w:pPr>
      <w:r w:rsidRPr="00A64F1B">
        <w:t xml:space="preserve">In addition to the compliance-related activities listed in Table 18, the CPO and IPU work on numerous </w:t>
      </w:r>
      <w:r w:rsidRPr="00B96DFD">
        <w:rPr>
          <w:color w:val="000000"/>
        </w:rPr>
        <w:t>initiatives</w:t>
      </w:r>
      <w:r w:rsidRPr="00A64F1B">
        <w:t xml:space="preserve"> to improve procurement outcomes across the organisation. This includes (but is not limited to) activities such as:</w:t>
      </w:r>
    </w:p>
    <w:p w:rsidR="00B233EF" w:rsidRPr="003F151D" w:rsidRDefault="00B233EF" w:rsidP="00B233EF">
      <w:pPr>
        <w:pStyle w:val="Bullet1"/>
      </w:pPr>
      <w:r w:rsidRPr="00A64F1B">
        <w:t>supporting SME or local business participation in government</w:t>
      </w:r>
      <w:r w:rsidRPr="003F151D">
        <w:t xml:space="preserve"> procurement </w:t>
      </w:r>
      <w:r w:rsidRPr="00A64F1B">
        <w:t>opportunities;</w:t>
      </w:r>
    </w:p>
    <w:p w:rsidR="00B233EF" w:rsidRPr="00A64F1B" w:rsidRDefault="00B233EF" w:rsidP="00B233EF">
      <w:pPr>
        <w:pStyle w:val="Bullet1"/>
      </w:pPr>
      <w:r w:rsidRPr="00A64F1B">
        <w:t>supplier engagement initiatives;</w:t>
      </w:r>
    </w:p>
    <w:p w:rsidR="00B233EF" w:rsidRPr="00A64F1B" w:rsidRDefault="00B233EF" w:rsidP="00B233EF">
      <w:pPr>
        <w:pStyle w:val="Bullet1"/>
      </w:pPr>
      <w:r w:rsidRPr="00A64F1B">
        <w:t>developing and implementing procurement</w:t>
      </w:r>
      <w:r w:rsidRPr="00A64F1B">
        <w:rPr>
          <w:rFonts w:ascii="STIXGeneral-Regular" w:hAnsi="STIXGeneral-Regular" w:cs="STIXGeneral-Regular"/>
        </w:rPr>
        <w:t>‑</w:t>
      </w:r>
      <w:r w:rsidRPr="00A64F1B">
        <w:t>related systems; and</w:t>
      </w:r>
    </w:p>
    <w:p w:rsidR="00B233EF" w:rsidRPr="00A64F1B" w:rsidRDefault="00B233EF" w:rsidP="00B233EF">
      <w:pPr>
        <w:pStyle w:val="Bullet1"/>
      </w:pPr>
      <w:r w:rsidRPr="00A64F1B">
        <w:t xml:space="preserve">capability development and procurement training. </w:t>
      </w:r>
    </w:p>
    <w:p w:rsidR="00B233EF" w:rsidRPr="00A64F1B" w:rsidRDefault="00B233EF" w:rsidP="00B233EF">
      <w:pPr>
        <w:pStyle w:val="Normal1"/>
      </w:pPr>
      <w:r w:rsidRPr="00A64F1B">
        <w:t xml:space="preserve">This section lists procurement activities carried out in 2015–16 as well as activities planned for 2016–17. </w:t>
      </w:r>
    </w:p>
    <w:p w:rsidR="00B233EF" w:rsidRPr="003F151D" w:rsidRDefault="00B233EF" w:rsidP="00B233EF">
      <w:pPr>
        <w:pStyle w:val="Normal1"/>
      </w:pPr>
      <w:r w:rsidRPr="003F151D">
        <w:t>The CPO and IPU Chair listed under each organisation is the person in the role at 30</w:t>
      </w:r>
      <w:r w:rsidRPr="00A64F1B">
        <w:t> </w:t>
      </w:r>
      <w:r w:rsidRPr="003F151D">
        <w:t>June</w:t>
      </w:r>
      <w:r w:rsidRPr="00A64F1B">
        <w:t> </w:t>
      </w:r>
      <w:r w:rsidRPr="003F151D">
        <w:t>2016.</w:t>
      </w:r>
    </w:p>
    <w:p w:rsidR="002053B6" w:rsidRPr="00CD6245" w:rsidRDefault="002053B6" w:rsidP="002053B6"/>
    <w:bookmarkEnd w:id="101"/>
    <w:bookmarkEnd w:id="112"/>
    <w:p w:rsidR="00713FF2" w:rsidRPr="00CD6245" w:rsidRDefault="00713FF2">
      <w:pPr>
        <w:rPr>
          <w:rFonts w:ascii="Calibri" w:hAnsi="Calibri" w:cs="Calibri"/>
          <w:color w:val="4D4D4D"/>
          <w:kern w:val="28"/>
          <w:sz w:val="30"/>
          <w:szCs w:val="22"/>
          <w:lang w:eastAsia="en-US"/>
        </w:rPr>
      </w:pPr>
      <w:r w:rsidRPr="00CD6245">
        <w:br w:type="page"/>
      </w:r>
    </w:p>
    <w:p w:rsidR="00713FF2" w:rsidRPr="00CD6245" w:rsidRDefault="00713FF2" w:rsidP="00713FF2">
      <w:pPr>
        <w:keepNext/>
        <w:keepLines/>
        <w:widowControl w:val="0"/>
        <w:spacing w:before="280" w:after="120" w:line="216" w:lineRule="auto"/>
        <w:ind w:left="794"/>
        <w:outlineLvl w:val="1"/>
        <w:rPr>
          <w:rFonts w:ascii="Calibri" w:hAnsi="Calibri" w:cs="Calibri"/>
          <w:color w:val="4D4D4D"/>
          <w:kern w:val="28"/>
          <w:sz w:val="30"/>
          <w:szCs w:val="22"/>
          <w:lang w:eastAsia="en-US"/>
        </w:rPr>
      </w:pPr>
      <w:bookmarkStart w:id="115" w:name="_Toc463527731"/>
      <w:r w:rsidRPr="00CD6245">
        <w:rPr>
          <w:rFonts w:ascii="Calibri" w:hAnsi="Calibri" w:cs="Calibri"/>
          <w:color w:val="4D4D4D"/>
          <w:kern w:val="28"/>
          <w:sz w:val="30"/>
          <w:szCs w:val="22"/>
          <w:lang w:eastAsia="en-US"/>
        </w:rPr>
        <w:lastRenderedPageBreak/>
        <w:t>Department of Economic Development, Jobs, Transport and Resources</w:t>
      </w:r>
      <w:bookmarkEnd w:id="115"/>
    </w:p>
    <w:tbl>
      <w:tblPr>
        <w:tblStyle w:val="TableGrid"/>
        <w:tblW w:w="8245" w:type="dxa"/>
        <w:tblInd w:w="79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82"/>
        <w:gridCol w:w="6663"/>
      </w:tblGrid>
      <w:tr w:rsidR="00713FF2" w:rsidRPr="00CD6245" w:rsidTr="00870CCC">
        <w:tc>
          <w:tcPr>
            <w:tcW w:w="1582" w:type="dxa"/>
          </w:tcPr>
          <w:p w:rsidR="00713FF2" w:rsidRPr="00CD6245" w:rsidRDefault="00713FF2" w:rsidP="00870CCC">
            <w:pPr>
              <w:keepNext/>
              <w:spacing w:before="40" w:after="40"/>
              <w:rPr>
                <w:rFonts w:ascii="Calibri" w:hAnsi="Calibri" w:cs="Calibri"/>
                <w:b/>
                <w:color w:val="333333"/>
                <w:szCs w:val="20"/>
              </w:rPr>
            </w:pPr>
            <w:r w:rsidRPr="00CD6245">
              <w:rPr>
                <w:rFonts w:ascii="Calibri" w:hAnsi="Calibri" w:cs="Calibri"/>
                <w:b/>
                <w:color w:val="333333"/>
                <w:szCs w:val="20"/>
              </w:rPr>
              <w:t>IPU Chair</w:t>
            </w:r>
          </w:p>
        </w:tc>
        <w:tc>
          <w:tcPr>
            <w:tcW w:w="6663" w:type="dxa"/>
          </w:tcPr>
          <w:p w:rsidR="00713FF2" w:rsidRPr="00CD6245" w:rsidRDefault="00713FF2" w:rsidP="00870CCC">
            <w:pPr>
              <w:spacing w:before="20" w:after="20"/>
              <w:rPr>
                <w:rFonts w:ascii="Calibri" w:hAnsi="Calibri" w:cs="Calibri"/>
                <w:sz w:val="22"/>
                <w:szCs w:val="22"/>
              </w:rPr>
            </w:pPr>
            <w:r w:rsidRPr="00CD6245">
              <w:rPr>
                <w:rFonts w:ascii="Calibri" w:hAnsi="Calibri" w:cs="Calibri"/>
                <w:sz w:val="22"/>
                <w:szCs w:val="22"/>
              </w:rPr>
              <w:t>Sue Eddy, Lead Deputy Secretary, Corporate Services</w:t>
            </w:r>
          </w:p>
        </w:tc>
      </w:tr>
      <w:tr w:rsidR="00713FF2" w:rsidRPr="00CD6245" w:rsidTr="00870CCC">
        <w:tc>
          <w:tcPr>
            <w:tcW w:w="1582" w:type="dxa"/>
          </w:tcPr>
          <w:p w:rsidR="00713FF2" w:rsidRPr="00CD6245" w:rsidRDefault="00713FF2" w:rsidP="00870CCC">
            <w:pPr>
              <w:keepNext/>
              <w:spacing w:before="40" w:after="40"/>
              <w:rPr>
                <w:rFonts w:ascii="Calibri" w:hAnsi="Calibri" w:cs="Calibri"/>
                <w:b/>
                <w:color w:val="333333"/>
                <w:szCs w:val="20"/>
              </w:rPr>
            </w:pPr>
            <w:r w:rsidRPr="00CD6245">
              <w:rPr>
                <w:rFonts w:ascii="Calibri" w:hAnsi="Calibri" w:cs="Calibri"/>
                <w:b/>
                <w:color w:val="333333"/>
                <w:szCs w:val="20"/>
              </w:rPr>
              <w:t>CPO</w:t>
            </w:r>
          </w:p>
        </w:tc>
        <w:tc>
          <w:tcPr>
            <w:tcW w:w="6663" w:type="dxa"/>
          </w:tcPr>
          <w:p w:rsidR="00713FF2" w:rsidRPr="00CD6245" w:rsidRDefault="00713FF2" w:rsidP="00870CCC">
            <w:pPr>
              <w:spacing w:before="20" w:after="20"/>
              <w:rPr>
                <w:rFonts w:ascii="Calibri" w:hAnsi="Calibri" w:cs="Calibri"/>
                <w:sz w:val="22"/>
                <w:szCs w:val="22"/>
              </w:rPr>
            </w:pPr>
            <w:r w:rsidRPr="00CD6245">
              <w:rPr>
                <w:rFonts w:ascii="Calibri" w:hAnsi="Calibri" w:cs="Calibri"/>
                <w:sz w:val="22"/>
                <w:szCs w:val="22"/>
              </w:rPr>
              <w:t>Lisa Williams, Chief Procurement Officer, Corporate Services</w:t>
            </w:r>
          </w:p>
        </w:tc>
      </w:tr>
    </w:tbl>
    <w:p w:rsidR="00713FF2" w:rsidRPr="00CD6245" w:rsidRDefault="00713FF2" w:rsidP="00713FF2">
      <w:pPr>
        <w:keepNext/>
        <w:keepLines/>
        <w:widowControl w:val="0"/>
        <w:spacing w:before="200" w:after="120" w:line="216" w:lineRule="auto"/>
        <w:ind w:left="794"/>
        <w:outlineLvl w:val="2"/>
        <w:rPr>
          <w:rFonts w:ascii="Calibri" w:hAnsi="Calibri" w:cs="Calibri"/>
          <w:b/>
          <w:color w:val="4D4D4D"/>
          <w:kern w:val="28"/>
          <w:sz w:val="26"/>
          <w:szCs w:val="22"/>
          <w:lang w:eastAsia="en-US"/>
        </w:rPr>
      </w:pPr>
      <w:r w:rsidRPr="00CD6245">
        <w:rPr>
          <w:rFonts w:ascii="Calibri" w:hAnsi="Calibri" w:cs="Calibri"/>
          <w:b/>
          <w:color w:val="4D4D4D"/>
          <w:kern w:val="28"/>
          <w:sz w:val="26"/>
          <w:szCs w:val="22"/>
          <w:lang w:eastAsia="en-US"/>
        </w:rPr>
        <w:t>Procurement profile</w:t>
      </w:r>
    </w:p>
    <w:p w:rsidR="005905CD" w:rsidRPr="00CD6245" w:rsidRDefault="00CB172D" w:rsidP="00CB172D">
      <w:pPr>
        <w:spacing w:before="100" w:after="100"/>
        <w:ind w:left="794"/>
        <w:rPr>
          <w:rFonts w:ascii="Calibri" w:hAnsi="Calibri" w:cs="Calibri"/>
          <w:sz w:val="22"/>
          <w:szCs w:val="22"/>
          <w:lang w:eastAsia="en-US"/>
        </w:rPr>
      </w:pPr>
      <w:r w:rsidRPr="00CD6245">
        <w:rPr>
          <w:rFonts w:ascii="Calibri" w:hAnsi="Calibri" w:cs="Calibri"/>
          <w:sz w:val="22"/>
          <w:szCs w:val="22"/>
          <w:lang w:eastAsia="en-US"/>
        </w:rPr>
        <w:t xml:space="preserve">The </w:t>
      </w:r>
      <w:r w:rsidR="005905CD" w:rsidRPr="00CD6245">
        <w:rPr>
          <w:rFonts w:ascii="Calibri" w:hAnsi="Calibri" w:cs="Calibri"/>
          <w:sz w:val="22"/>
          <w:szCs w:val="22"/>
          <w:lang w:eastAsia="en-US"/>
        </w:rPr>
        <w:t xml:space="preserve">role of the </w:t>
      </w:r>
      <w:r w:rsidRPr="00CD6245">
        <w:rPr>
          <w:rFonts w:ascii="Calibri" w:hAnsi="Calibri" w:cs="Calibri"/>
          <w:sz w:val="22"/>
          <w:szCs w:val="22"/>
          <w:lang w:eastAsia="en-US"/>
        </w:rPr>
        <w:t xml:space="preserve">Department of Economic Development, Jobs, Transport and Resources (DEDJTR) </w:t>
      </w:r>
      <w:r w:rsidR="005905CD" w:rsidRPr="00CD6245">
        <w:rPr>
          <w:rFonts w:ascii="Calibri" w:hAnsi="Calibri" w:cs="Calibri"/>
          <w:sz w:val="22"/>
          <w:szCs w:val="22"/>
          <w:lang w:eastAsia="en-US"/>
        </w:rPr>
        <w:t xml:space="preserve">is to increase jobs, investment, exports and opportunities; stimulate innovation, </w:t>
      </w:r>
      <w:r w:rsidR="00357C5A" w:rsidRPr="00CD6245">
        <w:rPr>
          <w:rFonts w:ascii="Calibri" w:hAnsi="Calibri" w:cs="Calibri"/>
          <w:sz w:val="22"/>
          <w:szCs w:val="22"/>
          <w:lang w:eastAsia="en-US"/>
        </w:rPr>
        <w:t>competitiveness</w:t>
      </w:r>
      <w:r w:rsidR="00357C5A">
        <w:rPr>
          <w:rFonts w:ascii="Calibri" w:hAnsi="Calibri" w:cs="Calibri"/>
          <w:sz w:val="22"/>
          <w:szCs w:val="22"/>
          <w:lang w:eastAsia="en-US"/>
        </w:rPr>
        <w:t>,</w:t>
      </w:r>
      <w:r w:rsidR="00357C5A" w:rsidRPr="00CD6245">
        <w:rPr>
          <w:rFonts w:ascii="Calibri" w:hAnsi="Calibri" w:cs="Calibri"/>
          <w:sz w:val="22"/>
          <w:szCs w:val="22"/>
          <w:lang w:eastAsia="en-US"/>
        </w:rPr>
        <w:t xml:space="preserve"> confidence</w:t>
      </w:r>
      <w:r w:rsidR="003B0515">
        <w:rPr>
          <w:rFonts w:ascii="Calibri" w:hAnsi="Calibri" w:cs="Calibri"/>
          <w:sz w:val="22"/>
          <w:szCs w:val="22"/>
          <w:lang w:eastAsia="en-US"/>
        </w:rPr>
        <w:t>,</w:t>
      </w:r>
      <w:r w:rsidR="005905CD" w:rsidRPr="00CD6245">
        <w:rPr>
          <w:rFonts w:ascii="Calibri" w:hAnsi="Calibri" w:cs="Calibri"/>
          <w:sz w:val="22"/>
          <w:szCs w:val="22"/>
          <w:lang w:eastAsia="en-US"/>
        </w:rPr>
        <w:t xml:space="preserve"> and support sustainability.</w:t>
      </w:r>
    </w:p>
    <w:p w:rsidR="00CB172D" w:rsidRPr="00CD6245" w:rsidRDefault="005905CD" w:rsidP="00CB172D">
      <w:pPr>
        <w:spacing w:before="100" w:after="100"/>
        <w:ind w:left="794"/>
        <w:rPr>
          <w:rFonts w:ascii="Calibri" w:hAnsi="Calibri" w:cs="Calibri"/>
          <w:sz w:val="22"/>
          <w:szCs w:val="22"/>
          <w:lang w:eastAsia="en-US"/>
        </w:rPr>
      </w:pPr>
      <w:r w:rsidRPr="00CD6245">
        <w:rPr>
          <w:rFonts w:ascii="Calibri" w:hAnsi="Calibri" w:cs="Calibri"/>
          <w:sz w:val="22"/>
          <w:szCs w:val="22"/>
          <w:lang w:eastAsia="en-US"/>
        </w:rPr>
        <w:t xml:space="preserve">DEDJTR </w:t>
      </w:r>
      <w:r w:rsidR="00CB172D" w:rsidRPr="00CD6245">
        <w:rPr>
          <w:rFonts w:ascii="Calibri" w:hAnsi="Calibri" w:cs="Calibri"/>
          <w:sz w:val="22"/>
          <w:szCs w:val="22"/>
          <w:lang w:eastAsia="en-US"/>
        </w:rPr>
        <w:t>drives economic development and job creation across Victoria</w:t>
      </w:r>
      <w:r w:rsidRPr="00CD6245">
        <w:rPr>
          <w:rFonts w:ascii="Calibri" w:hAnsi="Calibri" w:cs="Calibri"/>
          <w:sz w:val="22"/>
          <w:szCs w:val="22"/>
          <w:lang w:eastAsia="en-US"/>
        </w:rPr>
        <w:t xml:space="preserve"> through areas such as</w:t>
      </w:r>
      <w:r w:rsidR="00CB172D" w:rsidRPr="00CD6245">
        <w:rPr>
          <w:rFonts w:ascii="Calibri" w:hAnsi="Calibri" w:cs="Calibri"/>
          <w:sz w:val="22"/>
          <w:szCs w:val="22"/>
          <w:lang w:eastAsia="en-US"/>
        </w:rPr>
        <w:t xml:space="preserve"> transport and ports, investment attraction and facilitation, trade, innovation, regional development and small business, together with key services to sectors such as agriculture, </w:t>
      </w:r>
      <w:r w:rsidRPr="00CD6245">
        <w:rPr>
          <w:rFonts w:ascii="Calibri" w:hAnsi="Calibri" w:cs="Calibri"/>
          <w:sz w:val="22"/>
          <w:szCs w:val="22"/>
          <w:lang w:eastAsia="en-US"/>
        </w:rPr>
        <w:t xml:space="preserve">the </w:t>
      </w:r>
      <w:r w:rsidR="00CB172D" w:rsidRPr="00CD6245">
        <w:rPr>
          <w:rFonts w:ascii="Calibri" w:hAnsi="Calibri" w:cs="Calibri"/>
          <w:sz w:val="22"/>
          <w:szCs w:val="22"/>
          <w:lang w:eastAsia="en-US"/>
        </w:rPr>
        <w:t>creative industries, resources and tourism.</w:t>
      </w:r>
    </w:p>
    <w:p w:rsidR="005905CD" w:rsidRPr="00CD6245" w:rsidRDefault="005905CD" w:rsidP="005905CD">
      <w:pPr>
        <w:spacing w:before="100" w:after="100"/>
        <w:ind w:left="794"/>
        <w:rPr>
          <w:rFonts w:ascii="Calibri" w:hAnsi="Calibri" w:cs="Calibri"/>
          <w:sz w:val="22"/>
          <w:szCs w:val="22"/>
          <w:lang w:eastAsia="en-US"/>
        </w:rPr>
      </w:pPr>
      <w:r w:rsidRPr="00CD6245">
        <w:rPr>
          <w:rFonts w:ascii="Calibri" w:hAnsi="Calibri" w:cs="Calibri"/>
          <w:sz w:val="22"/>
          <w:szCs w:val="22"/>
          <w:lang w:eastAsia="en-US"/>
        </w:rPr>
        <w:t xml:space="preserve">DEDJTR has </w:t>
      </w:r>
      <w:r w:rsidR="00357C5A">
        <w:rPr>
          <w:rFonts w:ascii="Calibri" w:hAnsi="Calibri" w:cs="Calibri"/>
          <w:sz w:val="22"/>
          <w:szCs w:val="22"/>
          <w:lang w:eastAsia="en-US"/>
        </w:rPr>
        <w:t>nine</w:t>
      </w:r>
      <w:r w:rsidRPr="00CD6245">
        <w:rPr>
          <w:rFonts w:ascii="Calibri" w:hAnsi="Calibri" w:cs="Calibri"/>
          <w:sz w:val="22"/>
          <w:szCs w:val="22"/>
          <w:lang w:eastAsia="en-US"/>
        </w:rPr>
        <w:t xml:space="preserve"> ministers across 13 portfolios: Public Transport; Major Projects; Employment; Agriculture; Regional Development; Industry; Resources; Roads and Road Safety; Ports; Tourism and Major Events; Creative Industries; Small Business, Innovation and Trade; Industrial Relations; and Training and Skills (international education). </w:t>
      </w:r>
    </w:p>
    <w:p w:rsidR="005905CD" w:rsidRPr="00CD6245" w:rsidRDefault="005905CD" w:rsidP="00CB172D">
      <w:pPr>
        <w:spacing w:before="100" w:after="100"/>
        <w:ind w:left="794"/>
        <w:rPr>
          <w:rFonts w:ascii="Calibri" w:hAnsi="Calibri" w:cs="Calibri"/>
          <w:sz w:val="22"/>
          <w:szCs w:val="22"/>
          <w:lang w:eastAsia="en-US"/>
        </w:rPr>
      </w:pPr>
      <w:r w:rsidRPr="00CD6245">
        <w:rPr>
          <w:rFonts w:ascii="Calibri" w:hAnsi="Calibri" w:cs="Calibri"/>
          <w:sz w:val="22"/>
          <w:szCs w:val="22"/>
          <w:lang w:eastAsia="en-US"/>
        </w:rPr>
        <w:t>The Procurement Governance and Support Division</w:t>
      </w:r>
      <w:r w:rsidR="00CB172D" w:rsidRPr="00CD6245">
        <w:rPr>
          <w:rFonts w:ascii="Calibri" w:hAnsi="Calibri" w:cs="Calibri"/>
          <w:sz w:val="22"/>
          <w:szCs w:val="22"/>
          <w:lang w:eastAsia="en-US"/>
        </w:rPr>
        <w:t xml:space="preserve"> is a centre-led model with responsibility for supporting the effective procurement of goods and services across </w:t>
      </w:r>
      <w:r w:rsidR="00357C5A">
        <w:rPr>
          <w:rFonts w:ascii="Calibri" w:hAnsi="Calibri" w:cs="Calibri"/>
          <w:sz w:val="22"/>
          <w:szCs w:val="22"/>
          <w:lang w:eastAsia="en-US"/>
        </w:rPr>
        <w:t>the department</w:t>
      </w:r>
      <w:r w:rsidR="00CB172D" w:rsidRPr="00CD6245">
        <w:rPr>
          <w:rFonts w:ascii="Calibri" w:hAnsi="Calibri" w:cs="Calibri"/>
          <w:sz w:val="22"/>
          <w:szCs w:val="22"/>
          <w:lang w:eastAsia="en-US"/>
        </w:rPr>
        <w:t xml:space="preserve">. </w:t>
      </w:r>
    </w:p>
    <w:p w:rsidR="005905CD" w:rsidRPr="00CD6245" w:rsidRDefault="005905CD" w:rsidP="005905CD">
      <w:pPr>
        <w:spacing w:before="100" w:after="100"/>
        <w:ind w:left="794"/>
        <w:rPr>
          <w:rFonts w:ascii="Calibri" w:hAnsi="Calibri" w:cs="Calibri"/>
          <w:sz w:val="22"/>
          <w:szCs w:val="22"/>
          <w:lang w:eastAsia="en-US"/>
        </w:rPr>
      </w:pPr>
      <w:r w:rsidRPr="00CD6245">
        <w:rPr>
          <w:rFonts w:ascii="Calibri" w:hAnsi="Calibri" w:cs="Calibri"/>
          <w:sz w:val="22"/>
          <w:szCs w:val="22"/>
          <w:lang w:eastAsia="en-US"/>
        </w:rPr>
        <w:t xml:space="preserve">The division provides governance, advisory, strategic procurement, plus contract management system (CMS) administration. At any one time, the team will deal with on average 60 contracts, 15 of which typically would be strategic, 20 leveraged, 15 focused and 10 transactional. </w:t>
      </w:r>
    </w:p>
    <w:p w:rsidR="005905CD" w:rsidRPr="00CD6245" w:rsidRDefault="005905CD" w:rsidP="005905CD">
      <w:pPr>
        <w:spacing w:before="100" w:after="100"/>
        <w:ind w:left="794"/>
        <w:rPr>
          <w:rFonts w:ascii="Calibri" w:hAnsi="Calibri" w:cs="Calibri"/>
          <w:sz w:val="22"/>
          <w:szCs w:val="22"/>
          <w:lang w:eastAsia="en-US"/>
        </w:rPr>
      </w:pPr>
      <w:r w:rsidRPr="00CD6245">
        <w:rPr>
          <w:rFonts w:ascii="Calibri" w:hAnsi="Calibri" w:cs="Calibri"/>
          <w:sz w:val="22"/>
          <w:szCs w:val="22"/>
          <w:lang w:eastAsia="en-US"/>
        </w:rPr>
        <w:t xml:space="preserve">As </w:t>
      </w:r>
      <w:r w:rsidR="00E00BDF" w:rsidRPr="00CD6245">
        <w:rPr>
          <w:rFonts w:ascii="Calibri" w:hAnsi="Calibri" w:cs="Calibri"/>
          <w:sz w:val="22"/>
          <w:szCs w:val="22"/>
          <w:lang w:eastAsia="en-US"/>
        </w:rPr>
        <w:t>of</w:t>
      </w:r>
      <w:r w:rsidRPr="00CD6245">
        <w:rPr>
          <w:rFonts w:ascii="Calibri" w:hAnsi="Calibri" w:cs="Calibri"/>
          <w:sz w:val="22"/>
          <w:szCs w:val="22"/>
          <w:lang w:eastAsia="en-US"/>
        </w:rPr>
        <w:t xml:space="preserve"> June 2016, the division consisted of 14 resources, led by the CPO. </w:t>
      </w:r>
    </w:p>
    <w:p w:rsidR="00713FF2" w:rsidRPr="00CD6245" w:rsidRDefault="00713FF2" w:rsidP="00713FF2">
      <w:pPr>
        <w:keepNext/>
        <w:keepLines/>
        <w:widowControl w:val="0"/>
        <w:spacing w:before="200" w:after="120" w:line="216" w:lineRule="auto"/>
        <w:ind w:left="794"/>
        <w:outlineLvl w:val="2"/>
        <w:rPr>
          <w:rFonts w:ascii="Calibri" w:hAnsi="Calibri" w:cs="Calibri"/>
          <w:b/>
          <w:color w:val="4D4D4D"/>
          <w:kern w:val="28"/>
          <w:sz w:val="26"/>
          <w:szCs w:val="22"/>
          <w:lang w:eastAsia="en-US"/>
        </w:rPr>
      </w:pPr>
      <w:r w:rsidRPr="00CD6245">
        <w:rPr>
          <w:rFonts w:ascii="Calibri" w:hAnsi="Calibri" w:cs="Calibri"/>
          <w:b/>
          <w:color w:val="4D4D4D"/>
          <w:kern w:val="28"/>
          <w:sz w:val="26"/>
          <w:szCs w:val="22"/>
          <w:lang w:eastAsia="en-US"/>
        </w:rPr>
        <w:t>Procurement activities in 2015–16</w:t>
      </w:r>
    </w:p>
    <w:p w:rsidR="00713FF2" w:rsidRPr="00CD6245" w:rsidRDefault="00713FF2" w:rsidP="00713FF2">
      <w:pPr>
        <w:spacing w:before="100" w:after="100"/>
        <w:ind w:left="794"/>
        <w:rPr>
          <w:rFonts w:ascii="Calibri" w:hAnsi="Calibri" w:cs="Calibri"/>
          <w:sz w:val="22"/>
          <w:szCs w:val="22"/>
          <w:lang w:eastAsia="en-US"/>
        </w:rPr>
      </w:pPr>
      <w:r w:rsidRPr="00CD6245">
        <w:rPr>
          <w:rFonts w:ascii="Calibri" w:hAnsi="Calibri" w:cs="Calibri"/>
          <w:sz w:val="22"/>
          <w:szCs w:val="22"/>
          <w:lang w:eastAsia="en-US"/>
        </w:rPr>
        <w:t>Following its transition to the new supply policies in January 2015</w:t>
      </w:r>
      <w:r w:rsidR="00AB6DD0">
        <w:rPr>
          <w:rFonts w:ascii="Calibri" w:hAnsi="Calibri" w:cs="Calibri"/>
          <w:sz w:val="22"/>
          <w:szCs w:val="22"/>
          <w:lang w:eastAsia="en-US"/>
        </w:rPr>
        <w:t>,</w:t>
      </w:r>
      <w:r w:rsidRPr="00CD6245">
        <w:rPr>
          <w:rFonts w:ascii="Calibri" w:hAnsi="Calibri" w:cs="Calibri"/>
          <w:sz w:val="22"/>
          <w:szCs w:val="22"/>
          <w:lang w:eastAsia="en-US"/>
        </w:rPr>
        <w:t xml:space="preserve">DEDJTR continued to work on activities related to embedding the reform and consolidating systems from </w:t>
      </w:r>
      <w:r w:rsidR="00AB6DD0">
        <w:rPr>
          <w:rFonts w:ascii="Calibri" w:hAnsi="Calibri" w:cs="Calibri"/>
          <w:sz w:val="22"/>
          <w:szCs w:val="22"/>
          <w:lang w:eastAsia="en-US"/>
        </w:rPr>
        <w:t xml:space="preserve">former </w:t>
      </w:r>
      <w:r w:rsidRPr="00CD6245">
        <w:rPr>
          <w:rFonts w:ascii="Calibri" w:hAnsi="Calibri" w:cs="Calibri"/>
          <w:sz w:val="22"/>
          <w:szCs w:val="22"/>
          <w:lang w:eastAsia="en-US"/>
        </w:rPr>
        <w:t>departments.</w:t>
      </w:r>
    </w:p>
    <w:p w:rsidR="00713FF2" w:rsidRPr="00CD6245" w:rsidRDefault="00713FF2" w:rsidP="00713FF2">
      <w:pPr>
        <w:spacing w:before="100" w:after="100"/>
        <w:ind w:left="794"/>
        <w:rPr>
          <w:rFonts w:ascii="Calibri" w:hAnsi="Calibri" w:cs="Calibri"/>
          <w:sz w:val="22"/>
          <w:szCs w:val="22"/>
          <w:lang w:eastAsia="en-US"/>
        </w:rPr>
      </w:pPr>
      <w:r w:rsidRPr="00CD6245">
        <w:rPr>
          <w:rFonts w:ascii="Calibri" w:hAnsi="Calibri" w:cs="Calibri"/>
          <w:sz w:val="22"/>
          <w:szCs w:val="22"/>
          <w:lang w:eastAsia="en-US"/>
        </w:rPr>
        <w:t>In 201</w:t>
      </w:r>
      <w:r w:rsidR="005905CD" w:rsidRPr="00CD6245">
        <w:rPr>
          <w:rFonts w:ascii="Calibri" w:hAnsi="Calibri" w:cs="Calibri"/>
          <w:sz w:val="22"/>
          <w:szCs w:val="22"/>
          <w:lang w:eastAsia="en-US"/>
        </w:rPr>
        <w:t>5–16</w:t>
      </w:r>
      <w:r w:rsidR="00101420" w:rsidRPr="00CD6245">
        <w:rPr>
          <w:rFonts w:ascii="Calibri" w:hAnsi="Calibri" w:cs="Calibri"/>
          <w:sz w:val="22"/>
          <w:szCs w:val="22"/>
          <w:lang w:eastAsia="en-US"/>
        </w:rPr>
        <w:t>,</w:t>
      </w:r>
      <w:r w:rsidRPr="00CD6245">
        <w:rPr>
          <w:rFonts w:ascii="Calibri" w:hAnsi="Calibri" w:cs="Calibri"/>
          <w:sz w:val="22"/>
          <w:szCs w:val="22"/>
          <w:lang w:eastAsia="en-US"/>
        </w:rPr>
        <w:t xml:space="preserve"> DEDJTR implemented the new procurement framework, developing a suite of departmental procurement policies, procedures, tool and templates and rolling out an extensive two-month procurement training program.</w:t>
      </w:r>
      <w:r w:rsidRPr="00CD6245">
        <w:rPr>
          <w:rFonts w:ascii="Calibri" w:hAnsi="Calibri" w:cs="Calibri"/>
          <w:bCs/>
          <w:sz w:val="22"/>
          <w:szCs w:val="22"/>
          <w:lang w:eastAsia="en-US"/>
        </w:rPr>
        <w:t xml:space="preserve"> Training ran from May to June </w:t>
      </w:r>
      <w:r w:rsidR="005905CD" w:rsidRPr="00CD6245">
        <w:rPr>
          <w:rFonts w:ascii="Calibri" w:hAnsi="Calibri" w:cs="Calibri"/>
          <w:bCs/>
          <w:sz w:val="22"/>
          <w:szCs w:val="22"/>
          <w:lang w:eastAsia="en-US"/>
        </w:rPr>
        <w:t xml:space="preserve">across </w:t>
      </w:r>
      <w:r w:rsidRPr="00CD6245">
        <w:rPr>
          <w:rFonts w:ascii="Calibri" w:hAnsi="Calibri" w:cs="Calibri"/>
          <w:bCs/>
          <w:sz w:val="22"/>
          <w:szCs w:val="22"/>
          <w:lang w:eastAsia="en-US"/>
        </w:rPr>
        <w:t>nine regional locations, four Melbourne metropolitan locations</w:t>
      </w:r>
      <w:r w:rsidR="005905CD" w:rsidRPr="00CD6245">
        <w:rPr>
          <w:rFonts w:ascii="Calibri" w:hAnsi="Calibri" w:cs="Calibri"/>
          <w:bCs/>
          <w:sz w:val="22"/>
          <w:szCs w:val="22"/>
          <w:lang w:eastAsia="en-US"/>
        </w:rPr>
        <w:t>, plus</w:t>
      </w:r>
      <w:r w:rsidRPr="00CD6245">
        <w:rPr>
          <w:rFonts w:ascii="Calibri" w:hAnsi="Calibri" w:cs="Calibri"/>
          <w:bCs/>
          <w:sz w:val="22"/>
          <w:szCs w:val="22"/>
          <w:lang w:eastAsia="en-US"/>
        </w:rPr>
        <w:t xml:space="preserve"> three webinar sessions.</w:t>
      </w:r>
    </w:p>
    <w:p w:rsidR="00713FF2" w:rsidRPr="00CD6245" w:rsidRDefault="00713FF2" w:rsidP="00713FF2">
      <w:pPr>
        <w:spacing w:before="100" w:after="100"/>
        <w:ind w:left="794"/>
        <w:rPr>
          <w:rFonts w:ascii="Calibri" w:hAnsi="Calibri" w:cs="Calibri"/>
          <w:sz w:val="22"/>
          <w:szCs w:val="22"/>
          <w:lang w:eastAsia="en-US"/>
        </w:rPr>
      </w:pPr>
      <w:r w:rsidRPr="00CD6245">
        <w:rPr>
          <w:rFonts w:ascii="Calibri" w:hAnsi="Calibri" w:cs="Calibri"/>
          <w:sz w:val="22"/>
          <w:szCs w:val="22"/>
          <w:lang w:eastAsia="en-US"/>
        </w:rPr>
        <w:t xml:space="preserve">The department </w:t>
      </w:r>
      <w:r w:rsidR="005905CD" w:rsidRPr="00CD6245">
        <w:rPr>
          <w:rFonts w:ascii="Calibri" w:hAnsi="Calibri" w:cs="Calibri"/>
          <w:sz w:val="22"/>
          <w:szCs w:val="22"/>
          <w:lang w:eastAsia="en-US"/>
        </w:rPr>
        <w:t xml:space="preserve">also began </w:t>
      </w:r>
      <w:r w:rsidRPr="00CD6245">
        <w:rPr>
          <w:rFonts w:ascii="Calibri" w:hAnsi="Calibri" w:cs="Calibri"/>
          <w:sz w:val="22"/>
          <w:szCs w:val="22"/>
          <w:lang w:eastAsia="en-US"/>
        </w:rPr>
        <w:t xml:space="preserve">working on a system integration program to consolidate procurement-related systems and databases. </w:t>
      </w:r>
      <w:r w:rsidR="00AB6DD0">
        <w:rPr>
          <w:rFonts w:ascii="Calibri" w:hAnsi="Calibri" w:cs="Calibri"/>
          <w:sz w:val="22"/>
          <w:szCs w:val="22"/>
          <w:lang w:eastAsia="en-US"/>
        </w:rPr>
        <w:t>Implementation</w:t>
      </w:r>
      <w:r w:rsidR="00AB6DD0" w:rsidRPr="00CD6245">
        <w:rPr>
          <w:rFonts w:ascii="Calibri" w:hAnsi="Calibri" w:cs="Calibri"/>
          <w:sz w:val="22"/>
          <w:szCs w:val="22"/>
          <w:lang w:eastAsia="en-US"/>
        </w:rPr>
        <w:t xml:space="preserve"> </w:t>
      </w:r>
      <w:r w:rsidRPr="00CD6245">
        <w:rPr>
          <w:rFonts w:ascii="Calibri" w:hAnsi="Calibri" w:cs="Calibri"/>
          <w:sz w:val="22"/>
          <w:szCs w:val="22"/>
          <w:lang w:eastAsia="en-US"/>
        </w:rPr>
        <w:t>will continue in 2016–17</w:t>
      </w:r>
      <w:r w:rsidR="005905CD" w:rsidRPr="00CD6245">
        <w:rPr>
          <w:rFonts w:ascii="Calibri" w:hAnsi="Calibri" w:cs="Calibri"/>
          <w:sz w:val="22"/>
          <w:szCs w:val="22"/>
          <w:lang w:eastAsia="en-US"/>
        </w:rPr>
        <w:t>,</w:t>
      </w:r>
      <w:r w:rsidRPr="00CD6245">
        <w:rPr>
          <w:rFonts w:ascii="Calibri" w:hAnsi="Calibri" w:cs="Calibri"/>
          <w:sz w:val="22"/>
          <w:szCs w:val="22"/>
          <w:lang w:eastAsia="en-US"/>
        </w:rPr>
        <w:t xml:space="preserve"> with the first phase due for completion by the end of 2016.</w:t>
      </w:r>
    </w:p>
    <w:p w:rsidR="005905CD" w:rsidRPr="00CD6245" w:rsidRDefault="005905CD" w:rsidP="005905CD">
      <w:pPr>
        <w:spacing w:before="100" w:after="100"/>
        <w:ind w:left="794"/>
        <w:rPr>
          <w:rFonts w:ascii="Calibri" w:hAnsi="Calibri" w:cs="Calibri"/>
          <w:sz w:val="22"/>
          <w:szCs w:val="22"/>
          <w:lang w:eastAsia="en-US"/>
        </w:rPr>
      </w:pPr>
      <w:r w:rsidRPr="00CD6245">
        <w:rPr>
          <w:rFonts w:ascii="Calibri" w:hAnsi="Calibri" w:cs="Calibri"/>
          <w:sz w:val="22"/>
          <w:szCs w:val="22"/>
          <w:lang w:eastAsia="en-US"/>
        </w:rPr>
        <w:t xml:space="preserve">DEDJTR is investigating </w:t>
      </w:r>
      <w:r w:rsidR="00AB6DD0">
        <w:rPr>
          <w:rFonts w:ascii="Calibri" w:hAnsi="Calibri" w:cs="Calibri"/>
          <w:sz w:val="22"/>
          <w:szCs w:val="22"/>
          <w:lang w:eastAsia="en-US"/>
        </w:rPr>
        <w:t xml:space="preserve">long term </w:t>
      </w:r>
      <w:r w:rsidRPr="00CD6245">
        <w:rPr>
          <w:rFonts w:ascii="Calibri" w:hAnsi="Calibri" w:cs="Calibri"/>
          <w:sz w:val="22"/>
          <w:szCs w:val="22"/>
          <w:lang w:eastAsia="en-US"/>
        </w:rPr>
        <w:t>options for a new enterprise resource planning platform</w:t>
      </w:r>
      <w:r w:rsidR="00B233EF">
        <w:rPr>
          <w:rFonts w:ascii="Calibri" w:hAnsi="Calibri" w:cs="Calibri"/>
          <w:sz w:val="22"/>
          <w:szCs w:val="22"/>
          <w:lang w:eastAsia="en-US"/>
        </w:rPr>
        <w:t>. The platform</w:t>
      </w:r>
      <w:r w:rsidRPr="00CD6245">
        <w:rPr>
          <w:rFonts w:ascii="Calibri" w:hAnsi="Calibri" w:cs="Calibri"/>
          <w:sz w:val="22"/>
          <w:szCs w:val="22"/>
          <w:lang w:eastAsia="en-US"/>
        </w:rPr>
        <w:t xml:space="preserve"> will incorporate procurement functionality, including data analytics, contract reporting and workflow management.</w:t>
      </w:r>
    </w:p>
    <w:p w:rsidR="005905CD" w:rsidRPr="00CD6245" w:rsidRDefault="005905CD" w:rsidP="005905CD">
      <w:pPr>
        <w:spacing w:before="100" w:after="100"/>
        <w:ind w:left="794"/>
        <w:rPr>
          <w:rFonts w:ascii="Calibri" w:hAnsi="Calibri" w:cs="Calibri"/>
          <w:sz w:val="22"/>
          <w:szCs w:val="22"/>
          <w:lang w:eastAsia="en-US"/>
        </w:rPr>
      </w:pPr>
      <w:r w:rsidRPr="00CD6245">
        <w:rPr>
          <w:rFonts w:ascii="Calibri" w:hAnsi="Calibri" w:cs="Calibri"/>
          <w:sz w:val="22"/>
          <w:szCs w:val="22"/>
          <w:lang w:eastAsia="en-US"/>
        </w:rPr>
        <w:t>Following the creation and publication of a forward procurement activity plan, t</w:t>
      </w:r>
      <w:r w:rsidRPr="00CD6245">
        <w:rPr>
          <w:rFonts w:ascii="Calibri" w:hAnsi="Calibri" w:cs="Calibri"/>
          <w:bCs/>
          <w:sz w:val="22"/>
          <w:szCs w:val="22"/>
          <w:lang w:eastAsia="en-US"/>
        </w:rPr>
        <w:t xml:space="preserve">he DEDJTR </w:t>
      </w:r>
      <w:r w:rsidR="00B233EF">
        <w:rPr>
          <w:rFonts w:ascii="Calibri" w:hAnsi="Calibri" w:cs="Calibri"/>
          <w:bCs/>
          <w:sz w:val="22"/>
          <w:szCs w:val="22"/>
          <w:lang w:eastAsia="en-US"/>
        </w:rPr>
        <w:t>p</w:t>
      </w:r>
      <w:r w:rsidRPr="00CD6245">
        <w:rPr>
          <w:rFonts w:ascii="Calibri" w:hAnsi="Calibri" w:cs="Calibri"/>
          <w:bCs/>
          <w:sz w:val="22"/>
          <w:szCs w:val="22"/>
          <w:lang w:eastAsia="en-US"/>
        </w:rPr>
        <w:t>rocurement team now has greater alignment with the needs of stakeholders, and better supports the profile of the department.</w:t>
      </w:r>
    </w:p>
    <w:p w:rsidR="00713FF2" w:rsidRPr="00CD6245" w:rsidRDefault="00713FF2" w:rsidP="00713FF2">
      <w:pPr>
        <w:keepNext/>
        <w:keepLines/>
        <w:widowControl w:val="0"/>
        <w:spacing w:before="200" w:after="120" w:line="216" w:lineRule="auto"/>
        <w:ind w:left="794"/>
        <w:outlineLvl w:val="2"/>
        <w:rPr>
          <w:rFonts w:ascii="Calibri" w:hAnsi="Calibri" w:cs="Calibri"/>
          <w:b/>
          <w:color w:val="4D4D4D"/>
          <w:kern w:val="28"/>
          <w:sz w:val="26"/>
          <w:szCs w:val="22"/>
          <w:lang w:eastAsia="en-US"/>
        </w:rPr>
      </w:pPr>
      <w:r w:rsidRPr="00CD6245">
        <w:rPr>
          <w:rFonts w:ascii="Calibri" w:hAnsi="Calibri" w:cs="Calibri"/>
          <w:b/>
          <w:color w:val="4D4D4D"/>
          <w:kern w:val="28"/>
          <w:sz w:val="26"/>
          <w:szCs w:val="22"/>
          <w:lang w:eastAsia="en-US"/>
        </w:rPr>
        <w:t>Performance in 2015–16</w:t>
      </w:r>
    </w:p>
    <w:p w:rsidR="00713FF2" w:rsidRPr="00CD6245" w:rsidRDefault="00AC517C" w:rsidP="00713FF2">
      <w:pPr>
        <w:spacing w:before="100" w:after="100"/>
        <w:ind w:left="794"/>
        <w:rPr>
          <w:rFonts w:ascii="Calibri" w:hAnsi="Calibri" w:cs="Calibri"/>
          <w:sz w:val="22"/>
          <w:szCs w:val="22"/>
          <w:lang w:eastAsia="en-US"/>
        </w:rPr>
      </w:pPr>
      <w:r>
        <w:fldChar w:fldCharType="begin"/>
      </w:r>
      <w:r>
        <w:instrText xml:space="preserve"> REF _Ref457241496 \h  \* MERGEFORMAT </w:instrText>
      </w:r>
      <w:r>
        <w:fldChar w:fldCharType="separate"/>
      </w:r>
      <w:r w:rsidR="002E75B9" w:rsidRPr="002E75B9">
        <w:rPr>
          <w:rFonts w:ascii="Calibri" w:hAnsi="Calibri" w:cs="Calibri"/>
          <w:sz w:val="22"/>
          <w:szCs w:val="22"/>
        </w:rPr>
        <w:t xml:space="preserve">Table </w:t>
      </w:r>
      <w:r w:rsidR="002E75B9" w:rsidRPr="002E75B9">
        <w:rPr>
          <w:rFonts w:ascii="Calibri" w:hAnsi="Calibri" w:cs="Calibri"/>
          <w:noProof/>
          <w:sz w:val="22"/>
          <w:szCs w:val="22"/>
        </w:rPr>
        <w:t>22</w:t>
      </w:r>
      <w:r>
        <w:fldChar w:fldCharType="end"/>
      </w:r>
      <w:r w:rsidR="00713FF2" w:rsidRPr="00CD6245">
        <w:rPr>
          <w:rFonts w:ascii="Calibri" w:hAnsi="Calibri" w:cs="Calibri"/>
          <w:sz w:val="22"/>
          <w:szCs w:val="22"/>
          <w:lang w:eastAsia="en-US"/>
        </w:rPr>
        <w:t xml:space="preserve"> lists DEDJTR’s </w:t>
      </w:r>
      <w:r w:rsidR="00713FF2" w:rsidRPr="00CD6245">
        <w:rPr>
          <w:rFonts w:ascii="Calibri" w:hAnsi="Calibri" w:cs="Calibri"/>
          <w:sz w:val="22"/>
          <w:szCs w:val="22"/>
        </w:rPr>
        <w:t xml:space="preserve">data for the six performance measures. Data for 2015–16 reflects a ‘best endeavours’ approach given the significant amount of work involved in setting up processes to report against the performance measures. As far as possible, the 2015–16 outcomes will help form the baseline against which </w:t>
      </w:r>
      <w:r w:rsidR="00666B32" w:rsidRPr="00CD6245">
        <w:rPr>
          <w:rFonts w:ascii="Calibri" w:hAnsi="Calibri" w:cs="Calibri"/>
          <w:sz w:val="22"/>
          <w:szCs w:val="22"/>
        </w:rPr>
        <w:t xml:space="preserve">DEDJTR </w:t>
      </w:r>
      <w:r w:rsidR="00713FF2" w:rsidRPr="00CD6245">
        <w:rPr>
          <w:rFonts w:ascii="Calibri" w:hAnsi="Calibri" w:cs="Calibri"/>
          <w:sz w:val="22"/>
          <w:szCs w:val="22"/>
        </w:rPr>
        <w:t>will measure performance in future years.</w:t>
      </w:r>
    </w:p>
    <w:p w:rsidR="00713FF2" w:rsidRDefault="00713FF2" w:rsidP="00BE236C">
      <w:pPr>
        <w:pStyle w:val="Caption"/>
      </w:pPr>
      <w:bookmarkStart w:id="116" w:name="_Ref457241496"/>
      <w:bookmarkStart w:id="117" w:name="_Toc463527857"/>
      <w:r w:rsidRPr="00CD6245">
        <w:lastRenderedPageBreak/>
        <w:t xml:space="preserve">Table </w:t>
      </w:r>
      <w:r w:rsidR="002B07C2" w:rsidRPr="00CD6245">
        <w:fldChar w:fldCharType="begin"/>
      </w:r>
      <w:r w:rsidRPr="00CD6245">
        <w:instrText xml:space="preserve"> SEQ Table \* ARABIC </w:instrText>
      </w:r>
      <w:r w:rsidR="002B07C2" w:rsidRPr="00CD6245">
        <w:fldChar w:fldCharType="separate"/>
      </w:r>
      <w:r w:rsidR="002E75B9">
        <w:rPr>
          <w:noProof/>
        </w:rPr>
        <w:t>22</w:t>
      </w:r>
      <w:r w:rsidR="002B07C2" w:rsidRPr="00CD6245">
        <w:fldChar w:fldCharType="end"/>
      </w:r>
      <w:bookmarkEnd w:id="116"/>
      <w:r w:rsidRPr="00CD6245">
        <w:t>: DEDJTR performance in 2015–16</w:t>
      </w:r>
      <w:bookmarkEnd w:id="117"/>
    </w:p>
    <w:p w:rsidR="00B233EF" w:rsidRPr="00B233EF" w:rsidRDefault="00B233EF" w:rsidP="003B0515">
      <w:pPr>
        <w:ind w:left="630"/>
      </w:pPr>
      <w:r>
        <w:rPr>
          <w:noProof/>
        </w:rPr>
        <w:drawing>
          <wp:inline distT="0" distB="0" distL="0" distR="0" wp14:anchorId="587AB7F0" wp14:editId="76EF63DA">
            <wp:extent cx="5263515" cy="3501390"/>
            <wp:effectExtent l="0" t="0" r="0" b="3810"/>
            <wp:docPr id="44" name="Picture 44" descr="Orange Crush:Users:chrisashe:Desktop:DTF033_VGPB-T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Orange Crush:Users:chrisashe:Desktop:DTF033_VGPB-T22.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263515" cy="3501390"/>
                    </a:xfrm>
                    <a:prstGeom prst="rect">
                      <a:avLst/>
                    </a:prstGeom>
                    <a:noFill/>
                    <a:ln>
                      <a:noFill/>
                    </a:ln>
                  </pic:spPr>
                </pic:pic>
              </a:graphicData>
            </a:graphic>
          </wp:inline>
        </w:drawing>
      </w:r>
    </w:p>
    <w:p w:rsidR="00713FF2" w:rsidRPr="00CD6245" w:rsidRDefault="00713FF2" w:rsidP="00713FF2">
      <w:pPr>
        <w:keepNext/>
        <w:keepLines/>
        <w:widowControl w:val="0"/>
        <w:spacing w:before="200" w:after="120" w:line="216" w:lineRule="auto"/>
        <w:ind w:left="794"/>
        <w:outlineLvl w:val="2"/>
        <w:rPr>
          <w:rFonts w:ascii="Calibri" w:hAnsi="Calibri" w:cs="Calibri"/>
          <w:b/>
          <w:color w:val="4D4D4D"/>
          <w:kern w:val="28"/>
          <w:sz w:val="26"/>
          <w:szCs w:val="22"/>
          <w:lang w:eastAsia="en-US"/>
        </w:rPr>
      </w:pPr>
      <w:r w:rsidRPr="00CD6245">
        <w:rPr>
          <w:rFonts w:ascii="Calibri" w:hAnsi="Calibri" w:cs="Calibri"/>
          <w:b/>
          <w:color w:val="4D4D4D"/>
          <w:kern w:val="28"/>
          <w:sz w:val="26"/>
          <w:szCs w:val="22"/>
          <w:lang w:eastAsia="en-US"/>
        </w:rPr>
        <w:t>Procurement activities planned for 2016–17</w:t>
      </w:r>
    </w:p>
    <w:p w:rsidR="00713FF2" w:rsidRPr="00CD6245" w:rsidRDefault="00713FF2" w:rsidP="00713FF2">
      <w:pPr>
        <w:spacing w:before="100" w:after="100"/>
        <w:ind w:left="794"/>
        <w:rPr>
          <w:rFonts w:ascii="Calibri" w:hAnsi="Calibri" w:cs="Calibri"/>
          <w:sz w:val="22"/>
          <w:szCs w:val="22"/>
          <w:lang w:eastAsia="en-US"/>
        </w:rPr>
      </w:pPr>
      <w:r w:rsidRPr="00CD6245">
        <w:rPr>
          <w:rFonts w:ascii="Calibri" w:hAnsi="Calibri" w:cs="Calibri"/>
          <w:sz w:val="22"/>
          <w:szCs w:val="22"/>
          <w:lang w:eastAsia="en-US"/>
        </w:rPr>
        <w:t>In 2016–17</w:t>
      </w:r>
      <w:r w:rsidR="003B0515">
        <w:rPr>
          <w:rFonts w:ascii="Calibri" w:hAnsi="Calibri" w:cs="Calibri"/>
          <w:sz w:val="22"/>
          <w:szCs w:val="22"/>
          <w:lang w:eastAsia="en-US"/>
        </w:rPr>
        <w:t>,</w:t>
      </w:r>
      <w:r w:rsidRPr="00CD6245">
        <w:rPr>
          <w:rFonts w:ascii="Calibri" w:hAnsi="Calibri" w:cs="Calibri"/>
          <w:sz w:val="22"/>
          <w:szCs w:val="22"/>
          <w:lang w:eastAsia="en-US"/>
        </w:rPr>
        <w:t xml:space="preserve"> DEDJTR will:</w:t>
      </w:r>
    </w:p>
    <w:p w:rsidR="00713FF2" w:rsidRPr="00CD6245" w:rsidRDefault="00713FF2" w:rsidP="00713FF2">
      <w:pPr>
        <w:numPr>
          <w:ilvl w:val="0"/>
          <w:numId w:val="3"/>
        </w:numPr>
        <w:spacing w:before="80" w:after="80"/>
        <w:rPr>
          <w:rFonts w:ascii="Calibri" w:hAnsi="Calibri" w:cs="Calibri"/>
          <w:sz w:val="22"/>
          <w:szCs w:val="22"/>
          <w:lang w:eastAsia="en-US"/>
        </w:rPr>
      </w:pPr>
      <w:r w:rsidRPr="00CD6245">
        <w:rPr>
          <w:rFonts w:ascii="Calibri" w:hAnsi="Calibri" w:cs="Calibri"/>
          <w:sz w:val="22"/>
          <w:szCs w:val="22"/>
          <w:lang w:eastAsia="en-US"/>
        </w:rPr>
        <w:t>continue the</w:t>
      </w:r>
      <w:r w:rsidR="00E00BDF" w:rsidRPr="00CD6245">
        <w:rPr>
          <w:rFonts w:ascii="Calibri" w:hAnsi="Calibri" w:cs="Calibri"/>
          <w:sz w:val="22"/>
          <w:szCs w:val="22"/>
          <w:lang w:eastAsia="en-US"/>
        </w:rPr>
        <w:t xml:space="preserve"> procurement </w:t>
      </w:r>
      <w:r w:rsidRPr="00CD6245">
        <w:rPr>
          <w:rFonts w:ascii="Calibri" w:hAnsi="Calibri" w:cs="Calibri"/>
          <w:sz w:val="22"/>
          <w:szCs w:val="22"/>
          <w:lang w:eastAsia="en-US"/>
        </w:rPr>
        <w:t>system</w:t>
      </w:r>
      <w:r w:rsidR="00E00BDF" w:rsidRPr="00CD6245">
        <w:rPr>
          <w:rFonts w:ascii="Calibri" w:hAnsi="Calibri" w:cs="Calibri"/>
          <w:sz w:val="22"/>
          <w:szCs w:val="22"/>
          <w:lang w:eastAsia="en-US"/>
        </w:rPr>
        <w:t>s</w:t>
      </w:r>
      <w:r w:rsidRPr="00CD6245">
        <w:rPr>
          <w:rFonts w:ascii="Calibri" w:hAnsi="Calibri" w:cs="Calibri"/>
          <w:sz w:val="22"/>
          <w:szCs w:val="22"/>
          <w:lang w:eastAsia="en-US"/>
        </w:rPr>
        <w:t xml:space="preserve"> project, integrating contract management systems with both Oracle systems;</w:t>
      </w:r>
    </w:p>
    <w:p w:rsidR="00713FF2" w:rsidRPr="00CD6245" w:rsidRDefault="00713FF2" w:rsidP="00713FF2">
      <w:pPr>
        <w:numPr>
          <w:ilvl w:val="0"/>
          <w:numId w:val="3"/>
        </w:numPr>
        <w:spacing w:before="80" w:after="80"/>
        <w:rPr>
          <w:rFonts w:ascii="Calibri" w:hAnsi="Calibri" w:cs="Calibri"/>
          <w:sz w:val="22"/>
          <w:szCs w:val="22"/>
          <w:lang w:eastAsia="en-US"/>
        </w:rPr>
      </w:pPr>
      <w:r w:rsidRPr="00CD6245">
        <w:rPr>
          <w:rFonts w:ascii="Calibri" w:hAnsi="Calibri" w:cs="Calibri"/>
          <w:sz w:val="22"/>
          <w:szCs w:val="22"/>
          <w:lang w:eastAsia="en-US"/>
        </w:rPr>
        <w:t>review spend map and categories</w:t>
      </w:r>
      <w:r w:rsidR="00E00BDF" w:rsidRPr="00CD6245">
        <w:rPr>
          <w:rFonts w:ascii="Calibri" w:hAnsi="Calibri" w:cs="Calibri"/>
          <w:sz w:val="22"/>
          <w:szCs w:val="22"/>
          <w:lang w:eastAsia="en-US"/>
        </w:rPr>
        <w:t xml:space="preserve">, </w:t>
      </w:r>
      <w:r w:rsidRPr="00CD6245">
        <w:rPr>
          <w:rFonts w:ascii="Calibri" w:hAnsi="Calibri" w:cs="Calibri"/>
          <w:sz w:val="22"/>
          <w:szCs w:val="22"/>
          <w:lang w:eastAsia="en-US"/>
        </w:rPr>
        <w:t xml:space="preserve"> based on post</w:t>
      </w:r>
      <w:r w:rsidR="00101420" w:rsidRPr="00CD6245">
        <w:rPr>
          <w:rFonts w:ascii="Calibri" w:hAnsi="Calibri" w:cs="Calibri"/>
          <w:sz w:val="22"/>
          <w:szCs w:val="22"/>
          <w:lang w:eastAsia="en-US"/>
        </w:rPr>
        <w:t xml:space="preserve"> </w:t>
      </w:r>
      <w:r w:rsidRPr="00CD6245">
        <w:rPr>
          <w:rFonts w:ascii="Calibri" w:hAnsi="Calibri" w:cs="Calibri"/>
          <w:sz w:val="22"/>
          <w:szCs w:val="22"/>
          <w:lang w:eastAsia="en-US"/>
        </w:rPr>
        <w:t>systems integration</w:t>
      </w:r>
      <w:r w:rsidR="00E00BDF" w:rsidRPr="00CD6245">
        <w:rPr>
          <w:rFonts w:ascii="Calibri" w:hAnsi="Calibri" w:cs="Calibri"/>
          <w:sz w:val="22"/>
          <w:szCs w:val="22"/>
          <w:lang w:eastAsia="en-US"/>
        </w:rPr>
        <w:t xml:space="preserve"> data</w:t>
      </w:r>
      <w:r w:rsidRPr="00CD6245">
        <w:rPr>
          <w:rFonts w:ascii="Calibri" w:hAnsi="Calibri" w:cs="Calibri"/>
          <w:sz w:val="22"/>
          <w:szCs w:val="22"/>
          <w:lang w:eastAsia="en-US"/>
        </w:rPr>
        <w:t>;</w:t>
      </w:r>
    </w:p>
    <w:p w:rsidR="003B0515" w:rsidRDefault="00E00BDF" w:rsidP="00713FF2">
      <w:pPr>
        <w:numPr>
          <w:ilvl w:val="0"/>
          <w:numId w:val="3"/>
        </w:numPr>
        <w:spacing w:before="80" w:after="80"/>
        <w:rPr>
          <w:rFonts w:ascii="Calibri" w:hAnsi="Calibri" w:cs="Calibri"/>
          <w:sz w:val="22"/>
          <w:szCs w:val="22"/>
          <w:lang w:eastAsia="en-US"/>
        </w:rPr>
      </w:pPr>
      <w:r w:rsidRPr="00CD6245">
        <w:rPr>
          <w:rFonts w:ascii="Calibri" w:hAnsi="Calibri" w:cs="Calibri"/>
          <w:sz w:val="22"/>
          <w:szCs w:val="22"/>
          <w:lang w:eastAsia="en-US"/>
        </w:rPr>
        <w:t>create stakeholder engagement plans (as part of</w:t>
      </w:r>
      <w:r w:rsidR="00713FF2" w:rsidRPr="00CD6245">
        <w:rPr>
          <w:rFonts w:ascii="Calibri" w:hAnsi="Calibri" w:cs="Calibri"/>
          <w:sz w:val="22"/>
          <w:szCs w:val="22"/>
          <w:lang w:eastAsia="en-US"/>
        </w:rPr>
        <w:t xml:space="preserve"> category management </w:t>
      </w:r>
      <w:r w:rsidRPr="00CD6245">
        <w:rPr>
          <w:rFonts w:ascii="Calibri" w:hAnsi="Calibri" w:cs="Calibri"/>
          <w:sz w:val="22"/>
          <w:szCs w:val="22"/>
          <w:lang w:eastAsia="en-US"/>
        </w:rPr>
        <w:t>implementation)</w:t>
      </w:r>
      <w:r w:rsidR="00713FF2" w:rsidRPr="00CD6245">
        <w:rPr>
          <w:rFonts w:ascii="Calibri" w:hAnsi="Calibri" w:cs="Calibri"/>
          <w:sz w:val="22"/>
          <w:szCs w:val="22"/>
          <w:lang w:eastAsia="en-US"/>
        </w:rPr>
        <w:t xml:space="preserve">; </w:t>
      </w:r>
    </w:p>
    <w:p w:rsidR="00713FF2" w:rsidRPr="00AB6DD0" w:rsidRDefault="00713FF2" w:rsidP="00713FF2">
      <w:pPr>
        <w:numPr>
          <w:ilvl w:val="0"/>
          <w:numId w:val="3"/>
        </w:numPr>
        <w:spacing w:before="80" w:after="80"/>
        <w:rPr>
          <w:rFonts w:ascii="Calibri" w:hAnsi="Calibri" w:cs="Calibri"/>
          <w:sz w:val="22"/>
          <w:szCs w:val="22"/>
          <w:lang w:eastAsia="en-US"/>
        </w:rPr>
      </w:pPr>
      <w:r w:rsidRPr="00AB6DD0">
        <w:rPr>
          <w:rFonts w:ascii="Calibri" w:hAnsi="Calibri" w:cs="Calibri"/>
          <w:sz w:val="22"/>
          <w:szCs w:val="22"/>
          <w:lang w:eastAsia="en-US"/>
        </w:rPr>
        <w:t>publish DEDJTR’s procurement forward activity plan on its website</w:t>
      </w:r>
      <w:r w:rsidR="00AB6DD0">
        <w:rPr>
          <w:rFonts w:ascii="Calibri" w:hAnsi="Calibri" w:cs="Calibri"/>
          <w:sz w:val="22"/>
          <w:szCs w:val="22"/>
          <w:lang w:eastAsia="en-US"/>
        </w:rPr>
        <w:t>; and</w:t>
      </w:r>
    </w:p>
    <w:p w:rsidR="00AB6DD0" w:rsidRPr="00AB6DD0" w:rsidRDefault="00AB6DD0" w:rsidP="00713FF2">
      <w:pPr>
        <w:numPr>
          <w:ilvl w:val="0"/>
          <w:numId w:val="3"/>
        </w:numPr>
        <w:spacing w:before="80" w:after="80"/>
        <w:rPr>
          <w:rFonts w:ascii="Calibri" w:hAnsi="Calibri" w:cs="Calibri"/>
          <w:sz w:val="22"/>
          <w:szCs w:val="22"/>
          <w:lang w:eastAsia="en-US"/>
        </w:rPr>
      </w:pPr>
      <w:r>
        <w:rPr>
          <w:rFonts w:ascii="Calibri" w:hAnsi="Calibri" w:cs="Calibri"/>
          <w:sz w:val="22"/>
          <w:szCs w:val="22"/>
          <w:lang w:eastAsia="en-US"/>
        </w:rPr>
        <w:t>c</w:t>
      </w:r>
      <w:r w:rsidRPr="00AB6DD0">
        <w:rPr>
          <w:rFonts w:ascii="Calibri" w:hAnsi="Calibri" w:cs="Calibri"/>
          <w:sz w:val="22"/>
          <w:szCs w:val="22"/>
          <w:lang w:eastAsia="en-US"/>
        </w:rPr>
        <w:t>ontinue to strengthen</w:t>
      </w:r>
      <w:r w:rsidR="003B0515">
        <w:rPr>
          <w:rFonts w:ascii="Calibri" w:hAnsi="Calibri" w:cs="Calibri"/>
          <w:sz w:val="22"/>
          <w:szCs w:val="22"/>
          <w:lang w:eastAsia="en-US"/>
        </w:rPr>
        <w:t xml:space="preserve">, </w:t>
      </w:r>
      <w:r w:rsidRPr="00AB6DD0">
        <w:rPr>
          <w:rFonts w:ascii="Calibri" w:hAnsi="Calibri" w:cs="Calibri"/>
          <w:sz w:val="22"/>
          <w:szCs w:val="22"/>
          <w:lang w:eastAsia="en-US"/>
        </w:rPr>
        <w:t>expand</w:t>
      </w:r>
      <w:r w:rsidR="003B0515">
        <w:rPr>
          <w:rFonts w:ascii="Calibri" w:hAnsi="Calibri" w:cs="Calibri"/>
          <w:sz w:val="22"/>
          <w:szCs w:val="22"/>
          <w:lang w:eastAsia="en-US"/>
        </w:rPr>
        <w:t xml:space="preserve"> and </w:t>
      </w:r>
      <w:r w:rsidRPr="00AB6DD0">
        <w:rPr>
          <w:rFonts w:ascii="Calibri" w:hAnsi="Calibri" w:cs="Calibri"/>
          <w:sz w:val="22"/>
          <w:szCs w:val="22"/>
          <w:lang w:eastAsia="en-US"/>
        </w:rPr>
        <w:t>advance procurement capability.</w:t>
      </w:r>
    </w:p>
    <w:p w:rsidR="00713FF2" w:rsidRPr="00AB6DD0" w:rsidRDefault="00713FF2" w:rsidP="00713FF2">
      <w:pPr>
        <w:rPr>
          <w:rFonts w:ascii="Calibri" w:hAnsi="Calibri" w:cs="Calibri"/>
          <w:sz w:val="22"/>
          <w:szCs w:val="22"/>
          <w:lang w:eastAsia="en-US"/>
        </w:rPr>
      </w:pPr>
    </w:p>
    <w:p w:rsidR="00713FF2" w:rsidRPr="00AB6DD0" w:rsidRDefault="00713FF2" w:rsidP="00713FF2">
      <w:pPr>
        <w:pStyle w:val="Normal1"/>
        <w:rPr>
          <w:lang w:eastAsia="en-US"/>
        </w:rPr>
      </w:pPr>
    </w:p>
    <w:p w:rsidR="00713FF2" w:rsidRPr="00AB6DD0" w:rsidRDefault="00713FF2">
      <w:pPr>
        <w:rPr>
          <w:rFonts w:ascii="Calibri" w:hAnsi="Calibri" w:cs="Calibri"/>
          <w:color w:val="4D4D4D"/>
          <w:kern w:val="28"/>
          <w:sz w:val="22"/>
          <w:szCs w:val="22"/>
          <w:lang w:eastAsia="en-US"/>
        </w:rPr>
      </w:pPr>
      <w:r w:rsidRPr="00AB6DD0">
        <w:rPr>
          <w:rFonts w:ascii="Calibri" w:hAnsi="Calibri" w:cs="Calibri"/>
          <w:sz w:val="22"/>
          <w:szCs w:val="22"/>
          <w:lang w:eastAsia="en-US"/>
        </w:rPr>
        <w:br w:type="page"/>
      </w:r>
    </w:p>
    <w:p w:rsidR="00713FF2" w:rsidRPr="00AB6DD0" w:rsidRDefault="00713FF2" w:rsidP="00713FF2">
      <w:pPr>
        <w:keepNext/>
        <w:keepLines/>
        <w:widowControl w:val="0"/>
        <w:spacing w:before="280" w:after="120" w:line="216" w:lineRule="auto"/>
        <w:ind w:left="794"/>
        <w:outlineLvl w:val="1"/>
        <w:rPr>
          <w:rFonts w:ascii="Calibri" w:hAnsi="Calibri" w:cs="Calibri"/>
          <w:color w:val="4D4D4D"/>
          <w:kern w:val="28"/>
          <w:sz w:val="22"/>
          <w:szCs w:val="22"/>
          <w:lang w:eastAsia="en-US"/>
        </w:rPr>
      </w:pPr>
      <w:bookmarkStart w:id="118" w:name="_Toc463527732"/>
      <w:r w:rsidRPr="00AB6DD0">
        <w:rPr>
          <w:rFonts w:ascii="Calibri" w:hAnsi="Calibri" w:cs="Calibri"/>
          <w:color w:val="4D4D4D"/>
          <w:kern w:val="28"/>
          <w:sz w:val="22"/>
          <w:szCs w:val="22"/>
          <w:lang w:eastAsia="en-US"/>
        </w:rPr>
        <w:lastRenderedPageBreak/>
        <w:t>Department of Education and Training</w:t>
      </w:r>
      <w:bookmarkEnd w:id="118"/>
    </w:p>
    <w:tbl>
      <w:tblPr>
        <w:tblStyle w:val="TableGrid"/>
        <w:tblW w:w="8245" w:type="dxa"/>
        <w:tblInd w:w="79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82"/>
        <w:gridCol w:w="6663"/>
      </w:tblGrid>
      <w:tr w:rsidR="00713FF2" w:rsidRPr="00CD6245" w:rsidTr="00870CCC">
        <w:tc>
          <w:tcPr>
            <w:tcW w:w="1582" w:type="dxa"/>
          </w:tcPr>
          <w:p w:rsidR="00713FF2" w:rsidRPr="00AB6DD0" w:rsidRDefault="00713FF2" w:rsidP="00870CCC">
            <w:pPr>
              <w:keepNext/>
              <w:spacing w:before="40" w:after="40"/>
              <w:rPr>
                <w:rFonts w:ascii="Calibri" w:hAnsi="Calibri" w:cs="Calibri"/>
                <w:b/>
                <w:color w:val="333333"/>
                <w:sz w:val="22"/>
                <w:szCs w:val="22"/>
                <w:lang w:eastAsia="en-US"/>
              </w:rPr>
            </w:pPr>
            <w:r w:rsidRPr="00AB6DD0">
              <w:rPr>
                <w:rFonts w:ascii="Calibri" w:hAnsi="Calibri" w:cs="Calibri"/>
                <w:b/>
                <w:color w:val="333333"/>
                <w:sz w:val="22"/>
                <w:szCs w:val="22"/>
                <w:lang w:eastAsia="en-US"/>
              </w:rPr>
              <w:t>IPU Chair</w:t>
            </w:r>
          </w:p>
        </w:tc>
        <w:tc>
          <w:tcPr>
            <w:tcW w:w="6663" w:type="dxa"/>
          </w:tcPr>
          <w:p w:rsidR="00713FF2" w:rsidRPr="00CD6245" w:rsidRDefault="00AD4981" w:rsidP="00870CCC">
            <w:pPr>
              <w:spacing w:before="20" w:after="20"/>
              <w:rPr>
                <w:rFonts w:ascii="Calibri" w:hAnsi="Calibri" w:cs="Calibri"/>
                <w:sz w:val="22"/>
                <w:szCs w:val="22"/>
              </w:rPr>
            </w:pPr>
            <w:r>
              <w:rPr>
                <w:rFonts w:ascii="Calibri" w:hAnsi="Calibri" w:cs="Calibri"/>
                <w:sz w:val="22"/>
                <w:szCs w:val="22"/>
                <w:lang w:eastAsia="en-US"/>
              </w:rPr>
              <w:t xml:space="preserve">Kate Rattigan, Deputy Secretary, </w:t>
            </w:r>
            <w:r w:rsidR="00713FF2" w:rsidRPr="00CD6245">
              <w:rPr>
                <w:rFonts w:ascii="Calibri" w:hAnsi="Calibri" w:cs="Calibri"/>
                <w:sz w:val="22"/>
                <w:szCs w:val="22"/>
              </w:rPr>
              <w:t>People and Executive Services Group</w:t>
            </w:r>
          </w:p>
        </w:tc>
      </w:tr>
      <w:tr w:rsidR="00713FF2" w:rsidRPr="00CD6245" w:rsidTr="00870CCC">
        <w:tc>
          <w:tcPr>
            <w:tcW w:w="1582" w:type="dxa"/>
          </w:tcPr>
          <w:p w:rsidR="00713FF2" w:rsidRPr="00CD6245" w:rsidRDefault="00713FF2" w:rsidP="00870CCC">
            <w:pPr>
              <w:keepNext/>
              <w:spacing w:before="40" w:after="40"/>
              <w:rPr>
                <w:rFonts w:ascii="Calibri" w:hAnsi="Calibri" w:cs="Calibri"/>
                <w:b/>
                <w:color w:val="333333"/>
                <w:szCs w:val="20"/>
              </w:rPr>
            </w:pPr>
            <w:r w:rsidRPr="00CD6245">
              <w:rPr>
                <w:rFonts w:ascii="Calibri" w:hAnsi="Calibri" w:cs="Calibri"/>
                <w:b/>
                <w:color w:val="333333"/>
                <w:szCs w:val="20"/>
              </w:rPr>
              <w:t>CPO</w:t>
            </w:r>
          </w:p>
        </w:tc>
        <w:tc>
          <w:tcPr>
            <w:tcW w:w="6663" w:type="dxa"/>
          </w:tcPr>
          <w:p w:rsidR="00713FF2" w:rsidRPr="00CD6245" w:rsidRDefault="00713FF2" w:rsidP="003C36FA">
            <w:pPr>
              <w:spacing w:before="20" w:after="20"/>
              <w:rPr>
                <w:rFonts w:ascii="Calibri" w:hAnsi="Calibri" w:cs="Calibri"/>
                <w:sz w:val="22"/>
                <w:szCs w:val="22"/>
              </w:rPr>
            </w:pPr>
            <w:r w:rsidRPr="00CD6245">
              <w:rPr>
                <w:rFonts w:ascii="Calibri" w:hAnsi="Calibri" w:cs="Calibri"/>
                <w:sz w:val="22"/>
                <w:szCs w:val="22"/>
              </w:rPr>
              <w:t>Tarkan Koman,</w:t>
            </w:r>
            <w:r w:rsidR="003C36FA" w:rsidRPr="00CD6245">
              <w:rPr>
                <w:rFonts w:ascii="Calibri" w:hAnsi="Calibri" w:cs="Calibri"/>
                <w:sz w:val="22"/>
                <w:szCs w:val="22"/>
              </w:rPr>
              <w:t xml:space="preserve"> A/</w:t>
            </w:r>
            <w:r w:rsidRPr="00CD6245">
              <w:rPr>
                <w:rFonts w:ascii="Calibri" w:hAnsi="Calibri" w:cs="Calibri"/>
                <w:sz w:val="22"/>
                <w:szCs w:val="22"/>
              </w:rPr>
              <w:t>Executive Director, Procurement Division</w:t>
            </w:r>
          </w:p>
        </w:tc>
      </w:tr>
    </w:tbl>
    <w:p w:rsidR="00713FF2" w:rsidRPr="00CD6245" w:rsidRDefault="00713FF2" w:rsidP="00713FF2">
      <w:pPr>
        <w:keepNext/>
        <w:keepLines/>
        <w:widowControl w:val="0"/>
        <w:spacing w:before="200" w:after="120" w:line="216" w:lineRule="auto"/>
        <w:ind w:left="794"/>
        <w:outlineLvl w:val="2"/>
        <w:rPr>
          <w:rFonts w:ascii="Calibri" w:hAnsi="Calibri" w:cs="Calibri"/>
          <w:b/>
          <w:color w:val="4D4D4D"/>
          <w:kern w:val="28"/>
          <w:sz w:val="26"/>
          <w:szCs w:val="22"/>
          <w:lang w:eastAsia="en-US"/>
        </w:rPr>
      </w:pPr>
      <w:r w:rsidRPr="00CD6245">
        <w:rPr>
          <w:rFonts w:ascii="Calibri" w:hAnsi="Calibri" w:cs="Calibri"/>
          <w:b/>
          <w:color w:val="4D4D4D"/>
          <w:kern w:val="28"/>
          <w:sz w:val="26"/>
          <w:szCs w:val="22"/>
          <w:lang w:eastAsia="en-US"/>
        </w:rPr>
        <w:t>Procurement profile</w:t>
      </w:r>
    </w:p>
    <w:p w:rsidR="00713FF2" w:rsidRPr="00CD6245" w:rsidRDefault="00713FF2" w:rsidP="00713FF2">
      <w:pPr>
        <w:spacing w:before="100" w:after="100"/>
        <w:ind w:left="794"/>
        <w:rPr>
          <w:rFonts w:ascii="Calibri" w:hAnsi="Calibri" w:cs="Calibri"/>
          <w:sz w:val="22"/>
          <w:szCs w:val="22"/>
        </w:rPr>
      </w:pPr>
      <w:r w:rsidRPr="00CD6245">
        <w:rPr>
          <w:rFonts w:ascii="Calibri" w:hAnsi="Calibri" w:cs="Calibri"/>
          <w:sz w:val="22"/>
          <w:szCs w:val="22"/>
        </w:rPr>
        <w:t>The Department of Education and Training (DET) offers learning and development</w:t>
      </w:r>
      <w:r w:rsidR="000E3F05" w:rsidRPr="00CD6245">
        <w:rPr>
          <w:rFonts w:ascii="Calibri" w:hAnsi="Calibri" w:cs="Calibri"/>
          <w:sz w:val="22"/>
          <w:szCs w:val="22"/>
        </w:rPr>
        <w:t xml:space="preserve"> </w:t>
      </w:r>
      <w:r w:rsidRPr="00CD6245">
        <w:rPr>
          <w:rFonts w:ascii="Calibri" w:hAnsi="Calibri" w:cs="Calibri"/>
          <w:sz w:val="22"/>
          <w:szCs w:val="22"/>
        </w:rPr>
        <w:t>support, services and resources for all Victorians, from birth through to</w:t>
      </w:r>
      <w:r w:rsidR="000E3F05" w:rsidRPr="00CD6245">
        <w:rPr>
          <w:rFonts w:ascii="Calibri" w:hAnsi="Calibri" w:cs="Calibri"/>
          <w:sz w:val="22"/>
          <w:szCs w:val="22"/>
        </w:rPr>
        <w:t xml:space="preserve"> </w:t>
      </w:r>
      <w:r w:rsidRPr="00CD6245">
        <w:rPr>
          <w:rFonts w:ascii="Calibri" w:hAnsi="Calibri" w:cs="Calibri"/>
          <w:sz w:val="22"/>
          <w:szCs w:val="22"/>
        </w:rPr>
        <w:t>adulthood.</w:t>
      </w:r>
    </w:p>
    <w:p w:rsidR="00713FF2" w:rsidRPr="00CD6245" w:rsidRDefault="00713FF2" w:rsidP="00713FF2">
      <w:pPr>
        <w:spacing w:before="100" w:after="100"/>
        <w:ind w:left="794"/>
        <w:rPr>
          <w:rFonts w:ascii="Calibri" w:hAnsi="Calibri" w:cs="Calibri"/>
          <w:sz w:val="22"/>
          <w:szCs w:val="22"/>
        </w:rPr>
      </w:pPr>
      <w:r w:rsidRPr="00CD6245">
        <w:rPr>
          <w:rFonts w:ascii="Calibri" w:hAnsi="Calibri" w:cs="Calibri"/>
          <w:sz w:val="22"/>
          <w:szCs w:val="22"/>
        </w:rPr>
        <w:t>In delivering these services, the department procures goods and services to the value of approximately $400 million annually.</w:t>
      </w:r>
    </w:p>
    <w:p w:rsidR="00713FF2" w:rsidRPr="00CD6245" w:rsidRDefault="00713FF2" w:rsidP="00713FF2">
      <w:pPr>
        <w:spacing w:before="100" w:after="100"/>
        <w:ind w:left="794"/>
        <w:rPr>
          <w:rFonts w:ascii="Calibri" w:hAnsi="Calibri" w:cs="Calibri"/>
          <w:sz w:val="22"/>
          <w:szCs w:val="22"/>
        </w:rPr>
      </w:pPr>
      <w:r w:rsidRPr="00CD6245">
        <w:rPr>
          <w:rFonts w:ascii="Calibri" w:hAnsi="Calibri" w:cs="Calibri"/>
          <w:sz w:val="22"/>
          <w:szCs w:val="22"/>
        </w:rPr>
        <w:t>The most significant procurement sourcing activity for DET in 2015–16 was the provision of ICT technical support for all Victorian Government schools ($495 million). Major areas of expenditure include IT, education, professional services and labour hire sectors. A significant portion of DET procurement activity is focused in the IT sector with procurement activities in the hardware, licensing and technical support areas.</w:t>
      </w:r>
    </w:p>
    <w:p w:rsidR="00713FF2" w:rsidRPr="00CD6245" w:rsidRDefault="00713FF2" w:rsidP="00713FF2">
      <w:pPr>
        <w:spacing w:before="100" w:after="100"/>
        <w:ind w:left="794"/>
        <w:rPr>
          <w:rFonts w:ascii="Calibri" w:hAnsi="Calibri" w:cs="Calibri"/>
          <w:sz w:val="22"/>
          <w:szCs w:val="22"/>
        </w:rPr>
      </w:pPr>
      <w:r w:rsidRPr="00CD6245">
        <w:rPr>
          <w:rFonts w:ascii="Calibri" w:hAnsi="Calibri" w:cs="Calibri"/>
          <w:sz w:val="22"/>
          <w:szCs w:val="22"/>
        </w:rPr>
        <w:t>At June 30 2016, there were more than 250 active contracts valued at greater than $100 000 with a total value of more than $900 million. Eighty-six per</w:t>
      </w:r>
      <w:r w:rsidR="00E765C4" w:rsidRPr="00CD6245">
        <w:rPr>
          <w:rFonts w:ascii="Calibri" w:hAnsi="Calibri" w:cs="Calibri"/>
          <w:sz w:val="22"/>
          <w:szCs w:val="22"/>
        </w:rPr>
        <w:t xml:space="preserve"> cent</w:t>
      </w:r>
      <w:r w:rsidRPr="00CD6245">
        <w:rPr>
          <w:rFonts w:ascii="Calibri" w:hAnsi="Calibri" w:cs="Calibri"/>
          <w:sz w:val="22"/>
          <w:szCs w:val="22"/>
        </w:rPr>
        <w:t xml:space="preserve"> of contracts over $100 000 relate to procurements in the IT sector.</w:t>
      </w:r>
    </w:p>
    <w:p w:rsidR="00713FF2" w:rsidRPr="00CD6245" w:rsidRDefault="00713FF2" w:rsidP="00713FF2">
      <w:pPr>
        <w:spacing w:before="100" w:after="100"/>
        <w:ind w:left="794"/>
        <w:rPr>
          <w:rFonts w:ascii="Calibri" w:hAnsi="Calibri" w:cs="Calibri"/>
          <w:sz w:val="22"/>
          <w:szCs w:val="22"/>
        </w:rPr>
      </w:pPr>
      <w:r w:rsidRPr="00CD6245">
        <w:rPr>
          <w:rFonts w:ascii="Calibri" w:hAnsi="Calibri" w:cs="Calibri"/>
          <w:sz w:val="22"/>
          <w:szCs w:val="22"/>
        </w:rPr>
        <w:t>Most DET contracts over $100 000 are in the leveraged complexity quadrant (98 per</w:t>
      </w:r>
      <w:r w:rsidR="00E765C4" w:rsidRPr="00CD6245">
        <w:rPr>
          <w:rFonts w:ascii="Calibri" w:hAnsi="Calibri" w:cs="Calibri"/>
          <w:sz w:val="22"/>
          <w:szCs w:val="22"/>
        </w:rPr>
        <w:t xml:space="preserve"> cent</w:t>
      </w:r>
      <w:r w:rsidRPr="00CD6245">
        <w:rPr>
          <w:rFonts w:ascii="Calibri" w:hAnsi="Calibri" w:cs="Calibri"/>
          <w:sz w:val="22"/>
          <w:szCs w:val="22"/>
        </w:rPr>
        <w:t xml:space="preserve">). This is due to DET’s significant panel-related IT spend coupled with the frequent procurements </w:t>
      </w:r>
      <w:r w:rsidR="000D7385" w:rsidRPr="00CD6245">
        <w:rPr>
          <w:rFonts w:ascii="Calibri" w:hAnsi="Calibri" w:cs="Calibri"/>
          <w:sz w:val="22"/>
          <w:szCs w:val="22"/>
        </w:rPr>
        <w:t>in</w:t>
      </w:r>
      <w:r w:rsidRPr="00CD6245">
        <w:rPr>
          <w:rFonts w:ascii="Calibri" w:hAnsi="Calibri" w:cs="Calibri"/>
          <w:sz w:val="22"/>
          <w:szCs w:val="22"/>
        </w:rPr>
        <w:t xml:space="preserve"> other typical leveraged sectors</w:t>
      </w:r>
      <w:r w:rsidR="003B0515">
        <w:rPr>
          <w:rFonts w:ascii="Calibri" w:hAnsi="Calibri" w:cs="Calibri"/>
          <w:sz w:val="22"/>
          <w:szCs w:val="22"/>
        </w:rPr>
        <w:t>,</w:t>
      </w:r>
      <w:r w:rsidRPr="00CD6245">
        <w:rPr>
          <w:rFonts w:ascii="Calibri" w:hAnsi="Calibri" w:cs="Calibri"/>
          <w:sz w:val="22"/>
          <w:szCs w:val="22"/>
        </w:rPr>
        <w:t xml:space="preserve"> including professional services and education services.</w:t>
      </w:r>
    </w:p>
    <w:p w:rsidR="00713FF2" w:rsidRPr="00CD6245" w:rsidRDefault="00713FF2" w:rsidP="00713FF2">
      <w:pPr>
        <w:keepNext/>
        <w:keepLines/>
        <w:widowControl w:val="0"/>
        <w:spacing w:before="200" w:after="120" w:line="216" w:lineRule="auto"/>
        <w:ind w:left="794"/>
        <w:outlineLvl w:val="2"/>
        <w:rPr>
          <w:rFonts w:ascii="Calibri" w:hAnsi="Calibri" w:cs="Calibri"/>
          <w:b/>
          <w:color w:val="4D4D4D"/>
          <w:kern w:val="28"/>
          <w:sz w:val="26"/>
          <w:szCs w:val="22"/>
          <w:lang w:eastAsia="en-US"/>
        </w:rPr>
      </w:pPr>
      <w:r w:rsidRPr="00CD6245">
        <w:rPr>
          <w:rFonts w:ascii="Calibri" w:hAnsi="Calibri" w:cs="Calibri"/>
          <w:b/>
          <w:color w:val="4D4D4D"/>
          <w:kern w:val="28"/>
          <w:sz w:val="26"/>
          <w:szCs w:val="22"/>
          <w:lang w:eastAsia="en-US"/>
        </w:rPr>
        <w:t>Procurement activities in 2015–16</w:t>
      </w:r>
    </w:p>
    <w:p w:rsidR="00713FF2" w:rsidRPr="00CD6245" w:rsidRDefault="00713FF2" w:rsidP="00713FF2">
      <w:pPr>
        <w:spacing w:before="100" w:after="100"/>
        <w:ind w:left="794"/>
        <w:rPr>
          <w:rFonts w:ascii="Calibri" w:hAnsi="Calibri" w:cs="Calibri"/>
          <w:sz w:val="22"/>
          <w:szCs w:val="22"/>
          <w:lang w:eastAsia="en-US"/>
        </w:rPr>
      </w:pPr>
      <w:r w:rsidRPr="00CD6245">
        <w:rPr>
          <w:rFonts w:ascii="Calibri" w:hAnsi="Calibri" w:cs="Calibri"/>
          <w:sz w:val="22"/>
          <w:szCs w:val="22"/>
          <w:lang w:eastAsia="en-US"/>
        </w:rPr>
        <w:t>In 2015–16</w:t>
      </w:r>
      <w:r w:rsidR="000E3F05" w:rsidRPr="00CD6245">
        <w:rPr>
          <w:rFonts w:ascii="Calibri" w:hAnsi="Calibri" w:cs="Calibri"/>
          <w:sz w:val="22"/>
          <w:szCs w:val="22"/>
          <w:lang w:eastAsia="en-US"/>
        </w:rPr>
        <w:t>,</w:t>
      </w:r>
      <w:r w:rsidRPr="00CD6245">
        <w:rPr>
          <w:rFonts w:ascii="Calibri" w:hAnsi="Calibri" w:cs="Calibri"/>
          <w:sz w:val="22"/>
          <w:szCs w:val="22"/>
          <w:lang w:eastAsia="en-US"/>
        </w:rPr>
        <w:t xml:space="preserve"> DET reviewed its procurement </w:t>
      </w:r>
      <w:r w:rsidR="003C36FA" w:rsidRPr="00CD6245">
        <w:rPr>
          <w:rFonts w:ascii="Calibri" w:hAnsi="Calibri" w:cs="Calibri"/>
          <w:sz w:val="22"/>
          <w:szCs w:val="22"/>
          <w:lang w:eastAsia="en-US"/>
        </w:rPr>
        <w:t xml:space="preserve">framework </w:t>
      </w:r>
      <w:r w:rsidRPr="00CD6245">
        <w:rPr>
          <w:rFonts w:ascii="Calibri" w:hAnsi="Calibri" w:cs="Calibri"/>
          <w:sz w:val="22"/>
          <w:szCs w:val="22"/>
          <w:lang w:eastAsia="en-US"/>
        </w:rPr>
        <w:t xml:space="preserve">to ensure its ongoing alignment with VGPB supply policies. The </w:t>
      </w:r>
      <w:r w:rsidR="003C36FA" w:rsidRPr="00CD6245">
        <w:rPr>
          <w:rFonts w:ascii="Calibri" w:hAnsi="Calibri" w:cs="Calibri"/>
          <w:sz w:val="22"/>
          <w:szCs w:val="22"/>
          <w:lang w:eastAsia="en-US"/>
        </w:rPr>
        <w:t>framework and policy</w:t>
      </w:r>
      <w:r w:rsidRPr="00CD6245">
        <w:rPr>
          <w:rFonts w:ascii="Calibri" w:hAnsi="Calibri" w:cs="Calibri"/>
          <w:sz w:val="22"/>
          <w:szCs w:val="22"/>
          <w:lang w:eastAsia="en-US"/>
        </w:rPr>
        <w:t xml:space="preserve"> w</w:t>
      </w:r>
      <w:r w:rsidR="003B0515">
        <w:rPr>
          <w:rFonts w:ascii="Calibri" w:hAnsi="Calibri" w:cs="Calibri"/>
          <w:sz w:val="22"/>
          <w:szCs w:val="22"/>
          <w:lang w:eastAsia="en-US"/>
        </w:rPr>
        <w:t>ere</w:t>
      </w:r>
      <w:r w:rsidRPr="00CD6245">
        <w:rPr>
          <w:rFonts w:ascii="Calibri" w:hAnsi="Calibri" w:cs="Calibri"/>
          <w:sz w:val="22"/>
          <w:szCs w:val="22"/>
          <w:lang w:eastAsia="en-US"/>
        </w:rPr>
        <w:t xml:space="preserve"> considered to be robust and up</w:t>
      </w:r>
      <w:r w:rsidR="000E3F05" w:rsidRPr="00CD6245">
        <w:rPr>
          <w:rFonts w:ascii="Calibri" w:hAnsi="Calibri" w:cs="Calibri"/>
          <w:sz w:val="22"/>
          <w:szCs w:val="22"/>
          <w:lang w:eastAsia="en-US"/>
        </w:rPr>
        <w:t>-</w:t>
      </w:r>
      <w:r w:rsidRPr="00CD6245">
        <w:rPr>
          <w:rFonts w:ascii="Calibri" w:hAnsi="Calibri" w:cs="Calibri"/>
          <w:sz w:val="22"/>
          <w:szCs w:val="22"/>
          <w:lang w:eastAsia="en-US"/>
        </w:rPr>
        <w:t>to</w:t>
      </w:r>
      <w:r w:rsidR="000E3F05" w:rsidRPr="00CD6245">
        <w:rPr>
          <w:rFonts w:ascii="Calibri" w:hAnsi="Calibri" w:cs="Calibri"/>
          <w:sz w:val="22"/>
          <w:szCs w:val="22"/>
          <w:lang w:eastAsia="en-US"/>
        </w:rPr>
        <w:t>-</w:t>
      </w:r>
      <w:r w:rsidRPr="00CD6245">
        <w:rPr>
          <w:rFonts w:ascii="Calibri" w:hAnsi="Calibri" w:cs="Calibri"/>
          <w:sz w:val="22"/>
          <w:szCs w:val="22"/>
          <w:lang w:eastAsia="en-US"/>
        </w:rPr>
        <w:t>date.</w:t>
      </w:r>
    </w:p>
    <w:p w:rsidR="00713FF2" w:rsidRPr="00CD6245" w:rsidRDefault="00713FF2" w:rsidP="00713FF2">
      <w:pPr>
        <w:spacing w:before="100" w:after="100"/>
        <w:ind w:left="794"/>
        <w:rPr>
          <w:rFonts w:ascii="Calibri" w:hAnsi="Calibri" w:cs="Calibri"/>
          <w:sz w:val="22"/>
          <w:szCs w:val="22"/>
          <w:lang w:eastAsia="en-US"/>
        </w:rPr>
      </w:pPr>
      <w:r w:rsidRPr="00CD6245">
        <w:rPr>
          <w:rFonts w:ascii="Calibri" w:hAnsi="Calibri" w:cs="Calibri"/>
          <w:sz w:val="22"/>
          <w:szCs w:val="22"/>
          <w:lang w:eastAsia="en-US"/>
        </w:rPr>
        <w:t xml:space="preserve">DET updated its procurement capability </w:t>
      </w:r>
      <w:r w:rsidR="003B0515">
        <w:rPr>
          <w:rFonts w:ascii="Calibri" w:hAnsi="Calibri" w:cs="Calibri"/>
          <w:sz w:val="22"/>
          <w:szCs w:val="22"/>
          <w:lang w:eastAsia="en-US"/>
        </w:rPr>
        <w:t xml:space="preserve">development </w:t>
      </w:r>
      <w:r w:rsidRPr="00CD6245">
        <w:rPr>
          <w:rFonts w:ascii="Calibri" w:hAnsi="Calibri" w:cs="Calibri"/>
          <w:sz w:val="22"/>
          <w:szCs w:val="22"/>
          <w:lang w:eastAsia="en-US"/>
        </w:rPr>
        <w:t>plan to improve procurement capability, risk monitoring and compliance. As part of its commitment to increasing standards of procurement capability and compliance, DET delivered a Certificate IV in Government (Procurement and Contracting) to procurement staff. The department also continued to</w:t>
      </w:r>
      <w:r w:rsidRPr="00CD6245">
        <w:rPr>
          <w:rFonts w:ascii="Calibri" w:hAnsi="Calibri" w:cs="Calibri"/>
          <w:sz w:val="22"/>
          <w:szCs w:val="22"/>
        </w:rPr>
        <w:t xml:space="preserve"> deliver basic procurement training for all department</w:t>
      </w:r>
      <w:r w:rsidR="000E3F05" w:rsidRPr="00CD6245">
        <w:rPr>
          <w:rFonts w:ascii="Calibri" w:hAnsi="Calibri" w:cs="Calibri"/>
          <w:sz w:val="22"/>
          <w:szCs w:val="22"/>
        </w:rPr>
        <w:t>al</w:t>
      </w:r>
      <w:r w:rsidRPr="00CD6245">
        <w:rPr>
          <w:rFonts w:ascii="Calibri" w:hAnsi="Calibri" w:cs="Calibri"/>
          <w:sz w:val="22"/>
          <w:szCs w:val="22"/>
        </w:rPr>
        <w:t xml:space="preserve"> staff.</w:t>
      </w:r>
    </w:p>
    <w:p w:rsidR="00713FF2" w:rsidRPr="00CD6245" w:rsidRDefault="00713FF2" w:rsidP="00713FF2">
      <w:pPr>
        <w:spacing w:before="100" w:after="100"/>
        <w:ind w:left="794"/>
        <w:rPr>
          <w:rFonts w:ascii="Calibri" w:hAnsi="Calibri" w:cs="Calibri"/>
          <w:sz w:val="22"/>
          <w:szCs w:val="22"/>
          <w:lang w:eastAsia="en-US"/>
        </w:rPr>
      </w:pPr>
      <w:r w:rsidRPr="00CD6245">
        <w:rPr>
          <w:rFonts w:ascii="Calibri" w:hAnsi="Calibri" w:cs="Calibri"/>
          <w:sz w:val="22"/>
          <w:szCs w:val="22"/>
          <w:lang w:eastAsia="en-US"/>
        </w:rPr>
        <w:t xml:space="preserve">The department completed its annual assessment of the </w:t>
      </w:r>
      <w:r w:rsidR="00355BB9" w:rsidRPr="00CD6245">
        <w:rPr>
          <w:rFonts w:ascii="Calibri" w:hAnsi="Calibri" w:cs="Calibri"/>
          <w:sz w:val="22"/>
          <w:szCs w:val="22"/>
          <w:lang w:eastAsia="en-US"/>
        </w:rPr>
        <w:t>Procurement and Probity Committee</w:t>
      </w:r>
      <w:r w:rsidRPr="00CD6245">
        <w:rPr>
          <w:rFonts w:ascii="Calibri" w:hAnsi="Calibri" w:cs="Calibri"/>
          <w:sz w:val="22"/>
          <w:szCs w:val="22"/>
          <w:lang w:eastAsia="en-US"/>
        </w:rPr>
        <w:t xml:space="preserve"> </w:t>
      </w:r>
      <w:r w:rsidR="003B0515">
        <w:rPr>
          <w:rFonts w:ascii="Calibri" w:hAnsi="Calibri" w:cs="Calibri"/>
          <w:sz w:val="22"/>
          <w:szCs w:val="22"/>
          <w:lang w:eastAsia="en-US"/>
        </w:rPr>
        <w:t xml:space="preserve">(DET’s IPU) </w:t>
      </w:r>
      <w:r w:rsidRPr="00CD6245">
        <w:rPr>
          <w:rFonts w:ascii="Calibri" w:hAnsi="Calibri" w:cs="Calibri"/>
          <w:sz w:val="22"/>
          <w:szCs w:val="22"/>
          <w:lang w:eastAsia="en-US"/>
        </w:rPr>
        <w:t>against the terms of reference to identify areas that are working well and opportunities for improvement.</w:t>
      </w:r>
    </w:p>
    <w:p w:rsidR="00713FF2" w:rsidRPr="00CD6245" w:rsidRDefault="00713FF2" w:rsidP="00713FF2">
      <w:pPr>
        <w:keepNext/>
        <w:keepLines/>
        <w:widowControl w:val="0"/>
        <w:spacing w:before="200" w:after="120" w:line="216" w:lineRule="auto"/>
        <w:ind w:left="794"/>
        <w:outlineLvl w:val="2"/>
        <w:rPr>
          <w:rFonts w:ascii="Calibri" w:hAnsi="Calibri" w:cs="Calibri"/>
          <w:b/>
          <w:color w:val="4D4D4D"/>
          <w:kern w:val="28"/>
          <w:sz w:val="26"/>
          <w:szCs w:val="22"/>
          <w:lang w:eastAsia="en-US"/>
        </w:rPr>
      </w:pPr>
      <w:r w:rsidRPr="00CD6245">
        <w:rPr>
          <w:rFonts w:ascii="Calibri" w:hAnsi="Calibri" w:cs="Calibri"/>
          <w:b/>
          <w:color w:val="4D4D4D"/>
          <w:kern w:val="28"/>
          <w:sz w:val="26"/>
          <w:szCs w:val="22"/>
          <w:lang w:eastAsia="en-US"/>
        </w:rPr>
        <w:t>Performance in 2015–16</w:t>
      </w:r>
    </w:p>
    <w:p w:rsidR="00713FF2" w:rsidRPr="00CD6245" w:rsidRDefault="00553A4A" w:rsidP="00553A4A">
      <w:pPr>
        <w:pStyle w:val="Normal1"/>
        <w:rPr>
          <w:lang w:eastAsia="en-US"/>
        </w:rPr>
      </w:pPr>
      <w:r w:rsidRPr="00CD6245">
        <w:t>Table 23</w:t>
      </w:r>
      <w:r w:rsidR="00713FF2" w:rsidRPr="00CD6245">
        <w:t xml:space="preserve"> lists DET’s data for the six performance measures. Data for 2015–16 reflects a ‘best endeavours’ approach given the significant amount of work involved in setting up processes to report against the performance measures. As far as possible, the 2015–16 outcomes will help form the baseline against which </w:t>
      </w:r>
      <w:r w:rsidR="00666B32" w:rsidRPr="00CD6245">
        <w:t xml:space="preserve">DET </w:t>
      </w:r>
      <w:r w:rsidR="00713FF2" w:rsidRPr="00CD6245">
        <w:t>will measure performance in future years.</w:t>
      </w:r>
    </w:p>
    <w:p w:rsidR="00713FF2" w:rsidRDefault="00713FF2" w:rsidP="00BE236C">
      <w:pPr>
        <w:pStyle w:val="Caption"/>
      </w:pPr>
      <w:bookmarkStart w:id="119" w:name="_Ref457241752"/>
      <w:bookmarkStart w:id="120" w:name="_Toc463527858"/>
      <w:r w:rsidRPr="00CD6245">
        <w:lastRenderedPageBreak/>
        <w:t xml:space="preserve">Table </w:t>
      </w:r>
      <w:r w:rsidR="002B07C2" w:rsidRPr="00CD6245">
        <w:fldChar w:fldCharType="begin"/>
      </w:r>
      <w:r w:rsidRPr="00CD6245">
        <w:instrText xml:space="preserve"> SEQ Table \* ARABIC </w:instrText>
      </w:r>
      <w:r w:rsidR="002B07C2" w:rsidRPr="00CD6245">
        <w:fldChar w:fldCharType="separate"/>
      </w:r>
      <w:r w:rsidR="002E75B9">
        <w:rPr>
          <w:noProof/>
        </w:rPr>
        <w:t>23</w:t>
      </w:r>
      <w:r w:rsidR="002B07C2" w:rsidRPr="00CD6245">
        <w:fldChar w:fldCharType="end"/>
      </w:r>
      <w:bookmarkEnd w:id="119"/>
      <w:r w:rsidR="00BE236C" w:rsidRPr="00CD6245">
        <w:t>: DET</w:t>
      </w:r>
      <w:r w:rsidRPr="00CD6245">
        <w:t xml:space="preserve"> performance in 2015–16</w:t>
      </w:r>
      <w:bookmarkEnd w:id="120"/>
    </w:p>
    <w:p w:rsidR="003B0515" w:rsidRPr="003B0515" w:rsidRDefault="003B0515" w:rsidP="003B0515">
      <w:pPr>
        <w:ind w:left="720"/>
      </w:pPr>
      <w:r>
        <w:rPr>
          <w:noProof/>
        </w:rPr>
        <w:drawing>
          <wp:inline distT="0" distB="0" distL="0" distR="0" wp14:anchorId="58D69117" wp14:editId="3A88F29A">
            <wp:extent cx="5263515" cy="3111500"/>
            <wp:effectExtent l="0" t="0" r="0" b="0"/>
            <wp:docPr id="45" name="Picture 45" descr="Orange Crush:Users:chrisashe:Desktop:DTF033_VGPB-T23.jpg"/>
            <wp:cNvGraphicFramePr/>
            <a:graphic xmlns:a="http://schemas.openxmlformats.org/drawingml/2006/main">
              <a:graphicData uri="http://schemas.openxmlformats.org/drawingml/2006/picture">
                <pic:pic xmlns:pic="http://schemas.openxmlformats.org/drawingml/2006/picture">
                  <pic:nvPicPr>
                    <pic:cNvPr id="45" name="Picture 45" descr="Orange Crush:Users:chrisashe:Desktop:DTF033_VGPB-T23.jpg"/>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263515" cy="3111500"/>
                    </a:xfrm>
                    <a:prstGeom prst="rect">
                      <a:avLst/>
                    </a:prstGeom>
                    <a:noFill/>
                    <a:ln>
                      <a:noFill/>
                    </a:ln>
                  </pic:spPr>
                </pic:pic>
              </a:graphicData>
            </a:graphic>
          </wp:inline>
        </w:drawing>
      </w:r>
    </w:p>
    <w:p w:rsidR="00713FF2" w:rsidRPr="00CD6245" w:rsidRDefault="00713FF2" w:rsidP="00713FF2">
      <w:pPr>
        <w:keepNext/>
        <w:keepLines/>
        <w:widowControl w:val="0"/>
        <w:spacing w:before="200" w:after="120" w:line="216" w:lineRule="auto"/>
        <w:ind w:left="794"/>
        <w:outlineLvl w:val="2"/>
        <w:rPr>
          <w:rFonts w:ascii="Calibri" w:hAnsi="Calibri" w:cs="Calibri"/>
          <w:b/>
          <w:color w:val="4D4D4D"/>
          <w:kern w:val="28"/>
          <w:sz w:val="26"/>
          <w:szCs w:val="22"/>
          <w:lang w:eastAsia="en-US"/>
        </w:rPr>
      </w:pPr>
      <w:r w:rsidRPr="00CD6245">
        <w:rPr>
          <w:rFonts w:ascii="Calibri" w:hAnsi="Calibri" w:cs="Calibri"/>
          <w:b/>
          <w:color w:val="4D4D4D"/>
          <w:kern w:val="28"/>
          <w:sz w:val="26"/>
          <w:szCs w:val="22"/>
          <w:lang w:eastAsia="en-US"/>
        </w:rPr>
        <w:t>Procurement activities planned for 2016–17</w:t>
      </w:r>
    </w:p>
    <w:p w:rsidR="00713FF2" w:rsidRPr="00CD6245" w:rsidRDefault="00713FF2" w:rsidP="00713FF2">
      <w:pPr>
        <w:spacing w:before="100" w:after="100"/>
        <w:ind w:left="794"/>
        <w:rPr>
          <w:rFonts w:ascii="Calibri" w:hAnsi="Calibri" w:cs="Calibri"/>
          <w:sz w:val="22"/>
          <w:szCs w:val="22"/>
          <w:lang w:eastAsia="en-US"/>
        </w:rPr>
      </w:pPr>
      <w:r w:rsidRPr="00CD6245">
        <w:rPr>
          <w:rFonts w:ascii="Calibri" w:hAnsi="Calibri" w:cs="Calibri"/>
          <w:sz w:val="22"/>
          <w:szCs w:val="22"/>
          <w:lang w:eastAsia="en-US"/>
        </w:rPr>
        <w:t>In 2016–17</w:t>
      </w:r>
      <w:r w:rsidR="003B0515">
        <w:rPr>
          <w:rFonts w:ascii="Calibri" w:hAnsi="Calibri" w:cs="Calibri"/>
          <w:sz w:val="22"/>
          <w:szCs w:val="22"/>
          <w:lang w:eastAsia="en-US"/>
        </w:rPr>
        <w:t>,</w:t>
      </w:r>
      <w:r w:rsidRPr="00CD6245">
        <w:rPr>
          <w:rFonts w:ascii="Calibri" w:hAnsi="Calibri" w:cs="Calibri"/>
          <w:sz w:val="22"/>
          <w:szCs w:val="22"/>
          <w:lang w:eastAsia="en-US"/>
        </w:rPr>
        <w:t xml:space="preserve"> DET will:</w:t>
      </w:r>
    </w:p>
    <w:p w:rsidR="0049132E" w:rsidRPr="00CD6245" w:rsidRDefault="000A26CE" w:rsidP="0049132E">
      <w:pPr>
        <w:pStyle w:val="Bullet1"/>
      </w:pPr>
      <w:r w:rsidRPr="00CD6245">
        <w:t>prepare a report on the audit of VGPB supply policies for review by the VGPB</w:t>
      </w:r>
      <w:r w:rsidR="0049132E" w:rsidRPr="00CD6245">
        <w:t>;</w:t>
      </w:r>
    </w:p>
    <w:p w:rsidR="00713FF2" w:rsidRPr="00CD6245" w:rsidRDefault="00713FF2" w:rsidP="00713FF2">
      <w:pPr>
        <w:numPr>
          <w:ilvl w:val="0"/>
          <w:numId w:val="3"/>
        </w:numPr>
        <w:spacing w:before="80" w:after="80"/>
        <w:rPr>
          <w:rFonts w:ascii="Calibri" w:hAnsi="Calibri" w:cs="Calibri"/>
          <w:sz w:val="22"/>
          <w:szCs w:val="22"/>
          <w:lang w:eastAsia="en-US"/>
        </w:rPr>
      </w:pPr>
      <w:r w:rsidRPr="00CD6245">
        <w:rPr>
          <w:rFonts w:ascii="Calibri" w:hAnsi="Calibri" w:cs="Calibri"/>
          <w:sz w:val="22"/>
          <w:szCs w:val="22"/>
          <w:lang w:eastAsia="en-US"/>
        </w:rPr>
        <w:t xml:space="preserve">implement three procurement projects under DET’s </w:t>
      </w:r>
      <w:r w:rsidR="000E3F05" w:rsidRPr="00CD6245">
        <w:rPr>
          <w:rFonts w:ascii="Calibri" w:hAnsi="Calibri" w:cs="Calibri"/>
          <w:sz w:val="22"/>
          <w:szCs w:val="22"/>
          <w:lang w:eastAsia="en-US"/>
        </w:rPr>
        <w:t xml:space="preserve">integrity program </w:t>
      </w:r>
      <w:r w:rsidRPr="00CD6245">
        <w:rPr>
          <w:rFonts w:ascii="Calibri" w:hAnsi="Calibri" w:cs="Calibri"/>
          <w:sz w:val="22"/>
          <w:szCs w:val="22"/>
          <w:lang w:eastAsia="en-US"/>
        </w:rPr>
        <w:t>including:</w:t>
      </w:r>
    </w:p>
    <w:p w:rsidR="00713FF2" w:rsidRPr="00CD6245" w:rsidRDefault="00713FF2" w:rsidP="00713FF2">
      <w:pPr>
        <w:numPr>
          <w:ilvl w:val="1"/>
          <w:numId w:val="3"/>
        </w:numPr>
        <w:spacing w:before="80" w:after="80"/>
        <w:rPr>
          <w:rFonts w:ascii="Calibri" w:hAnsi="Calibri" w:cs="Calibri"/>
          <w:sz w:val="22"/>
          <w:szCs w:val="22"/>
          <w:lang w:eastAsia="en-US"/>
        </w:rPr>
      </w:pPr>
      <w:r w:rsidRPr="00CD6245">
        <w:rPr>
          <w:rFonts w:ascii="Calibri" w:hAnsi="Calibri" w:cs="Calibri"/>
          <w:sz w:val="22"/>
          <w:szCs w:val="22"/>
          <w:lang w:eastAsia="en-US"/>
        </w:rPr>
        <w:t xml:space="preserve">reforming Victorian public schools by introducing a new Victorian </w:t>
      </w:r>
      <w:r w:rsidR="000E3F05" w:rsidRPr="00CD6245">
        <w:rPr>
          <w:rFonts w:ascii="Calibri" w:hAnsi="Calibri" w:cs="Calibri"/>
          <w:sz w:val="22"/>
          <w:szCs w:val="22"/>
          <w:lang w:eastAsia="en-US"/>
        </w:rPr>
        <w:t>s</w:t>
      </w:r>
      <w:r w:rsidRPr="00CD6245">
        <w:rPr>
          <w:rFonts w:ascii="Calibri" w:hAnsi="Calibri" w:cs="Calibri"/>
          <w:sz w:val="22"/>
          <w:szCs w:val="22"/>
          <w:lang w:eastAsia="en-US"/>
        </w:rPr>
        <w:t>chools procurement framework;</w:t>
      </w:r>
    </w:p>
    <w:p w:rsidR="00713FF2" w:rsidRPr="00CD6245" w:rsidRDefault="00713FF2" w:rsidP="00713FF2">
      <w:pPr>
        <w:numPr>
          <w:ilvl w:val="1"/>
          <w:numId w:val="3"/>
        </w:numPr>
        <w:spacing w:before="80" w:after="80"/>
        <w:rPr>
          <w:rFonts w:ascii="Calibri" w:hAnsi="Calibri" w:cs="Calibri"/>
          <w:sz w:val="22"/>
          <w:szCs w:val="22"/>
          <w:lang w:eastAsia="en-US"/>
        </w:rPr>
      </w:pPr>
      <w:r w:rsidRPr="00CD6245">
        <w:rPr>
          <w:rFonts w:ascii="Calibri" w:hAnsi="Calibri" w:cs="Calibri"/>
          <w:sz w:val="22"/>
          <w:szCs w:val="22"/>
          <w:lang w:eastAsia="en-US"/>
        </w:rPr>
        <w:t>carrying out an independent review of procurement operations in DET;</w:t>
      </w:r>
      <w:r w:rsidR="003B0515">
        <w:rPr>
          <w:rFonts w:ascii="Calibri" w:hAnsi="Calibri" w:cs="Calibri"/>
          <w:sz w:val="22"/>
          <w:szCs w:val="22"/>
          <w:lang w:eastAsia="en-US"/>
        </w:rPr>
        <w:t xml:space="preserve"> and</w:t>
      </w:r>
    </w:p>
    <w:p w:rsidR="00713FF2" w:rsidRPr="00CD6245" w:rsidRDefault="00713FF2" w:rsidP="00713FF2">
      <w:pPr>
        <w:numPr>
          <w:ilvl w:val="1"/>
          <w:numId w:val="3"/>
        </w:numPr>
        <w:spacing w:before="80" w:after="80"/>
        <w:rPr>
          <w:rFonts w:ascii="Calibri" w:hAnsi="Calibri" w:cs="Calibri"/>
          <w:sz w:val="22"/>
          <w:szCs w:val="22"/>
          <w:lang w:eastAsia="en-US"/>
        </w:rPr>
      </w:pPr>
      <w:r w:rsidRPr="00CD6245">
        <w:rPr>
          <w:rFonts w:ascii="Calibri" w:hAnsi="Calibri" w:cs="Calibri"/>
          <w:sz w:val="22"/>
          <w:szCs w:val="22"/>
          <w:lang w:eastAsia="en-US"/>
        </w:rPr>
        <w:t>reviewing travel, fuel and fleet operations;</w:t>
      </w:r>
    </w:p>
    <w:p w:rsidR="00713FF2" w:rsidRPr="00CD6245" w:rsidRDefault="00713FF2" w:rsidP="00713FF2">
      <w:pPr>
        <w:numPr>
          <w:ilvl w:val="0"/>
          <w:numId w:val="3"/>
        </w:numPr>
        <w:spacing w:before="80" w:after="80"/>
        <w:rPr>
          <w:rFonts w:ascii="Calibri" w:hAnsi="Calibri" w:cs="Calibri"/>
          <w:sz w:val="22"/>
          <w:szCs w:val="22"/>
          <w:lang w:eastAsia="en-US"/>
        </w:rPr>
      </w:pPr>
      <w:r w:rsidRPr="00CD6245">
        <w:rPr>
          <w:rFonts w:ascii="Calibri" w:hAnsi="Calibri" w:cs="Calibri"/>
          <w:sz w:val="22"/>
          <w:szCs w:val="22"/>
          <w:lang w:eastAsia="en-US"/>
        </w:rPr>
        <w:t>develop a framework of core competencies for procurement-related positions in DET</w:t>
      </w:r>
      <w:r w:rsidR="000E3F05" w:rsidRPr="00CD6245">
        <w:rPr>
          <w:rFonts w:ascii="Calibri" w:hAnsi="Calibri" w:cs="Calibri"/>
          <w:sz w:val="22"/>
          <w:szCs w:val="22"/>
          <w:lang w:eastAsia="en-US"/>
        </w:rPr>
        <w:t>; and</w:t>
      </w:r>
    </w:p>
    <w:p w:rsidR="00713FF2" w:rsidRPr="00CD6245" w:rsidRDefault="00713FF2" w:rsidP="00713FF2">
      <w:pPr>
        <w:numPr>
          <w:ilvl w:val="0"/>
          <w:numId w:val="3"/>
        </w:numPr>
        <w:spacing w:before="80" w:after="80"/>
        <w:rPr>
          <w:rFonts w:ascii="Calibri" w:hAnsi="Calibri" w:cs="Calibri"/>
          <w:sz w:val="22"/>
          <w:szCs w:val="22"/>
          <w:lang w:eastAsia="en-US"/>
        </w:rPr>
      </w:pPr>
      <w:r w:rsidRPr="00CD6245">
        <w:rPr>
          <w:rFonts w:ascii="Calibri" w:hAnsi="Calibri" w:cs="Calibri"/>
          <w:sz w:val="22"/>
          <w:szCs w:val="22"/>
          <w:lang w:eastAsia="en-US"/>
        </w:rPr>
        <w:t xml:space="preserve">establish a new procurement leadership team to </w:t>
      </w:r>
      <w:r w:rsidR="003B0515">
        <w:rPr>
          <w:rFonts w:ascii="Calibri" w:hAnsi="Calibri" w:cs="Calibri"/>
          <w:sz w:val="22"/>
          <w:szCs w:val="22"/>
          <w:lang w:eastAsia="en-US"/>
        </w:rPr>
        <w:t>improve</w:t>
      </w:r>
      <w:r w:rsidRPr="00CD6245">
        <w:rPr>
          <w:rFonts w:ascii="Calibri" w:hAnsi="Calibri" w:cs="Calibri"/>
          <w:sz w:val="22"/>
          <w:szCs w:val="22"/>
          <w:lang w:eastAsia="en-US"/>
        </w:rPr>
        <w:t xml:space="preserve"> procurement leadership, knowledge and experience across DET.</w:t>
      </w:r>
    </w:p>
    <w:p w:rsidR="00713FF2" w:rsidRPr="00CD6245" w:rsidRDefault="00713FF2" w:rsidP="00713FF2">
      <w:pPr>
        <w:keepNext/>
        <w:keepLines/>
        <w:widowControl w:val="0"/>
        <w:spacing w:before="280" w:after="120" w:line="216" w:lineRule="auto"/>
        <w:ind w:left="794"/>
        <w:outlineLvl w:val="1"/>
        <w:rPr>
          <w:rFonts w:ascii="Calibri" w:hAnsi="Calibri" w:cs="Calibri"/>
          <w:color w:val="4D4D4D"/>
          <w:kern w:val="28"/>
          <w:sz w:val="30"/>
          <w:szCs w:val="22"/>
          <w:lang w:eastAsia="en-US"/>
        </w:rPr>
      </w:pPr>
    </w:p>
    <w:p w:rsidR="00713FF2" w:rsidRPr="00CD6245" w:rsidRDefault="00713FF2" w:rsidP="00713FF2"/>
    <w:p w:rsidR="00713FF2" w:rsidRPr="00CD6245" w:rsidRDefault="00713FF2" w:rsidP="00713FF2">
      <w:pPr>
        <w:pStyle w:val="Normal1"/>
        <w:rPr>
          <w:lang w:eastAsia="en-US"/>
        </w:rPr>
      </w:pPr>
    </w:p>
    <w:p w:rsidR="00713FF2" w:rsidRPr="00CD6245" w:rsidRDefault="00713FF2" w:rsidP="00713FF2">
      <w:pPr>
        <w:rPr>
          <w:lang w:eastAsia="en-US"/>
        </w:rPr>
      </w:pPr>
    </w:p>
    <w:p w:rsidR="00713FF2" w:rsidRPr="00CD6245" w:rsidRDefault="00713FF2">
      <w:pPr>
        <w:rPr>
          <w:rFonts w:ascii="Calibri" w:hAnsi="Calibri" w:cs="Calibri"/>
          <w:color w:val="4D4D4D"/>
          <w:kern w:val="28"/>
          <w:sz w:val="30"/>
          <w:szCs w:val="22"/>
          <w:lang w:eastAsia="en-US"/>
        </w:rPr>
      </w:pPr>
      <w:r w:rsidRPr="00CD6245">
        <w:br w:type="page"/>
      </w:r>
    </w:p>
    <w:p w:rsidR="00442D45" w:rsidRPr="00CD6245" w:rsidRDefault="00442D45" w:rsidP="00442D45">
      <w:pPr>
        <w:pStyle w:val="Heading2NoNum"/>
      </w:pPr>
      <w:bookmarkStart w:id="121" w:name="_Toc463527733"/>
      <w:r w:rsidRPr="00CD6245">
        <w:lastRenderedPageBreak/>
        <w:t>Department of Environment, Land, Water and Planning</w:t>
      </w:r>
      <w:bookmarkEnd w:id="121"/>
    </w:p>
    <w:tbl>
      <w:tblPr>
        <w:tblStyle w:val="TableGrid"/>
        <w:tblW w:w="8245" w:type="dxa"/>
        <w:tblInd w:w="79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82"/>
        <w:gridCol w:w="6663"/>
      </w:tblGrid>
      <w:tr w:rsidR="00442D45" w:rsidRPr="00CD6245" w:rsidTr="00870CCC">
        <w:tc>
          <w:tcPr>
            <w:tcW w:w="1582" w:type="dxa"/>
          </w:tcPr>
          <w:p w:rsidR="00442D45" w:rsidRPr="00CD6245" w:rsidRDefault="00442D45" w:rsidP="00870CCC">
            <w:pPr>
              <w:keepNext/>
              <w:spacing w:before="40" w:after="40"/>
              <w:rPr>
                <w:rFonts w:ascii="Calibri" w:hAnsi="Calibri" w:cs="Calibri"/>
                <w:b/>
                <w:color w:val="333333"/>
                <w:szCs w:val="20"/>
              </w:rPr>
            </w:pPr>
            <w:r w:rsidRPr="00CD6245">
              <w:rPr>
                <w:rFonts w:ascii="Calibri" w:hAnsi="Calibri" w:cs="Calibri"/>
                <w:b/>
                <w:color w:val="333333"/>
                <w:szCs w:val="20"/>
              </w:rPr>
              <w:t>IPU Chair</w:t>
            </w:r>
          </w:p>
        </w:tc>
        <w:tc>
          <w:tcPr>
            <w:tcW w:w="6663" w:type="dxa"/>
          </w:tcPr>
          <w:p w:rsidR="00442D45" w:rsidRPr="00CD6245" w:rsidRDefault="00442D45" w:rsidP="00870CCC">
            <w:pPr>
              <w:spacing w:before="20" w:after="20"/>
              <w:rPr>
                <w:rFonts w:ascii="Calibri" w:hAnsi="Calibri" w:cs="Calibri"/>
                <w:sz w:val="22"/>
                <w:szCs w:val="22"/>
              </w:rPr>
            </w:pPr>
            <w:r w:rsidRPr="00CD6245">
              <w:rPr>
                <w:rFonts w:ascii="Calibri" w:hAnsi="Calibri" w:cs="Calibri"/>
                <w:sz w:val="22"/>
                <w:szCs w:val="22"/>
              </w:rPr>
              <w:t>Kathryn Anderson, Deputy Secretary, Corporate Services</w:t>
            </w:r>
          </w:p>
        </w:tc>
      </w:tr>
      <w:tr w:rsidR="00442D45" w:rsidRPr="00CD6245" w:rsidTr="00870CCC">
        <w:tc>
          <w:tcPr>
            <w:tcW w:w="1582" w:type="dxa"/>
          </w:tcPr>
          <w:p w:rsidR="00442D45" w:rsidRPr="00CD6245" w:rsidRDefault="00442D45" w:rsidP="00870CCC">
            <w:pPr>
              <w:keepNext/>
              <w:spacing w:before="40" w:after="40"/>
              <w:rPr>
                <w:rFonts w:ascii="Calibri" w:hAnsi="Calibri" w:cs="Calibri"/>
                <w:b/>
                <w:color w:val="333333"/>
                <w:szCs w:val="20"/>
              </w:rPr>
            </w:pPr>
            <w:r w:rsidRPr="00CD6245">
              <w:rPr>
                <w:rFonts w:ascii="Calibri" w:hAnsi="Calibri" w:cs="Calibri"/>
                <w:b/>
                <w:color w:val="333333"/>
                <w:szCs w:val="20"/>
              </w:rPr>
              <w:t>CPO</w:t>
            </w:r>
          </w:p>
        </w:tc>
        <w:tc>
          <w:tcPr>
            <w:tcW w:w="6663" w:type="dxa"/>
          </w:tcPr>
          <w:p w:rsidR="00442D45" w:rsidRPr="00CD6245" w:rsidRDefault="00442D45" w:rsidP="00870CCC">
            <w:pPr>
              <w:spacing w:before="20" w:after="20"/>
              <w:rPr>
                <w:rFonts w:ascii="Calibri" w:hAnsi="Calibri" w:cs="Calibri"/>
                <w:sz w:val="22"/>
                <w:szCs w:val="22"/>
              </w:rPr>
            </w:pPr>
            <w:r w:rsidRPr="00CD6245">
              <w:rPr>
                <w:rFonts w:ascii="Calibri" w:hAnsi="Calibri" w:cs="Calibri"/>
                <w:sz w:val="22"/>
                <w:szCs w:val="22"/>
              </w:rPr>
              <w:t>Anthony Connelly,</w:t>
            </w:r>
            <w:r w:rsidRPr="00CD6245">
              <w:rPr>
                <w:sz w:val="22"/>
                <w:szCs w:val="22"/>
              </w:rPr>
              <w:t xml:space="preserve"> </w:t>
            </w:r>
            <w:r w:rsidRPr="00CD6245">
              <w:rPr>
                <w:rFonts w:ascii="Calibri" w:hAnsi="Calibri" w:cs="Calibri"/>
                <w:sz w:val="22"/>
                <w:szCs w:val="22"/>
              </w:rPr>
              <w:t>Executive Director, Business, Executive and Ministerial Services, Corporate Services</w:t>
            </w:r>
          </w:p>
        </w:tc>
      </w:tr>
    </w:tbl>
    <w:p w:rsidR="00442D45" w:rsidRPr="00CD6245" w:rsidRDefault="00442D45" w:rsidP="00442D45">
      <w:pPr>
        <w:pStyle w:val="Heading3NoNum"/>
      </w:pPr>
      <w:r w:rsidRPr="00CD6245">
        <w:t>Procurement profile</w:t>
      </w:r>
    </w:p>
    <w:p w:rsidR="00442D45" w:rsidRPr="00CD6245" w:rsidRDefault="00442D45" w:rsidP="00442D45">
      <w:pPr>
        <w:pStyle w:val="Normal1"/>
      </w:pPr>
      <w:r w:rsidRPr="00CD6245">
        <w:t>The Department of Environment, Land, Water and Planning (DELWP) is tasked</w:t>
      </w:r>
      <w:r w:rsidR="000E3F05" w:rsidRPr="00CD6245">
        <w:t xml:space="preserve"> </w:t>
      </w:r>
      <w:r w:rsidRPr="00CD6245">
        <w:t>with creating liveable, inclusive and sustainable communities. DELWP focuses on caring for and protecting the environment and helping to respond to climate change through risk mitigation and adaptation strategies. DELWP assists local governments to support people, communities and growth at the local level. DELWP's individual and collective expertise across energy, environment, climate change, water, planning and local government is an essential part of its success.</w:t>
      </w:r>
    </w:p>
    <w:p w:rsidR="00442D45" w:rsidRPr="00CD6245" w:rsidRDefault="00442D45" w:rsidP="00442D45">
      <w:pPr>
        <w:pStyle w:val="Normal1"/>
      </w:pPr>
      <w:r w:rsidRPr="00CD6245">
        <w:t>DELWP is an organisationally diverse department with a broad and operationally extensive procurement profile. At any one time</w:t>
      </w:r>
      <w:r w:rsidR="000E3F05" w:rsidRPr="00CD6245">
        <w:t>,</w:t>
      </w:r>
      <w:r w:rsidRPr="00CD6245">
        <w:t xml:space="preserve"> there are </w:t>
      </w:r>
      <w:r w:rsidR="000E3F05" w:rsidRPr="00CD6245">
        <w:t xml:space="preserve">more than </w:t>
      </w:r>
      <w:r w:rsidR="000D7385" w:rsidRPr="00CD6245">
        <w:t>1 </w:t>
      </w:r>
      <w:r w:rsidRPr="00CD6245">
        <w:t>500 current contracts ranging from low value</w:t>
      </w:r>
      <w:r w:rsidR="000E3F05" w:rsidRPr="00CD6245">
        <w:t>,</w:t>
      </w:r>
      <w:r w:rsidRPr="00CD6245">
        <w:t xml:space="preserve"> low risk to highly complex, long term contracts that are significant for the department and the state and</w:t>
      </w:r>
      <w:r w:rsidR="000D7385" w:rsidRPr="00CD6245">
        <w:t xml:space="preserve"> need high-</w:t>
      </w:r>
      <w:r w:rsidRPr="00CD6245">
        <w:t>level management.</w:t>
      </w:r>
    </w:p>
    <w:p w:rsidR="00442D45" w:rsidRPr="00CD6245" w:rsidRDefault="00442D45" w:rsidP="00442D45">
      <w:pPr>
        <w:pStyle w:val="Normal1"/>
      </w:pPr>
      <w:r w:rsidRPr="00CD6245">
        <w:t>A significant portion of DELWP’s procurement activity focuses on emergency management related to fire and flood recovery, including a chartered fleet of around 50 aircraft. In addition, DELWP’s IT area covers an expansive array of system applications that support the department and community to deliver government obligations and objectives in the areas of land management, environment, water and planning.</w:t>
      </w:r>
    </w:p>
    <w:p w:rsidR="00442D45" w:rsidRPr="00CD6245" w:rsidRDefault="00442D45" w:rsidP="00442D45">
      <w:pPr>
        <w:pStyle w:val="Normal1"/>
      </w:pPr>
      <w:r w:rsidRPr="00CD6245">
        <w:t>The more significant procurement sourcing activities in 2015–16 included a panel of property valuers for the Valuer-General, type 2 and type 3 helicopters, maintenance and IT support for the Victorian water register, supply of cab chassis and maintenance support for fire tankers, and design and manufacture of fire tanker bodies.</w:t>
      </w:r>
    </w:p>
    <w:p w:rsidR="00442D45" w:rsidRPr="00CD6245" w:rsidRDefault="00442D45" w:rsidP="00442D45">
      <w:pPr>
        <w:pStyle w:val="Heading3NoNum"/>
      </w:pPr>
      <w:r w:rsidRPr="00CD6245">
        <w:t>Procurement activities in 2015–16</w:t>
      </w:r>
    </w:p>
    <w:p w:rsidR="00442D45" w:rsidRPr="00CD6245" w:rsidRDefault="00442D45" w:rsidP="00442D45">
      <w:pPr>
        <w:pStyle w:val="Normal1"/>
      </w:pPr>
      <w:r w:rsidRPr="00CD6245">
        <w:rPr>
          <w:szCs w:val="20"/>
        </w:rPr>
        <w:t>In 2015–16</w:t>
      </w:r>
      <w:r w:rsidR="000E3F05" w:rsidRPr="00CD6245">
        <w:rPr>
          <w:szCs w:val="20"/>
        </w:rPr>
        <w:t>,</w:t>
      </w:r>
      <w:r w:rsidRPr="00CD6245">
        <w:t xml:space="preserve"> DELWP set up a new structure for the procurement team and strengthened procurement governance by </w:t>
      </w:r>
      <w:r w:rsidR="003B0515">
        <w:t>restructur</w:t>
      </w:r>
      <w:r w:rsidR="001F0BFD" w:rsidRPr="00CD6245">
        <w:t>ing</w:t>
      </w:r>
      <w:r w:rsidRPr="00CD6245">
        <w:t xml:space="preserve"> the </w:t>
      </w:r>
      <w:r w:rsidR="00355BB9" w:rsidRPr="00CD6245">
        <w:t>Procurement Governance Committee</w:t>
      </w:r>
      <w:r w:rsidRPr="00CD6245">
        <w:t>. New resources were added to the team to strengthen category management capability and to support increased reporting and compliance activity.</w:t>
      </w:r>
    </w:p>
    <w:p w:rsidR="00442D45" w:rsidRPr="00CD6245" w:rsidRDefault="00442D45" w:rsidP="00442D45">
      <w:pPr>
        <w:pStyle w:val="Normal1"/>
      </w:pPr>
      <w:r w:rsidRPr="00CD6245">
        <w:t>The department focused on social procurement objectives such as promoting Aboriginal businesses in Victoria as part of the DELWP Aboriginal Action Plan, and developing a socially responsible procurement policy to integrate gender equity, diversity, disability and environmental objectives into DELWP’s procurement practices.</w:t>
      </w:r>
    </w:p>
    <w:p w:rsidR="00442D45" w:rsidRPr="00CD6245" w:rsidRDefault="00442D45" w:rsidP="00442D45">
      <w:pPr>
        <w:pStyle w:val="Normal1"/>
        <w:rPr>
          <w:bCs/>
        </w:rPr>
      </w:pPr>
      <w:r w:rsidRPr="00CD6245">
        <w:rPr>
          <w:bCs/>
        </w:rPr>
        <w:t>To establish a baseline for capability, DELWP engaged an external organisation to provide a tool to help staff self-assess their procurement capability across seven stages of the procurement cycle. DELWP plans to repeat the assessment annually to measure improved confidence in conducting procurement.</w:t>
      </w:r>
    </w:p>
    <w:p w:rsidR="00442D45" w:rsidRPr="00CD6245" w:rsidRDefault="000E3F05" w:rsidP="00442D45">
      <w:pPr>
        <w:pStyle w:val="Normal1"/>
      </w:pPr>
      <w:r w:rsidRPr="00CD6245">
        <w:t xml:space="preserve">DELWP </w:t>
      </w:r>
      <w:r w:rsidR="00442D45" w:rsidRPr="00CD6245">
        <w:t>reviewed training needs and implemented three new training courses and improved existing training and materials, encouraging more staff to attend formal training. DELWP holds a quarterly procurement forum attended by 50 to 60 staff.</w:t>
      </w:r>
    </w:p>
    <w:p w:rsidR="00442D45" w:rsidRPr="00CD6245" w:rsidRDefault="003831C5" w:rsidP="00442D45">
      <w:pPr>
        <w:pStyle w:val="Normal1"/>
      </w:pPr>
      <w:r w:rsidRPr="00CD6245">
        <w:t>T</w:t>
      </w:r>
      <w:r w:rsidR="00442D45" w:rsidRPr="00CD6245">
        <w:t>he department strengthened compliance with procurements from the ICT eServices and staffing services SPC categories</w:t>
      </w:r>
      <w:r w:rsidR="003B0515">
        <w:t xml:space="preserve">. This </w:t>
      </w:r>
      <w:r w:rsidR="00442D45" w:rsidRPr="00CD6245">
        <w:t>ensure</w:t>
      </w:r>
      <w:r w:rsidR="003B0515">
        <w:t>s</w:t>
      </w:r>
      <w:r w:rsidR="00442D45" w:rsidRPr="00CD6245">
        <w:t xml:space="preserve"> better value for money including monitoring expenditure and contracts to ensure discounts and improved services are applied by service providers.</w:t>
      </w:r>
    </w:p>
    <w:p w:rsidR="00442D45" w:rsidRPr="00CD6245" w:rsidRDefault="00442D45" w:rsidP="00442D45">
      <w:pPr>
        <w:pStyle w:val="Heading3NoNum"/>
      </w:pPr>
      <w:r w:rsidRPr="00CD6245">
        <w:t>Performance in 2015–16</w:t>
      </w:r>
    </w:p>
    <w:p w:rsidR="00442D45" w:rsidRPr="00CD6245" w:rsidRDefault="00AC517C" w:rsidP="00442D45">
      <w:pPr>
        <w:pStyle w:val="Normal1"/>
        <w:rPr>
          <w:lang w:eastAsia="en-US"/>
        </w:rPr>
      </w:pPr>
      <w:r>
        <w:fldChar w:fldCharType="begin"/>
      </w:r>
      <w:r>
        <w:instrText xml:space="preserve"> REF _Ref457241796 \h  \* MERGEFORMAT </w:instrText>
      </w:r>
      <w:r>
        <w:fldChar w:fldCharType="separate"/>
      </w:r>
      <w:r w:rsidR="002E75B9" w:rsidRPr="00CD6245">
        <w:t xml:space="preserve">Table </w:t>
      </w:r>
      <w:r w:rsidR="002E75B9">
        <w:rPr>
          <w:noProof/>
        </w:rPr>
        <w:t>24</w:t>
      </w:r>
      <w:r>
        <w:fldChar w:fldCharType="end"/>
      </w:r>
      <w:r w:rsidR="00442D45" w:rsidRPr="00CD6245">
        <w:rPr>
          <w:lang w:eastAsia="en-US"/>
        </w:rPr>
        <w:t xml:space="preserve"> lists DELWP’s </w:t>
      </w:r>
      <w:r w:rsidR="00442D45" w:rsidRPr="00CD6245">
        <w:t xml:space="preserve">data for the six performance measures. Data for 2015–16 reflects a ‘best endeavours’ approach given the significant amount of work involved in setting up processes to </w:t>
      </w:r>
      <w:r w:rsidR="00442D45" w:rsidRPr="00CD6245">
        <w:lastRenderedPageBreak/>
        <w:t xml:space="preserve">report against the performance measures. As far as possible, the 2015–16 outcomes will help form the baseline against which </w:t>
      </w:r>
      <w:r w:rsidR="00666B32" w:rsidRPr="00CD6245">
        <w:t xml:space="preserve">DELWP </w:t>
      </w:r>
      <w:r w:rsidR="00442D45" w:rsidRPr="00CD6245">
        <w:t>will measure performance in future years.</w:t>
      </w:r>
    </w:p>
    <w:p w:rsidR="00442D45" w:rsidRDefault="00442D45" w:rsidP="00442D45">
      <w:pPr>
        <w:pStyle w:val="Caption"/>
      </w:pPr>
      <w:bookmarkStart w:id="122" w:name="_Ref457241796"/>
      <w:bookmarkStart w:id="123" w:name="_Toc463527859"/>
      <w:r w:rsidRPr="00CD6245">
        <w:t xml:space="preserve">Table </w:t>
      </w:r>
      <w:r w:rsidR="002B07C2" w:rsidRPr="00CD6245">
        <w:fldChar w:fldCharType="begin"/>
      </w:r>
      <w:r w:rsidR="005C04D8" w:rsidRPr="00CD6245">
        <w:instrText xml:space="preserve"> SEQ Table \* ARABIC </w:instrText>
      </w:r>
      <w:r w:rsidR="002B07C2" w:rsidRPr="00CD6245">
        <w:fldChar w:fldCharType="separate"/>
      </w:r>
      <w:r w:rsidR="002E75B9">
        <w:rPr>
          <w:noProof/>
        </w:rPr>
        <w:t>24</w:t>
      </w:r>
      <w:r w:rsidR="002B07C2" w:rsidRPr="00CD6245">
        <w:fldChar w:fldCharType="end"/>
      </w:r>
      <w:bookmarkEnd w:id="122"/>
      <w:r w:rsidRPr="00CD6245">
        <w:t>: DELWP performance in 2015–16</w:t>
      </w:r>
      <w:bookmarkEnd w:id="123"/>
    </w:p>
    <w:p w:rsidR="003B0515" w:rsidRPr="003B0515" w:rsidRDefault="003B0515" w:rsidP="003B0515">
      <w:pPr>
        <w:ind w:left="720"/>
      </w:pPr>
      <w:r>
        <w:rPr>
          <w:noProof/>
        </w:rPr>
        <w:drawing>
          <wp:inline distT="0" distB="0" distL="0" distR="0" wp14:anchorId="32CFD038" wp14:editId="6973B8C0">
            <wp:extent cx="5252085" cy="5196205"/>
            <wp:effectExtent l="0" t="0" r="5715" b="4445"/>
            <wp:docPr id="46" name="Picture 46" descr="Orange Crush:Users:chrisashe:Desktop:DTF033_VGPB-T24.jpg"/>
            <wp:cNvGraphicFramePr/>
            <a:graphic xmlns:a="http://schemas.openxmlformats.org/drawingml/2006/main">
              <a:graphicData uri="http://schemas.openxmlformats.org/drawingml/2006/picture">
                <pic:pic xmlns:pic="http://schemas.openxmlformats.org/drawingml/2006/picture">
                  <pic:nvPicPr>
                    <pic:cNvPr id="46" name="Picture 46" descr="Orange Crush:Users:chrisashe:Desktop:DTF033_VGPB-T24.jpg"/>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252085" cy="5196205"/>
                    </a:xfrm>
                    <a:prstGeom prst="rect">
                      <a:avLst/>
                    </a:prstGeom>
                    <a:noFill/>
                    <a:ln>
                      <a:noFill/>
                    </a:ln>
                  </pic:spPr>
                </pic:pic>
              </a:graphicData>
            </a:graphic>
          </wp:inline>
        </w:drawing>
      </w:r>
    </w:p>
    <w:p w:rsidR="00442D45" w:rsidRPr="00CD6245" w:rsidRDefault="00442D45" w:rsidP="00442D45">
      <w:pPr>
        <w:pStyle w:val="Heading3NoNum"/>
      </w:pPr>
      <w:r w:rsidRPr="00CD6245">
        <w:t>Procurement activities planned for 2016–17</w:t>
      </w:r>
    </w:p>
    <w:p w:rsidR="00442D45" w:rsidRPr="00CD6245" w:rsidRDefault="00442D45" w:rsidP="00442D45">
      <w:pPr>
        <w:pStyle w:val="Normal1"/>
      </w:pPr>
      <w:r w:rsidRPr="00CD6245">
        <w:t>In 2016–17</w:t>
      </w:r>
      <w:r w:rsidR="003B0515">
        <w:t>,</w:t>
      </w:r>
      <w:r w:rsidRPr="00CD6245">
        <w:t xml:space="preserve"> DELWP will:</w:t>
      </w:r>
    </w:p>
    <w:p w:rsidR="00442D45" w:rsidRPr="00CD6245" w:rsidRDefault="00442D45" w:rsidP="00442D45">
      <w:pPr>
        <w:pStyle w:val="Bullet1"/>
      </w:pPr>
      <w:r w:rsidRPr="00CD6245">
        <w:t>improve the contract register to allow for performance and milestone reporting;</w:t>
      </w:r>
    </w:p>
    <w:p w:rsidR="00442D45" w:rsidRPr="00CD6245" w:rsidRDefault="00442D45" w:rsidP="00442D45">
      <w:pPr>
        <w:pStyle w:val="Bullet1"/>
      </w:pPr>
      <w:r w:rsidRPr="00CD6245">
        <w:t>strengthen its commitment to socially responsible procurement by considering other areas for inclusion and educating staff where possible to promote government objectives in this area;</w:t>
      </w:r>
    </w:p>
    <w:p w:rsidR="00442D45" w:rsidRPr="00CD6245" w:rsidRDefault="00442D45" w:rsidP="00442D45">
      <w:pPr>
        <w:pStyle w:val="Bullet1"/>
      </w:pPr>
      <w:r w:rsidRPr="00CD6245">
        <w:t>continue to identify opportunities for savings and efficiencies, particularly in the areas of staffing services, professional services and ICT procurement; and</w:t>
      </w:r>
    </w:p>
    <w:p w:rsidR="00442D45" w:rsidRPr="00CD6245" w:rsidRDefault="00442D45" w:rsidP="00442D45">
      <w:pPr>
        <w:pStyle w:val="Bullet1"/>
        <w:rPr>
          <w:b/>
        </w:rPr>
      </w:pPr>
      <w:r w:rsidRPr="00CD6245">
        <w:t>carry out a full spend analysis to assess spending over the 2015–16 financial year following machinery of government changes in the previous year.</w:t>
      </w:r>
    </w:p>
    <w:p w:rsidR="00442D45" w:rsidRPr="00CD6245" w:rsidRDefault="00442D45" w:rsidP="00442D45"/>
    <w:p w:rsidR="00442D45" w:rsidRPr="00CD6245" w:rsidRDefault="00442D45">
      <w:pPr>
        <w:rPr>
          <w:rFonts w:ascii="Calibri" w:hAnsi="Calibri" w:cs="Calibri"/>
          <w:color w:val="4D4D4D"/>
          <w:kern w:val="28"/>
          <w:sz w:val="30"/>
          <w:szCs w:val="22"/>
          <w:lang w:eastAsia="en-US"/>
        </w:rPr>
      </w:pPr>
      <w:bookmarkStart w:id="124" w:name="_Toc366693337"/>
      <w:r w:rsidRPr="00CD6245">
        <w:br w:type="page"/>
      </w:r>
    </w:p>
    <w:p w:rsidR="00442D45" w:rsidRPr="00CD6245" w:rsidRDefault="00442D45" w:rsidP="00442D45">
      <w:pPr>
        <w:pStyle w:val="Heading2NoNum"/>
      </w:pPr>
      <w:bookmarkStart w:id="125" w:name="_Toc463527734"/>
      <w:bookmarkEnd w:id="124"/>
      <w:r w:rsidRPr="00CD6245">
        <w:lastRenderedPageBreak/>
        <w:t>Department of Health and Human Services</w:t>
      </w:r>
      <w:bookmarkEnd w:id="125"/>
    </w:p>
    <w:tbl>
      <w:tblPr>
        <w:tblStyle w:val="TableGrid"/>
        <w:tblW w:w="8245" w:type="dxa"/>
        <w:tblInd w:w="79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82"/>
        <w:gridCol w:w="6663"/>
      </w:tblGrid>
      <w:tr w:rsidR="00442D45" w:rsidRPr="00CD6245" w:rsidTr="00870CCC">
        <w:tc>
          <w:tcPr>
            <w:tcW w:w="1582" w:type="dxa"/>
          </w:tcPr>
          <w:p w:rsidR="00442D45" w:rsidRPr="00CD6245" w:rsidRDefault="00442D45" w:rsidP="00870CCC">
            <w:pPr>
              <w:keepNext/>
              <w:spacing w:before="40" w:after="40"/>
              <w:rPr>
                <w:rFonts w:ascii="Calibri" w:hAnsi="Calibri" w:cs="Calibri"/>
                <w:b/>
                <w:color w:val="333333"/>
              </w:rPr>
            </w:pPr>
            <w:r w:rsidRPr="00CD6245">
              <w:rPr>
                <w:rFonts w:ascii="Calibri" w:hAnsi="Calibri" w:cs="Calibri"/>
                <w:b/>
                <w:color w:val="333333"/>
              </w:rPr>
              <w:t>IPU Chair</w:t>
            </w:r>
          </w:p>
        </w:tc>
        <w:tc>
          <w:tcPr>
            <w:tcW w:w="6663" w:type="dxa"/>
          </w:tcPr>
          <w:p w:rsidR="00442D45" w:rsidRPr="00CD6245" w:rsidRDefault="00442D45" w:rsidP="00870CCC">
            <w:pPr>
              <w:spacing w:before="20" w:after="20"/>
              <w:rPr>
                <w:rFonts w:ascii="Calibri" w:hAnsi="Calibri" w:cs="Calibri"/>
                <w:sz w:val="22"/>
                <w:szCs w:val="22"/>
              </w:rPr>
            </w:pPr>
            <w:r w:rsidRPr="00CD6245">
              <w:rPr>
                <w:rFonts w:ascii="Calibri" w:hAnsi="Calibri" w:cs="Calibri"/>
                <w:sz w:val="22"/>
                <w:szCs w:val="22"/>
              </w:rPr>
              <w:t>Lance Wallace, Deputy Secretary, Corporate Services</w:t>
            </w:r>
          </w:p>
        </w:tc>
      </w:tr>
      <w:tr w:rsidR="00442D45" w:rsidRPr="00CD6245" w:rsidTr="00870CCC">
        <w:tc>
          <w:tcPr>
            <w:tcW w:w="1582" w:type="dxa"/>
          </w:tcPr>
          <w:p w:rsidR="00442D45" w:rsidRPr="00CD6245" w:rsidRDefault="00442D45" w:rsidP="00870CCC">
            <w:pPr>
              <w:keepNext/>
              <w:spacing w:before="40" w:after="40"/>
              <w:rPr>
                <w:rFonts w:ascii="Calibri" w:hAnsi="Calibri" w:cs="Calibri"/>
                <w:b/>
                <w:color w:val="333333"/>
              </w:rPr>
            </w:pPr>
            <w:r w:rsidRPr="00CD6245">
              <w:rPr>
                <w:rFonts w:ascii="Calibri" w:hAnsi="Calibri" w:cs="Calibri"/>
                <w:b/>
                <w:color w:val="333333"/>
              </w:rPr>
              <w:t>CPO</w:t>
            </w:r>
          </w:p>
        </w:tc>
        <w:tc>
          <w:tcPr>
            <w:tcW w:w="6663" w:type="dxa"/>
          </w:tcPr>
          <w:p w:rsidR="00442D45" w:rsidRPr="00CD6245" w:rsidRDefault="00442D45" w:rsidP="00870CCC">
            <w:pPr>
              <w:spacing w:before="20" w:after="20"/>
              <w:rPr>
                <w:rFonts w:ascii="Calibri" w:hAnsi="Calibri" w:cs="Calibri"/>
                <w:sz w:val="22"/>
                <w:szCs w:val="22"/>
              </w:rPr>
            </w:pPr>
            <w:r w:rsidRPr="00CD6245">
              <w:rPr>
                <w:rFonts w:ascii="Calibri" w:hAnsi="Calibri" w:cs="Calibri"/>
                <w:sz w:val="22"/>
                <w:szCs w:val="22"/>
              </w:rPr>
              <w:t>Genine Wallinga, Director, Procurement and Contract Management</w:t>
            </w:r>
          </w:p>
        </w:tc>
      </w:tr>
    </w:tbl>
    <w:p w:rsidR="00442D45" w:rsidRPr="00CD6245" w:rsidRDefault="00442D45" w:rsidP="00442D45">
      <w:pPr>
        <w:pStyle w:val="Heading3NoNum"/>
      </w:pPr>
      <w:r w:rsidRPr="00CD6245">
        <w:t>Procurement profile</w:t>
      </w:r>
    </w:p>
    <w:p w:rsidR="00442D45" w:rsidRPr="00CD6245" w:rsidRDefault="00442D45" w:rsidP="00442D45">
      <w:pPr>
        <w:pStyle w:val="Normal1"/>
      </w:pPr>
      <w:r w:rsidRPr="00CD6245">
        <w:t>The Department of Health and Human Services (DHHS) develops and delivers policies, programs and services that support and enhance the wellbeing of all Victorians</w:t>
      </w:r>
      <w:r w:rsidR="00B94734">
        <w:t xml:space="preserve"> through the efforts of over </w:t>
      </w:r>
      <w:r w:rsidR="00B94734" w:rsidRPr="00B94734">
        <w:t>10</w:t>
      </w:r>
      <w:r w:rsidR="00B94734">
        <w:t xml:space="preserve"> </w:t>
      </w:r>
      <w:r w:rsidRPr="00B94734">
        <w:t>000</w:t>
      </w:r>
      <w:r w:rsidRPr="00CD6245">
        <w:t xml:space="preserve"> staff located throughout Victoria and the broad range of department</w:t>
      </w:r>
      <w:r w:rsidR="00392DBB" w:rsidRPr="00CD6245">
        <w:t>-</w:t>
      </w:r>
      <w:r w:rsidRPr="00CD6245">
        <w:t>funded community sector and public health organisations.</w:t>
      </w:r>
    </w:p>
    <w:p w:rsidR="00B94734" w:rsidRPr="00B94734" w:rsidRDefault="00442D45" w:rsidP="006F19A9">
      <w:pPr>
        <w:pStyle w:val="Normal1"/>
      </w:pPr>
      <w:r w:rsidRPr="00CD6245">
        <w:t>In delivering these services, the department procures goods and services to the value of approximately $609 million annually acr</w:t>
      </w:r>
      <w:r w:rsidR="00B94734">
        <w:t>oss a broad range of categories,</w:t>
      </w:r>
      <w:r w:rsidR="00B94734" w:rsidRPr="00B94734">
        <w:t xml:space="preserve"> equivalent to 4 per cent of the department’s budget excluding employee-related expenses.</w:t>
      </w:r>
    </w:p>
    <w:p w:rsidR="00442D45" w:rsidRPr="00CD6245" w:rsidRDefault="00442D45" w:rsidP="00442D45">
      <w:pPr>
        <w:pStyle w:val="Normal1"/>
      </w:pPr>
      <w:r w:rsidRPr="00CD6245">
        <w:t xml:space="preserve">Procurement of goods and services in the department is overseen by the Procurement Committee. The </w:t>
      </w:r>
      <w:r w:rsidR="00355BB9" w:rsidRPr="00CD6245">
        <w:t>CPO</w:t>
      </w:r>
      <w:r w:rsidRPr="00CD6245">
        <w:t>, who reports to the Chair of the Procurement Committee, directly manages the Procurement Services Unit which is responsible for supporting staff throughout the department when buying goods and services.</w:t>
      </w:r>
    </w:p>
    <w:p w:rsidR="00442D45" w:rsidRPr="00CD6245" w:rsidRDefault="00442D45" w:rsidP="00442D45">
      <w:pPr>
        <w:pStyle w:val="Normal1"/>
      </w:pPr>
      <w:r w:rsidRPr="00CD6245">
        <w:t>In terms of the department's business activities, goods and services</w:t>
      </w:r>
      <w:r w:rsidR="0099167B" w:rsidRPr="00CD6245">
        <w:t>’</w:t>
      </w:r>
      <w:r w:rsidRPr="00CD6245">
        <w:t xml:space="preserve"> spend related mostly to business support (73</w:t>
      </w:r>
      <w:r w:rsidR="003150ED" w:rsidRPr="00CD6245">
        <w:t xml:space="preserve"> per cent) </w:t>
      </w:r>
      <w:r w:rsidRPr="00CD6245">
        <w:t>which covers agency staff, utilities, ICT, security, cleaning, equipment, training, etc. Professional support (18</w:t>
      </w:r>
      <w:r w:rsidR="0064672C" w:rsidRPr="00CD6245">
        <w:t xml:space="preserve"> </w:t>
      </w:r>
      <w:r w:rsidR="003150ED" w:rsidRPr="00CD6245">
        <w:t>per cent</w:t>
      </w:r>
      <w:r w:rsidRPr="00CD6245">
        <w:t>) comprises mainly consultants</w:t>
      </w:r>
      <w:r w:rsidR="00B94734">
        <w:t>,</w:t>
      </w:r>
      <w:r w:rsidRPr="00CD6245">
        <w:t xml:space="preserve"> and client support (9</w:t>
      </w:r>
      <w:r w:rsidR="003150ED" w:rsidRPr="00CD6245">
        <w:t xml:space="preserve"> per cent</w:t>
      </w:r>
      <w:r w:rsidRPr="00CD6245">
        <w:t>) includes food and medical supplies.</w:t>
      </w:r>
    </w:p>
    <w:p w:rsidR="00442D45" w:rsidRPr="00CD6245" w:rsidRDefault="00442D45" w:rsidP="00442D45">
      <w:pPr>
        <w:pStyle w:val="Normal1"/>
      </w:pPr>
      <w:r w:rsidRPr="00CD6245">
        <w:t>The more significant procurement sourcing activities in 2015–16 included reco</w:t>
      </w:r>
      <w:r w:rsidR="00E765C4" w:rsidRPr="00CD6245">
        <w:t>rds storage and services, multi</w:t>
      </w:r>
      <w:r w:rsidRPr="00CD6245">
        <w:t>function devices, super pharmacies and nurses, and pathology services. Major areas of expenditure include medical services and supplies, IT, training, professional services and labour hire.</w:t>
      </w:r>
    </w:p>
    <w:p w:rsidR="00442D45" w:rsidRPr="00CD6245" w:rsidRDefault="00442D45" w:rsidP="00442D45">
      <w:pPr>
        <w:pStyle w:val="Normal1"/>
      </w:pPr>
      <w:r w:rsidRPr="00CD6245">
        <w:t>The department operates a centre</w:t>
      </w:r>
      <w:r w:rsidR="0099167B" w:rsidRPr="00CD6245">
        <w:t>-</w:t>
      </w:r>
      <w:r w:rsidRPr="00CD6245">
        <w:t>led goods and services procurement model via the Procurement Services Unit. During 2015–16, the unit helped staff with some 970 procurement jobs with an estimated future value of approximately $559 million. Of these, 171 resulted in procurement plans being developed (estimated value $409 million) for referral to the Procurement Committee or its delegates in accordance with the department's governance framework.</w:t>
      </w:r>
    </w:p>
    <w:p w:rsidR="00442D45" w:rsidRPr="00CD6245" w:rsidRDefault="00442D45" w:rsidP="00442D45">
      <w:pPr>
        <w:pStyle w:val="Heading3NoNum"/>
      </w:pPr>
      <w:r w:rsidRPr="00CD6245">
        <w:t>Procurement activities in 2015–16</w:t>
      </w:r>
    </w:p>
    <w:p w:rsidR="00442D45" w:rsidRPr="00CD6245" w:rsidRDefault="00442D45" w:rsidP="00442D45">
      <w:pPr>
        <w:pStyle w:val="Normal1"/>
        <w:rPr>
          <w:lang w:eastAsia="en-US"/>
        </w:rPr>
      </w:pPr>
      <w:r w:rsidRPr="00CD6245">
        <w:rPr>
          <w:lang w:eastAsia="en-US"/>
        </w:rPr>
        <w:t>DHHS began preparing for the VGPB audit of compliance with supply policies scheduled for early 2017.</w:t>
      </w:r>
    </w:p>
    <w:p w:rsidR="00442D45" w:rsidRPr="00CD6245" w:rsidRDefault="00442D45" w:rsidP="00442D45">
      <w:pPr>
        <w:pStyle w:val="Normal1"/>
        <w:rPr>
          <w:lang w:eastAsia="en-US"/>
        </w:rPr>
      </w:pPr>
      <w:r w:rsidRPr="00CD6245">
        <w:rPr>
          <w:lang w:eastAsia="en-US"/>
        </w:rPr>
        <w:t>DHHS worked on developing procurement capability by addressing gaps identified in metrics and reporting and benchmarking. The department analysed data to improve its understanding of procurement and links with related (financial and personnel) data, particularly after detailed analysis based on audit and fraud test recommendations. Some 1 200 department vendors were also examined at beneficiary owner level. This has helped the department understand where, if any, potential fraud issues may lie.</w:t>
      </w:r>
    </w:p>
    <w:p w:rsidR="00442D45" w:rsidRPr="00CD6245" w:rsidRDefault="00442D45" w:rsidP="00442D45">
      <w:pPr>
        <w:pStyle w:val="Normal1"/>
        <w:rPr>
          <w:lang w:eastAsia="en-US"/>
        </w:rPr>
      </w:pPr>
      <w:r w:rsidRPr="00CD6245">
        <w:rPr>
          <w:lang w:eastAsia="en-US"/>
        </w:rPr>
        <w:t xml:space="preserve">DHHS also continued to implement training programs under the department’s Finance and Procurement Training </w:t>
      </w:r>
      <w:r w:rsidR="00355BB9" w:rsidRPr="00CD6245">
        <w:rPr>
          <w:lang w:eastAsia="en-US"/>
        </w:rPr>
        <w:t>m</w:t>
      </w:r>
      <w:r w:rsidRPr="00CD6245">
        <w:rPr>
          <w:lang w:eastAsia="en-US"/>
        </w:rPr>
        <w:t>atrix.</w:t>
      </w:r>
    </w:p>
    <w:p w:rsidR="00442D45" w:rsidRPr="00CD6245" w:rsidRDefault="00442D45" w:rsidP="00442D45">
      <w:pPr>
        <w:pStyle w:val="Normal1"/>
        <w:rPr>
          <w:lang w:eastAsia="en-US"/>
        </w:rPr>
      </w:pPr>
      <w:r w:rsidRPr="00CD6245">
        <w:rPr>
          <w:lang w:eastAsia="en-US"/>
        </w:rPr>
        <w:t>Several large-scale SPCs were due for re-tendering in 2015–16 including stationery, travel, financial and commercial services, and staffing services. DHHS made resources available to support the transition to these new SPCs as it involved considerable administrative work and affected a wide cross-section of staff.</w:t>
      </w:r>
    </w:p>
    <w:p w:rsidR="00442D45" w:rsidRPr="00CD6245" w:rsidRDefault="00442D45" w:rsidP="00442D45">
      <w:pPr>
        <w:pStyle w:val="Heading3NoNum"/>
      </w:pPr>
      <w:r w:rsidRPr="00CD6245">
        <w:lastRenderedPageBreak/>
        <w:t>Performance in 2015–16</w:t>
      </w:r>
    </w:p>
    <w:p w:rsidR="00442D45" w:rsidRPr="00CD6245" w:rsidRDefault="00666B32" w:rsidP="00442D45">
      <w:pPr>
        <w:pStyle w:val="Normal1"/>
        <w:rPr>
          <w:lang w:eastAsia="en-US"/>
        </w:rPr>
      </w:pPr>
      <w:bookmarkStart w:id="126" w:name="_Ref457241812"/>
      <w:r w:rsidRPr="00CD6245">
        <w:rPr>
          <w:lang w:eastAsia="en-US"/>
        </w:rPr>
        <w:t xml:space="preserve">Table 25 </w:t>
      </w:r>
      <w:r w:rsidR="00442D45" w:rsidRPr="00CD6245">
        <w:rPr>
          <w:lang w:eastAsia="en-US"/>
        </w:rPr>
        <w:t xml:space="preserve">lists DHHS’s </w:t>
      </w:r>
      <w:r w:rsidR="00442D45" w:rsidRPr="00CD6245">
        <w:t xml:space="preserve">data for the six performance measures. Data for 2015–16 reflects a ‘best endeavours’ approach given the significant amount of work involved in setting up processes to report against the performance measures. As far as possible, the 2015–16 outcomes will help form the baseline against which </w:t>
      </w:r>
      <w:r w:rsidRPr="00CD6245">
        <w:t xml:space="preserve">DHHS </w:t>
      </w:r>
      <w:r w:rsidR="00442D45" w:rsidRPr="00CD6245">
        <w:t>will measure performance in future years.</w:t>
      </w:r>
    </w:p>
    <w:p w:rsidR="00442D45" w:rsidRDefault="00442D45" w:rsidP="00442D45">
      <w:pPr>
        <w:pStyle w:val="Caption"/>
      </w:pPr>
      <w:bookmarkStart w:id="127" w:name="_Toc463527860"/>
      <w:r w:rsidRPr="00CD6245">
        <w:t xml:space="preserve">Table </w:t>
      </w:r>
      <w:r w:rsidR="002B07C2" w:rsidRPr="00CD6245">
        <w:fldChar w:fldCharType="begin"/>
      </w:r>
      <w:r w:rsidR="005C04D8" w:rsidRPr="00CD6245">
        <w:instrText xml:space="preserve"> SEQ Table \* ARABIC </w:instrText>
      </w:r>
      <w:r w:rsidR="002B07C2" w:rsidRPr="00CD6245">
        <w:fldChar w:fldCharType="separate"/>
      </w:r>
      <w:r w:rsidR="002E75B9">
        <w:rPr>
          <w:noProof/>
        </w:rPr>
        <w:t>25</w:t>
      </w:r>
      <w:r w:rsidR="002B07C2" w:rsidRPr="00CD6245">
        <w:fldChar w:fldCharType="end"/>
      </w:r>
      <w:bookmarkEnd w:id="126"/>
      <w:r w:rsidRPr="00CD6245">
        <w:t>: DHHS performance in 2015–16</w:t>
      </w:r>
      <w:bookmarkEnd w:id="127"/>
    </w:p>
    <w:p w:rsidR="00B94734" w:rsidRPr="00B94734" w:rsidRDefault="00B94734" w:rsidP="00B94734">
      <w:pPr>
        <w:ind w:left="720"/>
      </w:pPr>
      <w:r>
        <w:rPr>
          <w:noProof/>
        </w:rPr>
        <w:drawing>
          <wp:inline distT="0" distB="0" distL="0" distR="0" wp14:anchorId="178397BC" wp14:editId="2E60D60C">
            <wp:extent cx="5263515" cy="4349115"/>
            <wp:effectExtent l="0" t="0" r="0" b="0"/>
            <wp:docPr id="47" name="Picture 47" descr="Orange Crush:Users:chrisashe:Desktop:DTF033_VGPB-T25.jpg"/>
            <wp:cNvGraphicFramePr/>
            <a:graphic xmlns:a="http://schemas.openxmlformats.org/drawingml/2006/main">
              <a:graphicData uri="http://schemas.openxmlformats.org/drawingml/2006/picture">
                <pic:pic xmlns:pic="http://schemas.openxmlformats.org/drawingml/2006/picture">
                  <pic:nvPicPr>
                    <pic:cNvPr id="47" name="Picture 47" descr="Orange Crush:Users:chrisashe:Desktop:DTF033_VGPB-T25.jpg"/>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263515" cy="4349115"/>
                    </a:xfrm>
                    <a:prstGeom prst="rect">
                      <a:avLst/>
                    </a:prstGeom>
                    <a:noFill/>
                    <a:ln>
                      <a:noFill/>
                    </a:ln>
                  </pic:spPr>
                </pic:pic>
              </a:graphicData>
            </a:graphic>
          </wp:inline>
        </w:drawing>
      </w:r>
    </w:p>
    <w:p w:rsidR="0011104D" w:rsidRPr="00CD6245" w:rsidRDefault="0011104D" w:rsidP="0011104D">
      <w:pPr>
        <w:rPr>
          <w:rFonts w:ascii="Calibri" w:hAnsi="Calibri" w:cs="Calibri"/>
          <w:color w:val="4D4D4D"/>
          <w:kern w:val="28"/>
          <w:sz w:val="26"/>
          <w:szCs w:val="22"/>
          <w:lang w:eastAsia="en-US"/>
        </w:rPr>
      </w:pPr>
      <w:r w:rsidRPr="00CD6245">
        <w:br w:type="page"/>
      </w:r>
    </w:p>
    <w:p w:rsidR="00442D45" w:rsidRPr="00CD6245" w:rsidRDefault="00442D45" w:rsidP="00442D45">
      <w:pPr>
        <w:pStyle w:val="Heading3NoNum"/>
      </w:pPr>
      <w:r w:rsidRPr="00CD6245">
        <w:lastRenderedPageBreak/>
        <w:t>Procurement activities planned for 2016–17</w:t>
      </w:r>
    </w:p>
    <w:p w:rsidR="00442D45" w:rsidRPr="00CD6245" w:rsidRDefault="00442D45" w:rsidP="00442D45">
      <w:pPr>
        <w:pStyle w:val="Normal1"/>
      </w:pPr>
      <w:r w:rsidRPr="00CD6245">
        <w:t>In 2016–17</w:t>
      </w:r>
      <w:r w:rsidR="00B94734">
        <w:t>,</w:t>
      </w:r>
      <w:r w:rsidRPr="00CD6245">
        <w:t xml:space="preserve"> DHHS will:</w:t>
      </w:r>
    </w:p>
    <w:p w:rsidR="000A26CE" w:rsidRPr="00CD6245" w:rsidRDefault="000A26CE" w:rsidP="000A26CE">
      <w:pPr>
        <w:pStyle w:val="Bullet1"/>
      </w:pPr>
      <w:r w:rsidRPr="00CD6245">
        <w:t xml:space="preserve">prepare a report on the audit of </w:t>
      </w:r>
      <w:r w:rsidR="00B94734">
        <w:t xml:space="preserve">the </w:t>
      </w:r>
      <w:r w:rsidRPr="00CD6245">
        <w:t>VGPB supply policies for review by the VGPB;</w:t>
      </w:r>
    </w:p>
    <w:p w:rsidR="00442D45" w:rsidRPr="00CD6245" w:rsidRDefault="00442D45" w:rsidP="00442D45">
      <w:pPr>
        <w:pStyle w:val="Bullet1"/>
      </w:pPr>
      <w:r w:rsidRPr="00CD6245">
        <w:t xml:space="preserve">consolidate </w:t>
      </w:r>
      <w:r w:rsidR="00CD6245" w:rsidRPr="00CD6245">
        <w:t>learning</w:t>
      </w:r>
      <w:r w:rsidRPr="00CD6245">
        <w:t xml:space="preserve"> from category management arrangements to maximise buying and/or payment efficiencies by establishing at least two SEPCs or improving administrative arrangements;</w:t>
      </w:r>
    </w:p>
    <w:p w:rsidR="00442D45" w:rsidRPr="00CD6245" w:rsidRDefault="00442D45" w:rsidP="00442D45">
      <w:pPr>
        <w:pStyle w:val="Bullet1"/>
      </w:pPr>
      <w:r w:rsidRPr="00CD6245">
        <w:t>review finance and procurement training arrangement</w:t>
      </w:r>
      <w:r w:rsidR="0099167B" w:rsidRPr="00CD6245">
        <w:t>s</w:t>
      </w:r>
      <w:r w:rsidRPr="00CD6245">
        <w:t xml:space="preserve"> to confirm </w:t>
      </w:r>
      <w:r w:rsidR="0099167B" w:rsidRPr="00CD6245">
        <w:t xml:space="preserve">the </w:t>
      </w:r>
      <w:r w:rsidRPr="00CD6245">
        <w:t>best model of delivery based on the department's procurement capability risk profile;</w:t>
      </w:r>
    </w:p>
    <w:p w:rsidR="00442D45" w:rsidRPr="00CD6245" w:rsidRDefault="00442D45" w:rsidP="00442D45">
      <w:pPr>
        <w:pStyle w:val="Bullet1"/>
      </w:pPr>
      <w:r w:rsidRPr="00CD6245">
        <w:t>improve data analytics and data management with better coordination between audit, integrity and finance functions to reduce duplication, target appropriate risk areas and communicate results;</w:t>
      </w:r>
    </w:p>
    <w:p w:rsidR="00442D45" w:rsidRPr="00CD6245" w:rsidRDefault="00442D45" w:rsidP="00442D45">
      <w:pPr>
        <w:pStyle w:val="Bullet1"/>
      </w:pPr>
      <w:r w:rsidRPr="00CD6245">
        <w:t>implement a procurement compliance policy to minimise fraud and corruption in procurement and contract management practices;</w:t>
      </w:r>
    </w:p>
    <w:p w:rsidR="00442D45" w:rsidRPr="00CD6245" w:rsidRDefault="00442D45" w:rsidP="00442D45">
      <w:pPr>
        <w:pStyle w:val="Bullet1"/>
      </w:pPr>
      <w:r w:rsidRPr="00CD6245">
        <w:t>improve the coordina</w:t>
      </w:r>
      <w:r w:rsidR="00B94734">
        <w:t>tion of procurement and finance-</w:t>
      </w:r>
      <w:r w:rsidRPr="00CD6245">
        <w:t>related functions by contributing to procurement systems initiatives at the whole</w:t>
      </w:r>
      <w:r w:rsidR="00870CCC" w:rsidRPr="00CD6245">
        <w:t xml:space="preserve"> </w:t>
      </w:r>
      <w:r w:rsidRPr="00CD6245">
        <w:t>of</w:t>
      </w:r>
      <w:r w:rsidR="00870CCC" w:rsidRPr="00CD6245">
        <w:t xml:space="preserve"> </w:t>
      </w:r>
      <w:r w:rsidRPr="00CD6245">
        <w:t>government</w:t>
      </w:r>
      <w:r w:rsidR="0099167B" w:rsidRPr="00CD6245">
        <w:t xml:space="preserve"> level</w:t>
      </w:r>
      <w:r w:rsidRPr="00CD6245">
        <w:t xml:space="preserve"> (e.g. vendor management, tender management) and departmental levels (e.g. financial system upgrade project); and</w:t>
      </w:r>
    </w:p>
    <w:p w:rsidR="00442D45" w:rsidRPr="00CD6245" w:rsidRDefault="00442D45" w:rsidP="00442D45">
      <w:pPr>
        <w:pStyle w:val="Bullet1"/>
      </w:pPr>
      <w:r w:rsidRPr="00CD6245">
        <w:t>implement a relationship management model throughout DHHS to ensure adequate and appropriate advice is always readily available for department</w:t>
      </w:r>
      <w:r w:rsidR="0099167B" w:rsidRPr="00CD6245">
        <w:t>al</w:t>
      </w:r>
      <w:r w:rsidRPr="00CD6245">
        <w:t xml:space="preserve"> staff when planning or undertaking procurement activities, and forward procurement planning is better supported.</w:t>
      </w:r>
    </w:p>
    <w:p w:rsidR="00442D45" w:rsidRPr="00CD6245" w:rsidRDefault="00442D45" w:rsidP="00442D45"/>
    <w:p w:rsidR="00442D45" w:rsidRPr="00CD6245" w:rsidRDefault="00442D45" w:rsidP="00442D45">
      <w:pPr>
        <w:pStyle w:val="Normal1"/>
        <w:rPr>
          <w:lang w:eastAsia="en-US"/>
        </w:rPr>
      </w:pPr>
    </w:p>
    <w:p w:rsidR="00442D45" w:rsidRPr="00CD6245" w:rsidRDefault="00442D45" w:rsidP="00442D45">
      <w:pPr>
        <w:rPr>
          <w:lang w:eastAsia="en-US"/>
        </w:rPr>
      </w:pPr>
    </w:p>
    <w:p w:rsidR="00442D45" w:rsidRPr="00CD6245" w:rsidRDefault="00442D45">
      <w:pPr>
        <w:rPr>
          <w:rFonts w:ascii="Calibri" w:hAnsi="Calibri" w:cs="Calibri"/>
          <w:color w:val="4D4D4D"/>
          <w:kern w:val="28"/>
          <w:sz w:val="30"/>
          <w:szCs w:val="22"/>
          <w:lang w:eastAsia="en-US"/>
        </w:rPr>
      </w:pPr>
      <w:bookmarkStart w:id="128" w:name="_Toc366693338"/>
      <w:r w:rsidRPr="00CD6245">
        <w:br w:type="page"/>
      </w:r>
    </w:p>
    <w:p w:rsidR="00442D45" w:rsidRPr="00CD6245" w:rsidRDefault="00442D45" w:rsidP="00442D45">
      <w:pPr>
        <w:keepNext/>
        <w:keepLines/>
        <w:widowControl w:val="0"/>
        <w:spacing w:before="280" w:after="120" w:line="216" w:lineRule="auto"/>
        <w:ind w:left="794"/>
        <w:outlineLvl w:val="1"/>
        <w:rPr>
          <w:rFonts w:ascii="Calibri" w:hAnsi="Calibri" w:cs="Calibri"/>
          <w:color w:val="4D4D4D"/>
          <w:kern w:val="28"/>
          <w:sz w:val="30"/>
          <w:szCs w:val="22"/>
          <w:lang w:eastAsia="en-US"/>
        </w:rPr>
      </w:pPr>
      <w:bookmarkStart w:id="129" w:name="_Toc463527735"/>
      <w:bookmarkEnd w:id="128"/>
      <w:r w:rsidRPr="00CD6245">
        <w:rPr>
          <w:rFonts w:ascii="Calibri" w:hAnsi="Calibri" w:cs="Calibri"/>
          <w:color w:val="4D4D4D"/>
          <w:kern w:val="28"/>
          <w:sz w:val="30"/>
          <w:szCs w:val="22"/>
          <w:lang w:eastAsia="en-US"/>
        </w:rPr>
        <w:lastRenderedPageBreak/>
        <w:t>Department of Justice and Regulation</w:t>
      </w:r>
      <w:bookmarkEnd w:id="129"/>
    </w:p>
    <w:tbl>
      <w:tblPr>
        <w:tblStyle w:val="TableGrid"/>
        <w:tblW w:w="8245" w:type="dxa"/>
        <w:tblInd w:w="79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82"/>
        <w:gridCol w:w="6663"/>
      </w:tblGrid>
      <w:tr w:rsidR="00442D45" w:rsidRPr="00CD6245" w:rsidTr="00870CCC">
        <w:tc>
          <w:tcPr>
            <w:tcW w:w="1582" w:type="dxa"/>
          </w:tcPr>
          <w:p w:rsidR="00442D45" w:rsidRPr="00CD6245" w:rsidRDefault="00442D45" w:rsidP="00870CCC">
            <w:pPr>
              <w:keepNext/>
              <w:spacing w:before="40" w:after="40"/>
              <w:rPr>
                <w:rFonts w:ascii="Calibri" w:hAnsi="Calibri" w:cs="Calibri"/>
                <w:b/>
                <w:color w:val="333333"/>
              </w:rPr>
            </w:pPr>
            <w:r w:rsidRPr="00CD6245">
              <w:rPr>
                <w:rFonts w:ascii="Calibri" w:hAnsi="Calibri" w:cs="Calibri"/>
                <w:b/>
                <w:color w:val="333333"/>
              </w:rPr>
              <w:t>IPU Chair</w:t>
            </w:r>
          </w:p>
        </w:tc>
        <w:tc>
          <w:tcPr>
            <w:tcW w:w="6663" w:type="dxa"/>
          </w:tcPr>
          <w:p w:rsidR="00442D45" w:rsidRPr="00CD6245" w:rsidRDefault="00442D45" w:rsidP="00870CCC">
            <w:pPr>
              <w:spacing w:before="20" w:after="20"/>
              <w:rPr>
                <w:rFonts w:ascii="Calibri" w:hAnsi="Calibri" w:cs="Calibri"/>
                <w:sz w:val="22"/>
                <w:szCs w:val="22"/>
              </w:rPr>
            </w:pPr>
            <w:r w:rsidRPr="00CD6245">
              <w:rPr>
                <w:rFonts w:ascii="Calibri" w:hAnsi="Calibri" w:cs="Calibri"/>
                <w:sz w:val="22"/>
                <w:szCs w:val="22"/>
              </w:rPr>
              <w:t>Gail Moody, Deputy Secretary, Corporate Governance and Infrastructure</w:t>
            </w:r>
          </w:p>
        </w:tc>
      </w:tr>
      <w:tr w:rsidR="00442D45" w:rsidRPr="00CD6245" w:rsidTr="00870CCC">
        <w:tc>
          <w:tcPr>
            <w:tcW w:w="1582" w:type="dxa"/>
          </w:tcPr>
          <w:p w:rsidR="00442D45" w:rsidRPr="00CD6245" w:rsidRDefault="00442D45" w:rsidP="00870CCC">
            <w:pPr>
              <w:keepNext/>
              <w:spacing w:before="40" w:after="40"/>
              <w:rPr>
                <w:rFonts w:ascii="Calibri" w:hAnsi="Calibri" w:cs="Calibri"/>
                <w:b/>
                <w:color w:val="333333"/>
              </w:rPr>
            </w:pPr>
            <w:r w:rsidRPr="00CD6245">
              <w:rPr>
                <w:rFonts w:ascii="Calibri" w:hAnsi="Calibri" w:cs="Calibri"/>
                <w:b/>
                <w:color w:val="333333"/>
              </w:rPr>
              <w:t>CPO</w:t>
            </w:r>
          </w:p>
        </w:tc>
        <w:tc>
          <w:tcPr>
            <w:tcW w:w="6663" w:type="dxa"/>
          </w:tcPr>
          <w:p w:rsidR="00442D45" w:rsidRPr="00CD6245" w:rsidRDefault="00442D45" w:rsidP="00870CCC">
            <w:pPr>
              <w:spacing w:before="20" w:after="20"/>
              <w:rPr>
                <w:rFonts w:ascii="Calibri" w:hAnsi="Calibri" w:cs="Calibri"/>
                <w:sz w:val="22"/>
                <w:szCs w:val="22"/>
              </w:rPr>
            </w:pPr>
            <w:r w:rsidRPr="00CD6245">
              <w:rPr>
                <w:rFonts w:ascii="Calibri" w:hAnsi="Calibri" w:cs="Calibri"/>
                <w:sz w:val="22"/>
                <w:szCs w:val="22"/>
              </w:rPr>
              <w:t>Philip Chalkley, Chief Procurement Officer, Office of the Chief Procurement Officer</w:t>
            </w:r>
          </w:p>
        </w:tc>
      </w:tr>
    </w:tbl>
    <w:p w:rsidR="00442D45" w:rsidRPr="00CD6245" w:rsidRDefault="00442D45" w:rsidP="00442D45">
      <w:pPr>
        <w:pStyle w:val="Heading3NoNum"/>
      </w:pPr>
      <w:r w:rsidRPr="00CD6245">
        <w:t>Procurement profile</w:t>
      </w:r>
    </w:p>
    <w:p w:rsidR="00F27810" w:rsidRPr="00CD6245" w:rsidRDefault="00F27810" w:rsidP="00F27810">
      <w:pPr>
        <w:pStyle w:val="Normal1"/>
      </w:pPr>
      <w:r w:rsidRPr="00CD6245">
        <w:t>The Department of Justice and Regulation (DJR) has a devolved procurement model, incorporating a mix of business units with a central procurement area combined with business units with a broad range of procurement practitioners and capability. Many procurements are carried out by individuals with part</w:t>
      </w:r>
      <w:r w:rsidR="00E765C4" w:rsidRPr="00CD6245">
        <w:t>-</w:t>
      </w:r>
      <w:r w:rsidRPr="00CD6245">
        <w:t>time responsibility for procurement. There are an estimated 156 full</w:t>
      </w:r>
      <w:r w:rsidR="00E765C4" w:rsidRPr="00CD6245">
        <w:t>-</w:t>
      </w:r>
      <w:r w:rsidRPr="00CD6245">
        <w:t>time procurement professionals and 144 part</w:t>
      </w:r>
      <w:r w:rsidR="00E765C4" w:rsidRPr="00CD6245">
        <w:t>-</w:t>
      </w:r>
      <w:r w:rsidRPr="00CD6245">
        <w:t>time procurement professionals, with contractors supporting large procurement projects.</w:t>
      </w:r>
    </w:p>
    <w:p w:rsidR="00F27810" w:rsidRPr="00CD6245" w:rsidRDefault="00F27810" w:rsidP="00F27810">
      <w:pPr>
        <w:pStyle w:val="Normal1"/>
      </w:pPr>
      <w:r w:rsidRPr="00CD6245">
        <w:t>The predominant categories of spend across DJR are private prisons, construction and property, ICT, road safety and contractors/consultants equating to approximately 67 per cent of spend, with the full spectrum of procurement complexity and risk rating. The top 100 suppliers for the financial year 2015–16 account for more than 70 per cent of the addressable spend.</w:t>
      </w:r>
    </w:p>
    <w:p w:rsidR="00F27810" w:rsidRPr="00CD6245" w:rsidRDefault="00F27810" w:rsidP="00F27810">
      <w:pPr>
        <w:pStyle w:val="Normal1"/>
      </w:pPr>
      <w:r w:rsidRPr="00CD6245">
        <w:t xml:space="preserve">The Office of the Chief Procurement Officer (OCPO) was established in 2014 and </w:t>
      </w:r>
      <w:r w:rsidR="00B94734">
        <w:t>comprises a</w:t>
      </w:r>
      <w:r w:rsidRPr="00CD6245">
        <w:t xml:space="preserve"> governance and compliance team, a business engagement team, a reporting and analysis team and a grants management team. The business engagement team has implemented a business partnering model for the major procurement areas as a way of distributing targeted information to key procurement contacts within the business.</w:t>
      </w:r>
    </w:p>
    <w:p w:rsidR="00F27810" w:rsidRPr="00CD6245" w:rsidRDefault="00F27810" w:rsidP="00F27810">
      <w:pPr>
        <w:pStyle w:val="Normal1"/>
      </w:pPr>
      <w:r w:rsidRPr="00CD6245">
        <w:t>Corrections Victoria, Regional Services Network and Emergency Management Victoria continue to increase their focus and skills in the area of procurement.</w:t>
      </w:r>
    </w:p>
    <w:p w:rsidR="00F27810" w:rsidRPr="00CD6245" w:rsidRDefault="00F27810" w:rsidP="00F27810">
      <w:pPr>
        <w:pStyle w:val="Normal1"/>
      </w:pPr>
      <w:r w:rsidRPr="00CD6245">
        <w:t>In 2015–16</w:t>
      </w:r>
      <w:r w:rsidR="00B94734">
        <w:t>,</w:t>
      </w:r>
      <w:r w:rsidRPr="00CD6245">
        <w:t xml:space="preserve"> the Procurement Approval Board registered 228 new procurement activities. The total departmental contracted spend for the year was $3.66 billion.</w:t>
      </w:r>
    </w:p>
    <w:p w:rsidR="00442D45" w:rsidRPr="00CD6245" w:rsidRDefault="00442D45" w:rsidP="00442D45">
      <w:pPr>
        <w:pStyle w:val="Heading3NoNum"/>
      </w:pPr>
      <w:r w:rsidRPr="00CD6245">
        <w:t>Procurement activities in 2015–16</w:t>
      </w:r>
    </w:p>
    <w:p w:rsidR="00F27810" w:rsidRPr="00CD6245" w:rsidRDefault="00F27810" w:rsidP="00F27810">
      <w:pPr>
        <w:pStyle w:val="Normal1"/>
      </w:pPr>
      <w:r w:rsidRPr="00CD6245">
        <w:t>DJR continues to support and encourage an increase in practitioner capability through its comprehensive internal procurement and contract management training program, training more than 700 staff over two years. Along with the DJR procurement governance training module, th</w:t>
      </w:r>
      <w:r w:rsidR="00B94734">
        <w:t xml:space="preserve">is </w:t>
      </w:r>
      <w:r w:rsidRPr="00CD6245">
        <w:t xml:space="preserve">training </w:t>
      </w:r>
      <w:r w:rsidR="00B94734">
        <w:t xml:space="preserve">program </w:t>
      </w:r>
      <w:r w:rsidRPr="00CD6245">
        <w:t>has recently been mandated to all practitioners.</w:t>
      </w:r>
    </w:p>
    <w:p w:rsidR="00F27810" w:rsidRPr="00CD6245" w:rsidRDefault="00F27810" w:rsidP="00F27810">
      <w:pPr>
        <w:pStyle w:val="Normal1"/>
      </w:pPr>
      <w:r w:rsidRPr="00CD6245">
        <w:t>The department has introduced a suite of new training programs including evaluation, market assessment and contract management. The department will engage a specialist resource to review and deliver the contract management training with the intent to migrate this to an internal training program.</w:t>
      </w:r>
    </w:p>
    <w:p w:rsidR="00F27810" w:rsidRPr="00CD6245" w:rsidRDefault="00F27810" w:rsidP="00F27810">
      <w:pPr>
        <w:pStyle w:val="Normal1"/>
      </w:pPr>
      <w:r w:rsidRPr="00CD6245">
        <w:t>DJR is in the process of accessing an appropriate certification course provided by a respected training institute in order to award an industry recognised certification for its procurement training course. The department also began preparing a procurement capability improvement survey.</w:t>
      </w:r>
    </w:p>
    <w:p w:rsidR="00F27810" w:rsidRPr="00CD6245" w:rsidRDefault="00F27810" w:rsidP="00F27810">
      <w:pPr>
        <w:pStyle w:val="Normal1"/>
      </w:pPr>
      <w:r w:rsidRPr="00CD6245">
        <w:t>The department introduced an eCatalogue capability in the Oracle iProcurement system to streamline departmental purchasing and contract management practice, increase compliance and price certainty for buyers, and reduce cost to deliver for market/suppliers. The first catalogue has had considerable uptake as it makes it easier for staff to buy items from the catalogue and streamlines the approval process. Purchasing from catalogues provides more detailed and accurate purchasing data which can be used for future leverage.</w:t>
      </w:r>
    </w:p>
    <w:p w:rsidR="00F27810" w:rsidRPr="00CD6245" w:rsidRDefault="00F27810" w:rsidP="00F27810">
      <w:pPr>
        <w:pStyle w:val="Normal1"/>
      </w:pPr>
      <w:r w:rsidRPr="00CD6245">
        <w:t>DJR upgraded its contract management system in 2014 and has further established mandatory reporting for contracts. The system provides more consistent reporting and the data can be used to identify efficiencies and opportunities for aggregation across the department.</w:t>
      </w:r>
    </w:p>
    <w:p w:rsidR="00F27810" w:rsidRPr="00CD6245" w:rsidRDefault="00F27810" w:rsidP="00F27810">
      <w:pPr>
        <w:pStyle w:val="Normal1"/>
      </w:pPr>
      <w:r w:rsidRPr="00CD6245">
        <w:lastRenderedPageBreak/>
        <w:t>The OCPO reviewed the procurement policy and refreshed the associated templates to assist the practitioners in their procurement initiatives and incorporate observations from recent audits or government reviews and enquiries. In addition, the DJR procurement toolbox was refreshed to provide a single, up‐to‐date source of procurement documents, policies and processes.</w:t>
      </w:r>
    </w:p>
    <w:p w:rsidR="00442D45" w:rsidRPr="00CD6245" w:rsidRDefault="00442D45" w:rsidP="00442D45">
      <w:pPr>
        <w:pStyle w:val="Heading3NoNum"/>
      </w:pPr>
      <w:r w:rsidRPr="00CD6245">
        <w:t>Performance in 2015–16</w:t>
      </w:r>
    </w:p>
    <w:p w:rsidR="00442D45" w:rsidRPr="00CD6245" w:rsidRDefault="00AC517C" w:rsidP="00442D45">
      <w:pPr>
        <w:pStyle w:val="Normal1"/>
        <w:rPr>
          <w:lang w:eastAsia="en-US"/>
        </w:rPr>
      </w:pPr>
      <w:r>
        <w:fldChar w:fldCharType="begin"/>
      </w:r>
      <w:r>
        <w:instrText xml:space="preserve"> REF _Ref457241826 \h  \* MERGEFORMAT </w:instrText>
      </w:r>
      <w:r>
        <w:fldChar w:fldCharType="separate"/>
      </w:r>
      <w:r w:rsidR="002E75B9" w:rsidRPr="00CD6245">
        <w:t xml:space="preserve">Table </w:t>
      </w:r>
      <w:r w:rsidR="002E75B9">
        <w:rPr>
          <w:noProof/>
        </w:rPr>
        <w:t>26</w:t>
      </w:r>
      <w:r>
        <w:fldChar w:fldCharType="end"/>
      </w:r>
      <w:r w:rsidR="00442D45" w:rsidRPr="00CD6245">
        <w:rPr>
          <w:lang w:eastAsia="en-US"/>
        </w:rPr>
        <w:t xml:space="preserve"> lists DJR’s </w:t>
      </w:r>
      <w:r w:rsidR="00442D45" w:rsidRPr="00CD6245">
        <w:t xml:space="preserve">data for the six performance measures. Data for 2015–16 reflects a ‘best endeavours’ approach given the significant amount of work involved in setting up processes to report against the performance measures. As far as possible, the 2015–16 outcomes will help form the baseline against which </w:t>
      </w:r>
      <w:r w:rsidR="00666B32" w:rsidRPr="00CD6245">
        <w:t xml:space="preserve">DJR </w:t>
      </w:r>
      <w:r w:rsidR="00442D45" w:rsidRPr="00CD6245">
        <w:t>will measure performance in future years.</w:t>
      </w:r>
    </w:p>
    <w:p w:rsidR="00442D45" w:rsidRDefault="00442D45" w:rsidP="00442D45">
      <w:pPr>
        <w:pStyle w:val="Caption"/>
      </w:pPr>
      <w:bookmarkStart w:id="130" w:name="_Ref457241826"/>
      <w:bookmarkStart w:id="131" w:name="_Toc463527861"/>
      <w:r w:rsidRPr="00CD6245">
        <w:t xml:space="preserve">Table </w:t>
      </w:r>
      <w:r w:rsidR="002B07C2" w:rsidRPr="00CD6245">
        <w:fldChar w:fldCharType="begin"/>
      </w:r>
      <w:r w:rsidR="005C04D8" w:rsidRPr="00CD6245">
        <w:instrText xml:space="preserve"> SEQ Table \* ARABIC </w:instrText>
      </w:r>
      <w:r w:rsidR="002B07C2" w:rsidRPr="00CD6245">
        <w:fldChar w:fldCharType="separate"/>
      </w:r>
      <w:r w:rsidR="002E75B9">
        <w:rPr>
          <w:noProof/>
        </w:rPr>
        <w:t>26</w:t>
      </w:r>
      <w:r w:rsidR="002B07C2" w:rsidRPr="00CD6245">
        <w:fldChar w:fldCharType="end"/>
      </w:r>
      <w:bookmarkEnd w:id="130"/>
      <w:r w:rsidRPr="00CD6245">
        <w:t>: DJR performance in 2015–16</w:t>
      </w:r>
      <w:bookmarkEnd w:id="131"/>
    </w:p>
    <w:p w:rsidR="00B94734" w:rsidRPr="00B94734" w:rsidRDefault="00B94734" w:rsidP="00B94734">
      <w:pPr>
        <w:ind w:left="720"/>
      </w:pPr>
      <w:r>
        <w:rPr>
          <w:noProof/>
        </w:rPr>
        <w:drawing>
          <wp:inline distT="0" distB="0" distL="0" distR="0" wp14:anchorId="54006087" wp14:editId="2D83F08A">
            <wp:extent cx="5274310" cy="4438015"/>
            <wp:effectExtent l="0" t="0" r="2540" b="635"/>
            <wp:docPr id="48" name="Picture 48" descr="Orange Crush:Users:chrisashe:Desktop:DTF033_VGPB-T26.jpg"/>
            <wp:cNvGraphicFramePr/>
            <a:graphic xmlns:a="http://schemas.openxmlformats.org/drawingml/2006/main">
              <a:graphicData uri="http://schemas.openxmlformats.org/drawingml/2006/picture">
                <pic:pic xmlns:pic="http://schemas.openxmlformats.org/drawingml/2006/picture">
                  <pic:nvPicPr>
                    <pic:cNvPr id="48" name="Picture 48" descr="Orange Crush:Users:chrisashe:Desktop:DTF033_VGPB-T26.jpg"/>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274310" cy="4438015"/>
                    </a:xfrm>
                    <a:prstGeom prst="rect">
                      <a:avLst/>
                    </a:prstGeom>
                    <a:noFill/>
                    <a:ln>
                      <a:noFill/>
                    </a:ln>
                  </pic:spPr>
                </pic:pic>
              </a:graphicData>
            </a:graphic>
          </wp:inline>
        </w:drawing>
      </w:r>
    </w:p>
    <w:p w:rsidR="0011104D" w:rsidRPr="00CD6245" w:rsidRDefault="0011104D" w:rsidP="00442D45">
      <w:pPr>
        <w:pStyle w:val="Heading3NoNum"/>
      </w:pPr>
    </w:p>
    <w:p w:rsidR="0011104D" w:rsidRPr="00CD6245" w:rsidRDefault="0011104D" w:rsidP="0011104D">
      <w:pPr>
        <w:rPr>
          <w:rFonts w:ascii="Calibri" w:hAnsi="Calibri" w:cs="Calibri"/>
          <w:color w:val="4D4D4D"/>
          <w:kern w:val="28"/>
          <w:sz w:val="26"/>
          <w:szCs w:val="22"/>
          <w:lang w:eastAsia="en-US"/>
        </w:rPr>
      </w:pPr>
      <w:r w:rsidRPr="00CD6245">
        <w:br w:type="page"/>
      </w:r>
    </w:p>
    <w:p w:rsidR="00442D45" w:rsidRPr="00CD6245" w:rsidRDefault="00442D45" w:rsidP="00442D45">
      <w:pPr>
        <w:pStyle w:val="Heading3NoNum"/>
      </w:pPr>
      <w:r w:rsidRPr="00CD6245">
        <w:lastRenderedPageBreak/>
        <w:t>Procurement activities planned for 2016–17</w:t>
      </w:r>
    </w:p>
    <w:p w:rsidR="00442D45" w:rsidRPr="00CD6245" w:rsidRDefault="00442D45" w:rsidP="00442D45">
      <w:pPr>
        <w:pStyle w:val="Normal1"/>
      </w:pPr>
      <w:r w:rsidRPr="00CD6245">
        <w:t>In 2016–17</w:t>
      </w:r>
      <w:r w:rsidR="00B94734">
        <w:t>,</w:t>
      </w:r>
      <w:r w:rsidRPr="00CD6245">
        <w:t xml:space="preserve"> DJR will:</w:t>
      </w:r>
    </w:p>
    <w:p w:rsidR="00F27810" w:rsidRPr="00CD6245" w:rsidRDefault="00F27810" w:rsidP="00F27810">
      <w:pPr>
        <w:pStyle w:val="Bullet1"/>
      </w:pPr>
      <w:r w:rsidRPr="00CD6245">
        <w:t>purchase an eSourcing tool to automate the procurement process and provide greater consistency and transparency;</w:t>
      </w:r>
    </w:p>
    <w:p w:rsidR="00F27810" w:rsidRPr="00CD6245" w:rsidRDefault="00F27810" w:rsidP="00F27810">
      <w:pPr>
        <w:pStyle w:val="Bullet1"/>
      </w:pPr>
      <w:r w:rsidRPr="00CD6245">
        <w:t>carry out an in-depth spend analysis to identify saving and aggregation opportunities;</w:t>
      </w:r>
    </w:p>
    <w:p w:rsidR="00F27810" w:rsidRPr="00CD6245" w:rsidRDefault="00F27810" w:rsidP="00F27810">
      <w:pPr>
        <w:pStyle w:val="Bullet1"/>
      </w:pPr>
      <w:r w:rsidRPr="00CD6245">
        <w:t>expand the use of catalogues to make it easier for staff to buy products from certain categories;</w:t>
      </w:r>
    </w:p>
    <w:p w:rsidR="00F27810" w:rsidRPr="00CD6245" w:rsidRDefault="00F27810" w:rsidP="00F27810">
      <w:pPr>
        <w:pStyle w:val="Bullet1"/>
      </w:pPr>
      <w:r w:rsidRPr="00CD6245">
        <w:t>introduce an iSupplier capability to provide suppliers with a ‘self‐service’ capability to manage their corporate and invoice management data;</w:t>
      </w:r>
    </w:p>
    <w:p w:rsidR="00F27810" w:rsidRPr="00CD6245" w:rsidRDefault="00F27810" w:rsidP="00F27810">
      <w:pPr>
        <w:pStyle w:val="Bullet1"/>
      </w:pPr>
      <w:r w:rsidRPr="00CD6245">
        <w:t>introduce a supplier management framework to help staff and suppliers get the most from supplier relationships;</w:t>
      </w:r>
    </w:p>
    <w:p w:rsidR="00F27810" w:rsidRPr="00CD6245" w:rsidRDefault="00F27810" w:rsidP="00F27810">
      <w:pPr>
        <w:pStyle w:val="Bullet1"/>
      </w:pPr>
      <w:r w:rsidRPr="00CD6245">
        <w:t>introduce a benefits realisation framework to help staff identify and measu</w:t>
      </w:r>
      <w:r w:rsidR="00B94734">
        <w:t>re benefits of sourcing activities</w:t>
      </w:r>
      <w:r w:rsidRPr="00CD6245">
        <w:t>;</w:t>
      </w:r>
    </w:p>
    <w:p w:rsidR="00F27810" w:rsidRPr="00CD6245" w:rsidRDefault="00F27810" w:rsidP="00F27810">
      <w:pPr>
        <w:pStyle w:val="Bullet1"/>
      </w:pPr>
      <w:r w:rsidRPr="00CD6245">
        <w:t>introduce a contract management framework to guide contract managers through the contract management lifecycle;</w:t>
      </w:r>
    </w:p>
    <w:p w:rsidR="00F27810" w:rsidRPr="00CD6245" w:rsidRDefault="00F27810" w:rsidP="00F27810">
      <w:pPr>
        <w:pStyle w:val="Bullet1"/>
      </w:pPr>
      <w:r w:rsidRPr="00CD6245">
        <w:t>upgrade to Oracle R12 and adopt increased automated functionality offered by this version of iProcurement; and</w:t>
      </w:r>
    </w:p>
    <w:p w:rsidR="00F27810" w:rsidRPr="00CD6245" w:rsidRDefault="00F27810" w:rsidP="00F27810">
      <w:pPr>
        <w:pStyle w:val="Bullet1"/>
      </w:pPr>
      <w:r w:rsidRPr="00CD6245">
        <w:t>introduce Koori supplier training courses to</w:t>
      </w:r>
      <w:r w:rsidR="00B94734">
        <w:t xml:space="preserve"> lift the capability of Koori (Aboriginal</w:t>
      </w:r>
      <w:r w:rsidRPr="00CD6245">
        <w:t>) businesses when responding to government tenders.</w:t>
      </w:r>
    </w:p>
    <w:p w:rsidR="00442D45" w:rsidRPr="00CD6245" w:rsidRDefault="00442D45" w:rsidP="00442D45">
      <w:pPr>
        <w:pStyle w:val="Normal1"/>
        <w:rPr>
          <w:lang w:eastAsia="en-US"/>
        </w:rPr>
      </w:pPr>
    </w:p>
    <w:p w:rsidR="00442D45" w:rsidRPr="00CD6245" w:rsidRDefault="00442D45" w:rsidP="00FC5C86">
      <w:pPr>
        <w:pStyle w:val="Heading2NoNum"/>
      </w:pPr>
      <w:bookmarkStart w:id="132" w:name="_Toc366693341"/>
      <w:r w:rsidRPr="00CD6245">
        <w:br w:type="page"/>
      </w:r>
      <w:bookmarkStart w:id="133" w:name="_Toc463527736"/>
      <w:r w:rsidRPr="00CD6245">
        <w:lastRenderedPageBreak/>
        <w:t>Department of Premier and Cabinet</w:t>
      </w:r>
      <w:bookmarkEnd w:id="133"/>
    </w:p>
    <w:tbl>
      <w:tblPr>
        <w:tblStyle w:val="TableGrid"/>
        <w:tblW w:w="8245" w:type="dxa"/>
        <w:tblInd w:w="79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82"/>
        <w:gridCol w:w="6663"/>
      </w:tblGrid>
      <w:tr w:rsidR="00442D45" w:rsidRPr="00CD6245" w:rsidTr="00870CCC">
        <w:tc>
          <w:tcPr>
            <w:tcW w:w="1582" w:type="dxa"/>
          </w:tcPr>
          <w:p w:rsidR="00442D45" w:rsidRPr="00CD6245" w:rsidRDefault="00442D45" w:rsidP="00870CCC">
            <w:pPr>
              <w:keepNext/>
              <w:spacing w:before="40" w:after="40"/>
              <w:rPr>
                <w:rFonts w:ascii="Calibri" w:hAnsi="Calibri" w:cs="Calibri"/>
                <w:b/>
                <w:color w:val="333333"/>
                <w:szCs w:val="20"/>
              </w:rPr>
            </w:pPr>
            <w:r w:rsidRPr="00CD6245">
              <w:rPr>
                <w:rFonts w:ascii="Calibri" w:hAnsi="Calibri" w:cs="Calibri"/>
                <w:b/>
                <w:color w:val="333333"/>
                <w:szCs w:val="20"/>
              </w:rPr>
              <w:t>IPU Chair</w:t>
            </w:r>
          </w:p>
        </w:tc>
        <w:tc>
          <w:tcPr>
            <w:tcW w:w="6663" w:type="dxa"/>
          </w:tcPr>
          <w:p w:rsidR="00442D45" w:rsidRPr="00CD6245" w:rsidRDefault="00442D45" w:rsidP="00861226">
            <w:pPr>
              <w:pStyle w:val="TableText"/>
            </w:pPr>
            <w:r w:rsidRPr="00CD6245">
              <w:t>Andrew Campbell, A</w:t>
            </w:r>
            <w:r w:rsidR="00B94734">
              <w:t>/</w:t>
            </w:r>
            <w:r w:rsidRPr="00CD6245">
              <w:t>Executive Director, People, Culture and Operations</w:t>
            </w:r>
          </w:p>
        </w:tc>
      </w:tr>
      <w:tr w:rsidR="00442D45" w:rsidRPr="00CD6245" w:rsidTr="00870CCC">
        <w:tc>
          <w:tcPr>
            <w:tcW w:w="1582" w:type="dxa"/>
          </w:tcPr>
          <w:p w:rsidR="00442D45" w:rsidRPr="00CD6245" w:rsidRDefault="00442D45" w:rsidP="00870CCC">
            <w:pPr>
              <w:keepNext/>
              <w:spacing w:before="40" w:after="40"/>
              <w:rPr>
                <w:rFonts w:ascii="Calibri" w:hAnsi="Calibri" w:cs="Calibri"/>
                <w:b/>
                <w:color w:val="333333"/>
                <w:szCs w:val="20"/>
              </w:rPr>
            </w:pPr>
            <w:r w:rsidRPr="00CD6245">
              <w:rPr>
                <w:rFonts w:ascii="Calibri" w:hAnsi="Calibri" w:cs="Calibri"/>
                <w:b/>
                <w:color w:val="333333"/>
                <w:szCs w:val="20"/>
              </w:rPr>
              <w:t>CPO</w:t>
            </w:r>
          </w:p>
        </w:tc>
        <w:tc>
          <w:tcPr>
            <w:tcW w:w="6663" w:type="dxa"/>
          </w:tcPr>
          <w:p w:rsidR="00442D45" w:rsidRPr="00CD6245" w:rsidRDefault="00442D45" w:rsidP="00861226">
            <w:pPr>
              <w:pStyle w:val="TableText"/>
            </w:pPr>
            <w:r w:rsidRPr="00CD6245">
              <w:t>Ingrid Klein, Chief Financial and Procurement Officer, Finance and Procurement</w:t>
            </w:r>
          </w:p>
        </w:tc>
      </w:tr>
    </w:tbl>
    <w:p w:rsidR="00442D45" w:rsidRPr="00CD6245" w:rsidRDefault="00442D45" w:rsidP="00442D45">
      <w:pPr>
        <w:pStyle w:val="Heading3NoNum"/>
      </w:pPr>
      <w:r w:rsidRPr="00CD6245">
        <w:t>Procurement profile</w:t>
      </w:r>
    </w:p>
    <w:p w:rsidR="00442D45" w:rsidRPr="00CD6245" w:rsidRDefault="00442D45" w:rsidP="00442D45">
      <w:pPr>
        <w:pStyle w:val="Normal1"/>
        <w:rPr>
          <w:lang w:eastAsia="en-US"/>
        </w:rPr>
      </w:pPr>
      <w:r w:rsidRPr="00CD6245">
        <w:rPr>
          <w:lang w:eastAsia="en-US"/>
        </w:rPr>
        <w:t>The Department of Premier and Cabinet (DPC) includes five supporting agencies:</w:t>
      </w:r>
    </w:p>
    <w:p w:rsidR="00442D45" w:rsidRPr="00CD6245" w:rsidRDefault="00442D45" w:rsidP="00442D45">
      <w:pPr>
        <w:pStyle w:val="Bullet1"/>
        <w:rPr>
          <w:lang w:eastAsia="en-US"/>
        </w:rPr>
      </w:pPr>
      <w:r w:rsidRPr="00CD6245">
        <w:rPr>
          <w:lang w:eastAsia="en-US"/>
        </w:rPr>
        <w:t>Office of the Governor;</w:t>
      </w:r>
    </w:p>
    <w:p w:rsidR="00442D45" w:rsidRPr="00CD6245" w:rsidRDefault="00442D45" w:rsidP="00442D45">
      <w:pPr>
        <w:pStyle w:val="Bullet1"/>
        <w:rPr>
          <w:lang w:eastAsia="en-US"/>
        </w:rPr>
      </w:pPr>
      <w:r w:rsidRPr="00CD6245">
        <w:rPr>
          <w:lang w:eastAsia="en-US"/>
        </w:rPr>
        <w:t>Public Record Office Victoria;</w:t>
      </w:r>
    </w:p>
    <w:p w:rsidR="00442D45" w:rsidRPr="00CD6245" w:rsidRDefault="00442D45" w:rsidP="00442D45">
      <w:pPr>
        <w:pStyle w:val="Bullet1"/>
        <w:rPr>
          <w:lang w:eastAsia="en-US"/>
        </w:rPr>
      </w:pPr>
      <w:r w:rsidRPr="00CD6245">
        <w:rPr>
          <w:lang w:eastAsia="en-US"/>
        </w:rPr>
        <w:t>Victorian Multicultural Commission;</w:t>
      </w:r>
    </w:p>
    <w:p w:rsidR="00442D45" w:rsidRPr="00CD6245" w:rsidRDefault="00442D45" w:rsidP="00442D45">
      <w:pPr>
        <w:pStyle w:val="Bullet1"/>
        <w:rPr>
          <w:lang w:eastAsia="en-US"/>
        </w:rPr>
      </w:pPr>
      <w:r w:rsidRPr="00CD6245">
        <w:rPr>
          <w:lang w:eastAsia="en-US"/>
        </w:rPr>
        <w:t>Office of the Freedom of Information Commissioner; and</w:t>
      </w:r>
    </w:p>
    <w:p w:rsidR="00442D45" w:rsidRPr="00CD6245" w:rsidRDefault="00442D45" w:rsidP="00442D45">
      <w:pPr>
        <w:pStyle w:val="Bullet1"/>
        <w:rPr>
          <w:lang w:eastAsia="en-US"/>
        </w:rPr>
      </w:pPr>
      <w:r w:rsidRPr="00CD6245">
        <w:rPr>
          <w:lang w:eastAsia="en-US"/>
        </w:rPr>
        <w:t>Office of the Victorian Government Architect.</w:t>
      </w:r>
    </w:p>
    <w:p w:rsidR="00442D45" w:rsidRPr="00CD6245" w:rsidRDefault="00442D45" w:rsidP="00442D45">
      <w:pPr>
        <w:pStyle w:val="Normal1"/>
        <w:rPr>
          <w:lang w:eastAsia="en-US"/>
        </w:rPr>
      </w:pPr>
      <w:r w:rsidRPr="00CD6245">
        <w:rPr>
          <w:lang w:eastAsia="en-US"/>
        </w:rPr>
        <w:t>There are several other agencies that sit under DPC but report separately from DPC.</w:t>
      </w:r>
    </w:p>
    <w:p w:rsidR="00442D45" w:rsidRPr="00CD6245" w:rsidRDefault="00442D45" w:rsidP="00442D45">
      <w:pPr>
        <w:pStyle w:val="Normal1"/>
        <w:rPr>
          <w:lang w:eastAsia="en-US"/>
        </w:rPr>
      </w:pPr>
      <w:r w:rsidRPr="00CD6245">
        <w:rPr>
          <w:lang w:eastAsia="en-US"/>
        </w:rPr>
        <w:t>DPC spends around $500 million</w:t>
      </w:r>
      <w:r w:rsidR="000D7385" w:rsidRPr="00CD6245">
        <w:rPr>
          <w:lang w:eastAsia="en-US"/>
        </w:rPr>
        <w:t xml:space="preserve"> a</w:t>
      </w:r>
      <w:r w:rsidRPr="00CD6245">
        <w:rPr>
          <w:lang w:eastAsia="en-US"/>
        </w:rPr>
        <w:t xml:space="preserve"> year; approximately </w:t>
      </w:r>
      <w:r w:rsidR="00B00B8D" w:rsidRPr="00CD6245">
        <w:rPr>
          <w:lang w:eastAsia="en-US"/>
        </w:rPr>
        <w:t xml:space="preserve">10 </w:t>
      </w:r>
      <w:r w:rsidRPr="00CD6245">
        <w:rPr>
          <w:lang w:eastAsia="en-US"/>
        </w:rPr>
        <w:t>per cent of which relates to procurement spend. Of this</w:t>
      </w:r>
      <w:r w:rsidR="00B00B8D" w:rsidRPr="00CD6245">
        <w:rPr>
          <w:lang w:eastAsia="en-US"/>
        </w:rPr>
        <w:t>,</w:t>
      </w:r>
      <w:r w:rsidRPr="00CD6245">
        <w:rPr>
          <w:lang w:eastAsia="en-US"/>
        </w:rPr>
        <w:t xml:space="preserve"> around 44 per cent relates to mandated spend on accommodation and ICT.</w:t>
      </w:r>
    </w:p>
    <w:p w:rsidR="00442D45" w:rsidRPr="00CD6245" w:rsidRDefault="00442D45" w:rsidP="00442D45">
      <w:pPr>
        <w:pStyle w:val="Normal1"/>
        <w:rPr>
          <w:lang w:eastAsia="en-US"/>
        </w:rPr>
      </w:pPr>
      <w:r w:rsidRPr="00CD6245">
        <w:rPr>
          <w:lang w:eastAsia="en-US"/>
        </w:rPr>
        <w:t>Of the 66 per cent of procurements which are not mandated, the majority are sourced via an open tender process or SPC.</w:t>
      </w:r>
    </w:p>
    <w:p w:rsidR="00442D45" w:rsidRPr="00CD6245" w:rsidRDefault="00442D45" w:rsidP="00442D45">
      <w:pPr>
        <w:pStyle w:val="Heading3NoNum"/>
      </w:pPr>
      <w:r w:rsidRPr="00CD6245">
        <w:t>Procurement initiatives in 2015–16</w:t>
      </w:r>
    </w:p>
    <w:p w:rsidR="00442D45" w:rsidRPr="00CD6245" w:rsidRDefault="00442D45" w:rsidP="00442D45">
      <w:pPr>
        <w:pStyle w:val="Normal1"/>
        <w:rPr>
          <w:lang w:eastAsia="en-US"/>
        </w:rPr>
      </w:pPr>
      <w:r w:rsidRPr="00CD6245">
        <w:rPr>
          <w:lang w:eastAsia="en-US"/>
        </w:rPr>
        <w:t>In 2015–16</w:t>
      </w:r>
      <w:r w:rsidR="00C17694" w:rsidRPr="00CD6245">
        <w:rPr>
          <w:lang w:eastAsia="en-US"/>
        </w:rPr>
        <w:t>,</w:t>
      </w:r>
      <w:r w:rsidRPr="00CD6245">
        <w:rPr>
          <w:lang w:eastAsia="en-US"/>
        </w:rPr>
        <w:t xml:space="preserve"> DPC restructured its</w:t>
      </w:r>
      <w:r w:rsidR="00865348" w:rsidRPr="00CD6245">
        <w:rPr>
          <w:lang w:eastAsia="en-US"/>
        </w:rPr>
        <w:t xml:space="preserve"> Procurement Governance Committee</w:t>
      </w:r>
      <w:r w:rsidRPr="00CD6245">
        <w:rPr>
          <w:lang w:eastAsia="en-US"/>
        </w:rPr>
        <w:t xml:space="preserve"> to reflect machinery of government changes and to improve engagement with DPC business areas and increase their understanding of the procurement framework.</w:t>
      </w:r>
    </w:p>
    <w:p w:rsidR="00442D45" w:rsidRPr="00CD6245" w:rsidRDefault="00442D45" w:rsidP="00442D45">
      <w:pPr>
        <w:pStyle w:val="Normal1"/>
        <w:rPr>
          <w:lang w:eastAsia="en-US"/>
        </w:rPr>
      </w:pPr>
      <w:r w:rsidRPr="00CD6245">
        <w:rPr>
          <w:lang w:eastAsia="en-US"/>
        </w:rPr>
        <w:t>DPC introduced weighted selection cri</w:t>
      </w:r>
      <w:r w:rsidR="00726B56" w:rsidRPr="00CD6245">
        <w:rPr>
          <w:lang w:eastAsia="en-US"/>
        </w:rPr>
        <w:t>teria for procurements over $25 </w:t>
      </w:r>
      <w:r w:rsidRPr="00CD6245">
        <w:rPr>
          <w:lang w:eastAsia="en-US"/>
        </w:rPr>
        <w:t>000 to improve transparency, equity and accountability. Staff responded very posi</w:t>
      </w:r>
      <w:r w:rsidR="00B94734">
        <w:rPr>
          <w:lang w:eastAsia="en-US"/>
        </w:rPr>
        <w:t>tively to the criteria which have</w:t>
      </w:r>
      <w:r w:rsidRPr="00CD6245">
        <w:rPr>
          <w:lang w:eastAsia="en-US"/>
        </w:rPr>
        <w:t xml:space="preserve"> also established consistency and improved the understanding in business units of how to assess proposals.</w:t>
      </w:r>
    </w:p>
    <w:p w:rsidR="00442D45" w:rsidRPr="00CD6245" w:rsidRDefault="00442D45" w:rsidP="00442D45">
      <w:pPr>
        <w:pStyle w:val="Normal1"/>
        <w:rPr>
          <w:lang w:eastAsia="en-US"/>
        </w:rPr>
      </w:pPr>
      <w:r w:rsidRPr="00CD6245">
        <w:rPr>
          <w:lang w:eastAsia="en-US"/>
        </w:rPr>
        <w:t>Procurement information on the DPC intranet was reviewed and updated to help staff understand the procurement framework and access information and resources in a more user</w:t>
      </w:r>
      <w:r w:rsidR="00EE331D" w:rsidRPr="00CD6245">
        <w:rPr>
          <w:lang w:eastAsia="en-US"/>
        </w:rPr>
        <w:t>-</w:t>
      </w:r>
      <w:r w:rsidRPr="00CD6245">
        <w:rPr>
          <w:lang w:eastAsia="en-US"/>
        </w:rPr>
        <w:t xml:space="preserve">friendly </w:t>
      </w:r>
      <w:r w:rsidR="00B94734">
        <w:rPr>
          <w:lang w:eastAsia="en-US"/>
        </w:rPr>
        <w:t>format</w:t>
      </w:r>
      <w:r w:rsidRPr="00CD6245">
        <w:rPr>
          <w:lang w:eastAsia="en-US"/>
        </w:rPr>
        <w:t>. Information is now based on a five-step process and feedback has been very positive.</w:t>
      </w:r>
    </w:p>
    <w:p w:rsidR="00442D45" w:rsidRPr="00CD6245" w:rsidRDefault="00442D45" w:rsidP="00442D45">
      <w:pPr>
        <w:pStyle w:val="Normal1"/>
        <w:rPr>
          <w:lang w:eastAsia="en-US"/>
        </w:rPr>
      </w:pPr>
      <w:r w:rsidRPr="00CD6245">
        <w:rPr>
          <w:lang w:eastAsia="en-US"/>
        </w:rPr>
        <w:t>DPC provided procurement and contract management training sessions for staff to build capacity in DPC staff and business areas, improve value for money, improve compliance with legislative and regulatory requirements, and reduce risk.</w:t>
      </w:r>
    </w:p>
    <w:p w:rsidR="00442D45" w:rsidRPr="00CD6245" w:rsidRDefault="00442D45" w:rsidP="00442D45">
      <w:pPr>
        <w:pStyle w:val="Normal1"/>
        <w:rPr>
          <w:lang w:eastAsia="en-US"/>
        </w:rPr>
      </w:pPr>
      <w:r w:rsidRPr="00CD6245">
        <w:rPr>
          <w:lang w:eastAsia="en-US"/>
        </w:rPr>
        <w:t>DPC also reviewed its contract management practices to improve capability in this area and ensure compliance with DPC’s contract management policy.</w:t>
      </w:r>
    </w:p>
    <w:p w:rsidR="00571152" w:rsidRDefault="00571152" w:rsidP="00B94734">
      <w:pPr>
        <w:ind w:left="810"/>
        <w:rPr>
          <w:rFonts w:ascii="Calibri" w:hAnsi="Calibri" w:cs="Calibri"/>
          <w:b/>
          <w:color w:val="4D4D4D"/>
          <w:kern w:val="28"/>
          <w:sz w:val="26"/>
          <w:szCs w:val="22"/>
          <w:lang w:eastAsia="en-US"/>
        </w:rPr>
      </w:pPr>
      <w:r>
        <w:br w:type="page"/>
      </w:r>
    </w:p>
    <w:p w:rsidR="00442D45" w:rsidRPr="00CD6245" w:rsidRDefault="00442D45" w:rsidP="00442D45">
      <w:pPr>
        <w:pStyle w:val="Heading3NoNum"/>
      </w:pPr>
      <w:r w:rsidRPr="00CD6245">
        <w:lastRenderedPageBreak/>
        <w:t>Performance in 2015–16</w:t>
      </w:r>
    </w:p>
    <w:p w:rsidR="00442D45" w:rsidRDefault="00804FA5" w:rsidP="00804FA5">
      <w:pPr>
        <w:ind w:left="794"/>
        <w:rPr>
          <w:rFonts w:ascii="Calibri" w:hAnsi="Calibri" w:cs="Calibri"/>
          <w:sz w:val="22"/>
          <w:szCs w:val="22"/>
          <w:lang w:eastAsia="en-US"/>
        </w:rPr>
      </w:pPr>
      <w:r w:rsidRPr="00CD6245">
        <w:rPr>
          <w:rFonts w:ascii="Calibri" w:hAnsi="Calibri" w:cs="Calibri"/>
          <w:sz w:val="22"/>
          <w:szCs w:val="22"/>
          <w:lang w:eastAsia="en-US"/>
        </w:rPr>
        <w:t xml:space="preserve">Table 27 </w:t>
      </w:r>
      <w:r w:rsidR="00442D45" w:rsidRPr="00CD6245">
        <w:rPr>
          <w:rFonts w:ascii="Calibri" w:hAnsi="Calibri" w:cs="Calibri"/>
          <w:sz w:val="22"/>
          <w:szCs w:val="22"/>
          <w:lang w:eastAsia="en-US"/>
        </w:rPr>
        <w:t xml:space="preserve">lists DPC’s data for the six performance measures. Data for 2015–16 reflects a ‘best endeavours’ approach given the significant amount of work involved in setting up processes to report against the performance measures. As far as possible, the 2015–16 outcomes will help form the baseline against which </w:t>
      </w:r>
      <w:r w:rsidR="00666B32" w:rsidRPr="00CD6245">
        <w:rPr>
          <w:rFonts w:ascii="Calibri" w:hAnsi="Calibri" w:cs="Calibri"/>
          <w:sz w:val="22"/>
          <w:szCs w:val="22"/>
          <w:lang w:eastAsia="en-US"/>
        </w:rPr>
        <w:t xml:space="preserve">DPC </w:t>
      </w:r>
      <w:r w:rsidR="00442D45" w:rsidRPr="00CD6245">
        <w:rPr>
          <w:rFonts w:ascii="Calibri" w:hAnsi="Calibri" w:cs="Calibri"/>
          <w:sz w:val="22"/>
          <w:szCs w:val="22"/>
          <w:lang w:eastAsia="en-US"/>
        </w:rPr>
        <w:t>will measure performance in future years.</w:t>
      </w:r>
    </w:p>
    <w:p w:rsidR="00442D45" w:rsidRDefault="00442D45" w:rsidP="00442D45">
      <w:pPr>
        <w:pStyle w:val="Caption"/>
      </w:pPr>
      <w:bookmarkStart w:id="134" w:name="_Ref457241855"/>
      <w:bookmarkStart w:id="135" w:name="_Toc463527862"/>
      <w:r w:rsidRPr="00CD6245">
        <w:t xml:space="preserve">Table </w:t>
      </w:r>
      <w:r w:rsidR="002B07C2" w:rsidRPr="00CD6245">
        <w:fldChar w:fldCharType="begin"/>
      </w:r>
      <w:r w:rsidR="005C04D8" w:rsidRPr="00CD6245">
        <w:instrText xml:space="preserve"> SEQ Table \* ARABIC </w:instrText>
      </w:r>
      <w:r w:rsidR="002B07C2" w:rsidRPr="00CD6245">
        <w:fldChar w:fldCharType="separate"/>
      </w:r>
      <w:r w:rsidR="002E75B9">
        <w:rPr>
          <w:noProof/>
        </w:rPr>
        <w:t>27</w:t>
      </w:r>
      <w:r w:rsidR="002B07C2" w:rsidRPr="00CD6245">
        <w:fldChar w:fldCharType="end"/>
      </w:r>
      <w:bookmarkEnd w:id="134"/>
      <w:r w:rsidRPr="00CD6245">
        <w:t>: DPC performance in 2015–16</w:t>
      </w:r>
      <w:bookmarkEnd w:id="135"/>
    </w:p>
    <w:p w:rsidR="00B94734" w:rsidRPr="00B94734" w:rsidRDefault="00B94734" w:rsidP="00B94734">
      <w:pPr>
        <w:ind w:left="810"/>
      </w:pPr>
      <w:r>
        <w:rPr>
          <w:noProof/>
        </w:rPr>
        <w:drawing>
          <wp:inline distT="0" distB="0" distL="0" distR="0" wp14:anchorId="39AF9B46" wp14:editId="20E4AEAA">
            <wp:extent cx="5263515" cy="3166745"/>
            <wp:effectExtent l="0" t="0" r="0" b="0"/>
            <wp:docPr id="49" name="Picture 49" descr="Orange Crush:Users:chrisashe:Desktop:DTF033_VGPB-T27.jpg"/>
            <wp:cNvGraphicFramePr/>
            <a:graphic xmlns:a="http://schemas.openxmlformats.org/drawingml/2006/main">
              <a:graphicData uri="http://schemas.openxmlformats.org/drawingml/2006/picture">
                <pic:pic xmlns:pic="http://schemas.openxmlformats.org/drawingml/2006/picture">
                  <pic:nvPicPr>
                    <pic:cNvPr id="49" name="Picture 49" descr="Orange Crush:Users:chrisashe:Desktop:DTF033_VGPB-T27.jpg"/>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263515" cy="3166745"/>
                    </a:xfrm>
                    <a:prstGeom prst="rect">
                      <a:avLst/>
                    </a:prstGeom>
                    <a:noFill/>
                    <a:ln>
                      <a:noFill/>
                    </a:ln>
                  </pic:spPr>
                </pic:pic>
              </a:graphicData>
            </a:graphic>
          </wp:inline>
        </w:drawing>
      </w:r>
    </w:p>
    <w:p w:rsidR="00442D45" w:rsidRPr="00CD6245" w:rsidRDefault="00442D45" w:rsidP="00442D45">
      <w:pPr>
        <w:pStyle w:val="Heading3NoNum"/>
      </w:pPr>
      <w:r w:rsidRPr="00CD6245">
        <w:t>Procurement activities planned for 2016–17</w:t>
      </w:r>
    </w:p>
    <w:p w:rsidR="00442D45" w:rsidRPr="00CD6245" w:rsidRDefault="00442D45" w:rsidP="00442D45">
      <w:pPr>
        <w:pStyle w:val="Normal1"/>
      </w:pPr>
      <w:r w:rsidRPr="00CD6245">
        <w:t>In 2016–17 DPC will:</w:t>
      </w:r>
    </w:p>
    <w:p w:rsidR="000A26CE" w:rsidRPr="00CD6245" w:rsidRDefault="000A26CE" w:rsidP="000A26CE">
      <w:pPr>
        <w:pStyle w:val="Bullet1"/>
      </w:pPr>
      <w:r w:rsidRPr="00CD6245">
        <w:t xml:space="preserve">prepare a report on the audit of </w:t>
      </w:r>
      <w:r w:rsidR="00B94734">
        <w:t xml:space="preserve">the </w:t>
      </w:r>
      <w:r w:rsidRPr="00CD6245">
        <w:t>VGPB supply policies for review by the VGPB;</w:t>
      </w:r>
    </w:p>
    <w:p w:rsidR="00442D45" w:rsidRPr="00CD6245" w:rsidRDefault="00442D45" w:rsidP="00442D45">
      <w:pPr>
        <w:pStyle w:val="Bullet1"/>
      </w:pPr>
      <w:r w:rsidRPr="00CD6245">
        <w:t>provide training to promote the benefits of strategic procurement planning. This will help staff be more proactive in procurement planning which</w:t>
      </w:r>
      <w:r w:rsidR="00EE331D" w:rsidRPr="00CD6245">
        <w:t>,</w:t>
      </w:r>
      <w:r w:rsidRPr="00CD6245">
        <w:t xml:space="preserve"> in turn</w:t>
      </w:r>
      <w:r w:rsidR="00EE331D" w:rsidRPr="00CD6245">
        <w:t>,</w:t>
      </w:r>
      <w:r w:rsidRPr="00CD6245">
        <w:t xml:space="preserve"> will improve transparency for the market and identify opportunities for coordinated procurement;</w:t>
      </w:r>
    </w:p>
    <w:p w:rsidR="00442D45" w:rsidRPr="00CD6245" w:rsidRDefault="00442D45" w:rsidP="00442D45">
      <w:pPr>
        <w:pStyle w:val="Bullet1"/>
      </w:pPr>
      <w:r w:rsidRPr="00CD6245">
        <w:t>link procurement planning with broader departmental business planning and strategic initiatives by providing quarterly updates on DPC’s Annual Procurement Plan;</w:t>
      </w:r>
    </w:p>
    <w:p w:rsidR="00442D45" w:rsidRPr="00CD6245" w:rsidRDefault="00442D45" w:rsidP="00442D45">
      <w:pPr>
        <w:pStyle w:val="Bullet1"/>
      </w:pPr>
      <w:r w:rsidRPr="00CD6245">
        <w:t>develop and deliver basic contract management training sessions to improve public administration skills, increase opportunities to achieve value for money</w:t>
      </w:r>
      <w:r w:rsidR="00EE331D" w:rsidRPr="00CD6245">
        <w:t>,</w:t>
      </w:r>
      <w:r w:rsidRPr="00CD6245">
        <w:t xml:space="preserve"> and mitigate risk;</w:t>
      </w:r>
    </w:p>
    <w:p w:rsidR="00442D45" w:rsidRPr="00CD6245" w:rsidRDefault="00442D45" w:rsidP="00442D45">
      <w:pPr>
        <w:pStyle w:val="Bullet1"/>
      </w:pPr>
      <w:r w:rsidRPr="00CD6245">
        <w:t>improve procurement tools and templates based on feedback and experience; and</w:t>
      </w:r>
    </w:p>
    <w:p w:rsidR="00442D45" w:rsidRPr="00CD6245" w:rsidRDefault="00442D45" w:rsidP="00442D45">
      <w:pPr>
        <w:pStyle w:val="Bullet1"/>
      </w:pPr>
      <w:r w:rsidRPr="00CD6245">
        <w:t>improve monitoring of procurement and contract management to provide better oversight of DPC’s procurement practice and outcomes and support ongoing assessment and improvements to DPC’s procurement framework.</w:t>
      </w:r>
    </w:p>
    <w:p w:rsidR="00442D45" w:rsidRPr="00CD6245" w:rsidRDefault="00442D45" w:rsidP="00442D45"/>
    <w:p w:rsidR="00442D45" w:rsidRPr="00CD6245" w:rsidRDefault="00442D45" w:rsidP="00442D45">
      <w:pPr>
        <w:pStyle w:val="Normal1"/>
        <w:rPr>
          <w:lang w:eastAsia="en-US"/>
        </w:rPr>
      </w:pPr>
    </w:p>
    <w:p w:rsidR="00442D45" w:rsidRPr="00CD6245" w:rsidRDefault="00442D45">
      <w:pPr>
        <w:rPr>
          <w:rFonts w:ascii="Calibri" w:hAnsi="Calibri" w:cs="Calibri"/>
          <w:color w:val="4D4D4D"/>
          <w:kern w:val="28"/>
          <w:sz w:val="30"/>
          <w:szCs w:val="22"/>
          <w:lang w:eastAsia="en-US"/>
        </w:rPr>
      </w:pPr>
      <w:bookmarkStart w:id="136" w:name="_Toc366693343"/>
      <w:bookmarkEnd w:id="132"/>
      <w:r w:rsidRPr="00CD6245">
        <w:br w:type="page"/>
      </w:r>
    </w:p>
    <w:p w:rsidR="00861226" w:rsidRPr="00CD6245" w:rsidRDefault="00861226" w:rsidP="00861226">
      <w:pPr>
        <w:pStyle w:val="Heading2NoNum"/>
      </w:pPr>
      <w:bookmarkStart w:id="137" w:name="_Toc463527737"/>
      <w:bookmarkEnd w:id="136"/>
      <w:r w:rsidRPr="00CD6245">
        <w:lastRenderedPageBreak/>
        <w:t>Department of Treasury and Finance</w:t>
      </w:r>
      <w:bookmarkEnd w:id="137"/>
    </w:p>
    <w:tbl>
      <w:tblPr>
        <w:tblStyle w:val="TableGrid"/>
        <w:tblW w:w="8812" w:type="dxa"/>
        <w:tblInd w:w="79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82"/>
        <w:gridCol w:w="7230"/>
      </w:tblGrid>
      <w:tr w:rsidR="00861226" w:rsidRPr="00CD6245" w:rsidTr="00861226">
        <w:tc>
          <w:tcPr>
            <w:tcW w:w="1582" w:type="dxa"/>
          </w:tcPr>
          <w:p w:rsidR="00861226" w:rsidRPr="00CD6245" w:rsidRDefault="00861226" w:rsidP="00870CCC">
            <w:pPr>
              <w:keepNext/>
              <w:spacing w:before="40" w:after="40"/>
              <w:rPr>
                <w:rFonts w:ascii="Calibri" w:hAnsi="Calibri" w:cs="Calibri"/>
                <w:b/>
                <w:color w:val="333333"/>
                <w:szCs w:val="20"/>
              </w:rPr>
            </w:pPr>
            <w:r w:rsidRPr="00CD6245">
              <w:rPr>
                <w:rFonts w:ascii="Calibri" w:hAnsi="Calibri" w:cs="Calibri"/>
                <w:b/>
                <w:color w:val="333333"/>
                <w:szCs w:val="20"/>
              </w:rPr>
              <w:t>IPU Chair</w:t>
            </w:r>
          </w:p>
        </w:tc>
        <w:tc>
          <w:tcPr>
            <w:tcW w:w="7230" w:type="dxa"/>
          </w:tcPr>
          <w:p w:rsidR="00861226" w:rsidRPr="00CD6245" w:rsidRDefault="00B94734" w:rsidP="00870CCC">
            <w:pPr>
              <w:pStyle w:val="TableText"/>
            </w:pPr>
            <w:r w:rsidRPr="00CD6245">
              <w:t xml:space="preserve">Joe Bonnici, Chief Financial Officer, Corporate and Government Services Division </w:t>
            </w:r>
          </w:p>
        </w:tc>
      </w:tr>
      <w:tr w:rsidR="00861226" w:rsidRPr="00CD6245" w:rsidTr="00861226">
        <w:tc>
          <w:tcPr>
            <w:tcW w:w="1582" w:type="dxa"/>
          </w:tcPr>
          <w:p w:rsidR="00861226" w:rsidRPr="00CD6245" w:rsidRDefault="00861226" w:rsidP="00870CCC">
            <w:pPr>
              <w:keepNext/>
              <w:spacing w:before="40" w:after="40"/>
              <w:rPr>
                <w:rFonts w:ascii="Calibri" w:hAnsi="Calibri" w:cs="Calibri"/>
                <w:b/>
                <w:color w:val="333333"/>
                <w:szCs w:val="20"/>
              </w:rPr>
            </w:pPr>
            <w:r w:rsidRPr="00CD6245">
              <w:rPr>
                <w:rFonts w:ascii="Calibri" w:hAnsi="Calibri" w:cs="Calibri"/>
                <w:b/>
                <w:color w:val="333333"/>
                <w:szCs w:val="20"/>
              </w:rPr>
              <w:t>CPO</w:t>
            </w:r>
          </w:p>
        </w:tc>
        <w:tc>
          <w:tcPr>
            <w:tcW w:w="7230" w:type="dxa"/>
          </w:tcPr>
          <w:p w:rsidR="00861226" w:rsidRPr="00CD6245" w:rsidRDefault="00B94734" w:rsidP="00870CCC">
            <w:pPr>
              <w:pStyle w:val="TableText"/>
            </w:pPr>
            <w:r w:rsidRPr="00CD6245">
              <w:t>Iain Bramley, Assistant Director, Operational Services, Corporate Delivery Services</w:t>
            </w:r>
            <w:r>
              <w:t xml:space="preserve"> (A/CPO)</w:t>
            </w:r>
          </w:p>
        </w:tc>
      </w:tr>
    </w:tbl>
    <w:p w:rsidR="00861226" w:rsidRPr="00CD6245" w:rsidRDefault="00861226" w:rsidP="00861226">
      <w:pPr>
        <w:pStyle w:val="Heading3NoNum"/>
      </w:pPr>
      <w:r w:rsidRPr="00CD6245">
        <w:t>Procurement profile</w:t>
      </w:r>
    </w:p>
    <w:p w:rsidR="001A3EF9" w:rsidRPr="00CD6245" w:rsidRDefault="001A3EF9" w:rsidP="001A3EF9">
      <w:pPr>
        <w:pStyle w:val="Normal1"/>
        <w:rPr>
          <w:lang w:eastAsia="en-US"/>
        </w:rPr>
      </w:pPr>
      <w:r w:rsidRPr="00CD6245">
        <w:rPr>
          <w:lang w:eastAsia="en-US"/>
        </w:rPr>
        <w:t>The Department of Treasury and Finance (DTF) provides government with economic, financial and resource management policy advice to help government deliver its policy outcomes. DTF’s innovative, expert advice balances economic, social and environmental goals within a framework of responsible financial management.</w:t>
      </w:r>
    </w:p>
    <w:p w:rsidR="001A3EF9" w:rsidRPr="00CD6245" w:rsidRDefault="001A3EF9" w:rsidP="001A3EF9">
      <w:pPr>
        <w:pStyle w:val="Normal1"/>
        <w:rPr>
          <w:lang w:eastAsia="en-US"/>
        </w:rPr>
      </w:pPr>
      <w:r w:rsidRPr="00CD6245">
        <w:rPr>
          <w:lang w:eastAsia="en-US"/>
        </w:rPr>
        <w:t>DTF is the lead agency for a number of SPCs through its Strategic Sourcing Group</w:t>
      </w:r>
      <w:r w:rsidR="00B94734">
        <w:rPr>
          <w:lang w:eastAsia="en-US"/>
        </w:rPr>
        <w:t>, however</w:t>
      </w:r>
      <w:r w:rsidRPr="00CD6245">
        <w:rPr>
          <w:lang w:eastAsia="en-US"/>
        </w:rPr>
        <w:t xml:space="preserve"> the procurement profile of DTF was primarily transactional for 2015–16. DTF procurements are primarily professional services.</w:t>
      </w:r>
    </w:p>
    <w:p w:rsidR="001A3EF9" w:rsidRPr="00CD6245" w:rsidRDefault="001A3EF9" w:rsidP="001A3EF9">
      <w:pPr>
        <w:pStyle w:val="Normal1"/>
        <w:rPr>
          <w:lang w:eastAsia="en-US"/>
        </w:rPr>
      </w:pPr>
      <w:r w:rsidRPr="00CD6245">
        <w:rPr>
          <w:lang w:eastAsia="en-US"/>
        </w:rPr>
        <w:t>DTF operates a decentralised procurement environment, supported by a centralised policy framework. The Procurement Resource Unit assisted approximately 90 procurers (20 per cent of DTF staff) with more than 200 procurements during 2015–16.</w:t>
      </w:r>
    </w:p>
    <w:p w:rsidR="00861226" w:rsidRPr="00CD6245" w:rsidRDefault="00861226" w:rsidP="00861226">
      <w:pPr>
        <w:pStyle w:val="Heading3NoNum"/>
      </w:pPr>
      <w:r w:rsidRPr="00CD6245">
        <w:t>Procurement activities in 2015–16</w:t>
      </w:r>
    </w:p>
    <w:p w:rsidR="001A3EF9" w:rsidRPr="00CD6245" w:rsidRDefault="001A3EF9" w:rsidP="001A3EF9">
      <w:pPr>
        <w:pStyle w:val="Normal1"/>
      </w:pPr>
      <w:r w:rsidRPr="00CD6245">
        <w:t>DTF has benchmarked its governance performance against other departments with similar procurement profiles to find areas for improvement. As a result, DTF has:</w:t>
      </w:r>
    </w:p>
    <w:p w:rsidR="001A3EF9" w:rsidRPr="00CD6245" w:rsidRDefault="001A3EF9" w:rsidP="001A3EF9">
      <w:pPr>
        <w:pStyle w:val="Bullet1"/>
      </w:pPr>
      <w:r w:rsidRPr="00CD6245">
        <w:t>aligned IPU membership with the procurement profile of business units;</w:t>
      </w:r>
    </w:p>
    <w:p w:rsidR="001A3EF9" w:rsidRPr="00CD6245" w:rsidRDefault="001A3EF9" w:rsidP="001A3EF9">
      <w:pPr>
        <w:pStyle w:val="Bullet1"/>
      </w:pPr>
      <w:r w:rsidRPr="00CD6245">
        <w:t>improved the process for developing the forward procurement activity plan including quarterly reviews; and</w:t>
      </w:r>
    </w:p>
    <w:p w:rsidR="001A3EF9" w:rsidRPr="00CD6245" w:rsidRDefault="001A3EF9" w:rsidP="001A3EF9">
      <w:pPr>
        <w:pStyle w:val="Bullet1"/>
      </w:pPr>
      <w:r w:rsidRPr="00CD6245">
        <w:t>completed an IPU survey which showed many</w:t>
      </w:r>
      <w:r w:rsidR="00B94734">
        <w:t xml:space="preserve"> business</w:t>
      </w:r>
      <w:r w:rsidRPr="00CD6245">
        <w:t xml:space="preserve"> areas have knowledge of the governance framework in the high and superior range. The survey is now focused on identifying improvement opportunities.</w:t>
      </w:r>
    </w:p>
    <w:p w:rsidR="001A3EF9" w:rsidRPr="00CD6245" w:rsidRDefault="001A3EF9" w:rsidP="001A3EF9">
      <w:pPr>
        <w:pStyle w:val="Normal1"/>
      </w:pPr>
      <w:r w:rsidRPr="00CD6245">
        <w:t>The department also benchmarked its processes to other government departments. This review identified some improvements and work needed to improve system capability.</w:t>
      </w:r>
    </w:p>
    <w:p w:rsidR="001A3EF9" w:rsidRPr="00CD6245" w:rsidRDefault="001A3EF9" w:rsidP="001A3EF9">
      <w:pPr>
        <w:pStyle w:val="Normal1"/>
      </w:pPr>
      <w:r w:rsidRPr="00CD6245">
        <w:t>DTF developed and implemented a new capability assessment tool which has already highlighted potential improvements. The tool measures capability in five areas: planning, compliance, contract management, stakeholder engagement and market approach. DTF will randomly select 25 procurements every quarter and apply performance measures from the tool.</w:t>
      </w:r>
    </w:p>
    <w:p w:rsidR="001A3EF9" w:rsidRPr="00CD6245" w:rsidRDefault="001A3EF9" w:rsidP="001A3EF9">
      <w:pPr>
        <w:pStyle w:val="Normal1"/>
      </w:pPr>
      <w:r w:rsidRPr="00CD6245">
        <w:t>The department was involved in an internal audit of contract management capability that resulted in recommendations for improvements –many of which were implemented during the year.</w:t>
      </w:r>
    </w:p>
    <w:p w:rsidR="001A3EF9" w:rsidRPr="00CD6245" w:rsidRDefault="001A3EF9" w:rsidP="001A3EF9">
      <w:pPr>
        <w:pStyle w:val="Normal1"/>
      </w:pPr>
      <w:r w:rsidRPr="00CD6245">
        <w:t>DTF reviewed its supplier engagement and analysed the 20 top suppliers as part of its spend mapping. This included having a better understanding of the supplier base of existing and potential suppliers and supporting it with effective supplier management techniques including regular strategic engagement and robust evaluation processes.</w:t>
      </w:r>
    </w:p>
    <w:p w:rsidR="001A3EF9" w:rsidRPr="00CD6245" w:rsidRDefault="001A3EF9" w:rsidP="001A3EF9">
      <w:pPr>
        <w:pStyle w:val="Normal1"/>
      </w:pPr>
      <w:r w:rsidRPr="00CD6245">
        <w:t>DTF completed a process flow of end-to-end procurement costs to increase understanding of these costs and how to decrease costs relative to business outcomes achieved. Related to this, DTF improved its data collection and analysis to allow for accurate and timely reporting and to efficiently measure end-to-end procurement costs.</w:t>
      </w:r>
    </w:p>
    <w:p w:rsidR="001A3EF9" w:rsidRPr="00CD6245" w:rsidRDefault="001A3EF9" w:rsidP="001A3EF9">
      <w:pPr>
        <w:pStyle w:val="Normal1"/>
      </w:pPr>
      <w:r w:rsidRPr="00CD6245">
        <w:t>The department began providing improved and automated monthly reporting to the IPU with analysis and graphs to promote decision making. DTF also benchmarked system capability against other departments with agreement from the IPU to review and improve systems going forward.</w:t>
      </w:r>
    </w:p>
    <w:p w:rsidR="00861226" w:rsidRPr="00CD6245" w:rsidRDefault="00861226" w:rsidP="00861226">
      <w:pPr>
        <w:pStyle w:val="Heading4NoNum"/>
      </w:pPr>
      <w:r w:rsidRPr="00CD6245">
        <w:lastRenderedPageBreak/>
        <w:t>VGPB audit</w:t>
      </w:r>
    </w:p>
    <w:p w:rsidR="00861226" w:rsidRPr="00CD6245" w:rsidRDefault="00861226" w:rsidP="00861226">
      <w:pPr>
        <w:pStyle w:val="Normal1"/>
      </w:pPr>
      <w:r w:rsidRPr="00CD6245">
        <w:t>DTF was the first organisation to undertake an audit as part of the VGPB’s compliance program. The VGPB was impressed with DTF’s audit report which outlined minor recommendations to improve awareness of eliminating barriers for small to medium enterprises and improve the process for debriefing unsuccessful suppliers. DTF has already actioned these recommendations.</w:t>
      </w:r>
    </w:p>
    <w:p w:rsidR="00861226" w:rsidRPr="00CD6245" w:rsidRDefault="00861226" w:rsidP="00861226">
      <w:pPr>
        <w:pStyle w:val="Heading3NoNum"/>
      </w:pPr>
      <w:r w:rsidRPr="00CD6245">
        <w:t>Performance in 2015–16</w:t>
      </w:r>
    </w:p>
    <w:p w:rsidR="00861226" w:rsidRPr="00CD6245" w:rsidRDefault="00AC517C" w:rsidP="00861226">
      <w:pPr>
        <w:pStyle w:val="Normal1"/>
        <w:rPr>
          <w:lang w:eastAsia="en-US"/>
        </w:rPr>
      </w:pPr>
      <w:r>
        <w:fldChar w:fldCharType="begin"/>
      </w:r>
      <w:r>
        <w:instrText xml:space="preserve"> REF _Ref457241869 \h  \* MERGEFORMAT </w:instrText>
      </w:r>
      <w:r>
        <w:fldChar w:fldCharType="separate"/>
      </w:r>
      <w:r w:rsidR="002E75B9" w:rsidRPr="00CD6245">
        <w:t xml:space="preserve">Table </w:t>
      </w:r>
      <w:r w:rsidR="002E75B9">
        <w:rPr>
          <w:noProof/>
        </w:rPr>
        <w:t>28</w:t>
      </w:r>
      <w:r>
        <w:fldChar w:fldCharType="end"/>
      </w:r>
      <w:r w:rsidR="00861226" w:rsidRPr="00CD6245">
        <w:rPr>
          <w:lang w:eastAsia="en-US"/>
        </w:rPr>
        <w:t xml:space="preserve"> lists DTF’s </w:t>
      </w:r>
      <w:r w:rsidR="00861226" w:rsidRPr="00CD6245">
        <w:t xml:space="preserve">data for the six performance measures. Data for 2015–16 reflects a ‘best endeavours’ approach given the significant amount of work involved in setting up processes to report against the performance measures. As far as possible, the 2015–16 outcomes will help form the baseline against which </w:t>
      </w:r>
      <w:r w:rsidR="00666B32" w:rsidRPr="00CD6245">
        <w:t xml:space="preserve">DTF </w:t>
      </w:r>
      <w:r w:rsidR="00861226" w:rsidRPr="00CD6245">
        <w:t>will measure performance in future years.</w:t>
      </w:r>
    </w:p>
    <w:p w:rsidR="00861226" w:rsidRDefault="00861226" w:rsidP="00861226">
      <w:pPr>
        <w:pStyle w:val="Caption"/>
      </w:pPr>
      <w:bookmarkStart w:id="138" w:name="_Ref457241869"/>
      <w:bookmarkStart w:id="139" w:name="_Toc463527863"/>
      <w:r w:rsidRPr="00CD6245">
        <w:t xml:space="preserve">Table </w:t>
      </w:r>
      <w:r w:rsidR="002B07C2" w:rsidRPr="00CD6245">
        <w:fldChar w:fldCharType="begin"/>
      </w:r>
      <w:r w:rsidR="005C04D8" w:rsidRPr="00CD6245">
        <w:instrText xml:space="preserve"> SEQ Table \* ARABIC </w:instrText>
      </w:r>
      <w:r w:rsidR="002B07C2" w:rsidRPr="00CD6245">
        <w:fldChar w:fldCharType="separate"/>
      </w:r>
      <w:r w:rsidR="002E75B9">
        <w:rPr>
          <w:noProof/>
        </w:rPr>
        <w:t>28</w:t>
      </w:r>
      <w:r w:rsidR="002B07C2" w:rsidRPr="00CD6245">
        <w:fldChar w:fldCharType="end"/>
      </w:r>
      <w:bookmarkEnd w:id="138"/>
      <w:r w:rsidRPr="00CD6245">
        <w:t>: DTF performance in 2015–16</w:t>
      </w:r>
      <w:bookmarkEnd w:id="139"/>
    </w:p>
    <w:p w:rsidR="00B94734" w:rsidRPr="00B94734" w:rsidRDefault="00B94734" w:rsidP="00B94734">
      <w:pPr>
        <w:ind w:left="720"/>
      </w:pPr>
      <w:r>
        <w:rPr>
          <w:noProof/>
        </w:rPr>
        <w:drawing>
          <wp:inline distT="0" distB="0" distL="0" distR="0" wp14:anchorId="000D6842" wp14:editId="1D655DCE">
            <wp:extent cx="5274310" cy="4672330"/>
            <wp:effectExtent l="0" t="0" r="2540" b="0"/>
            <wp:docPr id="50" name="Picture 50" descr="Orange Crush:Users:chrisashe:Desktop:DTF033_VGPB-T28.jpg"/>
            <wp:cNvGraphicFramePr/>
            <a:graphic xmlns:a="http://schemas.openxmlformats.org/drawingml/2006/main">
              <a:graphicData uri="http://schemas.openxmlformats.org/drawingml/2006/picture">
                <pic:pic xmlns:pic="http://schemas.openxmlformats.org/drawingml/2006/picture">
                  <pic:nvPicPr>
                    <pic:cNvPr id="50" name="Picture 50" descr="Orange Crush:Users:chrisashe:Desktop:DTF033_VGPB-T28.jpg"/>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274310" cy="4672330"/>
                    </a:xfrm>
                    <a:prstGeom prst="rect">
                      <a:avLst/>
                    </a:prstGeom>
                    <a:noFill/>
                    <a:ln>
                      <a:noFill/>
                    </a:ln>
                  </pic:spPr>
                </pic:pic>
              </a:graphicData>
            </a:graphic>
          </wp:inline>
        </w:drawing>
      </w:r>
    </w:p>
    <w:p w:rsidR="00861226" w:rsidRPr="00CD6245" w:rsidRDefault="00861226" w:rsidP="00861226">
      <w:pPr>
        <w:pStyle w:val="Heading3NoNum"/>
      </w:pPr>
      <w:r w:rsidRPr="00CD6245">
        <w:t>Procurement activities planned for 2016–17</w:t>
      </w:r>
    </w:p>
    <w:p w:rsidR="00861226" w:rsidRPr="00CD6245" w:rsidRDefault="00861226" w:rsidP="00861226">
      <w:pPr>
        <w:pStyle w:val="Normal1"/>
      </w:pPr>
      <w:r w:rsidRPr="00CD6245">
        <w:t>In 2016–17</w:t>
      </w:r>
      <w:r w:rsidR="00B94734">
        <w:t>,</w:t>
      </w:r>
      <w:r w:rsidRPr="00CD6245">
        <w:t xml:space="preserve"> DTF will:</w:t>
      </w:r>
    </w:p>
    <w:p w:rsidR="001A3EF9" w:rsidRPr="00CD6245" w:rsidRDefault="001A3EF9" w:rsidP="001A3EF9">
      <w:pPr>
        <w:pStyle w:val="Bullet1"/>
      </w:pPr>
      <w:r w:rsidRPr="00CD6245">
        <w:t>continue to refine its governance framework based on the improvements made in 2015–16 as part of the benchmarking project;</w:t>
      </w:r>
    </w:p>
    <w:p w:rsidR="001A3EF9" w:rsidRPr="00CD6245" w:rsidRDefault="001A3EF9" w:rsidP="001A3EF9">
      <w:pPr>
        <w:pStyle w:val="Bullet1"/>
      </w:pPr>
      <w:r w:rsidRPr="00CD6245">
        <w:t>review data collected in 2015–16 and recommendations from the contract management capability audit to determine if the existing capability approach is appropriate;</w:t>
      </w:r>
    </w:p>
    <w:p w:rsidR="001A3EF9" w:rsidRPr="00CD6245" w:rsidRDefault="001A3EF9" w:rsidP="001A3EF9">
      <w:pPr>
        <w:pStyle w:val="Bullet1"/>
      </w:pPr>
      <w:r w:rsidRPr="00CD6245">
        <w:t>build on the metrics developed in 2015–16 to analyse spend data, value-for-money outcomes, and how effectively and efficiently DTF carries out procurement to identify opportunities for improvement and where appropriate action plans will be developed and implemented;</w:t>
      </w:r>
    </w:p>
    <w:p w:rsidR="001A3EF9" w:rsidRPr="00CD6245" w:rsidRDefault="001A3EF9" w:rsidP="001A3EF9">
      <w:pPr>
        <w:pStyle w:val="Bullet1"/>
      </w:pPr>
      <w:r w:rsidRPr="00CD6245">
        <w:lastRenderedPageBreak/>
        <w:t>apply information gathered from the supplier engagement framework to new procurement and contracting activities;</w:t>
      </w:r>
    </w:p>
    <w:p w:rsidR="001A3EF9" w:rsidRPr="00CD6245" w:rsidRDefault="001A3EF9" w:rsidP="001A3EF9">
      <w:pPr>
        <w:pStyle w:val="Bullet1"/>
      </w:pPr>
      <w:r w:rsidRPr="00CD6245">
        <w:t>review and further enhance supplier management plans based on liaison with other departments of a similar profile;</w:t>
      </w:r>
    </w:p>
    <w:p w:rsidR="001A3EF9" w:rsidRPr="00CD6245" w:rsidRDefault="001A3EF9" w:rsidP="001A3EF9">
      <w:pPr>
        <w:pStyle w:val="Bullet1"/>
      </w:pPr>
      <w:r w:rsidRPr="00CD6245">
        <w:t>continue evaluating full costs of conducting procurement activities (staffing costs, advertising, legal fees, etc.) and implement end-to-end cost plans to reduce procurement costs. Understanding procurement costs will continue to be a focus during 2016–17 and further analysis of costs/spend will lead to a more effective and efficient procurement process; and</w:t>
      </w:r>
    </w:p>
    <w:p w:rsidR="001A3EF9" w:rsidRPr="00CD6245" w:rsidRDefault="001A3EF9" w:rsidP="001A3EF9">
      <w:pPr>
        <w:pStyle w:val="Bullet1"/>
      </w:pPr>
      <w:r w:rsidRPr="00CD6245">
        <w:t>improve the reporting process to provide a suite of performance reports fully supported by the DTF dashboard.</w:t>
      </w:r>
    </w:p>
    <w:p w:rsidR="00861226" w:rsidRPr="00CD6245" w:rsidRDefault="00861226" w:rsidP="00861226"/>
    <w:p w:rsidR="00861226" w:rsidRPr="00CD6245" w:rsidRDefault="00861226" w:rsidP="00861226">
      <w:pPr>
        <w:pStyle w:val="Normal1"/>
        <w:rPr>
          <w:lang w:eastAsia="en-US"/>
        </w:rPr>
      </w:pPr>
    </w:p>
    <w:p w:rsidR="00442D45" w:rsidRPr="00CD6245" w:rsidRDefault="00442D45">
      <w:pPr>
        <w:rPr>
          <w:rFonts w:ascii="Calibri" w:hAnsi="Calibri" w:cs="Calibri"/>
          <w:color w:val="4D4D4D"/>
          <w:kern w:val="28"/>
          <w:sz w:val="30"/>
          <w:szCs w:val="22"/>
          <w:lang w:eastAsia="en-US"/>
        </w:rPr>
      </w:pPr>
      <w:r w:rsidRPr="00CD6245">
        <w:br w:type="page"/>
      </w:r>
    </w:p>
    <w:p w:rsidR="00861226" w:rsidRPr="00CD6245" w:rsidRDefault="00861226" w:rsidP="00861226">
      <w:pPr>
        <w:pStyle w:val="Heading2NoNum"/>
      </w:pPr>
      <w:bookmarkStart w:id="140" w:name="_Toc463527738"/>
      <w:r w:rsidRPr="00CD6245">
        <w:lastRenderedPageBreak/>
        <w:t>VicRoads</w:t>
      </w:r>
      <w:bookmarkEnd w:id="140"/>
    </w:p>
    <w:tbl>
      <w:tblPr>
        <w:tblStyle w:val="TableGrid"/>
        <w:tblW w:w="8245" w:type="dxa"/>
        <w:tblInd w:w="79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82"/>
        <w:gridCol w:w="6663"/>
      </w:tblGrid>
      <w:tr w:rsidR="00861226" w:rsidRPr="00CD6245" w:rsidTr="00870CCC">
        <w:tc>
          <w:tcPr>
            <w:tcW w:w="1582" w:type="dxa"/>
          </w:tcPr>
          <w:p w:rsidR="00861226" w:rsidRPr="00CD6245" w:rsidRDefault="00861226" w:rsidP="00870CCC">
            <w:pPr>
              <w:keepNext/>
              <w:spacing w:before="40" w:after="40"/>
              <w:rPr>
                <w:rFonts w:ascii="Calibri" w:hAnsi="Calibri" w:cs="Calibri"/>
                <w:b/>
                <w:color w:val="333333"/>
                <w:szCs w:val="20"/>
              </w:rPr>
            </w:pPr>
            <w:r w:rsidRPr="00CD6245">
              <w:rPr>
                <w:rFonts w:ascii="Calibri" w:hAnsi="Calibri" w:cs="Calibri"/>
                <w:b/>
                <w:color w:val="333333"/>
                <w:szCs w:val="20"/>
              </w:rPr>
              <w:t>IPU Chair</w:t>
            </w:r>
          </w:p>
        </w:tc>
        <w:tc>
          <w:tcPr>
            <w:tcW w:w="6663" w:type="dxa"/>
          </w:tcPr>
          <w:p w:rsidR="00861226" w:rsidRPr="00CD6245" w:rsidRDefault="00861226" w:rsidP="00355BB9">
            <w:pPr>
              <w:pStyle w:val="TableText"/>
            </w:pPr>
            <w:r w:rsidRPr="00CD6245">
              <w:t>Judith Pettitt, Executive Director, Corporate Services</w:t>
            </w:r>
          </w:p>
        </w:tc>
      </w:tr>
      <w:tr w:rsidR="00861226" w:rsidRPr="00CD6245" w:rsidTr="00870CCC">
        <w:tc>
          <w:tcPr>
            <w:tcW w:w="1582" w:type="dxa"/>
          </w:tcPr>
          <w:p w:rsidR="00861226" w:rsidRPr="00CD6245" w:rsidRDefault="00861226" w:rsidP="00870CCC">
            <w:pPr>
              <w:keepNext/>
              <w:spacing w:before="40" w:after="40"/>
              <w:rPr>
                <w:rFonts w:ascii="Calibri" w:hAnsi="Calibri" w:cs="Calibri"/>
                <w:b/>
                <w:color w:val="333333"/>
                <w:szCs w:val="20"/>
              </w:rPr>
            </w:pPr>
            <w:r w:rsidRPr="00CD6245">
              <w:rPr>
                <w:rFonts w:ascii="Calibri" w:hAnsi="Calibri" w:cs="Calibri"/>
                <w:b/>
                <w:color w:val="333333"/>
                <w:szCs w:val="20"/>
              </w:rPr>
              <w:t>CPO</w:t>
            </w:r>
          </w:p>
        </w:tc>
        <w:tc>
          <w:tcPr>
            <w:tcW w:w="6663" w:type="dxa"/>
          </w:tcPr>
          <w:p w:rsidR="00861226" w:rsidRPr="00CD6245" w:rsidRDefault="00861226" w:rsidP="00355BB9">
            <w:pPr>
              <w:pStyle w:val="TableText"/>
            </w:pPr>
            <w:r w:rsidRPr="00CD6245">
              <w:t>Chris McNally, Director, Procurement and Contract Management</w:t>
            </w:r>
          </w:p>
        </w:tc>
      </w:tr>
    </w:tbl>
    <w:p w:rsidR="00861226" w:rsidRPr="00CD6245" w:rsidRDefault="00861226" w:rsidP="00861226">
      <w:pPr>
        <w:pStyle w:val="Heading3NoNum"/>
      </w:pPr>
      <w:r w:rsidRPr="00CD6245">
        <w:t>Procurement profile</w:t>
      </w:r>
    </w:p>
    <w:p w:rsidR="00861226" w:rsidRPr="00CD6245" w:rsidRDefault="00861226" w:rsidP="00861226">
      <w:pPr>
        <w:pStyle w:val="Normal1"/>
        <w:rPr>
          <w:color w:val="000000"/>
        </w:rPr>
      </w:pPr>
      <w:r w:rsidRPr="00CD6245">
        <w:t>VicRoads plans, develops and manages the arterial road network and delivers road safety initiatives and customer focused registration and licensing services. The purpose of the organisation</w:t>
      </w:r>
      <w:r w:rsidRPr="00CD6245">
        <w:rPr>
          <w:color w:val="000000"/>
        </w:rPr>
        <w:t xml:space="preserve"> is to support economic prosperity and liveability by shaping the development and use of Victoria’s road system as an integral part of the overall transport system.</w:t>
      </w:r>
    </w:p>
    <w:p w:rsidR="00861226" w:rsidRPr="00CD6245" w:rsidRDefault="00861226" w:rsidP="00861226">
      <w:pPr>
        <w:pStyle w:val="Normal1"/>
      </w:pPr>
      <w:r w:rsidRPr="00CD6245">
        <w:t>Procurement is considered a key function of the organisation and in delivering its services. VicRoads undertakes $2.8 billion of building and construction related procurement (93 per cent) and $214 million (</w:t>
      </w:r>
      <w:r w:rsidR="004F24A9" w:rsidRPr="00CD6245">
        <w:t xml:space="preserve">7 </w:t>
      </w:r>
      <w:r w:rsidRPr="00CD6245">
        <w:t>per cent) of goods and services related procurement annually across a broad range of categories.</w:t>
      </w:r>
    </w:p>
    <w:p w:rsidR="00861226" w:rsidRPr="00CD6245" w:rsidRDefault="00861226" w:rsidP="00861226">
      <w:pPr>
        <w:pStyle w:val="Normal1"/>
      </w:pPr>
      <w:r w:rsidRPr="00CD6245">
        <w:t>VicRoads has a centre</w:t>
      </w:r>
      <w:r w:rsidR="004F24A9" w:rsidRPr="00CD6245">
        <w:t>-</w:t>
      </w:r>
      <w:r w:rsidRPr="00CD6245">
        <w:t xml:space="preserve">led procurement and contract management business area that provides policies, procedures, systems and advice to the broader organisation and also has some contract administration responsibilities. This decentralised process allows the majority of procurement activities to be </w:t>
      </w:r>
      <w:r w:rsidR="000D7385" w:rsidRPr="00CD6245">
        <w:t>carried out</w:t>
      </w:r>
      <w:r w:rsidRPr="00CD6245">
        <w:t xml:space="preserve"> across the organisation by a wide range of individuals.</w:t>
      </w:r>
    </w:p>
    <w:p w:rsidR="00861226" w:rsidRPr="00CD6245" w:rsidRDefault="00861226" w:rsidP="00861226">
      <w:pPr>
        <w:pStyle w:val="Normal1"/>
        <w:rPr>
          <w:rFonts w:cs="Arial"/>
        </w:rPr>
      </w:pPr>
      <w:r w:rsidRPr="00CD6245">
        <w:t xml:space="preserve">The Procurement and Contract Management business area, managed by the CPO, works in conjunction with the Procurement Governance Committee (PGC) to improve procurement practice capability and controls. A key focus is to maintain </w:t>
      </w:r>
      <w:r w:rsidRPr="00CD6245">
        <w:rPr>
          <w:rFonts w:cs="Arial"/>
        </w:rPr>
        <w:t>VicRoads’ high standing as a government procurement organisation by ensuring probity, timeliness and value for money through its procurement activities.</w:t>
      </w:r>
    </w:p>
    <w:p w:rsidR="00861226" w:rsidRPr="00CD6245" w:rsidRDefault="00861226" w:rsidP="00861226">
      <w:pPr>
        <w:pStyle w:val="Normal1"/>
      </w:pPr>
      <w:r w:rsidRPr="00CD6245">
        <w:t>VicRoads has 11 category groups of goods and services spend with 87 individual categories. The majority of procurement spend uses SPCs. The largest areas of goods and services spend are in the categories of people services (41 per cent), registration and licensing (17 per cent) and ICT goods and services (11 per cent).</w:t>
      </w:r>
    </w:p>
    <w:p w:rsidR="00861226" w:rsidRPr="00CD6245" w:rsidRDefault="00861226" w:rsidP="00861226">
      <w:pPr>
        <w:pStyle w:val="Normal1"/>
      </w:pPr>
      <w:r w:rsidRPr="00CD6245">
        <w:t>During 2015–16</w:t>
      </w:r>
      <w:r w:rsidR="004F24A9" w:rsidRPr="00CD6245">
        <w:t>,</w:t>
      </w:r>
      <w:r w:rsidRPr="00CD6245">
        <w:t xml:space="preserve"> VicRoads established 17 new goods and services formal contracts with a whole of life value of greater than $52 million</w:t>
      </w:r>
      <w:r w:rsidR="00E85CD5">
        <w:t>,</w:t>
      </w:r>
      <w:r w:rsidRPr="00CD6245">
        <w:t xml:space="preserve"> and created over 2 300 new purchase orders with an approximate total value of $143 million. The largest spend through purchase orders was to facilitate goods and services procurement arrangements through SPCs, where head contract arrangements and terms and conditions are already established. VicRoads established 30 procurement plans for higher complexity and risk procurements to provide assurance that appropriate strategies and the correct procurement approach have been applied. These plans were approved by the PGC or its delegate in accordance with the VicRoads governance framework.</w:t>
      </w:r>
    </w:p>
    <w:p w:rsidR="00861226" w:rsidRPr="00CD6245" w:rsidRDefault="00861226" w:rsidP="00861226">
      <w:pPr>
        <w:pStyle w:val="Heading3NoNum"/>
      </w:pPr>
      <w:r w:rsidRPr="00CD6245">
        <w:t>Procurement activities in 2015–16</w:t>
      </w:r>
    </w:p>
    <w:p w:rsidR="00861226" w:rsidRPr="00CD6245" w:rsidRDefault="00861226" w:rsidP="00861226">
      <w:pPr>
        <w:pStyle w:val="Normal1"/>
        <w:rPr>
          <w:lang w:eastAsia="en-US"/>
        </w:rPr>
      </w:pPr>
      <w:r w:rsidRPr="00CD6245">
        <w:rPr>
          <w:lang w:eastAsia="en-US"/>
        </w:rPr>
        <w:t xml:space="preserve">After being approved for </w:t>
      </w:r>
      <w:r w:rsidR="00925E39" w:rsidRPr="00CD6245">
        <w:rPr>
          <w:lang w:eastAsia="en-US"/>
        </w:rPr>
        <w:t xml:space="preserve">accreditation </w:t>
      </w:r>
      <w:r w:rsidRPr="00CD6245">
        <w:rPr>
          <w:lang w:eastAsia="en-US"/>
        </w:rPr>
        <w:t>to the VGPB supply policy framework on 1 July 2015, VicRoads implemented a comprehensive change management process to embed the reform across the organisation.</w:t>
      </w:r>
    </w:p>
    <w:p w:rsidR="00861226" w:rsidRPr="00CD6245" w:rsidRDefault="00861226" w:rsidP="00861226">
      <w:pPr>
        <w:pStyle w:val="Normal1"/>
        <w:rPr>
          <w:lang w:eastAsia="en-US"/>
        </w:rPr>
      </w:pPr>
      <w:r w:rsidRPr="00CD6245">
        <w:rPr>
          <w:lang w:eastAsia="en-US"/>
        </w:rPr>
        <w:t xml:space="preserve">New governance arrangements were introduced in line with VGPB policies to achieve a better balance between risk management and process efficiencies. Procurement plans were implemented to ensure the details of the procurement approach and other key information is approved before any approach to market. The </w:t>
      </w:r>
      <w:r w:rsidR="00925E39" w:rsidRPr="00CD6245">
        <w:rPr>
          <w:lang w:eastAsia="en-US"/>
        </w:rPr>
        <w:t>PGC</w:t>
      </w:r>
      <w:r w:rsidRPr="00CD6245">
        <w:rPr>
          <w:lang w:eastAsia="en-US"/>
        </w:rPr>
        <w:t xml:space="preserve"> was restructured with a new chair, committee members and an updated terms of reference.</w:t>
      </w:r>
    </w:p>
    <w:p w:rsidR="00861226" w:rsidRPr="00CD6245" w:rsidRDefault="00861226" w:rsidP="00861226">
      <w:pPr>
        <w:pStyle w:val="Normal1"/>
        <w:rPr>
          <w:lang w:eastAsia="en-US"/>
        </w:rPr>
      </w:pPr>
      <w:r w:rsidRPr="00CD6245">
        <w:rPr>
          <w:lang w:eastAsia="en-US"/>
        </w:rPr>
        <w:t>VicRoads implemented a capability development plan</w:t>
      </w:r>
      <w:r w:rsidR="00E85CD5">
        <w:rPr>
          <w:lang w:eastAsia="en-US"/>
        </w:rPr>
        <w:t>,</w:t>
      </w:r>
      <w:r w:rsidRPr="00CD6245">
        <w:rPr>
          <w:lang w:eastAsia="en-US"/>
        </w:rPr>
        <w:t xml:space="preserve"> including capability assessments, system enhancements, workshops, online e-learning modules, self-service instructional documentation, specialist targeted training for key stakeholders, and adding procurement components to technical capability standards.</w:t>
      </w:r>
    </w:p>
    <w:p w:rsidR="00861226" w:rsidRPr="00CD6245" w:rsidRDefault="00861226" w:rsidP="00861226">
      <w:pPr>
        <w:pStyle w:val="Normal1"/>
        <w:rPr>
          <w:lang w:eastAsia="en-US"/>
        </w:rPr>
      </w:pPr>
      <w:r w:rsidRPr="00CD6245">
        <w:rPr>
          <w:lang w:eastAsia="en-US"/>
        </w:rPr>
        <w:lastRenderedPageBreak/>
        <w:t xml:space="preserve">The organisation started using category management, developing key category group procurement strategies and revising </w:t>
      </w:r>
      <w:r w:rsidR="004F24A9" w:rsidRPr="00CD6245">
        <w:rPr>
          <w:lang w:eastAsia="en-US"/>
        </w:rPr>
        <w:t xml:space="preserve">the </w:t>
      </w:r>
      <w:r w:rsidRPr="00CD6245">
        <w:rPr>
          <w:lang w:eastAsia="en-US"/>
        </w:rPr>
        <w:t>procurement category group structure.</w:t>
      </w:r>
    </w:p>
    <w:p w:rsidR="00861226" w:rsidRPr="00CD6245" w:rsidRDefault="00861226" w:rsidP="00861226">
      <w:pPr>
        <w:pStyle w:val="Normal1"/>
        <w:rPr>
          <w:lang w:eastAsia="en-US"/>
        </w:rPr>
      </w:pPr>
      <w:r w:rsidRPr="00CD6245">
        <w:rPr>
          <w:lang w:eastAsia="en-US"/>
        </w:rPr>
        <w:t>A procurement assurance framework was developed and partially implemented. The framework will identify likely patterns for breaches of procurement processes and areas for improvement as well as very serious breaches of procurement processes or fraud to be escalated for further investigation.</w:t>
      </w:r>
    </w:p>
    <w:p w:rsidR="00861226" w:rsidRPr="00CD6245" w:rsidRDefault="00861226" w:rsidP="00861226">
      <w:pPr>
        <w:pStyle w:val="Normal1"/>
        <w:rPr>
          <w:lang w:eastAsia="en-US"/>
        </w:rPr>
      </w:pPr>
      <w:r w:rsidRPr="00CD6245">
        <w:rPr>
          <w:lang w:eastAsia="en-US"/>
        </w:rPr>
        <w:t>VicRoads started a staged review of all procurement policies, procedures and authorisation limits</w:t>
      </w:r>
      <w:r w:rsidRPr="00CD6245">
        <w:t xml:space="preserve"> </w:t>
      </w:r>
      <w:r w:rsidRPr="00CD6245">
        <w:rPr>
          <w:lang w:eastAsia="en-US"/>
        </w:rPr>
        <w:t>in order to introduce a better balance between risk management and process efficiencies in line with the procurement governance approach.</w:t>
      </w:r>
    </w:p>
    <w:p w:rsidR="00861226" w:rsidRPr="00CD6245" w:rsidRDefault="00861226" w:rsidP="00861226">
      <w:pPr>
        <w:pStyle w:val="Normal1"/>
        <w:rPr>
          <w:lang w:eastAsia="en-US"/>
        </w:rPr>
      </w:pPr>
      <w:r w:rsidRPr="00CD6245">
        <w:rPr>
          <w:lang w:eastAsia="en-US"/>
        </w:rPr>
        <w:t>Lastly, VicRoads began transitioning to meet the mandatory requirements of SPCs for greater processing efficiencies and improved value</w:t>
      </w:r>
      <w:r w:rsidR="00870CCC" w:rsidRPr="00CD6245">
        <w:rPr>
          <w:lang w:eastAsia="en-US"/>
        </w:rPr>
        <w:t>-</w:t>
      </w:r>
      <w:r w:rsidRPr="00CD6245">
        <w:rPr>
          <w:lang w:eastAsia="en-US"/>
        </w:rPr>
        <w:t>for</w:t>
      </w:r>
      <w:r w:rsidR="00870CCC" w:rsidRPr="00CD6245">
        <w:rPr>
          <w:lang w:eastAsia="en-US"/>
        </w:rPr>
        <w:t>-</w:t>
      </w:r>
      <w:r w:rsidRPr="00CD6245">
        <w:rPr>
          <w:lang w:eastAsia="en-US"/>
        </w:rPr>
        <w:t>money outcomes.</w:t>
      </w:r>
    </w:p>
    <w:p w:rsidR="00861226" w:rsidRPr="00CD6245" w:rsidRDefault="00861226" w:rsidP="00861226">
      <w:pPr>
        <w:pStyle w:val="Heading3NoNum"/>
      </w:pPr>
      <w:r w:rsidRPr="00CD6245">
        <w:t>Performance in 2015–16</w:t>
      </w:r>
    </w:p>
    <w:p w:rsidR="00861226" w:rsidRPr="00CD6245" w:rsidRDefault="00AC517C" w:rsidP="00861226">
      <w:pPr>
        <w:pStyle w:val="Normal1"/>
        <w:rPr>
          <w:lang w:eastAsia="en-US"/>
        </w:rPr>
      </w:pPr>
      <w:r>
        <w:fldChar w:fldCharType="begin"/>
      </w:r>
      <w:r>
        <w:instrText xml:space="preserve"> REF _Ref457241882 \h  \* MERGEFORMAT </w:instrText>
      </w:r>
      <w:r>
        <w:fldChar w:fldCharType="separate"/>
      </w:r>
      <w:r w:rsidR="002E75B9" w:rsidRPr="00CD6245">
        <w:t xml:space="preserve">Table </w:t>
      </w:r>
      <w:r w:rsidR="002E75B9">
        <w:rPr>
          <w:noProof/>
        </w:rPr>
        <w:t>29</w:t>
      </w:r>
      <w:r>
        <w:fldChar w:fldCharType="end"/>
      </w:r>
      <w:r w:rsidR="00861226" w:rsidRPr="00CD6245">
        <w:rPr>
          <w:lang w:eastAsia="en-US"/>
        </w:rPr>
        <w:t xml:space="preserve"> lists VicRoads’ </w:t>
      </w:r>
      <w:r w:rsidR="00861226" w:rsidRPr="00CD6245">
        <w:t xml:space="preserve">data for the six performance measures. Data for 2015–16 reflects a ‘best endeavours’ approach given the significant amount of work involved in setting up processes to report against the performance measures. As far as possible, the 2015–16 outcomes will help form the baseline against which </w:t>
      </w:r>
      <w:r w:rsidR="00666B32" w:rsidRPr="00CD6245">
        <w:t xml:space="preserve">VicRoads </w:t>
      </w:r>
      <w:r w:rsidR="00861226" w:rsidRPr="00CD6245">
        <w:t>will measure performance in future years.</w:t>
      </w:r>
    </w:p>
    <w:p w:rsidR="00861226" w:rsidRDefault="00861226" w:rsidP="00861226">
      <w:pPr>
        <w:pStyle w:val="Caption"/>
      </w:pPr>
      <w:bookmarkStart w:id="141" w:name="_Ref457241882"/>
      <w:bookmarkStart w:id="142" w:name="_Toc463527864"/>
      <w:r w:rsidRPr="00CD6245">
        <w:t xml:space="preserve">Table </w:t>
      </w:r>
      <w:r w:rsidR="002B07C2" w:rsidRPr="00CD6245">
        <w:fldChar w:fldCharType="begin"/>
      </w:r>
      <w:r w:rsidR="005C04D8" w:rsidRPr="00CD6245">
        <w:instrText xml:space="preserve"> SEQ Table \* ARABIC </w:instrText>
      </w:r>
      <w:r w:rsidR="002B07C2" w:rsidRPr="00CD6245">
        <w:fldChar w:fldCharType="separate"/>
      </w:r>
      <w:r w:rsidR="002E75B9">
        <w:rPr>
          <w:noProof/>
        </w:rPr>
        <w:t>29</w:t>
      </w:r>
      <w:r w:rsidR="002B07C2" w:rsidRPr="00CD6245">
        <w:fldChar w:fldCharType="end"/>
      </w:r>
      <w:bookmarkEnd w:id="141"/>
      <w:r w:rsidRPr="00CD6245">
        <w:t xml:space="preserve">: </w:t>
      </w:r>
      <w:r w:rsidR="00CD6245" w:rsidRPr="00CD6245">
        <w:t>VicRoads</w:t>
      </w:r>
      <w:r w:rsidRPr="00CD6245">
        <w:t xml:space="preserve"> performance in 2015–16</w:t>
      </w:r>
      <w:bookmarkEnd w:id="142"/>
    </w:p>
    <w:p w:rsidR="00E85CD5" w:rsidRPr="00E85CD5" w:rsidRDefault="00E85CD5" w:rsidP="00E85CD5">
      <w:pPr>
        <w:ind w:left="630"/>
      </w:pPr>
      <w:r>
        <w:rPr>
          <w:noProof/>
        </w:rPr>
        <w:drawing>
          <wp:inline distT="0" distB="0" distL="0" distR="0" wp14:anchorId="49626B54" wp14:editId="5FBC3EF2">
            <wp:extent cx="5274310" cy="4081145"/>
            <wp:effectExtent l="0" t="0" r="2540" b="0"/>
            <wp:docPr id="51" name="Picture 51" descr="Orange Crush:Users:chrisashe:Desktop:DTF033_VGPB-T29.jpg"/>
            <wp:cNvGraphicFramePr/>
            <a:graphic xmlns:a="http://schemas.openxmlformats.org/drawingml/2006/main">
              <a:graphicData uri="http://schemas.openxmlformats.org/drawingml/2006/picture">
                <pic:pic xmlns:pic="http://schemas.openxmlformats.org/drawingml/2006/picture">
                  <pic:nvPicPr>
                    <pic:cNvPr id="51" name="Picture 51" descr="Orange Crush:Users:chrisashe:Desktop:DTF033_VGPB-T29.jpg"/>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274310" cy="4081145"/>
                    </a:xfrm>
                    <a:prstGeom prst="rect">
                      <a:avLst/>
                    </a:prstGeom>
                    <a:noFill/>
                    <a:ln>
                      <a:noFill/>
                    </a:ln>
                  </pic:spPr>
                </pic:pic>
              </a:graphicData>
            </a:graphic>
          </wp:inline>
        </w:drawing>
      </w:r>
    </w:p>
    <w:p w:rsidR="00861226" w:rsidRPr="00CD6245" w:rsidRDefault="00861226" w:rsidP="00861226">
      <w:pPr>
        <w:pStyle w:val="Heading3NoNum"/>
      </w:pPr>
      <w:r w:rsidRPr="00CD6245">
        <w:t>Procurement activities planned for 2016–17</w:t>
      </w:r>
    </w:p>
    <w:p w:rsidR="00861226" w:rsidRPr="00CD6245" w:rsidRDefault="00861226" w:rsidP="00861226">
      <w:pPr>
        <w:pStyle w:val="Normal1"/>
        <w:rPr>
          <w:lang w:eastAsia="en-US"/>
        </w:rPr>
      </w:pPr>
      <w:r w:rsidRPr="00CD6245">
        <w:rPr>
          <w:lang w:eastAsia="en-US"/>
        </w:rPr>
        <w:t>In 2016–17</w:t>
      </w:r>
      <w:r w:rsidR="00E85CD5">
        <w:rPr>
          <w:lang w:eastAsia="en-US"/>
        </w:rPr>
        <w:t>,</w:t>
      </w:r>
      <w:r w:rsidRPr="00CD6245">
        <w:rPr>
          <w:lang w:eastAsia="en-US"/>
        </w:rPr>
        <w:t xml:space="preserve"> VicRoads will:</w:t>
      </w:r>
    </w:p>
    <w:p w:rsidR="00861226" w:rsidRPr="00CD6245" w:rsidRDefault="00861226" w:rsidP="00861226">
      <w:pPr>
        <w:pStyle w:val="Bullet1"/>
        <w:rPr>
          <w:lang w:eastAsia="en-US"/>
        </w:rPr>
      </w:pPr>
      <w:r w:rsidRPr="00CD6245">
        <w:rPr>
          <w:lang w:eastAsia="en-US"/>
        </w:rPr>
        <w:t>continue to enhance and implement the procurement assurance framework;</w:t>
      </w:r>
    </w:p>
    <w:p w:rsidR="00861226" w:rsidRPr="00CD6245" w:rsidRDefault="00861226" w:rsidP="00861226">
      <w:pPr>
        <w:pStyle w:val="Bullet1"/>
        <w:rPr>
          <w:lang w:eastAsia="en-US"/>
        </w:rPr>
      </w:pPr>
      <w:r w:rsidRPr="00CD6245">
        <w:rPr>
          <w:lang w:eastAsia="en-US"/>
        </w:rPr>
        <w:t>update and implement its capability development plan including capability assessments, system enhancements, refresh</w:t>
      </w:r>
      <w:r w:rsidR="004F24A9" w:rsidRPr="00CD6245">
        <w:rPr>
          <w:lang w:eastAsia="en-US"/>
        </w:rPr>
        <w:t>e</w:t>
      </w:r>
      <w:r w:rsidRPr="00CD6245">
        <w:rPr>
          <w:lang w:eastAsia="en-US"/>
        </w:rPr>
        <w:t xml:space="preserve">d and improved training, targeted category management training, improved self-service instructional documentation, specialist targeted training for key </w:t>
      </w:r>
      <w:r w:rsidRPr="00CD6245">
        <w:rPr>
          <w:lang w:eastAsia="en-US"/>
        </w:rPr>
        <w:lastRenderedPageBreak/>
        <w:t>stakeholders and ability to evaluate procurement capability at an individual/business area level;</w:t>
      </w:r>
    </w:p>
    <w:p w:rsidR="00861226" w:rsidRPr="00CD6245" w:rsidRDefault="00861226" w:rsidP="00861226">
      <w:pPr>
        <w:pStyle w:val="Bullet1"/>
        <w:rPr>
          <w:lang w:eastAsia="en-US"/>
        </w:rPr>
      </w:pPr>
      <w:r w:rsidRPr="00CD6245">
        <w:rPr>
          <w:lang w:eastAsia="en-US"/>
        </w:rPr>
        <w:t>introduce an e-Tendering system to deliver benefits such as process efficiencies, environmental benefits, cost savings, better probity and reduced procurement risks, improved data management, greater transparency and reduced effort for tenderers;</w:t>
      </w:r>
    </w:p>
    <w:p w:rsidR="00861226" w:rsidRPr="00CD6245" w:rsidRDefault="00861226" w:rsidP="00861226">
      <w:pPr>
        <w:pStyle w:val="Bullet1"/>
        <w:rPr>
          <w:lang w:eastAsia="en-US"/>
        </w:rPr>
      </w:pPr>
      <w:r w:rsidRPr="00CD6245">
        <w:rPr>
          <w:lang w:eastAsia="en-US"/>
        </w:rPr>
        <w:t>review its contract management and administration approach and update contract management procedures;</w:t>
      </w:r>
    </w:p>
    <w:p w:rsidR="00861226" w:rsidRPr="00CD6245" w:rsidRDefault="00861226" w:rsidP="00861226">
      <w:pPr>
        <w:pStyle w:val="Bullet1"/>
        <w:rPr>
          <w:lang w:eastAsia="en-US"/>
        </w:rPr>
      </w:pPr>
      <w:r w:rsidRPr="00CD6245">
        <w:rPr>
          <w:lang w:eastAsia="en-US"/>
        </w:rPr>
        <w:t xml:space="preserve">review the category management structure and continue to develop a greater understanding of the category groups, </w:t>
      </w:r>
      <w:r w:rsidR="00E85CD5">
        <w:rPr>
          <w:lang w:eastAsia="en-US"/>
        </w:rPr>
        <w:t>and an e</w:t>
      </w:r>
      <w:r w:rsidRPr="00CD6245">
        <w:rPr>
          <w:lang w:eastAsia="en-US"/>
        </w:rPr>
        <w:t>nhanced ongoing strategy for improvements and goals with the ability to deliver greater benefits in the future;</w:t>
      </w:r>
    </w:p>
    <w:p w:rsidR="00861226" w:rsidRPr="00CD6245" w:rsidRDefault="00861226" w:rsidP="00861226">
      <w:pPr>
        <w:pStyle w:val="Bullet1"/>
        <w:rPr>
          <w:lang w:eastAsia="en-US"/>
        </w:rPr>
      </w:pPr>
      <w:r w:rsidRPr="00CD6245">
        <w:rPr>
          <w:lang w:eastAsia="en-US"/>
        </w:rPr>
        <w:t>continue the review of all procurement systems, tools, policies, procedures and authorisation limits to introduce a more effective and efficient approach to procurement that manages risks appropriately;</w:t>
      </w:r>
    </w:p>
    <w:p w:rsidR="00861226" w:rsidRPr="00CD6245" w:rsidRDefault="000D7385" w:rsidP="00861226">
      <w:pPr>
        <w:pStyle w:val="Bullet1"/>
        <w:rPr>
          <w:lang w:eastAsia="en-US"/>
        </w:rPr>
      </w:pPr>
      <w:r w:rsidRPr="00CD6245">
        <w:rPr>
          <w:lang w:eastAsia="en-US"/>
        </w:rPr>
        <w:t>u</w:t>
      </w:r>
      <w:r w:rsidR="00861226" w:rsidRPr="00CD6245">
        <w:rPr>
          <w:lang w:eastAsia="en-US"/>
        </w:rPr>
        <w:t>ndertake a critical assessment and transition process to facilitate the adoption of remaining mandatory SPCs, in particular fleet and printing;</w:t>
      </w:r>
    </w:p>
    <w:p w:rsidR="00861226" w:rsidRPr="00CD6245" w:rsidRDefault="00861226" w:rsidP="003B398F">
      <w:pPr>
        <w:pStyle w:val="Bullet1"/>
        <w:rPr>
          <w:lang w:eastAsia="en-US"/>
        </w:rPr>
      </w:pPr>
      <w:r w:rsidRPr="00CD6245">
        <w:rPr>
          <w:lang w:eastAsia="en-US"/>
        </w:rPr>
        <w:t>review the</w:t>
      </w:r>
      <w:r w:rsidR="003B398F" w:rsidRPr="00CD6245">
        <w:rPr>
          <w:rFonts w:ascii="MuseoSans-100" w:hAnsi="MuseoSans-100" w:cs="MuseoSans-100"/>
          <w:color w:val="1A1A1A"/>
          <w:sz w:val="16"/>
          <w:szCs w:val="16"/>
        </w:rPr>
        <w:t xml:space="preserve"> </w:t>
      </w:r>
      <w:r w:rsidR="003B398F" w:rsidRPr="00CD6245">
        <w:rPr>
          <w:lang w:eastAsia="en-US"/>
        </w:rPr>
        <w:t>Independent Broad-based Anti-corruption Commission</w:t>
      </w:r>
      <w:r w:rsidRPr="00CD6245">
        <w:rPr>
          <w:lang w:eastAsia="en-US"/>
        </w:rPr>
        <w:t xml:space="preserve"> </w:t>
      </w:r>
      <w:r w:rsidR="00DC31A8" w:rsidRPr="00CD6245">
        <w:rPr>
          <w:lang w:eastAsia="en-US"/>
        </w:rPr>
        <w:t>r</w:t>
      </w:r>
      <w:r w:rsidRPr="00CD6245">
        <w:rPr>
          <w:lang w:eastAsia="en-US"/>
        </w:rPr>
        <w:t>eport on perceptions of corruption and develop a strategy to address concerns raised and evaluate areas of risk and opportunity;</w:t>
      </w:r>
    </w:p>
    <w:p w:rsidR="00861226" w:rsidRPr="00CD6245" w:rsidRDefault="00861226" w:rsidP="00861226">
      <w:pPr>
        <w:pStyle w:val="Bullet1"/>
        <w:rPr>
          <w:lang w:eastAsia="en-US"/>
        </w:rPr>
      </w:pPr>
      <w:r w:rsidRPr="00CD6245">
        <w:rPr>
          <w:lang w:eastAsia="en-US"/>
        </w:rPr>
        <w:t>transition to delivering ethical procurement policies to deliver a fair and equitable procurement process aligned with the VGPB’s policy framework;</w:t>
      </w:r>
    </w:p>
    <w:p w:rsidR="00861226" w:rsidRPr="00CD6245" w:rsidRDefault="00861226" w:rsidP="00861226">
      <w:pPr>
        <w:pStyle w:val="Bullet1"/>
        <w:rPr>
          <w:lang w:eastAsia="en-US"/>
        </w:rPr>
      </w:pPr>
      <w:r w:rsidRPr="00CD6245">
        <w:rPr>
          <w:lang w:eastAsia="en-US"/>
        </w:rPr>
        <w:t>develop data analytics and dashboards to provide a comprehensive view of procurement activities, risks and opportunities;</w:t>
      </w:r>
    </w:p>
    <w:p w:rsidR="00861226" w:rsidRPr="00CD6245" w:rsidRDefault="00861226" w:rsidP="00861226">
      <w:pPr>
        <w:pStyle w:val="Bullet1"/>
        <w:rPr>
          <w:lang w:eastAsia="en-US"/>
        </w:rPr>
      </w:pPr>
      <w:r w:rsidRPr="00CD6245">
        <w:rPr>
          <w:lang w:eastAsia="en-US"/>
        </w:rPr>
        <w:t>refine the template and governance approach for procurement plans to deliver a more efficient and effective approach; and</w:t>
      </w:r>
    </w:p>
    <w:p w:rsidR="00861226" w:rsidRPr="00CD6245" w:rsidRDefault="00861226" w:rsidP="00861226">
      <w:pPr>
        <w:pStyle w:val="Bullet1"/>
        <w:rPr>
          <w:lang w:eastAsia="en-US"/>
        </w:rPr>
      </w:pPr>
      <w:r w:rsidRPr="00CD6245">
        <w:rPr>
          <w:lang w:eastAsia="en-US"/>
        </w:rPr>
        <w:t>refine and implement the supplier engagement plan.</w:t>
      </w:r>
    </w:p>
    <w:p w:rsidR="00E00BDF" w:rsidRPr="00CD6245" w:rsidRDefault="00E00BDF">
      <w:pPr>
        <w:rPr>
          <w:rFonts w:ascii="Calibri" w:hAnsi="Calibri" w:cs="Calibri"/>
          <w:color w:val="4D4D4D"/>
          <w:kern w:val="28"/>
          <w:sz w:val="30"/>
          <w:szCs w:val="22"/>
          <w:lang w:eastAsia="en-US"/>
        </w:rPr>
      </w:pPr>
      <w:r w:rsidRPr="00CD6245">
        <w:br w:type="page"/>
      </w:r>
    </w:p>
    <w:p w:rsidR="00861226" w:rsidRPr="00CD6245" w:rsidRDefault="00861226" w:rsidP="00E00BDF">
      <w:pPr>
        <w:pStyle w:val="Heading2NoNum"/>
      </w:pPr>
      <w:bookmarkStart w:id="143" w:name="_Toc463527739"/>
      <w:r w:rsidRPr="00CD6245">
        <w:lastRenderedPageBreak/>
        <w:t>Victoria Police</w:t>
      </w:r>
      <w:bookmarkEnd w:id="143"/>
    </w:p>
    <w:tbl>
      <w:tblPr>
        <w:tblStyle w:val="TableGrid"/>
        <w:tblW w:w="9804" w:type="dxa"/>
        <w:tblInd w:w="79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82"/>
        <w:gridCol w:w="8222"/>
      </w:tblGrid>
      <w:tr w:rsidR="00861226" w:rsidRPr="00CD6245" w:rsidTr="00861226">
        <w:tc>
          <w:tcPr>
            <w:tcW w:w="1582" w:type="dxa"/>
          </w:tcPr>
          <w:p w:rsidR="00861226" w:rsidRPr="00CD6245" w:rsidRDefault="00861226" w:rsidP="00870CCC">
            <w:pPr>
              <w:keepNext/>
              <w:spacing w:before="40" w:after="40"/>
              <w:rPr>
                <w:rFonts w:ascii="Calibri" w:hAnsi="Calibri" w:cs="Calibri"/>
                <w:b/>
                <w:color w:val="333333"/>
                <w:szCs w:val="20"/>
              </w:rPr>
            </w:pPr>
            <w:r w:rsidRPr="00CD6245">
              <w:rPr>
                <w:rFonts w:ascii="Calibri" w:hAnsi="Calibri" w:cs="Calibri"/>
                <w:b/>
                <w:color w:val="333333"/>
                <w:szCs w:val="20"/>
              </w:rPr>
              <w:t>IPU Chair</w:t>
            </w:r>
          </w:p>
        </w:tc>
        <w:tc>
          <w:tcPr>
            <w:tcW w:w="8222" w:type="dxa"/>
          </w:tcPr>
          <w:p w:rsidR="00861226" w:rsidRPr="00CD6245" w:rsidRDefault="00861226" w:rsidP="00870CCC">
            <w:pPr>
              <w:pStyle w:val="TableText"/>
            </w:pPr>
            <w:r w:rsidRPr="00CD6245">
              <w:t>Andrew Loader, Chair of Police Procurement Board / Group Director</w:t>
            </w:r>
            <w:r w:rsidR="00537FBE" w:rsidRPr="00CD6245">
              <w:t>,</w:t>
            </w:r>
            <w:r w:rsidRPr="00CD6245">
              <w:t xml:space="preserve"> Human Resources Department</w:t>
            </w:r>
          </w:p>
        </w:tc>
      </w:tr>
      <w:tr w:rsidR="00861226" w:rsidRPr="00CD6245" w:rsidTr="00861226">
        <w:tc>
          <w:tcPr>
            <w:tcW w:w="1582" w:type="dxa"/>
          </w:tcPr>
          <w:p w:rsidR="00861226" w:rsidRPr="00CD6245" w:rsidRDefault="00861226" w:rsidP="00870CCC">
            <w:pPr>
              <w:keepNext/>
              <w:spacing w:before="40" w:after="40"/>
              <w:rPr>
                <w:rFonts w:ascii="Calibri" w:hAnsi="Calibri" w:cs="Calibri"/>
                <w:b/>
                <w:color w:val="333333"/>
                <w:szCs w:val="20"/>
              </w:rPr>
            </w:pPr>
            <w:r w:rsidRPr="00CD6245">
              <w:rPr>
                <w:rFonts w:ascii="Calibri" w:hAnsi="Calibri" w:cs="Calibri"/>
                <w:b/>
                <w:color w:val="333333"/>
                <w:szCs w:val="20"/>
              </w:rPr>
              <w:t>CPO</w:t>
            </w:r>
          </w:p>
        </w:tc>
        <w:tc>
          <w:tcPr>
            <w:tcW w:w="8222" w:type="dxa"/>
          </w:tcPr>
          <w:p w:rsidR="00861226" w:rsidRPr="00CD6245" w:rsidRDefault="00861226" w:rsidP="00870CCC">
            <w:pPr>
              <w:pStyle w:val="TableText"/>
            </w:pPr>
            <w:r w:rsidRPr="00CD6245">
              <w:t>Kylie Callander, A</w:t>
            </w:r>
            <w:r w:rsidR="00E85CD5">
              <w:t>/</w:t>
            </w:r>
            <w:r w:rsidRPr="00CD6245">
              <w:t>Director / Chief Procurement Officer, Procurement Department</w:t>
            </w:r>
          </w:p>
        </w:tc>
      </w:tr>
    </w:tbl>
    <w:p w:rsidR="00861226" w:rsidRPr="00CD6245" w:rsidRDefault="00861226" w:rsidP="00861226">
      <w:pPr>
        <w:pStyle w:val="Heading3NoNum"/>
      </w:pPr>
      <w:r w:rsidRPr="00CD6245">
        <w:t>Procurement profile</w:t>
      </w:r>
    </w:p>
    <w:p w:rsidR="00861226" w:rsidRPr="00CD6245" w:rsidRDefault="00861226" w:rsidP="00861226">
      <w:pPr>
        <w:pStyle w:val="Normal1"/>
        <w:rPr>
          <w:lang w:eastAsia="en-US"/>
        </w:rPr>
      </w:pPr>
      <w:r w:rsidRPr="00CD6245">
        <w:rPr>
          <w:lang w:eastAsia="en-US"/>
        </w:rPr>
        <w:t>Victoria Police was established in 1853. It provides policing services to the Victorian community</w:t>
      </w:r>
      <w:r w:rsidR="00C71620" w:rsidRPr="00CD6245">
        <w:rPr>
          <w:lang w:eastAsia="en-US"/>
        </w:rPr>
        <w:br/>
      </w:r>
      <w:r w:rsidRPr="00CD6245">
        <w:rPr>
          <w:lang w:eastAsia="en-US"/>
        </w:rPr>
        <w:t>24 hours a day, seven days a week, working to keep Victorians safe.</w:t>
      </w:r>
    </w:p>
    <w:p w:rsidR="00861226" w:rsidRPr="00CD6245" w:rsidRDefault="00861226" w:rsidP="00861226">
      <w:pPr>
        <w:pStyle w:val="Normal1"/>
        <w:rPr>
          <w:lang w:eastAsia="en-US"/>
        </w:rPr>
      </w:pPr>
      <w:r w:rsidRPr="00CD6245">
        <w:rPr>
          <w:lang w:eastAsia="en-US"/>
        </w:rPr>
        <w:t>To deliver policing services, Victoria Police buys an extensive range of goods and services. Victoria Police procures under a cat</w:t>
      </w:r>
      <w:r w:rsidR="00E85CD5">
        <w:rPr>
          <w:lang w:eastAsia="en-US"/>
        </w:rPr>
        <w:t>egory management framework comprising</w:t>
      </w:r>
      <w:r w:rsidRPr="00CD6245">
        <w:rPr>
          <w:lang w:eastAsia="en-US"/>
        </w:rPr>
        <w:t xml:space="preserve"> 11 categories (communications, information technology, properties, transportation, corporate support services, consultants and contractors, legal and evidentiary, uniform and equipment, office supplies, custodial, and operational support).</w:t>
      </w:r>
    </w:p>
    <w:p w:rsidR="00861226" w:rsidRPr="00CD6245" w:rsidRDefault="00861226" w:rsidP="00861226">
      <w:pPr>
        <w:pStyle w:val="Normal1"/>
        <w:rPr>
          <w:lang w:eastAsia="en-US"/>
        </w:rPr>
      </w:pPr>
      <w:r w:rsidRPr="00CD6245">
        <w:rPr>
          <w:lang w:eastAsia="en-US"/>
        </w:rPr>
        <w:t>In 2015–16</w:t>
      </w:r>
      <w:r w:rsidR="00C71620" w:rsidRPr="00CD6245">
        <w:rPr>
          <w:lang w:eastAsia="en-US"/>
        </w:rPr>
        <w:t>,</w:t>
      </w:r>
      <w:r w:rsidRPr="00CD6245">
        <w:rPr>
          <w:lang w:eastAsia="en-US"/>
        </w:rPr>
        <w:t xml:space="preserve"> Victoria Police spent $215 million procuring goods and services. At any one time, there were more than 400 active contracts, with contracts expiring and new contracts being entered into throughout the year. The organisation conducted 48 procurements to establish new contract</w:t>
      </w:r>
      <w:r w:rsidR="00726B56" w:rsidRPr="00CD6245">
        <w:rPr>
          <w:lang w:eastAsia="en-US"/>
        </w:rPr>
        <w:t>s with estimated values of $100 </w:t>
      </w:r>
      <w:r w:rsidRPr="00CD6245">
        <w:rPr>
          <w:lang w:eastAsia="en-US"/>
        </w:rPr>
        <w:t>000 or higher.</w:t>
      </w:r>
    </w:p>
    <w:p w:rsidR="00861226" w:rsidRPr="00CD6245" w:rsidRDefault="00861226" w:rsidP="00861226">
      <w:pPr>
        <w:pStyle w:val="Normal1"/>
        <w:rPr>
          <w:lang w:eastAsia="en-US"/>
        </w:rPr>
      </w:pPr>
      <w:r w:rsidRPr="00CD6245">
        <w:rPr>
          <w:lang w:eastAsia="en-US"/>
        </w:rPr>
        <w:t>The more significant procurement sourcing activities in 2015–16 included patrol boats, booze and drug buses, custody services at Melbourne Custody Centre, and the policing information process and practices reform program. In contract management, the highlight was starting the IT services contract that resulted from a strategic procurement.</w:t>
      </w:r>
    </w:p>
    <w:p w:rsidR="00861226" w:rsidRPr="00CD6245" w:rsidRDefault="00861226" w:rsidP="00861226">
      <w:pPr>
        <w:pStyle w:val="Heading3NoNum"/>
      </w:pPr>
      <w:r w:rsidRPr="00CD6245">
        <w:t>Procurement activities in 2015–16</w:t>
      </w:r>
    </w:p>
    <w:p w:rsidR="00861226" w:rsidRPr="00CD6245" w:rsidRDefault="00861226" w:rsidP="00861226">
      <w:pPr>
        <w:pStyle w:val="Normal1"/>
        <w:rPr>
          <w:lang w:eastAsia="en-US"/>
        </w:rPr>
      </w:pPr>
      <w:r w:rsidRPr="00CD6245">
        <w:rPr>
          <w:lang w:eastAsia="en-US"/>
        </w:rPr>
        <w:t>In 2015–16</w:t>
      </w:r>
      <w:r w:rsidR="00DA28B7" w:rsidRPr="00CD6245">
        <w:rPr>
          <w:lang w:eastAsia="en-US"/>
        </w:rPr>
        <w:t>,</w:t>
      </w:r>
      <w:r w:rsidRPr="00CD6245">
        <w:rPr>
          <w:lang w:eastAsia="en-US"/>
        </w:rPr>
        <w:t xml:space="preserve"> Victoria Police carried out several activities to improve procurement </w:t>
      </w:r>
      <w:r w:rsidR="00E85CD5">
        <w:rPr>
          <w:lang w:eastAsia="en-US"/>
        </w:rPr>
        <w:t>such as</w:t>
      </w:r>
      <w:r w:rsidRPr="00CD6245">
        <w:rPr>
          <w:lang w:eastAsia="en-US"/>
        </w:rPr>
        <w:t xml:space="preserve"> broadening commercial capability through recruitment, staff development, establishing a commercial risk appetite, expanding the suite of standard contract templates and enhancing the commercial skills of financial delegates.</w:t>
      </w:r>
    </w:p>
    <w:p w:rsidR="00861226" w:rsidRPr="00CD6245" w:rsidRDefault="00861226" w:rsidP="00861226">
      <w:pPr>
        <w:pStyle w:val="Normal1"/>
      </w:pPr>
      <w:r w:rsidRPr="00CD6245">
        <w:t xml:space="preserve">Victoria Police carried out a capability assessment and identified nine key competencies that align with identified gaps from the VGPB </w:t>
      </w:r>
      <w:r w:rsidR="00DA28B7" w:rsidRPr="00CD6245">
        <w:t>capability assessment</w:t>
      </w:r>
      <w:r w:rsidRPr="00CD6245">
        <w:t>. The organisation delivered training in these competencies to 30 practitioners.</w:t>
      </w:r>
    </w:p>
    <w:p w:rsidR="00861226" w:rsidRPr="00CD6245" w:rsidRDefault="00861226" w:rsidP="00861226">
      <w:pPr>
        <w:pStyle w:val="Normal1"/>
        <w:rPr>
          <w:lang w:eastAsia="en-US"/>
        </w:rPr>
      </w:pPr>
      <w:r w:rsidRPr="00CD6245">
        <w:rPr>
          <w:lang w:eastAsia="en-US"/>
        </w:rPr>
        <w:t>Victoria Police expanded the VGPB procurement governance model to cover a broader range of commercial transactions such as construction and contract establishment. This gives the organisation consistent governance arrangements across all spend and all stages of the procurement lifecycle.</w:t>
      </w:r>
    </w:p>
    <w:p w:rsidR="00861226" w:rsidRPr="00CD6245" w:rsidRDefault="00861226" w:rsidP="00861226">
      <w:pPr>
        <w:pStyle w:val="Normal1"/>
        <w:rPr>
          <w:lang w:eastAsia="en-US"/>
        </w:rPr>
      </w:pPr>
      <w:r w:rsidRPr="00CD6245">
        <w:rPr>
          <w:lang w:eastAsia="en-US"/>
        </w:rPr>
        <w:t>Fraud prevention was improved by enhancing the conflict of interest policy, establishing a conflict of interest register, and establishing reporting requirements for when family members are employed or engaged through contracts.</w:t>
      </w:r>
    </w:p>
    <w:p w:rsidR="00861226" w:rsidRPr="00CD6245" w:rsidRDefault="00861226" w:rsidP="00861226">
      <w:pPr>
        <w:pStyle w:val="Normal1"/>
        <w:rPr>
          <w:lang w:eastAsia="en-US"/>
        </w:rPr>
      </w:pPr>
      <w:r w:rsidRPr="00CD6245">
        <w:rPr>
          <w:lang w:eastAsia="en-US"/>
        </w:rPr>
        <w:t>The organisation began using more project management tools and techniques in sourcing activities to ensure procurement activities are completed in required timeframes and stakeholders are notified in advance of key tasks and timing. This improves resource planning and creates a more efficient procurement process.</w:t>
      </w:r>
    </w:p>
    <w:p w:rsidR="00861226" w:rsidRPr="00CD6245" w:rsidRDefault="00861226" w:rsidP="00861226">
      <w:pPr>
        <w:pStyle w:val="Normal1"/>
        <w:rPr>
          <w:lang w:eastAsia="en-US"/>
        </w:rPr>
      </w:pPr>
      <w:r w:rsidRPr="00CD6245">
        <w:rPr>
          <w:lang w:eastAsia="en-US"/>
        </w:rPr>
        <w:t>Victoria Police also established a three-year sourcing pipeline to improve the alignment of sourcing and contract data sets and improve end-to-end planning. The pipeline will broaden the focus of the procurement planning cycle to provide a longer term view and more detail in annual plans.</w:t>
      </w:r>
    </w:p>
    <w:p w:rsidR="00E00BDF" w:rsidRPr="00CD6245" w:rsidRDefault="00AC3B4B" w:rsidP="00E00BDF">
      <w:pPr>
        <w:pStyle w:val="Heading4NoNum"/>
      </w:pPr>
      <w:r>
        <w:t>VGPB a</w:t>
      </w:r>
      <w:r w:rsidR="00D55D1C" w:rsidRPr="00CD6245">
        <w:t>udit</w:t>
      </w:r>
    </w:p>
    <w:p w:rsidR="003C36FA" w:rsidRPr="00CD6245" w:rsidRDefault="00D55D1C" w:rsidP="003C36FA">
      <w:pPr>
        <w:pStyle w:val="Normal1"/>
        <w:rPr>
          <w:lang w:eastAsia="en-US"/>
        </w:rPr>
      </w:pPr>
      <w:r w:rsidRPr="00CD6245">
        <w:t>Victoria Police was the</w:t>
      </w:r>
      <w:r w:rsidR="005C04D8" w:rsidRPr="00CD6245">
        <w:t xml:space="preserve"> second organisation to undertake an audit as part of the VGPB’s compliance program. </w:t>
      </w:r>
      <w:r w:rsidR="003C36FA" w:rsidRPr="00CD6245">
        <w:t>The audit report was endorsed by Victoria Police’s Audit and Risk Commi</w:t>
      </w:r>
      <w:r w:rsidR="00E85CD5">
        <w:t xml:space="preserve">ttee </w:t>
      </w:r>
      <w:r w:rsidR="00E85CD5">
        <w:lastRenderedPageBreak/>
        <w:t>in June 2016 with four low-</w:t>
      </w:r>
      <w:r w:rsidR="003C36FA" w:rsidRPr="00CD6245">
        <w:t>rated risks recommended for action by December 2016. The report was noted by the Victoria Police Procurement Board and submitted to the VGPB in early July 2016.</w:t>
      </w:r>
    </w:p>
    <w:p w:rsidR="00861226" w:rsidRPr="00CD6245" w:rsidRDefault="00861226" w:rsidP="003C36FA">
      <w:pPr>
        <w:pStyle w:val="Heading3NoNum"/>
      </w:pPr>
      <w:r w:rsidRPr="00CD6245">
        <w:t>Performance in 2015–16</w:t>
      </w:r>
    </w:p>
    <w:p w:rsidR="00861226" w:rsidRPr="00CD6245" w:rsidRDefault="00AC517C" w:rsidP="00861226">
      <w:pPr>
        <w:pStyle w:val="Normal1"/>
        <w:rPr>
          <w:lang w:eastAsia="en-US"/>
        </w:rPr>
      </w:pPr>
      <w:r>
        <w:fldChar w:fldCharType="begin"/>
      </w:r>
      <w:r>
        <w:instrText xml:space="preserve"> REF _Ref457241897 \h  \* MERGEFORMAT </w:instrText>
      </w:r>
      <w:r>
        <w:fldChar w:fldCharType="separate"/>
      </w:r>
      <w:r w:rsidR="002E75B9" w:rsidRPr="00CD6245">
        <w:t xml:space="preserve">Table </w:t>
      </w:r>
      <w:r w:rsidR="002E75B9">
        <w:rPr>
          <w:noProof/>
        </w:rPr>
        <w:t>30</w:t>
      </w:r>
      <w:r>
        <w:fldChar w:fldCharType="end"/>
      </w:r>
      <w:r w:rsidR="00861226" w:rsidRPr="00CD6245">
        <w:rPr>
          <w:lang w:eastAsia="en-US"/>
        </w:rPr>
        <w:t xml:space="preserve"> lists Victoria Police’s </w:t>
      </w:r>
      <w:r w:rsidR="00861226" w:rsidRPr="00CD6245">
        <w:t xml:space="preserve">data for the six performance measures. Data for 2015–16 reflects a ‘best endeavours’ approach given the significant amount of work involved in setting up processes to report against the performance measures. As far as possible, the 2015–16 outcomes will help form the baseline against which </w:t>
      </w:r>
      <w:r w:rsidR="00666B32" w:rsidRPr="00CD6245">
        <w:t xml:space="preserve">Victoria Police </w:t>
      </w:r>
      <w:r w:rsidR="00861226" w:rsidRPr="00CD6245">
        <w:t>will measure performance in future years.</w:t>
      </w:r>
    </w:p>
    <w:p w:rsidR="00861226" w:rsidRDefault="00861226" w:rsidP="00861226">
      <w:pPr>
        <w:pStyle w:val="Caption"/>
      </w:pPr>
      <w:bookmarkStart w:id="144" w:name="_Ref457241897"/>
      <w:bookmarkStart w:id="145" w:name="_Toc463527865"/>
      <w:r w:rsidRPr="00CD6245">
        <w:t xml:space="preserve">Table </w:t>
      </w:r>
      <w:r w:rsidR="002B07C2" w:rsidRPr="00CD6245">
        <w:fldChar w:fldCharType="begin"/>
      </w:r>
      <w:r w:rsidR="005C04D8" w:rsidRPr="00CD6245">
        <w:instrText xml:space="preserve"> SEQ Table \* ARABIC </w:instrText>
      </w:r>
      <w:r w:rsidR="002B07C2" w:rsidRPr="00CD6245">
        <w:fldChar w:fldCharType="separate"/>
      </w:r>
      <w:r w:rsidR="002E75B9">
        <w:rPr>
          <w:noProof/>
        </w:rPr>
        <w:t>30</w:t>
      </w:r>
      <w:r w:rsidR="002B07C2" w:rsidRPr="00CD6245">
        <w:fldChar w:fldCharType="end"/>
      </w:r>
      <w:bookmarkEnd w:id="144"/>
      <w:r w:rsidRPr="00CD6245">
        <w:t>: Victoria Police performance in 2015–16</w:t>
      </w:r>
      <w:bookmarkEnd w:id="145"/>
    </w:p>
    <w:p w:rsidR="00E85CD5" w:rsidRPr="00E85CD5" w:rsidRDefault="00E85CD5" w:rsidP="00E85CD5">
      <w:pPr>
        <w:ind w:left="720"/>
      </w:pPr>
      <w:r>
        <w:rPr>
          <w:noProof/>
        </w:rPr>
        <w:drawing>
          <wp:inline distT="0" distB="0" distL="0" distR="0" wp14:anchorId="0B0182DE" wp14:editId="540642AF">
            <wp:extent cx="5263515" cy="3947795"/>
            <wp:effectExtent l="0" t="0" r="0" b="0"/>
            <wp:docPr id="53" name="Picture 53" descr="Orange Crush:Users:chrisashe:Desktop:DTF033_VGPB-T30.jpg"/>
            <wp:cNvGraphicFramePr/>
            <a:graphic xmlns:a="http://schemas.openxmlformats.org/drawingml/2006/main">
              <a:graphicData uri="http://schemas.openxmlformats.org/drawingml/2006/picture">
                <pic:pic xmlns:pic="http://schemas.openxmlformats.org/drawingml/2006/picture">
                  <pic:nvPicPr>
                    <pic:cNvPr id="53" name="Picture 53" descr="Orange Crush:Users:chrisashe:Desktop:DTF033_VGPB-T30.jpg"/>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263515" cy="3947795"/>
                    </a:xfrm>
                    <a:prstGeom prst="rect">
                      <a:avLst/>
                    </a:prstGeom>
                    <a:noFill/>
                    <a:ln>
                      <a:noFill/>
                    </a:ln>
                  </pic:spPr>
                </pic:pic>
              </a:graphicData>
            </a:graphic>
          </wp:inline>
        </w:drawing>
      </w:r>
    </w:p>
    <w:p w:rsidR="00861226" w:rsidRPr="00CD6245" w:rsidRDefault="00861226" w:rsidP="00861226">
      <w:pPr>
        <w:pStyle w:val="Heading3NoNum"/>
      </w:pPr>
      <w:r w:rsidRPr="00CD6245">
        <w:t>Procurement activities planned for 2016–17</w:t>
      </w:r>
    </w:p>
    <w:p w:rsidR="00861226" w:rsidRPr="00CD6245" w:rsidRDefault="00861226" w:rsidP="00861226">
      <w:pPr>
        <w:pStyle w:val="Normal1"/>
      </w:pPr>
      <w:r w:rsidRPr="00CD6245">
        <w:t>In 2016–17</w:t>
      </w:r>
      <w:r w:rsidR="00E85CD5">
        <w:t>,</w:t>
      </w:r>
      <w:r w:rsidRPr="00CD6245">
        <w:t xml:space="preserve"> Victoria Police will:</w:t>
      </w:r>
    </w:p>
    <w:p w:rsidR="00861226" w:rsidRPr="00CD6245" w:rsidRDefault="00861226" w:rsidP="00861226">
      <w:pPr>
        <w:pStyle w:val="Bullet1"/>
      </w:pPr>
      <w:r w:rsidRPr="00CD6245">
        <w:t>continue to strengthen procurement commercial expertise by increasing commercial knowledge, refining skills and improving capability for procurement leaders, practitioners and financial delegates;</w:t>
      </w:r>
    </w:p>
    <w:p w:rsidR="00861226" w:rsidRPr="00CD6245" w:rsidRDefault="00861226" w:rsidP="00861226">
      <w:pPr>
        <w:pStyle w:val="Bullet1"/>
      </w:pPr>
      <w:r w:rsidRPr="00CD6245">
        <w:t>develop its engagement and communication model to improve client and organisational outcomes;</w:t>
      </w:r>
    </w:p>
    <w:p w:rsidR="00861226" w:rsidRPr="00CD6245" w:rsidRDefault="00861226" w:rsidP="00861226">
      <w:pPr>
        <w:pStyle w:val="Bullet1"/>
      </w:pPr>
      <w:r w:rsidRPr="00CD6245">
        <w:t>improve the Police Procurement Board’s governance model by renewing the Board’s membership mix and enhancing the functions of the secretariat to improve the flow of information between the Board and the rest of the organisation; and</w:t>
      </w:r>
    </w:p>
    <w:p w:rsidR="008056A5" w:rsidRPr="00CD6245" w:rsidRDefault="00861226" w:rsidP="008056A5">
      <w:pPr>
        <w:pStyle w:val="Bullet1"/>
      </w:pPr>
      <w:r w:rsidRPr="00CD6245">
        <w:t>improve data capture methods to increase procurement intelligence by working with key business areas to integrate databases and improve access to procurement and spend information.</w:t>
      </w:r>
    </w:p>
    <w:p w:rsidR="003F1D5C" w:rsidRPr="00CD6245" w:rsidRDefault="00FA2A08" w:rsidP="002C5E39">
      <w:pPr>
        <w:pStyle w:val="Heading1NoNum"/>
      </w:pPr>
      <w:bookmarkStart w:id="146" w:name="_Toc366693346"/>
      <w:bookmarkStart w:id="147" w:name="_Toc463527740"/>
      <w:r w:rsidRPr="00CD6245">
        <w:lastRenderedPageBreak/>
        <w:t>Links and glossary</w:t>
      </w:r>
      <w:bookmarkEnd w:id="146"/>
      <w:bookmarkEnd w:id="147"/>
    </w:p>
    <w:p w:rsidR="003F1D5C" w:rsidRPr="00CD6245" w:rsidRDefault="003F1D5C" w:rsidP="002C5E39">
      <w:pPr>
        <w:pStyle w:val="Heading2NoNum"/>
      </w:pPr>
      <w:bookmarkStart w:id="148" w:name="_Toc366693347"/>
      <w:bookmarkStart w:id="149" w:name="_Toc463527741"/>
      <w:r w:rsidRPr="00CD6245">
        <w:t>Procurement websites</w:t>
      </w:r>
      <w:bookmarkEnd w:id="148"/>
      <w:bookmarkEnd w:id="149"/>
    </w:p>
    <w:p w:rsidR="009D12F0" w:rsidRPr="00CD6245" w:rsidRDefault="009B20D8" w:rsidP="009D12F0">
      <w:pPr>
        <w:pStyle w:val="Heading3NoNum"/>
      </w:pPr>
      <w:hyperlink r:id="rId48" w:history="1">
        <w:r w:rsidR="009D12F0" w:rsidRPr="00CD6245">
          <w:t>Victorian Government Purchasing Board</w:t>
        </w:r>
      </w:hyperlink>
    </w:p>
    <w:p w:rsidR="003F1D5C" w:rsidRPr="00CD6245" w:rsidRDefault="009D12F0" w:rsidP="002C5E39">
      <w:pPr>
        <w:pStyle w:val="Normal1"/>
      </w:pPr>
      <w:r w:rsidRPr="00CD6245">
        <w:t xml:space="preserve">The VGPB website provides </w:t>
      </w:r>
      <w:r w:rsidR="003F1D5C" w:rsidRPr="00CD6245">
        <w:t xml:space="preserve">advice on procurement of goods and services for government </w:t>
      </w:r>
      <w:r w:rsidRPr="00CD6245">
        <w:t xml:space="preserve">buyers and suppliers </w:t>
      </w:r>
      <w:r w:rsidR="00E85CD5">
        <w:t xml:space="preserve">in Victoria. It </w:t>
      </w:r>
      <w:r w:rsidR="003F1D5C" w:rsidRPr="00CD6245">
        <w:t>contains VGPB policies, guidelines, tools and templates, and links to other procurement-related websites.</w:t>
      </w:r>
      <w:r w:rsidR="00A653E0" w:rsidRPr="00CD6245">
        <w:t xml:space="preserve"> Visit </w:t>
      </w:r>
      <w:hyperlink r:id="rId49" w:history="1">
        <w:r w:rsidR="003F1D5C" w:rsidRPr="00CD6245">
          <w:rPr>
            <w:rStyle w:val="Hyperlink"/>
            <w:rFonts w:cs="Arial"/>
          </w:rPr>
          <w:t>www.procurement.vic.gov.au</w:t>
        </w:r>
      </w:hyperlink>
    </w:p>
    <w:p w:rsidR="003F1D5C" w:rsidRPr="00CD6245" w:rsidRDefault="003F1D5C" w:rsidP="002C5E39">
      <w:pPr>
        <w:pStyle w:val="Heading3NoNum"/>
      </w:pPr>
      <w:bookmarkStart w:id="150" w:name="_Toc366693349"/>
      <w:r w:rsidRPr="00CD6245">
        <w:t>Tenders VIC</w:t>
      </w:r>
      <w:bookmarkEnd w:id="150"/>
    </w:p>
    <w:p w:rsidR="0083359A" w:rsidRPr="00CD6245" w:rsidRDefault="009D12F0" w:rsidP="002C5E39">
      <w:pPr>
        <w:pStyle w:val="Normal1"/>
      </w:pPr>
      <w:r w:rsidRPr="00CD6245">
        <w:t>Tenders V</w:t>
      </w:r>
      <w:r w:rsidR="00E765C4" w:rsidRPr="00CD6245">
        <w:t>IC</w:t>
      </w:r>
      <w:r w:rsidRPr="00CD6245">
        <w:t xml:space="preserve"> lists all</w:t>
      </w:r>
      <w:r w:rsidR="003F1D5C" w:rsidRPr="00CD6245">
        <w:t xml:space="preserve"> </w:t>
      </w:r>
      <w:r w:rsidRPr="00CD6245">
        <w:t xml:space="preserve">Victorian Government </w:t>
      </w:r>
      <w:r w:rsidR="003F1D5C" w:rsidRPr="00CD6245">
        <w:t>tenders and major contracts including listings of past tenders and contracts.</w:t>
      </w:r>
      <w:r w:rsidR="00A653E0" w:rsidRPr="00CD6245">
        <w:t xml:space="preserve"> Visit </w:t>
      </w:r>
      <w:hyperlink r:id="rId50" w:history="1">
        <w:r w:rsidR="0083359A" w:rsidRPr="00CD6245">
          <w:rPr>
            <w:rStyle w:val="Hyperlink"/>
          </w:rPr>
          <w:t>www.tenders.vic.gov.au</w:t>
        </w:r>
      </w:hyperlink>
    </w:p>
    <w:p w:rsidR="0083359A" w:rsidRPr="00CD6245" w:rsidRDefault="0083359A" w:rsidP="0083359A">
      <w:pPr>
        <w:pStyle w:val="Heading3NoNum"/>
      </w:pPr>
      <w:bookmarkStart w:id="151" w:name="_Toc366693350"/>
      <w:r w:rsidRPr="00CD6245">
        <w:t>Australasian Procurement and Construction Council</w:t>
      </w:r>
      <w:bookmarkEnd w:id="151"/>
      <w:r w:rsidR="009D12F0" w:rsidRPr="00CD6245">
        <w:t xml:space="preserve"> </w:t>
      </w:r>
      <w:r w:rsidR="00E85CD5">
        <w:t xml:space="preserve">Inc </w:t>
      </w:r>
      <w:r w:rsidR="009D12F0" w:rsidRPr="00CD6245">
        <w:t>(APCC)</w:t>
      </w:r>
    </w:p>
    <w:p w:rsidR="003F1D5C" w:rsidRPr="00CD6245" w:rsidRDefault="0083359A" w:rsidP="002C5E39">
      <w:pPr>
        <w:pStyle w:val="Normal1"/>
      </w:pPr>
      <w:r w:rsidRPr="00CD6245">
        <w:t xml:space="preserve">The </w:t>
      </w:r>
      <w:r w:rsidR="009D12F0" w:rsidRPr="00CD6245">
        <w:t xml:space="preserve">APCC is the peak council whose members are responsible for procurement, </w:t>
      </w:r>
      <w:r w:rsidR="009D12F0" w:rsidRPr="00CD6245">
        <w:br/>
        <w:t>construction, property and asset management policy for the Australian state and territory governments. Papua New Guinea is an associate member. The APCC comprise</w:t>
      </w:r>
      <w:r w:rsidR="00E85CD5">
        <w:t>s</w:t>
      </w:r>
      <w:r w:rsidR="009D12F0" w:rsidRPr="00CD6245">
        <w:t xml:space="preserve"> 11 member agencies. </w:t>
      </w:r>
      <w:r w:rsidR="00A653E0" w:rsidRPr="00CD6245">
        <w:t xml:space="preserve">Visit </w:t>
      </w:r>
      <w:hyperlink r:id="rId51" w:history="1">
        <w:r w:rsidR="003F1D5C" w:rsidRPr="00CD6245">
          <w:rPr>
            <w:rStyle w:val="Hyperlink"/>
            <w:rFonts w:cs="Arial"/>
          </w:rPr>
          <w:t>www.apcc.gov.au</w:t>
        </w:r>
      </w:hyperlink>
    </w:p>
    <w:p w:rsidR="003F1D5C" w:rsidRPr="00CD6245" w:rsidRDefault="003F1D5C" w:rsidP="002C5E39">
      <w:pPr>
        <w:pStyle w:val="Heading3NoNum"/>
      </w:pPr>
      <w:bookmarkStart w:id="152" w:name="_Toc366693351"/>
      <w:r w:rsidRPr="00CD6245">
        <w:t>Training.gov.au</w:t>
      </w:r>
      <w:bookmarkEnd w:id="152"/>
    </w:p>
    <w:p w:rsidR="009D12F0" w:rsidRPr="00CD6245" w:rsidRDefault="009D12F0" w:rsidP="009D12F0">
      <w:pPr>
        <w:pStyle w:val="Normal1"/>
      </w:pPr>
      <w:r w:rsidRPr="00CD6245">
        <w:t>Training.gov.au is the National Register on Vocational Education and Training (VET) in Australia.</w:t>
      </w:r>
      <w:r w:rsidR="0011104D" w:rsidRPr="00CD6245">
        <w:t xml:space="preserve"> </w:t>
      </w:r>
      <w:r w:rsidRPr="00CD6245">
        <w:t>Training.gov.au is the authoritative source of:</w:t>
      </w:r>
    </w:p>
    <w:p w:rsidR="009D12F0" w:rsidRPr="00CD6245" w:rsidRDefault="00691AB2" w:rsidP="0011104D">
      <w:pPr>
        <w:pStyle w:val="Bullet1"/>
      </w:pPr>
      <w:r w:rsidRPr="00CD6245">
        <w:t xml:space="preserve">nationally recognised training </w:t>
      </w:r>
      <w:r w:rsidR="009D12F0" w:rsidRPr="00CD6245">
        <w:t>which consists of:</w:t>
      </w:r>
    </w:p>
    <w:p w:rsidR="009D12F0" w:rsidRPr="00CD6245" w:rsidRDefault="00691AB2" w:rsidP="0011104D">
      <w:pPr>
        <w:pStyle w:val="Bullet1"/>
        <w:numPr>
          <w:ilvl w:val="1"/>
          <w:numId w:val="3"/>
        </w:numPr>
      </w:pPr>
      <w:r w:rsidRPr="00CD6245">
        <w:t>training packages;</w:t>
      </w:r>
    </w:p>
    <w:p w:rsidR="009D12F0" w:rsidRPr="00CD6245" w:rsidRDefault="00691AB2" w:rsidP="0011104D">
      <w:pPr>
        <w:pStyle w:val="Bullet1"/>
        <w:numPr>
          <w:ilvl w:val="1"/>
          <w:numId w:val="3"/>
        </w:numPr>
      </w:pPr>
      <w:r w:rsidRPr="00CD6245">
        <w:t>q</w:t>
      </w:r>
      <w:r w:rsidR="009D12F0" w:rsidRPr="00CD6245">
        <w:t>ualifications;</w:t>
      </w:r>
    </w:p>
    <w:p w:rsidR="009D12F0" w:rsidRPr="00CD6245" w:rsidRDefault="00691AB2" w:rsidP="0011104D">
      <w:pPr>
        <w:pStyle w:val="Bullet1"/>
        <w:numPr>
          <w:ilvl w:val="1"/>
          <w:numId w:val="3"/>
        </w:numPr>
      </w:pPr>
      <w:r w:rsidRPr="00CD6245">
        <w:t>u</w:t>
      </w:r>
      <w:r w:rsidR="009D12F0" w:rsidRPr="00CD6245">
        <w:t>nits of competency;</w:t>
      </w:r>
    </w:p>
    <w:p w:rsidR="009D12F0" w:rsidRPr="00CD6245" w:rsidRDefault="00691AB2" w:rsidP="0011104D">
      <w:pPr>
        <w:pStyle w:val="Bullet1"/>
        <w:numPr>
          <w:ilvl w:val="1"/>
          <w:numId w:val="3"/>
        </w:numPr>
      </w:pPr>
      <w:r w:rsidRPr="00CD6245">
        <w:t>a</w:t>
      </w:r>
      <w:r w:rsidR="00E85CD5">
        <w:t xml:space="preserve">ccredited courses; </w:t>
      </w:r>
    </w:p>
    <w:p w:rsidR="009D12F0" w:rsidRPr="00CD6245" w:rsidRDefault="00691AB2" w:rsidP="0011104D">
      <w:pPr>
        <w:pStyle w:val="Bullet1"/>
        <w:numPr>
          <w:ilvl w:val="1"/>
          <w:numId w:val="3"/>
        </w:numPr>
      </w:pPr>
      <w:r w:rsidRPr="00CD6245">
        <w:t>s</w:t>
      </w:r>
      <w:r w:rsidR="00E85CD5">
        <w:t>kill sets; and</w:t>
      </w:r>
    </w:p>
    <w:p w:rsidR="009D12F0" w:rsidRPr="00CD6245" w:rsidRDefault="009D12F0" w:rsidP="0011104D">
      <w:pPr>
        <w:pStyle w:val="Bullet1"/>
      </w:pPr>
      <w:r w:rsidRPr="00CD6245">
        <w:rPr>
          <w:bCs/>
        </w:rPr>
        <w:t>Register</w:t>
      </w:r>
      <w:r w:rsidR="00804CEB" w:rsidRPr="00CD6245">
        <w:rPr>
          <w:bCs/>
        </w:rPr>
        <w:t xml:space="preserve">ed Training Organisations </w:t>
      </w:r>
      <w:r w:rsidRPr="00CD6245">
        <w:t xml:space="preserve">who have the approved scope to deliver </w:t>
      </w:r>
      <w:r w:rsidR="003075AA" w:rsidRPr="00CD6245">
        <w:t>n</w:t>
      </w:r>
      <w:r w:rsidRPr="00CD6245">
        <w:t xml:space="preserve">ationally </w:t>
      </w:r>
      <w:r w:rsidR="003075AA" w:rsidRPr="00CD6245">
        <w:t>r</w:t>
      </w:r>
      <w:r w:rsidRPr="00CD6245">
        <w:t xml:space="preserve">ecognised </w:t>
      </w:r>
      <w:r w:rsidR="003075AA" w:rsidRPr="00CD6245">
        <w:t>t</w:t>
      </w:r>
      <w:r w:rsidRPr="00CD6245">
        <w:t>raining, as required by national and jurisdictional legislation in Australia.</w:t>
      </w:r>
    </w:p>
    <w:p w:rsidR="003F1D5C" w:rsidRPr="00CD6245" w:rsidRDefault="00A653E0" w:rsidP="009D12F0">
      <w:pPr>
        <w:pStyle w:val="Normal1"/>
        <w:tabs>
          <w:tab w:val="center" w:pos="5213"/>
        </w:tabs>
      </w:pPr>
      <w:r w:rsidRPr="00CD6245">
        <w:t xml:space="preserve">Visit </w:t>
      </w:r>
      <w:hyperlink r:id="rId52" w:history="1">
        <w:r w:rsidR="003F1D5C" w:rsidRPr="00CD6245">
          <w:rPr>
            <w:rStyle w:val="Hyperlink"/>
            <w:rFonts w:cs="Arial"/>
          </w:rPr>
          <w:t>www.training.gov.au</w:t>
        </w:r>
      </w:hyperlink>
      <w:r w:rsidR="009D12F0" w:rsidRPr="00CD6245">
        <w:tab/>
      </w:r>
    </w:p>
    <w:p w:rsidR="003F1D5C" w:rsidRPr="00CD6245" w:rsidRDefault="003F1D5C" w:rsidP="002C5E39">
      <w:pPr>
        <w:pStyle w:val="Normal1"/>
      </w:pPr>
    </w:p>
    <w:p w:rsidR="003F1D5C" w:rsidRPr="00CD6245" w:rsidRDefault="003F1D5C" w:rsidP="003F1D5C">
      <w:pPr>
        <w:rPr>
          <w:rFonts w:cs="Arial"/>
        </w:rPr>
      </w:pPr>
    </w:p>
    <w:p w:rsidR="00A653E0" w:rsidRPr="00CD6245" w:rsidRDefault="00A653E0">
      <w:pPr>
        <w:rPr>
          <w:rFonts w:ascii="Calibri" w:hAnsi="Calibri" w:cs="Calibri"/>
          <w:color w:val="4D4D4D"/>
          <w:kern w:val="28"/>
          <w:sz w:val="30"/>
          <w:szCs w:val="22"/>
          <w:lang w:eastAsia="en-US"/>
        </w:rPr>
      </w:pPr>
      <w:bookmarkStart w:id="153" w:name="_Toc366693353"/>
      <w:r w:rsidRPr="00CD6245">
        <w:br w:type="page"/>
      </w:r>
    </w:p>
    <w:p w:rsidR="003F1D5C" w:rsidRPr="00CD6245" w:rsidRDefault="003F1D5C" w:rsidP="002C5E39">
      <w:pPr>
        <w:pStyle w:val="Heading2NoNum"/>
      </w:pPr>
      <w:bookmarkStart w:id="154" w:name="_Toc463527742"/>
      <w:r w:rsidRPr="00CD6245">
        <w:lastRenderedPageBreak/>
        <w:t>Glossary</w:t>
      </w:r>
      <w:bookmarkEnd w:id="153"/>
      <w:bookmarkEnd w:id="154"/>
    </w:p>
    <w:p w:rsidR="003F1D5C" w:rsidRPr="00CD6245" w:rsidRDefault="003F1D5C" w:rsidP="003F1D5C">
      <w:pPr>
        <w:rPr>
          <w:rFonts w:cs="Arial"/>
        </w:rPr>
      </w:pPr>
    </w:p>
    <w:p w:rsidR="003F1D5C" w:rsidRPr="00CD6245" w:rsidRDefault="003F1D5C" w:rsidP="002C5E39">
      <w:pPr>
        <w:pStyle w:val="Normal1"/>
      </w:pPr>
      <w:r w:rsidRPr="00CD6245">
        <w:rPr>
          <w:b/>
        </w:rPr>
        <w:t>Accountable officer:</w:t>
      </w:r>
      <w:r w:rsidRPr="00CD6245">
        <w:t xml:space="preserve"> the head of any given </w:t>
      </w:r>
      <w:r w:rsidR="00D23982" w:rsidRPr="00CD6245">
        <w:t>department</w:t>
      </w:r>
      <w:r w:rsidRPr="00CD6245">
        <w:t>, or, for a public body, the chief executive officer (or comparable title) of that body.</w:t>
      </w:r>
    </w:p>
    <w:p w:rsidR="00C86D39" w:rsidRPr="00CD6245" w:rsidRDefault="003F1D5C" w:rsidP="002C5E39">
      <w:pPr>
        <w:pStyle w:val="Normal1"/>
      </w:pPr>
      <w:r w:rsidRPr="00CD6245">
        <w:rPr>
          <w:b/>
        </w:rPr>
        <w:t xml:space="preserve">Accreditation: </w:t>
      </w:r>
      <w:r w:rsidR="004675D3" w:rsidRPr="00CD6245">
        <w:t xml:space="preserve">the process </w:t>
      </w:r>
      <w:r w:rsidR="000D7385" w:rsidRPr="00CD6245">
        <w:t>carried out</w:t>
      </w:r>
      <w:r w:rsidR="004675D3" w:rsidRPr="00CD6245">
        <w:t xml:space="preserve"> by a government entity to be assessed for compliance with the procurement reform framework and</w:t>
      </w:r>
      <w:r w:rsidR="00817F5B" w:rsidRPr="00CD6245">
        <w:t xml:space="preserve"> </w:t>
      </w:r>
      <w:r w:rsidR="004675D3" w:rsidRPr="00CD6245">
        <w:t xml:space="preserve">subsequently brought </w:t>
      </w:r>
      <w:r w:rsidR="000D7385" w:rsidRPr="00CD6245">
        <w:t xml:space="preserve">under </w:t>
      </w:r>
      <w:r w:rsidR="004675D3" w:rsidRPr="00CD6245">
        <w:t>VGPB scope. Government entities can either</w:t>
      </w:r>
      <w:r w:rsidR="00817F5B" w:rsidRPr="00CD6245">
        <w:t xml:space="preserve"> </w:t>
      </w:r>
      <w:r w:rsidR="004675D3" w:rsidRPr="00CD6245">
        <w:t xml:space="preserve">self nominate for accreditation or can be nominated by the </w:t>
      </w:r>
      <w:r w:rsidR="008C12C2" w:rsidRPr="00CD6245">
        <w:t xml:space="preserve">Minister for Finance </w:t>
      </w:r>
      <w:r w:rsidR="004675D3" w:rsidRPr="00CD6245">
        <w:t>through</w:t>
      </w:r>
      <w:r w:rsidR="00295D8D" w:rsidRPr="00CD6245">
        <w:t xml:space="preserve"> </w:t>
      </w:r>
      <w:r w:rsidR="004675D3" w:rsidRPr="00CD6245">
        <w:t>legislative powers.</w:t>
      </w:r>
    </w:p>
    <w:p w:rsidR="00151E3D" w:rsidRPr="00CD6245" w:rsidRDefault="00151E3D" w:rsidP="00151E3D">
      <w:pPr>
        <w:pStyle w:val="Normal1"/>
      </w:pPr>
      <w:r w:rsidRPr="00CD6245">
        <w:rPr>
          <w:rStyle w:val="Strong"/>
          <w:bCs w:val="0"/>
        </w:rPr>
        <w:t>Administrative office</w:t>
      </w:r>
      <w:r w:rsidRPr="00CD6245">
        <w:rPr>
          <w:szCs w:val="27"/>
        </w:rPr>
        <w:t xml:space="preserve">: </w:t>
      </w:r>
      <w:r w:rsidRPr="00CD6245">
        <w:t xml:space="preserve">an office specified in section 16(1) of the </w:t>
      </w:r>
      <w:r w:rsidRPr="00CD6245">
        <w:rPr>
          <w:i/>
        </w:rPr>
        <w:t>Public Administration Act 2004</w:t>
      </w:r>
      <w:r w:rsidRPr="00CD6245">
        <w:rPr>
          <w:szCs w:val="27"/>
        </w:rPr>
        <w:t>.</w:t>
      </w:r>
    </w:p>
    <w:p w:rsidR="003F1D5C" w:rsidRPr="00CD6245" w:rsidRDefault="003F1D5C" w:rsidP="002C5E39">
      <w:pPr>
        <w:pStyle w:val="Normal1"/>
      </w:pPr>
      <w:r w:rsidRPr="00CD6245">
        <w:rPr>
          <w:b/>
        </w:rPr>
        <w:t xml:space="preserve">Aggregated demand or aggregation: </w:t>
      </w:r>
      <w:r w:rsidRPr="00CD6245">
        <w:t>a generic term whereby demand for identical or similar categories is grouped together to leverage benefits from greater economies of scale when negotiating with potential suppliers.</w:t>
      </w:r>
    </w:p>
    <w:p w:rsidR="003F1D5C" w:rsidRPr="00CD6245" w:rsidRDefault="003F1D5C" w:rsidP="002C5E39">
      <w:pPr>
        <w:pStyle w:val="Normal1"/>
      </w:pPr>
      <w:r w:rsidRPr="00CD6245">
        <w:rPr>
          <w:b/>
        </w:rPr>
        <w:t>Annual supply report</w:t>
      </w:r>
      <w:r w:rsidR="00804CEB" w:rsidRPr="00CD6245">
        <w:rPr>
          <w:b/>
        </w:rPr>
        <w:t xml:space="preserve"> (ASR)</w:t>
      </w:r>
      <w:r w:rsidRPr="00CD6245">
        <w:rPr>
          <w:b/>
        </w:rPr>
        <w:t xml:space="preserve">: </w:t>
      </w:r>
      <w:r w:rsidRPr="00CD6245">
        <w:t xml:space="preserve">a report to the VGPB from </w:t>
      </w:r>
      <w:r w:rsidR="00AC641D" w:rsidRPr="00CD6245">
        <w:t xml:space="preserve">in-scope </w:t>
      </w:r>
      <w:r w:rsidR="004B6766" w:rsidRPr="00CD6245">
        <w:t>organisation</w:t>
      </w:r>
      <w:r w:rsidRPr="00CD6245">
        <w:t>s providing information and data relating to the purchase of goods and services</w:t>
      </w:r>
      <w:r w:rsidR="004759CB" w:rsidRPr="00CD6245">
        <w:t xml:space="preserve"> during one financial year</w:t>
      </w:r>
      <w:r w:rsidRPr="00CD6245">
        <w:t>.</w:t>
      </w:r>
    </w:p>
    <w:p w:rsidR="00151E3D" w:rsidRPr="00CD6245" w:rsidRDefault="00151E3D" w:rsidP="002C5E39">
      <w:pPr>
        <w:pStyle w:val="Normal1"/>
      </w:pPr>
      <w:r w:rsidRPr="00CD6245">
        <w:rPr>
          <w:b/>
        </w:rPr>
        <w:t>Audit:</w:t>
      </w:r>
      <w:r w:rsidRPr="00CD6245">
        <w:t xml:space="preserve"> typically part of a control process to validate that key activities are being or have been </w:t>
      </w:r>
      <w:r w:rsidR="000D7385" w:rsidRPr="00CD6245">
        <w:t>carried out</w:t>
      </w:r>
      <w:r w:rsidRPr="00CD6245">
        <w:t xml:space="preserve"> and to identify weaknesses or</w:t>
      </w:r>
      <w:r w:rsidR="003B398F" w:rsidRPr="00CD6245">
        <w:t xml:space="preserve"> opportunities for improvement.</w:t>
      </w:r>
    </w:p>
    <w:p w:rsidR="00151E3D" w:rsidRPr="00CD6245" w:rsidRDefault="00151E3D" w:rsidP="002C5E39">
      <w:pPr>
        <w:pStyle w:val="Normal1"/>
      </w:pPr>
      <w:r w:rsidRPr="00CD6245">
        <w:rPr>
          <w:rStyle w:val="Strong"/>
        </w:rPr>
        <w:t>Best practice</w:t>
      </w:r>
      <w:r w:rsidRPr="00CD6245">
        <w:t>: seeking to identify and apply the best processes to achieve better value</w:t>
      </w:r>
      <w:r w:rsidR="00356746" w:rsidRPr="00CD6245">
        <w:t>-</w:t>
      </w:r>
      <w:r w:rsidRPr="00CD6245">
        <w:t>for</w:t>
      </w:r>
      <w:r w:rsidR="00356746" w:rsidRPr="00CD6245">
        <w:t>-</w:t>
      </w:r>
      <w:r w:rsidRPr="00CD6245">
        <w:t>money outcomes.</w:t>
      </w:r>
    </w:p>
    <w:p w:rsidR="00AC641D" w:rsidRPr="00CD6245" w:rsidRDefault="00AC641D" w:rsidP="00AC641D">
      <w:pPr>
        <w:pStyle w:val="Normal1"/>
        <w:rPr>
          <w:b/>
        </w:rPr>
      </w:pPr>
      <w:r w:rsidRPr="00CD6245">
        <w:rPr>
          <w:b/>
        </w:rPr>
        <w:t xml:space="preserve">Better off overall test (BOOT): </w:t>
      </w:r>
      <w:r w:rsidR="00E85CD5">
        <w:t>t</w:t>
      </w:r>
      <w:r w:rsidRPr="00CD6245">
        <w:t xml:space="preserve">his test is based on the relevant modern award that covers any employees covered by the proposed enterprise agreement. Under </w:t>
      </w:r>
      <w:r w:rsidR="00E85CD5">
        <w:t xml:space="preserve">the </w:t>
      </w:r>
      <w:r w:rsidRPr="00CD6245">
        <w:t>BOOT, each ‘award covered’ employee and each prospective award</w:t>
      </w:r>
      <w:r w:rsidR="00870CCC" w:rsidRPr="00CD6245">
        <w:t xml:space="preserve"> </w:t>
      </w:r>
      <w:r w:rsidRPr="00CD6245">
        <w:t>covered employee must be better off under the agreement than they would be if the relevant modern award applied to them.</w:t>
      </w:r>
    </w:p>
    <w:p w:rsidR="003F1D5C" w:rsidRPr="00CD6245" w:rsidRDefault="003F1D5C" w:rsidP="002C5E39">
      <w:pPr>
        <w:pStyle w:val="Normal1"/>
      </w:pPr>
      <w:r w:rsidRPr="00CD6245">
        <w:rPr>
          <w:b/>
        </w:rPr>
        <w:t>Business case</w:t>
      </w:r>
      <w:r w:rsidR="00151E3D" w:rsidRPr="00CD6245">
        <w:rPr>
          <w:b/>
        </w:rPr>
        <w:t xml:space="preserve"> (procurement)</w:t>
      </w:r>
      <w:r w:rsidRPr="00CD6245">
        <w:rPr>
          <w:b/>
        </w:rPr>
        <w:t>:</w:t>
      </w:r>
      <w:r w:rsidRPr="00CD6245">
        <w:t xml:space="preserve"> the information needed to decide whether to support a proposed project before significant resources are committed to its development. The core of the business case is an assessment of the costs and benefits of proceeding with a project.</w:t>
      </w:r>
    </w:p>
    <w:p w:rsidR="003F1D5C" w:rsidRPr="00CD6245" w:rsidRDefault="003F1D5C" w:rsidP="002C5E39">
      <w:pPr>
        <w:pStyle w:val="Normal1"/>
      </w:pPr>
      <w:r w:rsidRPr="00CD6245">
        <w:rPr>
          <w:b/>
        </w:rPr>
        <w:t xml:space="preserve">Capability: </w:t>
      </w:r>
      <w:r w:rsidRPr="00CD6245">
        <w:t xml:space="preserve">competence, capability and capacity are often used interchangeably to describe an individual’s or organisation’s ability to perform tasks or activities effectively. </w:t>
      </w:r>
      <w:r w:rsidR="006B34C6" w:rsidRPr="00CD6245">
        <w:t>VGPB policy defines</w:t>
      </w:r>
      <w:r w:rsidRPr="00CD6245">
        <w:t xml:space="preserve"> </w:t>
      </w:r>
      <w:r w:rsidR="006B34C6" w:rsidRPr="00CD6245">
        <w:t xml:space="preserve">procurement </w:t>
      </w:r>
      <w:r w:rsidRPr="00CD6245">
        <w:t xml:space="preserve">capability </w:t>
      </w:r>
      <w:r w:rsidR="006B34C6" w:rsidRPr="00CD6245">
        <w:t>as</w:t>
      </w:r>
      <w:r w:rsidRPr="00CD6245">
        <w:t xml:space="preserve"> </w:t>
      </w:r>
      <w:r w:rsidR="006B34C6" w:rsidRPr="00CD6245">
        <w:t>matching the person(s), resources, systems and processes to the requirements of a procurement activity.</w:t>
      </w:r>
    </w:p>
    <w:p w:rsidR="00151E3D" w:rsidRPr="00CD6245" w:rsidRDefault="00151E3D" w:rsidP="002C5E39">
      <w:pPr>
        <w:pStyle w:val="Normal1"/>
      </w:pPr>
      <w:r w:rsidRPr="00CD6245">
        <w:rPr>
          <w:rStyle w:val="Strong"/>
        </w:rPr>
        <w:t>Capability assessment</w:t>
      </w:r>
      <w:r w:rsidRPr="00CD6245">
        <w:t>: an assessment of the level of procurement capability in an organisation.</w:t>
      </w:r>
    </w:p>
    <w:p w:rsidR="00151E3D" w:rsidRPr="00CD6245" w:rsidRDefault="00151E3D" w:rsidP="002C5E39">
      <w:pPr>
        <w:pStyle w:val="Normal1"/>
      </w:pPr>
      <w:r w:rsidRPr="00CD6245">
        <w:rPr>
          <w:rStyle w:val="Strong"/>
        </w:rPr>
        <w:t>Capability development plan</w:t>
      </w:r>
      <w:r w:rsidRPr="00CD6245">
        <w:t>: a summary of the organisation’s capability assessment and plans to increase capability where required.</w:t>
      </w:r>
    </w:p>
    <w:p w:rsidR="003F1D5C" w:rsidRPr="00CD6245" w:rsidRDefault="00151E3D" w:rsidP="002C5E39">
      <w:pPr>
        <w:pStyle w:val="Normal1"/>
      </w:pPr>
      <w:r w:rsidRPr="00CD6245">
        <w:rPr>
          <w:b/>
        </w:rPr>
        <w:t>Category</w:t>
      </w:r>
      <w:r w:rsidR="003F1D5C" w:rsidRPr="00CD6245">
        <w:rPr>
          <w:b/>
        </w:rPr>
        <w:t xml:space="preserve">: </w:t>
      </w:r>
      <w:r w:rsidR="003F1D5C" w:rsidRPr="00CD6245">
        <w:t>a grouping of related goods or services based on similar characteristics. For example, packaging as a category may include a variety of different goods and materials, all of which share a common purpose. A category may be further divided into subcategories based on physical characteristics such as plastic packaging or cardboard packaging.</w:t>
      </w:r>
    </w:p>
    <w:p w:rsidR="00151E3D" w:rsidRPr="00CD6245" w:rsidRDefault="00151E3D" w:rsidP="002C5E39">
      <w:pPr>
        <w:pStyle w:val="Normal1"/>
      </w:pPr>
      <w:r w:rsidRPr="00CD6245">
        <w:rPr>
          <w:rStyle w:val="Strong"/>
        </w:rPr>
        <w:t>Category management</w:t>
      </w:r>
      <w:r w:rsidRPr="00CD6245">
        <w:t>: at the organisational level, category management covers better management of areas of spend that include similar goods and services, and involves analysis of and interaction with the appropriate market sectors. It also forms the basis for organising the procurement team to manage the end-to-end procurement process for a specific range of goods or services.</w:t>
      </w:r>
    </w:p>
    <w:p w:rsidR="00190558" w:rsidRPr="00CD6245" w:rsidRDefault="00190558" w:rsidP="002C5E39">
      <w:pPr>
        <w:pStyle w:val="Normal1"/>
      </w:pPr>
      <w:r w:rsidRPr="00CD6245">
        <w:rPr>
          <w:b/>
        </w:rPr>
        <w:t>Chartered Institute of Purchasing and Supply (CIPS)</w:t>
      </w:r>
      <w:r w:rsidRPr="00CD6245">
        <w:t>: promote</w:t>
      </w:r>
      <w:r w:rsidR="00E85CD5">
        <w:t>s</w:t>
      </w:r>
      <w:r w:rsidRPr="00CD6245">
        <w:t xml:space="preserve"> and develop</w:t>
      </w:r>
      <w:r w:rsidR="00E85CD5">
        <w:t>s</w:t>
      </w:r>
      <w:r w:rsidRPr="00CD6245">
        <w:t xml:space="preserve"> high standards of professional skill, ability and integrity among all those engaged in purchasing and supply chain management. CIPS assists individuals, organisations and the profession as a whole.</w:t>
      </w:r>
    </w:p>
    <w:p w:rsidR="003F1D5C" w:rsidRPr="00CD6245" w:rsidRDefault="003F1D5C" w:rsidP="002C5E39">
      <w:pPr>
        <w:pStyle w:val="Normal1"/>
      </w:pPr>
      <w:r w:rsidRPr="00CD6245">
        <w:rPr>
          <w:b/>
        </w:rPr>
        <w:t xml:space="preserve">Chief procurement officer (CPO): </w:t>
      </w:r>
      <w:r w:rsidRPr="00CD6245">
        <w:t>provides strategic expert advice and oversight of the procurement function to drive and ensure value</w:t>
      </w:r>
      <w:r w:rsidR="00356746" w:rsidRPr="00CD6245">
        <w:t>-</w:t>
      </w:r>
      <w:r w:rsidRPr="00CD6245">
        <w:t>for</w:t>
      </w:r>
      <w:r w:rsidR="00356746" w:rsidRPr="00CD6245">
        <w:t>-</w:t>
      </w:r>
      <w:r w:rsidRPr="00CD6245">
        <w:t xml:space="preserve">money outcomes in the organisation. The CPO </w:t>
      </w:r>
      <w:r w:rsidRPr="00CD6245">
        <w:lastRenderedPageBreak/>
        <w:t>is responsible for developing and monitoring a number of strategic procurement activities. The CPO can be a role or a position as defined in the VGPB’s governance policy.</w:t>
      </w:r>
    </w:p>
    <w:p w:rsidR="00C86D39" w:rsidRPr="00CD6245" w:rsidRDefault="00C86D39" w:rsidP="00C86D39">
      <w:pPr>
        <w:pStyle w:val="Normal1"/>
      </w:pPr>
      <w:r w:rsidRPr="00CD6245">
        <w:rPr>
          <w:b/>
        </w:rPr>
        <w:t>Complexity</w:t>
      </w:r>
      <w:r w:rsidRPr="00CD6245">
        <w:t>: the level of intricacy and scope of issues involved in procuring a good or service, as defined in the VGPB’s complexity and capability assessment policy.</w:t>
      </w:r>
    </w:p>
    <w:p w:rsidR="00C86D39" w:rsidRPr="00CD6245" w:rsidRDefault="00C86D39" w:rsidP="00C86D39">
      <w:pPr>
        <w:pStyle w:val="Normal1"/>
      </w:pPr>
      <w:r w:rsidRPr="00CD6245">
        <w:rPr>
          <w:b/>
        </w:rPr>
        <w:t>Complexity assessment</w:t>
      </w:r>
      <w:r w:rsidRPr="00CD6245">
        <w:t>: an assessment of the level of intricacy and scope of issues involved in procuring a good or service which considers a broad range of factors including risk, total cost of ownership and market dynamics.</w:t>
      </w:r>
    </w:p>
    <w:p w:rsidR="00151E3D" w:rsidRPr="00CD6245" w:rsidRDefault="00151E3D" w:rsidP="00151E3D">
      <w:pPr>
        <w:pStyle w:val="Normal1"/>
        <w:rPr>
          <w:sz w:val="20"/>
          <w:szCs w:val="20"/>
        </w:rPr>
      </w:pPr>
      <w:r w:rsidRPr="00CD6245">
        <w:rPr>
          <w:b/>
          <w:bCs/>
        </w:rPr>
        <w:t>Conflict of interest</w:t>
      </w:r>
      <w:r w:rsidRPr="00CD6245">
        <w:t xml:space="preserve">: a conflict between public duties and private interests. Conflicts of interest can be actual, perceived or potential. The Victorian Public Sector Commission provides resources to help public sector officials, organisations and directors of public entities protect the public interest by identifying and managing conflicts of interest appropriately. For more information, visit </w:t>
      </w:r>
      <w:hyperlink r:id="rId53" w:tgtFrame="_self" w:history="1">
        <w:r w:rsidRPr="00CD6245">
          <w:t>www.vpsc.vic.gov.au</w:t>
        </w:r>
      </w:hyperlink>
      <w:r w:rsidRPr="00CD6245">
        <w:t xml:space="preserve"> </w:t>
      </w:r>
      <w:r w:rsidRPr="00CD6245">
        <w:br/>
      </w:r>
      <w:r w:rsidRPr="00CD6245">
        <w:rPr>
          <w:sz w:val="20"/>
          <w:szCs w:val="20"/>
        </w:rPr>
        <w:t>(Source: definition</w:t>
      </w:r>
      <w:r w:rsidR="00E85CD5">
        <w:rPr>
          <w:sz w:val="20"/>
          <w:szCs w:val="20"/>
        </w:rPr>
        <w:t xml:space="preserve"> taken from the</w:t>
      </w:r>
      <w:r w:rsidRPr="00CD6245">
        <w:rPr>
          <w:sz w:val="20"/>
          <w:szCs w:val="20"/>
        </w:rPr>
        <w:t xml:space="preserve"> Victorian Public Sector Commission website)</w:t>
      </w:r>
    </w:p>
    <w:p w:rsidR="003F1D5C" w:rsidRPr="00CD6245" w:rsidRDefault="003F1D5C" w:rsidP="002C5E39">
      <w:pPr>
        <w:pStyle w:val="Normal1"/>
      </w:pPr>
      <w:r w:rsidRPr="00CD6245">
        <w:rPr>
          <w:b/>
        </w:rPr>
        <w:t>Contract:</w:t>
      </w:r>
      <w:r w:rsidRPr="00CD6245">
        <w:t xml:space="preserve"> an agreement between two or more authorised persons on behalf of their organisations to perform or not perform a specific act that is enforceable in law. A contract may be verbal, written or inferred by conduct.</w:t>
      </w:r>
    </w:p>
    <w:p w:rsidR="003F1D5C" w:rsidRPr="00CD6245" w:rsidRDefault="003F1D5C" w:rsidP="002C5E39">
      <w:pPr>
        <w:pStyle w:val="Normal1"/>
      </w:pPr>
      <w:r w:rsidRPr="00CD6245">
        <w:rPr>
          <w:b/>
        </w:rPr>
        <w:t xml:space="preserve">Contract management: </w:t>
      </w:r>
      <w:r w:rsidRPr="00CD6245">
        <w:t>all activities at the start, during and after the contract period to ensure all contractual obligations are fulfilled.</w:t>
      </w:r>
    </w:p>
    <w:p w:rsidR="00151E3D" w:rsidRPr="00CD6245" w:rsidRDefault="00151E3D" w:rsidP="002C5E39">
      <w:pPr>
        <w:pStyle w:val="Normal1"/>
      </w:pPr>
      <w:r w:rsidRPr="00CD6245">
        <w:rPr>
          <w:rStyle w:val="Strong"/>
        </w:rPr>
        <w:t>Critical incident</w:t>
      </w:r>
      <w:r w:rsidRPr="00CD6245">
        <w:t>: an emergency, crisis or disaster under which an organisation may adopt streamlined and flexible procurement processes to facilitate an immediate response.</w:t>
      </w:r>
    </w:p>
    <w:p w:rsidR="00151E3D" w:rsidRPr="00CD6245" w:rsidRDefault="00151E3D" w:rsidP="002C5E39">
      <w:pPr>
        <w:pStyle w:val="Normal1"/>
      </w:pPr>
      <w:r w:rsidRPr="00CD6245">
        <w:rPr>
          <w:rStyle w:val="Strong"/>
        </w:rPr>
        <w:t>Debrief</w:t>
      </w:r>
      <w:r w:rsidRPr="00CD6245">
        <w:t>: the process of advising un</w:t>
      </w:r>
      <w:r w:rsidR="00E85CD5">
        <w:t>successful respondents, on a no-</w:t>
      </w:r>
      <w:r w:rsidRPr="00CD6245">
        <w:t xml:space="preserve">commitment basis, of where improvements in their bid would make them more competitive in </w:t>
      </w:r>
      <w:r w:rsidR="00E85CD5">
        <w:t xml:space="preserve">the </w:t>
      </w:r>
      <w:r w:rsidRPr="00CD6245">
        <w:t>future.</w:t>
      </w:r>
    </w:p>
    <w:p w:rsidR="003F1D5C" w:rsidRPr="00CD6245" w:rsidRDefault="003F1D5C" w:rsidP="002C5E39">
      <w:pPr>
        <w:pStyle w:val="Normal1"/>
        <w:rPr>
          <w:i/>
        </w:rPr>
      </w:pPr>
      <w:r w:rsidRPr="00CD6245">
        <w:rPr>
          <w:b/>
        </w:rPr>
        <w:t xml:space="preserve">Department: </w:t>
      </w:r>
      <w:r w:rsidRPr="00CD6245">
        <w:t xml:space="preserve">a body existing by virtue of an order made under the </w:t>
      </w:r>
      <w:r w:rsidRPr="00CD6245">
        <w:rPr>
          <w:i/>
        </w:rPr>
        <w:t>Public Administration Act 2004.</w:t>
      </w:r>
    </w:p>
    <w:p w:rsidR="00151E3D" w:rsidRPr="00CD6245" w:rsidRDefault="00151E3D" w:rsidP="002C5E39">
      <w:pPr>
        <w:pStyle w:val="Normal1"/>
        <w:rPr>
          <w:i/>
        </w:rPr>
      </w:pPr>
      <w:r w:rsidRPr="00CD6245">
        <w:rPr>
          <w:rStyle w:val="Strong"/>
        </w:rPr>
        <w:t>Entity</w:t>
      </w:r>
      <w:r w:rsidRPr="00CD6245">
        <w:t xml:space="preserve">: any government or semi-government organisation not defined under the </w:t>
      </w:r>
      <w:r w:rsidRPr="00CD6245">
        <w:rPr>
          <w:i/>
        </w:rPr>
        <w:t>Public Administration Act 2004</w:t>
      </w:r>
      <w:r w:rsidRPr="00CD6245">
        <w:t>, i.e. not a department or administrative body. Also referred to as non-Crown bodies, public bodies and outer budget agencies.</w:t>
      </w:r>
    </w:p>
    <w:p w:rsidR="003F1D5C" w:rsidRPr="00CD6245" w:rsidRDefault="00151E3D" w:rsidP="002C5E39">
      <w:pPr>
        <w:pStyle w:val="Normal1"/>
      </w:pPr>
      <w:r w:rsidRPr="00CD6245">
        <w:rPr>
          <w:b/>
        </w:rPr>
        <w:t>e</w:t>
      </w:r>
      <w:r w:rsidR="002232C2" w:rsidRPr="00CD6245">
        <w:rPr>
          <w:b/>
        </w:rPr>
        <w:t>-</w:t>
      </w:r>
      <w:r w:rsidR="000D7385" w:rsidRPr="00CD6245">
        <w:rPr>
          <w:b/>
        </w:rPr>
        <w:t>p</w:t>
      </w:r>
      <w:r w:rsidR="003F1D5C" w:rsidRPr="00CD6245">
        <w:rPr>
          <w:b/>
        </w:rPr>
        <w:t xml:space="preserve">rocurement: </w:t>
      </w:r>
      <w:r w:rsidR="003F1D5C" w:rsidRPr="00CD6245">
        <w:t>involves the online conduct of business-to-business procurement processe</w:t>
      </w:r>
      <w:r w:rsidR="003B398F" w:rsidRPr="00CD6245">
        <w:t>s using web-based applications.</w:t>
      </w:r>
    </w:p>
    <w:p w:rsidR="003F1D5C" w:rsidRPr="00CD6245" w:rsidRDefault="003F1D5C" w:rsidP="002C5E39">
      <w:pPr>
        <w:pStyle w:val="Normal1"/>
      </w:pPr>
      <w:r w:rsidRPr="00CD6245">
        <w:rPr>
          <w:b/>
        </w:rPr>
        <w:t xml:space="preserve">Expression of interest (EOI): </w:t>
      </w:r>
      <w:r w:rsidRPr="00CD6245">
        <w:t>used to identify suppliers interested in, and capable of, delivering the required goods or services. Potential suppliers are asked to provide information on their capability and capacity to do the work. It is usually the first stage of a multi</w:t>
      </w:r>
      <w:r w:rsidR="00571365" w:rsidRPr="00CD6245">
        <w:t>stage</w:t>
      </w:r>
      <w:r w:rsidRPr="00CD6245">
        <w:t xml:space="preserve"> tender process.</w:t>
      </w:r>
    </w:p>
    <w:p w:rsidR="003F1D5C" w:rsidRPr="00CD6245" w:rsidRDefault="003F1D5C" w:rsidP="002C5E39">
      <w:pPr>
        <w:pStyle w:val="Normal1"/>
      </w:pPr>
      <w:r w:rsidRPr="00CD6245">
        <w:rPr>
          <w:b/>
        </w:rPr>
        <w:t xml:space="preserve">Financial delegate: </w:t>
      </w:r>
      <w:r w:rsidRPr="00CD6245">
        <w:t>a person authorised by the Minister to make general or specified decisions constrained only by the instrument of financial delegation. Specifically, financial delegates commit and incur expenditure, and sign contracts.</w:t>
      </w:r>
    </w:p>
    <w:p w:rsidR="003F1D5C" w:rsidRPr="00CD6245" w:rsidRDefault="003F1D5C" w:rsidP="002C5E39">
      <w:pPr>
        <w:pStyle w:val="Normal1"/>
      </w:pPr>
      <w:r w:rsidRPr="00CD6245">
        <w:rPr>
          <w:b/>
        </w:rPr>
        <w:t xml:space="preserve">Financial delegation: </w:t>
      </w:r>
      <w:r w:rsidRPr="00CD6245">
        <w:t>a power handed down to a second party to act on their own behalf, but not including power to further delegate. The second party is responsible for actions arising from their use of such power.</w:t>
      </w:r>
    </w:p>
    <w:p w:rsidR="00151E3D" w:rsidRDefault="003F1D5C" w:rsidP="002C5E39">
      <w:pPr>
        <w:pStyle w:val="Normal1"/>
      </w:pPr>
      <w:r w:rsidRPr="00CD6245">
        <w:rPr>
          <w:b/>
        </w:rPr>
        <w:t xml:space="preserve">Internal procurement unit (IPU): </w:t>
      </w:r>
      <w:r w:rsidRPr="00CD6245">
        <w:t xml:space="preserve">a body in each </w:t>
      </w:r>
      <w:r w:rsidR="004B6766" w:rsidRPr="00CD6245">
        <w:t>organisation</w:t>
      </w:r>
      <w:r w:rsidRPr="00CD6245">
        <w:t xml:space="preserve"> responsible for ensuring that procurement activity complies with VGPB policy. The IPU assesses the procurement capability of the organisation and prepares a capability development plan on an annual basis. It also identifies major procurement categories and reports annually to the accountable officer on the organisation’s procurement activities.</w:t>
      </w:r>
      <w:r w:rsidR="00E85CD5">
        <w:t xml:space="preserve"> </w:t>
      </w:r>
    </w:p>
    <w:p w:rsidR="00E85CD5" w:rsidRPr="00E85CD5" w:rsidRDefault="00E85CD5" w:rsidP="00E85CD5">
      <w:pPr>
        <w:pStyle w:val="Normal1"/>
      </w:pPr>
      <w:r w:rsidRPr="00E85CD5">
        <w:t>Organisations sometimes choose a different name for their IPU, such as procurement governance committee, or procurement approval board.</w:t>
      </w:r>
    </w:p>
    <w:p w:rsidR="003F1D5C" w:rsidRPr="00CD6245" w:rsidRDefault="003F1D5C" w:rsidP="002C5E39">
      <w:pPr>
        <w:pStyle w:val="Normal1"/>
      </w:pPr>
      <w:r w:rsidRPr="00CD6245">
        <w:rPr>
          <w:b/>
        </w:rPr>
        <w:t xml:space="preserve">Machinery of government: </w:t>
      </w:r>
      <w:r w:rsidRPr="00CD6245">
        <w:t>the allocation of functions and responsibilities between departments and ministers. In Victoria, these matters are the sole responsibility of the Premier.</w:t>
      </w:r>
    </w:p>
    <w:p w:rsidR="003F1D5C" w:rsidRPr="00CD6245" w:rsidRDefault="003F1D5C" w:rsidP="002C5E39">
      <w:pPr>
        <w:pStyle w:val="Normal1"/>
      </w:pPr>
      <w:r w:rsidRPr="00CD6245">
        <w:rPr>
          <w:b/>
        </w:rPr>
        <w:lastRenderedPageBreak/>
        <w:t xml:space="preserve">One-off supply: </w:t>
      </w:r>
      <w:r w:rsidRPr="00CD6245">
        <w:t>a purchase of a specific quantity of goods or services which has been subject to a discrete quotation or tender process.</w:t>
      </w:r>
    </w:p>
    <w:p w:rsidR="003E4965" w:rsidRPr="00CD6245" w:rsidRDefault="003E4965" w:rsidP="002C5E39">
      <w:pPr>
        <w:pStyle w:val="Normal1"/>
      </w:pPr>
      <w:r w:rsidRPr="00CD6245">
        <w:rPr>
          <w:b/>
        </w:rPr>
        <w:t>Open tender:</w:t>
      </w:r>
      <w:r w:rsidRPr="00CD6245">
        <w:t xml:space="preserve"> </w:t>
      </w:r>
      <w:r w:rsidR="00151E3D" w:rsidRPr="00CD6245">
        <w:t>the process of publicly inviting tenders usually through the release of a request for tender to the open market.</w:t>
      </w:r>
    </w:p>
    <w:p w:rsidR="00151E3D" w:rsidRPr="00CD6245" w:rsidRDefault="00151E3D" w:rsidP="002E30F9">
      <w:pPr>
        <w:pStyle w:val="Normal1"/>
        <w:rPr>
          <w:b/>
        </w:rPr>
      </w:pPr>
      <w:r w:rsidRPr="00CD6245">
        <w:rPr>
          <w:rStyle w:val="Strong"/>
        </w:rPr>
        <w:t>Pre</w:t>
      </w:r>
      <w:r w:rsidR="00E765C4" w:rsidRPr="00CD6245">
        <w:rPr>
          <w:rStyle w:val="Strong"/>
        </w:rPr>
        <w:t>qualification</w:t>
      </w:r>
      <w:r w:rsidRPr="00CD6245">
        <w:t>: assessing a business’ eligibility to supply based on specific criteria for a particular category of goods or services.</w:t>
      </w:r>
    </w:p>
    <w:p w:rsidR="003F1D5C" w:rsidRPr="00CD6245" w:rsidRDefault="003F1D5C" w:rsidP="002C5E39">
      <w:pPr>
        <w:pStyle w:val="Normal1"/>
      </w:pPr>
      <w:r w:rsidRPr="00CD6245">
        <w:rPr>
          <w:b/>
        </w:rPr>
        <w:t xml:space="preserve">Probity: </w:t>
      </w:r>
      <w:r w:rsidRPr="00CD6245">
        <w:t>uprightness, honesty, proper and ethical conduct and propriety in dealings. It is often also used in government in a general sense to mean good process.</w:t>
      </w:r>
    </w:p>
    <w:p w:rsidR="003F1D5C" w:rsidRPr="00CD6245" w:rsidRDefault="003F1D5C" w:rsidP="002C5E39">
      <w:pPr>
        <w:pStyle w:val="Normal1"/>
      </w:pPr>
      <w:r w:rsidRPr="00CD6245">
        <w:rPr>
          <w:b/>
        </w:rPr>
        <w:t xml:space="preserve">Procurement: </w:t>
      </w:r>
      <w:r w:rsidRPr="00CD6245">
        <w:t>all the business processes associated with purchasing, spanning the whole cycle from identifying needs to the end of a service contract or the end of the useful life and subsequent disposal of an asset. It also includes the organisational and governance frameworks that underpin the procurement function. Procurement does not include store management and logistics that are part of the wider subject of supply chain management.</w:t>
      </w:r>
    </w:p>
    <w:p w:rsidR="00782BFC" w:rsidRPr="00CD6245" w:rsidRDefault="00782BFC" w:rsidP="00782BFC">
      <w:pPr>
        <w:pStyle w:val="Normal1"/>
        <w:rPr>
          <w:b/>
        </w:rPr>
      </w:pPr>
      <w:r w:rsidRPr="00CD6245">
        <w:rPr>
          <w:b/>
        </w:rPr>
        <w:t xml:space="preserve">Procurement activity plan: </w:t>
      </w:r>
      <w:r w:rsidRPr="00CD6245">
        <w:t xml:space="preserve">details planned procurement activity for at least the next 12 to 18 month period and must be reviewed at least annually to keep the market informed of </w:t>
      </w:r>
      <w:r w:rsidR="00817F5B" w:rsidRPr="00CD6245">
        <w:t>changes or developments. A high</w:t>
      </w:r>
      <w:r w:rsidR="00E765C4" w:rsidRPr="00CD6245">
        <w:t>-</w:t>
      </w:r>
      <w:r w:rsidRPr="00CD6245">
        <w:t>level summary plan must be published on the organisation’s website to improve transparency for suppliers.</w:t>
      </w:r>
    </w:p>
    <w:p w:rsidR="003F1D5C" w:rsidRPr="00CD6245" w:rsidRDefault="003F1D5C" w:rsidP="002C5E39">
      <w:pPr>
        <w:pStyle w:val="Normal1"/>
      </w:pPr>
      <w:r w:rsidRPr="00CD6245">
        <w:rPr>
          <w:b/>
        </w:rPr>
        <w:t xml:space="preserve">Procurement process: </w:t>
      </w:r>
      <w:r w:rsidRPr="00CD6245">
        <w:t>the step-by-step process for the planning, establishment and contract management of small and large acquisitions.</w:t>
      </w:r>
    </w:p>
    <w:p w:rsidR="003F1D5C" w:rsidRPr="00CD6245" w:rsidRDefault="003F1D5C" w:rsidP="002C5E39">
      <w:pPr>
        <w:pStyle w:val="Normal1"/>
      </w:pPr>
      <w:r w:rsidRPr="00CD6245">
        <w:rPr>
          <w:b/>
        </w:rPr>
        <w:t xml:space="preserve">Procurement strategy: </w:t>
      </w:r>
      <w:r w:rsidRPr="00CD6245">
        <w:t>an overview of an organisation’s procurement profile</w:t>
      </w:r>
      <w:r w:rsidR="00A1501B" w:rsidRPr="00CD6245">
        <w:t>. It includes a procurement activity plan, a contract management planning strategy, a supplier engagement plan and a capability development plan.</w:t>
      </w:r>
    </w:p>
    <w:p w:rsidR="00A1501B" w:rsidRPr="00CD6245" w:rsidRDefault="00E85CD5" w:rsidP="00A1501B">
      <w:pPr>
        <w:pStyle w:val="Normal1"/>
      </w:pPr>
      <w:r>
        <w:rPr>
          <w:b/>
        </w:rPr>
        <w:t>Purchasing c</w:t>
      </w:r>
      <w:r w:rsidR="00A1501B" w:rsidRPr="00CD6245">
        <w:rPr>
          <w:b/>
        </w:rPr>
        <w:t xml:space="preserve">ard (P-Card): </w:t>
      </w:r>
      <w:r w:rsidR="00A1501B" w:rsidRPr="00CD6245">
        <w:t xml:space="preserve">any type of purchasing card used in the Victorian </w:t>
      </w:r>
      <w:r w:rsidR="00B81F18" w:rsidRPr="00CD6245">
        <w:t>p</w:t>
      </w:r>
      <w:r w:rsidR="00A1501B" w:rsidRPr="00CD6245">
        <w:t xml:space="preserve">ublic </w:t>
      </w:r>
      <w:r w:rsidR="00B81F18" w:rsidRPr="00CD6245">
        <w:t>s</w:t>
      </w:r>
      <w:r w:rsidR="00A1501B" w:rsidRPr="00CD6245">
        <w:t>ector,</w:t>
      </w:r>
      <w:r w:rsidR="00E765C4" w:rsidRPr="00CD6245">
        <w:t xml:space="preserve"> such as </w:t>
      </w:r>
      <w:r w:rsidR="00A1501B" w:rsidRPr="00CD6245">
        <w:t>general government purchasing card</w:t>
      </w:r>
      <w:r w:rsidR="00E765C4" w:rsidRPr="00CD6245">
        <w:t>s</w:t>
      </w:r>
      <w:r w:rsidR="00A1501B" w:rsidRPr="00CD6245">
        <w:t>, corporate card</w:t>
      </w:r>
      <w:r w:rsidR="00E765C4" w:rsidRPr="00CD6245">
        <w:t>s</w:t>
      </w:r>
      <w:r w:rsidR="00A1501B" w:rsidRPr="00CD6245">
        <w:t>, credit card</w:t>
      </w:r>
      <w:r w:rsidR="00E765C4" w:rsidRPr="00CD6245">
        <w:t>s</w:t>
      </w:r>
      <w:r w:rsidR="00A1501B" w:rsidRPr="00CD6245">
        <w:t>, purchasing card facilit</w:t>
      </w:r>
      <w:r w:rsidR="00E765C4" w:rsidRPr="00CD6245">
        <w:t>ies</w:t>
      </w:r>
      <w:r w:rsidR="00A1501B" w:rsidRPr="00CD6245">
        <w:t>. It is a payment mechanism that can provide benefits in the form of efficient procurement and reduced administration costs.</w:t>
      </w:r>
    </w:p>
    <w:p w:rsidR="00A1501B" w:rsidRPr="00CD6245" w:rsidRDefault="00A1501B" w:rsidP="00A1501B">
      <w:pPr>
        <w:pStyle w:val="Normal1"/>
      </w:pPr>
      <w:r w:rsidRPr="00CD6245">
        <w:rPr>
          <w:rStyle w:val="Strong"/>
        </w:rPr>
        <w:t>Quotation/quote</w:t>
      </w:r>
      <w:r w:rsidRPr="00CD6245">
        <w:t>: an offer to supply goods and/or services, usually in response to a request for quotation. Often used interchangeably with proposal, tender, bid and offer.</w:t>
      </w:r>
    </w:p>
    <w:p w:rsidR="003F1D5C" w:rsidRPr="00CD6245" w:rsidRDefault="003F1D5C" w:rsidP="002C5E39">
      <w:pPr>
        <w:pStyle w:val="Normal1"/>
      </w:pPr>
      <w:r w:rsidRPr="00CD6245">
        <w:rPr>
          <w:b/>
        </w:rPr>
        <w:t xml:space="preserve">Request for quotation (RFQ): </w:t>
      </w:r>
      <w:r w:rsidRPr="00CD6245">
        <w:t>a written process of inviting offers to supply goods and/or services involving simple documentation and a limited number of potential suppliers.</w:t>
      </w:r>
    </w:p>
    <w:p w:rsidR="003F1D5C" w:rsidRPr="00CD6245" w:rsidRDefault="003F1D5C" w:rsidP="002C5E39">
      <w:pPr>
        <w:pStyle w:val="Normal1"/>
      </w:pPr>
      <w:r w:rsidRPr="00CD6245">
        <w:rPr>
          <w:b/>
        </w:rPr>
        <w:t xml:space="preserve">Request for tender (RFT): </w:t>
      </w:r>
      <w:r w:rsidRPr="00CD6245">
        <w:t>a request for offer against a set of clearly defined and specified requirements. Tenderers are advised of all requirements involved including the conditions of tendering and proposed contract conditions.</w:t>
      </w:r>
    </w:p>
    <w:p w:rsidR="003F1D5C" w:rsidRPr="00CD6245" w:rsidRDefault="003F1D5C" w:rsidP="002C5E39">
      <w:pPr>
        <w:pStyle w:val="Normal1"/>
      </w:pPr>
      <w:r w:rsidRPr="00CD6245">
        <w:rPr>
          <w:b/>
        </w:rPr>
        <w:t xml:space="preserve">Risk management: </w:t>
      </w:r>
      <w:r w:rsidR="00782BFC" w:rsidRPr="00CD6245">
        <w:t>r</w:t>
      </w:r>
      <w:r w:rsidRPr="00CD6245">
        <w:t>isks can occur at various stages in the procurement process and should be focused on both the operational consequences of non-performance and the risks to business delivery if a procurement activity does not achieve the desired value</w:t>
      </w:r>
      <w:r w:rsidR="00356746" w:rsidRPr="00CD6245">
        <w:t>-</w:t>
      </w:r>
      <w:r w:rsidRPr="00CD6245">
        <w:t>for</w:t>
      </w:r>
      <w:r w:rsidR="00356746" w:rsidRPr="00CD6245">
        <w:t>-</w:t>
      </w:r>
      <w:r w:rsidRPr="00CD6245">
        <w:t>money outcomes. Risks to the procurement activity should be continually monitored and managed, and new risks identified throughout the procurement cycle.</w:t>
      </w:r>
    </w:p>
    <w:p w:rsidR="00A1501B" w:rsidRPr="00CD6245" w:rsidRDefault="00A1501B" w:rsidP="002C5E39">
      <w:pPr>
        <w:pStyle w:val="Normal1"/>
      </w:pPr>
      <w:r w:rsidRPr="00CD6245">
        <w:rPr>
          <w:rStyle w:val="Strong"/>
        </w:rPr>
        <w:t>Scalability</w:t>
      </w:r>
      <w:r w:rsidRPr="00CD6245">
        <w:t>: adapting the procurement function to the needs of the organisation ensuring that sufficient capability (pe</w:t>
      </w:r>
      <w:r w:rsidR="00E85CD5">
        <w:t>ople, systems and processes) is</w:t>
      </w:r>
      <w:r w:rsidRPr="00CD6245">
        <w:t xml:space="preserve"> in place in the organisation to handle the complexity level of all procurement activity. Scalability is also about simplifying procurement processes and not running an</w:t>
      </w:r>
      <w:r w:rsidR="00F04B62" w:rsidRPr="00CD6245">
        <w:t xml:space="preserve"> overly onerous process for </w:t>
      </w:r>
      <w:r w:rsidR="00C8230B">
        <w:t>low-value</w:t>
      </w:r>
      <w:r w:rsidR="00F04B62" w:rsidRPr="00CD6245">
        <w:t xml:space="preserve">, </w:t>
      </w:r>
      <w:r w:rsidR="00C8230B">
        <w:t>low-risk</w:t>
      </w:r>
      <w:r w:rsidRPr="00CD6245">
        <w:t xml:space="preserve"> purchases.</w:t>
      </w:r>
    </w:p>
    <w:p w:rsidR="003F1D5C" w:rsidRPr="00CD6245" w:rsidRDefault="003F1D5C" w:rsidP="002C5E39">
      <w:pPr>
        <w:pStyle w:val="Normal1"/>
      </w:pPr>
      <w:r w:rsidRPr="00CD6245">
        <w:rPr>
          <w:b/>
        </w:rPr>
        <w:t xml:space="preserve">Select tender: </w:t>
      </w:r>
      <w:r w:rsidRPr="00CD6245">
        <w:t>a two-stage approach to the open market involving a registration/expression of interest, followed by a request for tender to a shortlist of registrants who satisfy an assessment of their capability and capacity.</w:t>
      </w:r>
    </w:p>
    <w:p w:rsidR="00DF402F" w:rsidRPr="00CD6245" w:rsidRDefault="00DF402F" w:rsidP="002C5E39">
      <w:pPr>
        <w:pStyle w:val="Normal1"/>
      </w:pPr>
      <w:r w:rsidRPr="00CD6245">
        <w:rPr>
          <w:b/>
        </w:rPr>
        <w:t xml:space="preserve">Small to medium enterprises (SMEs): </w:t>
      </w:r>
      <w:r w:rsidRPr="00CD6245">
        <w:t>firms with less than 200 full</w:t>
      </w:r>
      <w:r w:rsidR="00E765C4" w:rsidRPr="00CD6245">
        <w:t>-</w:t>
      </w:r>
      <w:r w:rsidRPr="00CD6245">
        <w:t xml:space="preserve">time equivalent employees and/or less than $10 million turnover (Australian Bureau of Statistics). Note that the Victorian </w:t>
      </w:r>
      <w:r w:rsidRPr="00CD6245">
        <w:lastRenderedPageBreak/>
        <w:t>Government uses the employment numbers to define small, medium and large enterprises. Less than 20 is defined as small, 20–199 is defined as medium and 200 plus is defined as large.</w:t>
      </w:r>
    </w:p>
    <w:p w:rsidR="003F1D5C" w:rsidRPr="00CD6245" w:rsidRDefault="003F1D5C" w:rsidP="002C5E39">
      <w:pPr>
        <w:pStyle w:val="Normal1"/>
      </w:pPr>
      <w:r w:rsidRPr="00CD6245">
        <w:rPr>
          <w:b/>
        </w:rPr>
        <w:t>Sole entity purchase contract (SEPC):</w:t>
      </w:r>
      <w:r w:rsidRPr="00CD6245">
        <w:t xml:space="preserve"> a procurement arrangement established when a sole </w:t>
      </w:r>
      <w:r w:rsidR="004B6766" w:rsidRPr="00CD6245">
        <w:t>organisation</w:t>
      </w:r>
      <w:r w:rsidRPr="00CD6245">
        <w:t xml:space="preserve"> has a specific requirement for frequently purchased goods and services. SEPCs are mandatory contracts for the </w:t>
      </w:r>
      <w:r w:rsidR="004B6766" w:rsidRPr="00CD6245">
        <w:t>organisation</w:t>
      </w:r>
      <w:r w:rsidRPr="00CD6245">
        <w:t xml:space="preserve"> establishing the procurement arrangement.</w:t>
      </w:r>
    </w:p>
    <w:p w:rsidR="00A1501B" w:rsidRPr="00CD6245" w:rsidRDefault="00A1501B" w:rsidP="002C5E39">
      <w:pPr>
        <w:pStyle w:val="Normal1"/>
      </w:pPr>
      <w:r w:rsidRPr="00CD6245">
        <w:rPr>
          <w:rStyle w:val="Strong"/>
        </w:rPr>
        <w:t>Sole supplier</w:t>
      </w:r>
      <w:r w:rsidRPr="00CD6245">
        <w:t>: sole supplier contract arrangements are established following a specific requirement for frequently purchased goods and or services, and where value for money can best be achieved by engaging with one party. The arrangement also works as they are seen as market leaders and guarantee strong services levels complemented with competitive pricing.</w:t>
      </w:r>
    </w:p>
    <w:p w:rsidR="003F1D5C" w:rsidRPr="00CD6245" w:rsidRDefault="00804CEB" w:rsidP="002C5E39">
      <w:pPr>
        <w:pStyle w:val="Normal1"/>
      </w:pPr>
      <w:r w:rsidRPr="00CD6245">
        <w:rPr>
          <w:b/>
        </w:rPr>
        <w:t>Standing offer agreement</w:t>
      </w:r>
      <w:r w:rsidR="003F1D5C" w:rsidRPr="00CD6245">
        <w:rPr>
          <w:b/>
        </w:rPr>
        <w:t xml:space="preserve">: </w:t>
      </w:r>
      <w:r w:rsidR="003F1D5C" w:rsidRPr="00CD6245">
        <w:t xml:space="preserve">an agreement for commonly used goods and services that provides more effective and efficient procurement. It covers a set period of time and usually requires no obligation on the </w:t>
      </w:r>
      <w:r w:rsidRPr="00CD6245">
        <w:t>s</w:t>
      </w:r>
      <w:r w:rsidR="003F1D5C" w:rsidRPr="00CD6245">
        <w:t>tate to purchase a particular quantity of the goods or services from the supplier. It includes SPCs and SEPCs.</w:t>
      </w:r>
    </w:p>
    <w:p w:rsidR="003F1D5C" w:rsidRPr="00CD6245" w:rsidRDefault="003F1D5C" w:rsidP="002C5E39">
      <w:pPr>
        <w:pStyle w:val="Normal1"/>
      </w:pPr>
      <w:r w:rsidRPr="00CD6245">
        <w:rPr>
          <w:b/>
        </w:rPr>
        <w:t>State purchase contract (SPC):</w:t>
      </w:r>
      <w:r w:rsidRPr="00CD6245">
        <w:t xml:space="preserve"> a mandatory standing offer agreement for the purchase of goods and services. The purpose of SPCs is to pursue whole of government contracts to achieve the best value</w:t>
      </w:r>
      <w:r w:rsidR="00356746" w:rsidRPr="00CD6245">
        <w:t>-</w:t>
      </w:r>
      <w:r w:rsidRPr="00CD6245">
        <w:t>for</w:t>
      </w:r>
      <w:r w:rsidR="00356746" w:rsidRPr="00CD6245">
        <w:t>-</w:t>
      </w:r>
      <w:r w:rsidRPr="00CD6245">
        <w:t xml:space="preserve">money outcomes, and make best use of the </w:t>
      </w:r>
      <w:r w:rsidR="00804CEB" w:rsidRPr="00CD6245">
        <w:t>s</w:t>
      </w:r>
      <w:r w:rsidRPr="00CD6245">
        <w:t>tate’s aggregated purchasing power.</w:t>
      </w:r>
    </w:p>
    <w:p w:rsidR="003F1D5C" w:rsidRPr="00CD6245" w:rsidRDefault="003F1D5C" w:rsidP="002C5E39">
      <w:pPr>
        <w:pStyle w:val="Normal1"/>
      </w:pPr>
      <w:r w:rsidRPr="00CD6245">
        <w:rPr>
          <w:b/>
        </w:rPr>
        <w:t xml:space="preserve">Supply policies: </w:t>
      </w:r>
      <w:r w:rsidRPr="00CD6245">
        <w:t>policies created by the VGPB to govern procurement of goods and services by all Victorian Government d</w:t>
      </w:r>
      <w:r w:rsidR="00CA550C" w:rsidRPr="00CD6245">
        <w:t>epartments and specified entiti</w:t>
      </w:r>
      <w:r w:rsidR="00782BFC" w:rsidRPr="00CD6245">
        <w:t>es.</w:t>
      </w:r>
    </w:p>
    <w:p w:rsidR="003F1D5C" w:rsidRPr="00CD6245" w:rsidRDefault="003F1D5C" w:rsidP="002C5E39">
      <w:pPr>
        <w:pStyle w:val="Normal1"/>
      </w:pPr>
      <w:r w:rsidRPr="00CD6245">
        <w:rPr>
          <w:b/>
        </w:rPr>
        <w:t xml:space="preserve">Tender: </w:t>
      </w:r>
      <w:r w:rsidRPr="00CD6245">
        <w:t xml:space="preserve">a document in the form of an offer to supply </w:t>
      </w:r>
      <w:r w:rsidR="008769BE" w:rsidRPr="00CD6245">
        <w:t>goods and</w:t>
      </w:r>
      <w:r w:rsidRPr="00CD6245">
        <w:t>/or services, usually submitted in response to a public or selective invitation such as an RFT.</w:t>
      </w:r>
    </w:p>
    <w:p w:rsidR="00A1501B" w:rsidRPr="00CD6245" w:rsidRDefault="00A1501B" w:rsidP="002C5E39">
      <w:pPr>
        <w:pStyle w:val="Normal1"/>
      </w:pPr>
      <w:r w:rsidRPr="00CD6245">
        <w:rPr>
          <w:rStyle w:val="Strong"/>
        </w:rPr>
        <w:t>Tenderer</w:t>
      </w:r>
      <w:r w:rsidRPr="00CD6245">
        <w:t>: a party submitting a tender in response to an RFT.</w:t>
      </w:r>
    </w:p>
    <w:p w:rsidR="003F1D5C" w:rsidRPr="00CD6245" w:rsidRDefault="003F1D5C" w:rsidP="002C5E39">
      <w:pPr>
        <w:pStyle w:val="Normal1"/>
      </w:pPr>
      <w:r w:rsidRPr="00CD6245">
        <w:rPr>
          <w:b/>
        </w:rPr>
        <w:t xml:space="preserve">Tenders VIC: </w:t>
      </w:r>
      <w:r w:rsidRPr="00CD6245">
        <w:t>the website provided by the Department of Treasury and Finance for advertising all government tenders.</w:t>
      </w:r>
    </w:p>
    <w:p w:rsidR="003F1D5C" w:rsidRPr="00CD6245" w:rsidRDefault="00804CEB" w:rsidP="002C5E39">
      <w:pPr>
        <w:pStyle w:val="Normal1"/>
      </w:pPr>
      <w:r w:rsidRPr="00CD6245">
        <w:rPr>
          <w:b/>
        </w:rPr>
        <w:t>Value for money</w:t>
      </w:r>
      <w:r w:rsidR="003F1D5C" w:rsidRPr="00CD6245">
        <w:rPr>
          <w:b/>
        </w:rPr>
        <w:t>:</w:t>
      </w:r>
      <w:r w:rsidR="003F1D5C" w:rsidRPr="00CD6245">
        <w:t xml:space="preserve"> involves a balanced judgement of financial and non-financial factors. Typical factors include fitness for purpose, quality, whole</w:t>
      </w:r>
      <w:r w:rsidR="00870CCC" w:rsidRPr="00CD6245">
        <w:t xml:space="preserve"> </w:t>
      </w:r>
      <w:r w:rsidR="003F1D5C" w:rsidRPr="00CD6245">
        <w:t>of</w:t>
      </w:r>
      <w:r w:rsidR="00870CCC" w:rsidRPr="00CD6245">
        <w:t xml:space="preserve"> </w:t>
      </w:r>
      <w:r w:rsidR="003F1D5C" w:rsidRPr="00CD6245">
        <w:t>life costs, risk, environmental and sustainability issues, as well as price.</w:t>
      </w:r>
    </w:p>
    <w:p w:rsidR="003F1D5C" w:rsidRPr="00CD6245" w:rsidRDefault="003F1D5C" w:rsidP="00AC641D">
      <w:pPr>
        <w:pStyle w:val="Normal1"/>
      </w:pPr>
      <w:r w:rsidRPr="00CD6245">
        <w:rPr>
          <w:b/>
        </w:rPr>
        <w:t xml:space="preserve">Victorian Government Purchasing Board (VGPB): </w:t>
      </w:r>
      <w:r w:rsidR="00817F5B" w:rsidRPr="00CD6245">
        <w:t>the independent government entity that develops, implements and reviews procurement policies and practices; monitors compliance and reports irregularities; and fosters improvements in the use and application of purchasing systems. The VGPB provides leadership in government procurement of good</w:t>
      </w:r>
      <w:r w:rsidR="007D6AE0" w:rsidRPr="00CD6245">
        <w:t>s and services to deliver value</w:t>
      </w:r>
      <w:r w:rsidR="00356746" w:rsidRPr="00CD6245">
        <w:t>-f</w:t>
      </w:r>
      <w:r w:rsidR="00817F5B" w:rsidRPr="00CD6245">
        <w:t>or</w:t>
      </w:r>
      <w:r w:rsidR="00356746" w:rsidRPr="00CD6245">
        <w:t>-</w:t>
      </w:r>
      <w:r w:rsidR="00817F5B" w:rsidRPr="00CD6245">
        <w:t>money outcomes for Victoria.</w:t>
      </w:r>
    </w:p>
    <w:p w:rsidR="00AC641D" w:rsidRPr="00CD6245" w:rsidRDefault="00AC641D" w:rsidP="002E30F9">
      <w:pPr>
        <w:pStyle w:val="Normal1"/>
      </w:pPr>
      <w:r w:rsidRPr="00CD6245">
        <w:rPr>
          <w:b/>
        </w:rPr>
        <w:t>Victorian Public Sector Commission:</w:t>
      </w:r>
      <w:r w:rsidRPr="00CD6245">
        <w:t xml:space="preserve"> responsible for strengthening the efficiency, effectiveness and capability of the public sector in order to meet existing and emerging needs and deliver high quality services; and maintaining and advocating for public sector professionalism and integrity.</w:t>
      </w:r>
    </w:p>
    <w:p w:rsidR="005E18A2" w:rsidRPr="00CD6245" w:rsidRDefault="00AC641D" w:rsidP="005E18A2">
      <w:pPr>
        <w:pStyle w:val="Normal1"/>
      </w:pPr>
      <w:r w:rsidRPr="00CD6245">
        <w:rPr>
          <w:b/>
        </w:rPr>
        <w:t>Victorian Secretaries Board</w:t>
      </w:r>
      <w:r w:rsidR="00E85CD5">
        <w:rPr>
          <w:b/>
        </w:rPr>
        <w:t xml:space="preserve"> (VSB)</w:t>
      </w:r>
      <w:r w:rsidRPr="00CD6245">
        <w:rPr>
          <w:b/>
        </w:rPr>
        <w:t xml:space="preserve">: </w:t>
      </w:r>
      <w:r w:rsidR="00E85CD5">
        <w:t xml:space="preserve">comprises </w:t>
      </w:r>
      <w:r w:rsidRPr="00CD6245">
        <w:t>the Secretaries of each department, the Chief Commissioner of Police and the Victorian Public Sector Commissioner.</w:t>
      </w:r>
      <w:r w:rsidR="005E18A2" w:rsidRPr="00CD6245">
        <w:t xml:space="preserve"> The aim of the </w:t>
      </w:r>
      <w:r w:rsidR="00E85CD5">
        <w:t>VSB</w:t>
      </w:r>
      <w:r w:rsidR="005E18A2" w:rsidRPr="00CD6245">
        <w:t xml:space="preserve"> is to coordinate policy initiatives across the public sector. It is also responsible for promoting leadership and information exchange </w:t>
      </w:r>
      <w:r w:rsidR="00E85CD5">
        <w:t>in the public service. The VSB</w:t>
      </w:r>
      <w:r w:rsidR="005E18A2" w:rsidRPr="00CD6245">
        <w:t xml:space="preserve"> does not have a legal status.</w:t>
      </w:r>
    </w:p>
    <w:p w:rsidR="00B971DE" w:rsidRPr="00CD6245" w:rsidRDefault="00B971DE">
      <w:pPr>
        <w:rPr>
          <w:rFonts w:cs="Arial"/>
        </w:rPr>
      </w:pPr>
    </w:p>
    <w:p w:rsidR="00B971DE" w:rsidRPr="00CD6245" w:rsidRDefault="009B5B7C" w:rsidP="001B3596">
      <w:pPr>
        <w:pStyle w:val="Heading2NoNum"/>
      </w:pPr>
      <w:r w:rsidRPr="00CD6245">
        <w:rPr>
          <w:rFonts w:cs="Arial"/>
        </w:rPr>
        <w:br w:type="page"/>
      </w:r>
      <w:bookmarkStart w:id="155" w:name="_Toc366693354"/>
      <w:bookmarkStart w:id="156" w:name="_Toc463527743"/>
      <w:r w:rsidR="00B971DE" w:rsidRPr="00CD6245">
        <w:lastRenderedPageBreak/>
        <w:t>Acronyms and abbreviations</w:t>
      </w:r>
      <w:bookmarkEnd w:id="155"/>
      <w:bookmarkEnd w:id="156"/>
    </w:p>
    <w:p w:rsidR="001B3596" w:rsidRPr="00CD6245" w:rsidRDefault="001B3596" w:rsidP="002C5E39">
      <w:pPr>
        <w:pStyle w:val="Normal1"/>
      </w:pPr>
    </w:p>
    <w:p w:rsidR="00C43D51" w:rsidRPr="00CD6245" w:rsidRDefault="00C43D51" w:rsidP="002C5E39">
      <w:pPr>
        <w:pStyle w:val="Normal1"/>
      </w:pPr>
      <w:r w:rsidRPr="00CD6245">
        <w:t>APCC</w:t>
      </w:r>
      <w:r w:rsidRPr="00CD6245">
        <w:tab/>
      </w:r>
      <w:r w:rsidRPr="00CD6245">
        <w:tab/>
      </w:r>
      <w:r w:rsidR="00AC641D" w:rsidRPr="00CD6245">
        <w:t xml:space="preserve">Australian Procurement Construction </w:t>
      </w:r>
      <w:r w:rsidR="00E85CD5">
        <w:t xml:space="preserve">and </w:t>
      </w:r>
      <w:r w:rsidR="00AC641D" w:rsidRPr="00CD6245">
        <w:t>Council</w:t>
      </w:r>
      <w:r w:rsidR="00E85CD5">
        <w:t xml:space="preserve"> Inc</w:t>
      </w:r>
    </w:p>
    <w:p w:rsidR="00804CEB" w:rsidRPr="00CD6245" w:rsidRDefault="00804CEB" w:rsidP="002C5E39">
      <w:pPr>
        <w:pStyle w:val="Normal1"/>
      </w:pPr>
      <w:r w:rsidRPr="00CD6245">
        <w:t>ASR</w:t>
      </w:r>
      <w:r w:rsidRPr="00CD6245">
        <w:tab/>
      </w:r>
      <w:r w:rsidRPr="00CD6245">
        <w:tab/>
        <w:t>Annual supply report</w:t>
      </w:r>
    </w:p>
    <w:p w:rsidR="006922F4" w:rsidRPr="00CD6245" w:rsidRDefault="006922F4" w:rsidP="006922F4">
      <w:pPr>
        <w:pStyle w:val="Normal1"/>
      </w:pPr>
      <w:r w:rsidRPr="00CD6245">
        <w:t>BOOT</w:t>
      </w:r>
      <w:r w:rsidRPr="00CD6245">
        <w:tab/>
      </w:r>
      <w:r w:rsidRPr="00CD6245">
        <w:tab/>
        <w:t>Better off overall test</w:t>
      </w:r>
    </w:p>
    <w:p w:rsidR="00AC641D" w:rsidRPr="00CD6245" w:rsidRDefault="00E85CD5" w:rsidP="00AC641D">
      <w:pPr>
        <w:pStyle w:val="Normal1"/>
      </w:pPr>
      <w:r>
        <w:t>CMS</w:t>
      </w:r>
      <w:r>
        <w:tab/>
      </w:r>
      <w:r>
        <w:tab/>
        <w:t>Contract management system</w:t>
      </w:r>
    </w:p>
    <w:p w:rsidR="00B971DE" w:rsidRPr="00CD6245" w:rsidRDefault="00B971DE" w:rsidP="002C5E39">
      <w:pPr>
        <w:pStyle w:val="Normal1"/>
      </w:pPr>
      <w:r w:rsidRPr="00CD6245">
        <w:t>CPO</w:t>
      </w:r>
      <w:r w:rsidRPr="00CD6245">
        <w:tab/>
      </w:r>
      <w:r w:rsidRPr="00CD6245">
        <w:tab/>
        <w:t>Chief procurement officer</w:t>
      </w:r>
    </w:p>
    <w:p w:rsidR="00926274" w:rsidRPr="00CD6245" w:rsidRDefault="00926274" w:rsidP="00926274">
      <w:pPr>
        <w:pStyle w:val="Normal1"/>
      </w:pPr>
      <w:r w:rsidRPr="00CD6245">
        <w:t>DEDJTR</w:t>
      </w:r>
      <w:r w:rsidRPr="00CD6245">
        <w:tab/>
        <w:t xml:space="preserve">Department of Economic Development, Jobs, Transport and </w:t>
      </w:r>
      <w:r w:rsidR="00931446" w:rsidRPr="00CD6245">
        <w:tab/>
      </w:r>
      <w:r w:rsidR="00931446" w:rsidRPr="00CD6245">
        <w:tab/>
      </w:r>
      <w:r w:rsidR="00931446" w:rsidRPr="00CD6245">
        <w:tab/>
      </w:r>
      <w:r w:rsidR="007D6AE0" w:rsidRPr="00CD6245">
        <w:tab/>
      </w:r>
      <w:r w:rsidR="007D6AE0" w:rsidRPr="00CD6245">
        <w:tab/>
      </w:r>
      <w:r w:rsidRPr="00CD6245">
        <w:t>Resources</w:t>
      </w:r>
    </w:p>
    <w:p w:rsidR="00926274" w:rsidRPr="00CD6245" w:rsidRDefault="00926274" w:rsidP="00926274">
      <w:pPr>
        <w:pStyle w:val="Normal1"/>
      </w:pPr>
      <w:r w:rsidRPr="00CD6245">
        <w:t>DELWP</w:t>
      </w:r>
      <w:r w:rsidRPr="00CD6245">
        <w:tab/>
      </w:r>
      <w:r w:rsidRPr="00CD6245">
        <w:tab/>
        <w:t>Department of Environment, Land, Water and Planning</w:t>
      </w:r>
    </w:p>
    <w:p w:rsidR="008F1E38" w:rsidRPr="00CD6245" w:rsidRDefault="008F1E38" w:rsidP="008F1E38">
      <w:pPr>
        <w:pStyle w:val="Normal1"/>
      </w:pPr>
      <w:r w:rsidRPr="00CD6245">
        <w:t>DET</w:t>
      </w:r>
      <w:r w:rsidRPr="00CD6245">
        <w:tab/>
      </w:r>
      <w:r w:rsidRPr="00CD6245">
        <w:tab/>
        <w:t>Department of Education and Training</w:t>
      </w:r>
    </w:p>
    <w:p w:rsidR="00926274" w:rsidRPr="00CD6245" w:rsidRDefault="00926274" w:rsidP="00926274">
      <w:pPr>
        <w:pStyle w:val="Normal1"/>
      </w:pPr>
      <w:r w:rsidRPr="00CD6245">
        <w:t>DHHS</w:t>
      </w:r>
      <w:r w:rsidRPr="00CD6245">
        <w:tab/>
      </w:r>
      <w:r w:rsidRPr="00CD6245">
        <w:tab/>
        <w:t>Department of Health and Human Services</w:t>
      </w:r>
    </w:p>
    <w:p w:rsidR="00926274" w:rsidRPr="00CD6245" w:rsidRDefault="00926274" w:rsidP="00926274">
      <w:pPr>
        <w:pStyle w:val="Normal1"/>
      </w:pPr>
      <w:r w:rsidRPr="00CD6245">
        <w:t>DJR</w:t>
      </w:r>
      <w:r w:rsidRPr="00CD6245">
        <w:tab/>
      </w:r>
      <w:r w:rsidRPr="00CD6245">
        <w:tab/>
      </w:r>
      <w:r w:rsidR="00931446" w:rsidRPr="00CD6245">
        <w:t>Department of Justice and</w:t>
      </w:r>
      <w:r w:rsidRPr="00CD6245">
        <w:t xml:space="preserve"> Regulation</w:t>
      </w:r>
    </w:p>
    <w:p w:rsidR="00926274" w:rsidRPr="00CD6245" w:rsidRDefault="00926274" w:rsidP="00926274">
      <w:pPr>
        <w:pStyle w:val="Normal1"/>
      </w:pPr>
      <w:r w:rsidRPr="00CD6245">
        <w:t>DPC</w:t>
      </w:r>
      <w:r w:rsidRPr="00CD6245">
        <w:tab/>
      </w:r>
      <w:r w:rsidRPr="00CD6245">
        <w:tab/>
        <w:t>Department of Premier and Cabinet</w:t>
      </w:r>
    </w:p>
    <w:p w:rsidR="00926274" w:rsidRPr="00CD6245" w:rsidRDefault="00926274" w:rsidP="00926274">
      <w:pPr>
        <w:pStyle w:val="Normal1"/>
      </w:pPr>
      <w:r w:rsidRPr="00CD6245">
        <w:t>DTF</w:t>
      </w:r>
      <w:r w:rsidRPr="00CD6245">
        <w:tab/>
      </w:r>
      <w:r w:rsidRPr="00CD6245">
        <w:tab/>
        <w:t>Department of Treasury and Finance</w:t>
      </w:r>
    </w:p>
    <w:p w:rsidR="00D80333" w:rsidRPr="00CD6245" w:rsidRDefault="00D80333" w:rsidP="002C5E39">
      <w:pPr>
        <w:pStyle w:val="Normal1"/>
      </w:pPr>
      <w:r w:rsidRPr="00CD6245">
        <w:t>EOI</w:t>
      </w:r>
      <w:r w:rsidRPr="00CD6245">
        <w:tab/>
      </w:r>
      <w:r w:rsidRPr="00CD6245">
        <w:tab/>
        <w:t>Expression of interes</w:t>
      </w:r>
      <w:r w:rsidR="00E21482" w:rsidRPr="00CD6245">
        <w:t>t</w:t>
      </w:r>
    </w:p>
    <w:p w:rsidR="00804CEB" w:rsidRPr="00CD6245" w:rsidRDefault="00804CEB" w:rsidP="002C5E39">
      <w:pPr>
        <w:pStyle w:val="Normal1"/>
        <w:rPr>
          <w:i/>
        </w:rPr>
      </w:pPr>
      <w:r w:rsidRPr="00CD6245">
        <w:t>FMA</w:t>
      </w:r>
      <w:r w:rsidRPr="00CD6245">
        <w:tab/>
      </w:r>
      <w:r w:rsidRPr="00CD6245">
        <w:tab/>
      </w:r>
      <w:r w:rsidRPr="00CD6245">
        <w:rPr>
          <w:i/>
        </w:rPr>
        <w:t>Financial Management Act 1994</w:t>
      </w:r>
    </w:p>
    <w:p w:rsidR="003B398F" w:rsidRPr="00CD6245" w:rsidRDefault="003B398F" w:rsidP="002C5E39">
      <w:pPr>
        <w:pStyle w:val="Normal1"/>
      </w:pPr>
      <w:r w:rsidRPr="00CD6245">
        <w:t>GST</w:t>
      </w:r>
      <w:r w:rsidRPr="00CD6245">
        <w:tab/>
      </w:r>
      <w:r w:rsidRPr="00CD6245">
        <w:tab/>
        <w:t>Goods and services tax</w:t>
      </w:r>
    </w:p>
    <w:p w:rsidR="003B398F" w:rsidRPr="00CD6245" w:rsidRDefault="003B398F" w:rsidP="002C5E39">
      <w:pPr>
        <w:pStyle w:val="Normal1"/>
      </w:pPr>
      <w:r w:rsidRPr="00CD6245">
        <w:t>ICT</w:t>
      </w:r>
      <w:r w:rsidRPr="00CD6245">
        <w:tab/>
      </w:r>
      <w:r w:rsidRPr="00CD6245">
        <w:tab/>
        <w:t>Information and communications technology</w:t>
      </w:r>
    </w:p>
    <w:p w:rsidR="00B971DE" w:rsidRPr="00CD6245" w:rsidRDefault="002C5E39" w:rsidP="002C5E39">
      <w:pPr>
        <w:pStyle w:val="Normal1"/>
      </w:pPr>
      <w:r w:rsidRPr="00CD6245">
        <w:t>IPU</w:t>
      </w:r>
      <w:r w:rsidRPr="00CD6245">
        <w:tab/>
      </w:r>
      <w:r w:rsidRPr="00CD6245">
        <w:tab/>
      </w:r>
      <w:r w:rsidR="00B971DE" w:rsidRPr="00CD6245">
        <w:t>Internal procurement unit</w:t>
      </w:r>
    </w:p>
    <w:p w:rsidR="002B112D" w:rsidRPr="00CD6245" w:rsidRDefault="002B112D" w:rsidP="002C5E39">
      <w:pPr>
        <w:pStyle w:val="Normal1"/>
      </w:pPr>
      <w:r w:rsidRPr="00CD6245">
        <w:t>PTV</w:t>
      </w:r>
      <w:r w:rsidRPr="00CD6245">
        <w:tab/>
      </w:r>
      <w:r w:rsidRPr="00CD6245">
        <w:tab/>
        <w:t>Public Transport Victoria</w:t>
      </w:r>
    </w:p>
    <w:p w:rsidR="00E21482" w:rsidRPr="00CD6245" w:rsidRDefault="00E21482" w:rsidP="002C5E39">
      <w:pPr>
        <w:pStyle w:val="Normal1"/>
      </w:pPr>
      <w:r w:rsidRPr="00CD6245">
        <w:t>RFQ</w:t>
      </w:r>
      <w:r w:rsidRPr="00CD6245">
        <w:tab/>
      </w:r>
      <w:r w:rsidRPr="00CD6245">
        <w:tab/>
        <w:t>Request for quotation</w:t>
      </w:r>
    </w:p>
    <w:p w:rsidR="00817F5B" w:rsidRPr="00CD6245" w:rsidRDefault="00817F5B" w:rsidP="002C5E39">
      <w:pPr>
        <w:pStyle w:val="Normal1"/>
      </w:pPr>
      <w:r w:rsidRPr="00CD6245">
        <w:t>RFT</w:t>
      </w:r>
      <w:r w:rsidRPr="00CD6245">
        <w:tab/>
      </w:r>
      <w:r w:rsidRPr="00CD6245">
        <w:tab/>
        <w:t>Request for tender</w:t>
      </w:r>
    </w:p>
    <w:p w:rsidR="00B971DE" w:rsidRPr="00CD6245" w:rsidRDefault="00B971DE" w:rsidP="002C5E39">
      <w:pPr>
        <w:pStyle w:val="Normal1"/>
      </w:pPr>
      <w:r w:rsidRPr="00CD6245">
        <w:t>SEPC</w:t>
      </w:r>
      <w:r w:rsidRPr="00CD6245">
        <w:tab/>
      </w:r>
      <w:r w:rsidRPr="00CD6245">
        <w:tab/>
        <w:t>Sole entity purchase contract</w:t>
      </w:r>
    </w:p>
    <w:p w:rsidR="00B971DE" w:rsidRPr="00CD6245" w:rsidRDefault="00B971DE" w:rsidP="002C5E39">
      <w:pPr>
        <w:pStyle w:val="Normal1"/>
      </w:pPr>
      <w:r w:rsidRPr="00CD6245">
        <w:t>SPC</w:t>
      </w:r>
      <w:r w:rsidRPr="00CD6245">
        <w:tab/>
      </w:r>
      <w:r w:rsidRPr="00CD6245">
        <w:tab/>
        <w:t>State purchase contract</w:t>
      </w:r>
    </w:p>
    <w:p w:rsidR="00B971DE" w:rsidRPr="00CD6245" w:rsidRDefault="002B112D" w:rsidP="002C5E39">
      <w:pPr>
        <w:pStyle w:val="Normal1"/>
      </w:pPr>
      <w:r w:rsidRPr="00CD6245">
        <w:t>SME</w:t>
      </w:r>
      <w:r w:rsidRPr="00CD6245">
        <w:tab/>
      </w:r>
      <w:r w:rsidRPr="00CD6245">
        <w:tab/>
        <w:t xml:space="preserve">Small </w:t>
      </w:r>
      <w:r w:rsidR="00A653E0" w:rsidRPr="00CD6245">
        <w:t>to</w:t>
      </w:r>
      <w:r w:rsidRPr="00CD6245">
        <w:t xml:space="preserve"> medium enterprises</w:t>
      </w:r>
    </w:p>
    <w:p w:rsidR="00B971DE" w:rsidRPr="00CD6245" w:rsidRDefault="00B971DE" w:rsidP="002C5E39">
      <w:pPr>
        <w:pStyle w:val="Normal1"/>
      </w:pPr>
      <w:r w:rsidRPr="00CD6245">
        <w:t>VGPB</w:t>
      </w:r>
      <w:r w:rsidRPr="00CD6245">
        <w:tab/>
      </w:r>
      <w:r w:rsidRPr="00CD6245">
        <w:tab/>
        <w:t>Victorian Government Purchasing Board</w:t>
      </w:r>
    </w:p>
    <w:p w:rsidR="00B971DE" w:rsidRPr="00CD6245" w:rsidRDefault="00AC641D" w:rsidP="00AC641D">
      <w:pPr>
        <w:pStyle w:val="Normal1"/>
      </w:pPr>
      <w:r w:rsidRPr="00CD6245">
        <w:t>VSB</w:t>
      </w:r>
      <w:r w:rsidRPr="00CD6245">
        <w:tab/>
      </w:r>
      <w:r w:rsidRPr="00CD6245">
        <w:tab/>
        <w:t>Victorian Secreta</w:t>
      </w:r>
      <w:r w:rsidR="00E85CD5">
        <w:t xml:space="preserve">ries Board </w:t>
      </w:r>
    </w:p>
    <w:p w:rsidR="00373128" w:rsidRPr="00CD6245" w:rsidRDefault="00373128" w:rsidP="00DA27AC">
      <w:pPr>
        <w:pStyle w:val="Normal1"/>
      </w:pPr>
    </w:p>
    <w:p w:rsidR="009F57A7" w:rsidRPr="00CD6245" w:rsidRDefault="009F57A7" w:rsidP="00DA27AC">
      <w:pPr>
        <w:pStyle w:val="Normal1"/>
      </w:pPr>
    </w:p>
    <w:p w:rsidR="009F57A7" w:rsidRPr="00CD6245" w:rsidRDefault="009F57A7" w:rsidP="00DA27AC">
      <w:pPr>
        <w:pStyle w:val="Normal1"/>
      </w:pPr>
    </w:p>
    <w:p w:rsidR="00102E1D" w:rsidRPr="00CD6245" w:rsidRDefault="00817F5B" w:rsidP="00817F5B">
      <w:pPr>
        <w:pStyle w:val="Normal1"/>
        <w:rPr>
          <w:lang w:val="en-US"/>
        </w:rPr>
      </w:pPr>
      <w:r w:rsidRPr="00CD6245">
        <w:rPr>
          <w:lang w:val="en-US"/>
        </w:rPr>
        <w:t xml:space="preserve">This annual report is printed on Ecostar. Ecostar is made Carbon Neutral </w:t>
      </w:r>
      <w:r w:rsidR="003B4988" w:rsidRPr="00CD6245">
        <w:rPr>
          <w:lang w:val="en-US"/>
        </w:rPr>
        <w:t>and is 100 per cent recycled and FSC® Recycled Certified.</w:t>
      </w:r>
    </w:p>
    <w:p w:rsidR="00817F5B" w:rsidRPr="00817F5B" w:rsidRDefault="00817F5B" w:rsidP="00817F5B">
      <w:pPr>
        <w:pStyle w:val="Normal1"/>
        <w:rPr>
          <w:lang w:val="en-US"/>
        </w:rPr>
      </w:pPr>
      <w:r w:rsidRPr="00CD6245">
        <w:rPr>
          <w:lang w:val="en-US"/>
        </w:rPr>
        <w:t>Ecostar is manufactured in a process chlorine free environment by an ISO 14001 certified mill.</w:t>
      </w:r>
    </w:p>
    <w:p w:rsidR="00B971DE" w:rsidRPr="00DA27AC" w:rsidRDefault="00B971DE" w:rsidP="00817F5B">
      <w:pPr>
        <w:pStyle w:val="Normal1"/>
      </w:pPr>
    </w:p>
    <w:p w:rsidR="00904111" w:rsidRPr="00DA27AC" w:rsidRDefault="00904111">
      <w:pPr>
        <w:pStyle w:val="Normal1"/>
      </w:pPr>
    </w:p>
    <w:sectPr w:rsidR="00904111" w:rsidRPr="00DA27AC" w:rsidSect="00817F5B">
      <w:pgSz w:w="11900" w:h="16840"/>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41F0C" w:rsidRDefault="00741F0C" w:rsidP="009F4D80">
      <w:r>
        <w:separator/>
      </w:r>
    </w:p>
  </w:endnote>
  <w:endnote w:type="continuationSeparator" w:id="0">
    <w:p w:rsidR="00741F0C" w:rsidRDefault="00741F0C" w:rsidP="009F4D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TradeGothic-CondEighteen">
    <w:altName w:val="Cambria"/>
    <w:panose1 w:val="00000000000000000000"/>
    <w:charset w:val="4D"/>
    <w:family w:val="auto"/>
    <w:notTrueType/>
    <w:pitch w:val="default"/>
    <w:sig w:usb0="00000003" w:usb1="00000000" w:usb2="00000000" w:usb3="00000000" w:csb0="00000001" w:csb1="00000000"/>
  </w:font>
  <w:font w:name="TradeGothic-BoldCondTwenty">
    <w:altName w:val="Cambria"/>
    <w:panose1 w:val="00000000000000000000"/>
    <w:charset w:val="4D"/>
    <w:family w:val="auto"/>
    <w:notTrueType/>
    <w:pitch w:val="default"/>
    <w:sig w:usb0="00000003" w:usb1="00000000" w:usb2="00000000" w:usb3="00000000" w:csb0="00000001" w:csb1="00000000"/>
  </w:font>
  <w:font w:name="TradeGothic-Light">
    <w:altName w:val="Times New Roman"/>
    <w:charset w:val="00"/>
    <w:family w:val="roman"/>
    <w:pitch w:val="default"/>
  </w:font>
  <w:font w:name="VIC-SemiBold">
    <w:altName w:val="VIC SemiBold"/>
    <w:panose1 w:val="00000000000000000000"/>
    <w:charset w:val="4D"/>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STIXGeneral-Regular">
    <w:altName w:val="Times New Roman"/>
    <w:charset w:val="00"/>
    <w:family w:val="auto"/>
    <w:pitch w:val="variable"/>
    <w:sig w:usb0="00000000" w:usb1="4203FDFF" w:usb2="02000020" w:usb3="00000000" w:csb0="800001FF" w:csb1="00000000"/>
  </w:font>
  <w:font w:name="MuseoSans-100">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515" w:rsidRDefault="003B0515" w:rsidP="00CD0E46">
    <w:pPr>
      <w:pStyle w:val="Footer"/>
      <w:rPr>
        <w:rFonts w:cs="Arial"/>
        <w:b/>
        <w:color w:val="3F3F3F"/>
        <w:sz w:val="20"/>
      </w:rPr>
    </w:pPr>
    <w:bookmarkStart w:id="5" w:name="aliashNonProtectiveMarki1FooterEvenPages"/>
    <w:r>
      <w:rPr>
        <w:rFonts w:cs="Arial"/>
        <w:b/>
        <w:color w:val="3F3F3F"/>
        <w:sz w:val="20"/>
      </w:rPr>
      <w:t>Public</w:t>
    </w:r>
  </w:p>
  <w:bookmarkEnd w:id="5"/>
  <w:p w:rsidR="003B0515" w:rsidRDefault="003B051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071704"/>
      <w:docPartObj>
        <w:docPartGallery w:val="Page Numbers (Bottom of Page)"/>
        <w:docPartUnique/>
      </w:docPartObj>
    </w:sdtPr>
    <w:sdtEndPr/>
    <w:sdtContent>
      <w:p w:rsidR="003B0515" w:rsidRDefault="003B0515">
        <w:pPr>
          <w:pStyle w:val="Footer"/>
        </w:pPr>
        <w:r>
          <w:fldChar w:fldCharType="begin"/>
        </w:r>
        <w:r>
          <w:instrText xml:space="preserve"> PAGE   \* MERGEFORMAT </w:instrText>
        </w:r>
        <w:r>
          <w:fldChar w:fldCharType="separate"/>
        </w:r>
        <w:r w:rsidR="009B20D8">
          <w:rPr>
            <w:noProof/>
          </w:rPr>
          <w:t>i</w:t>
        </w:r>
        <w:r>
          <w:rPr>
            <w:noProof/>
          </w:rPr>
          <w:fldChar w:fldCharType="end"/>
        </w:r>
      </w:p>
    </w:sdtContent>
  </w:sdt>
  <w:p w:rsidR="003B0515" w:rsidRDefault="003B0515">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515" w:rsidRDefault="003B0515" w:rsidP="00CD0E46">
    <w:pPr>
      <w:pStyle w:val="Footer"/>
      <w:rPr>
        <w:rFonts w:cs="Arial"/>
        <w:b/>
        <w:color w:val="3F3F3F"/>
        <w:sz w:val="20"/>
      </w:rPr>
    </w:pPr>
    <w:bookmarkStart w:id="6" w:name="aliashNonProtectiveMarki1FooterFirstPage"/>
    <w:r>
      <w:rPr>
        <w:rFonts w:cs="Arial"/>
        <w:b/>
        <w:color w:val="3F3F3F"/>
        <w:sz w:val="20"/>
      </w:rPr>
      <w:t>Public</w:t>
    </w:r>
  </w:p>
  <w:bookmarkEnd w:id="6"/>
  <w:p w:rsidR="003B0515" w:rsidRDefault="003B051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41F0C" w:rsidRDefault="00741F0C" w:rsidP="009F4D80">
      <w:r>
        <w:separator/>
      </w:r>
    </w:p>
  </w:footnote>
  <w:footnote w:type="continuationSeparator" w:id="0">
    <w:p w:rsidR="00741F0C" w:rsidRDefault="00741F0C" w:rsidP="009F4D80">
      <w:r>
        <w:continuationSeparator/>
      </w:r>
    </w:p>
  </w:footnote>
  <w:footnote w:id="1">
    <w:p w:rsidR="003B0515" w:rsidRDefault="003B0515">
      <w:pPr>
        <w:pStyle w:val="FootnoteText"/>
      </w:pPr>
      <w:r>
        <w:rPr>
          <w:rStyle w:val="FootnoteReference"/>
        </w:rPr>
        <w:footnoteRef/>
      </w:r>
      <w:r>
        <w:t xml:space="preserve"> Total percentage equals 101 due to rounding.</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75B9" w:rsidRPr="002E75B9" w:rsidRDefault="002E75B9" w:rsidP="002E75B9">
    <w:pPr>
      <w:pStyle w:val="Footer"/>
      <w:jc w:val="right"/>
      <w:rPr>
        <w:rFonts w:cs="Arial"/>
        <w:color w:val="3F3F3F"/>
        <w:sz w:val="20"/>
        <w:szCs w:val="20"/>
      </w:rPr>
    </w:pPr>
    <w:r w:rsidRPr="002E75B9">
      <w:rPr>
        <w:rFonts w:cs="Arial"/>
        <w:color w:val="3F3F3F"/>
        <w:sz w:val="20"/>
        <w:szCs w:val="20"/>
      </w:rPr>
      <w:t>VGPB Annual Report 2015–16</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9710C"/>
    <w:multiLevelType w:val="hybridMultilevel"/>
    <w:tmpl w:val="6DCA5A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01E71DF0"/>
    <w:multiLevelType w:val="hybridMultilevel"/>
    <w:tmpl w:val="87A68FC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nsid w:val="04247B5B"/>
    <w:multiLevelType w:val="hybridMultilevel"/>
    <w:tmpl w:val="62C6BB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065D5093"/>
    <w:multiLevelType w:val="hybridMultilevel"/>
    <w:tmpl w:val="87A68FC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nsid w:val="0E7D1108"/>
    <w:multiLevelType w:val="hybridMultilevel"/>
    <w:tmpl w:val="1B5A9E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53B3FAA"/>
    <w:multiLevelType w:val="hybridMultilevel"/>
    <w:tmpl w:val="1B82C2F2"/>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nsid w:val="161C752B"/>
    <w:multiLevelType w:val="multilevel"/>
    <w:tmpl w:val="DA904724"/>
    <w:lvl w:ilvl="0">
      <w:start w:val="1"/>
      <w:numFmt w:val="decimal"/>
      <w:pStyle w:val="Heading1"/>
      <w:lvlText w:val="%1."/>
      <w:lvlJc w:val="left"/>
      <w:pPr>
        <w:tabs>
          <w:tab w:val="num" w:pos="794"/>
        </w:tabs>
        <w:ind w:left="794" w:hanging="794"/>
      </w:pPr>
      <w:rPr>
        <w:rFonts w:ascii="Calibri" w:hAnsi="Calibri" w:hint="default"/>
        <w:b w:val="0"/>
        <w:i w:val="0"/>
        <w:vanish w:val="0"/>
        <w:color w:val="404040"/>
        <w:sz w:val="40"/>
      </w:rPr>
    </w:lvl>
    <w:lvl w:ilvl="1">
      <w:start w:val="1"/>
      <w:numFmt w:val="decimal"/>
      <w:pStyle w:val="Heading2"/>
      <w:lvlText w:val="%1.%2"/>
      <w:lvlJc w:val="left"/>
      <w:pPr>
        <w:tabs>
          <w:tab w:val="num" w:pos="794"/>
        </w:tabs>
        <w:ind w:left="794" w:hanging="794"/>
      </w:pPr>
      <w:rPr>
        <w:rFonts w:ascii="Calibri" w:hAnsi="Calibri" w:hint="default"/>
        <w:b w:val="0"/>
        <w:i w:val="0"/>
        <w:vanish w:val="0"/>
        <w:color w:val="4D4D4D"/>
        <w:sz w:val="30"/>
      </w:rPr>
    </w:lvl>
    <w:lvl w:ilvl="2">
      <w:start w:val="1"/>
      <w:numFmt w:val="decimal"/>
      <w:pStyle w:val="Heading3"/>
      <w:lvlText w:val="%1.%2.%3"/>
      <w:lvlJc w:val="left"/>
      <w:pPr>
        <w:tabs>
          <w:tab w:val="num" w:pos="794"/>
        </w:tabs>
        <w:ind w:left="794" w:hanging="794"/>
      </w:pPr>
      <w:rPr>
        <w:rFonts w:ascii="Calibri" w:hAnsi="Calibri" w:hint="default"/>
        <w:b/>
        <w:i w:val="0"/>
        <w:vanish w:val="0"/>
        <w:color w:val="4D4D4D"/>
        <w:sz w:val="26"/>
      </w:rPr>
    </w:lvl>
    <w:lvl w:ilvl="3">
      <w:start w:val="1"/>
      <w:numFmt w:val="decimal"/>
      <w:pStyle w:val="Heading4"/>
      <w:lvlText w:val="%1.%2.%3.%4"/>
      <w:lvlJc w:val="left"/>
      <w:pPr>
        <w:tabs>
          <w:tab w:val="num" w:pos="792"/>
        </w:tabs>
        <w:ind w:left="794" w:hanging="794"/>
      </w:pPr>
      <w:rPr>
        <w:rFonts w:ascii="Calibri" w:hAnsi="Calibri" w:hint="default"/>
        <w:b/>
        <w:i w:val="0"/>
        <w:vanish w:val="0"/>
        <w:color w:val="4D4D4D"/>
        <w:sz w:val="22"/>
      </w:rPr>
    </w:lvl>
    <w:lvl w:ilvl="4">
      <w:start w:val="1"/>
      <w:numFmt w:val="none"/>
      <w:pStyle w:val="Heading5"/>
      <w:suff w:val="nothing"/>
      <w:lvlText w:val="%5"/>
      <w:lvlJc w:val="left"/>
      <w:pPr>
        <w:ind w:left="794" w:firstLine="0"/>
      </w:pPr>
      <w:rPr>
        <w:rFonts w:ascii="Calibri" w:hAnsi="Calibri" w:hint="default"/>
        <w:b w:val="0"/>
        <w:i/>
        <w:vanish w:val="0"/>
        <w:color w:val="404040"/>
        <w:sz w:val="22"/>
      </w:rPr>
    </w:lvl>
    <w:lvl w:ilvl="5">
      <w:start w:val="1"/>
      <w:numFmt w:val="decimal"/>
      <w:pStyle w:val="Heading6"/>
      <w:suff w:val="nothing"/>
      <w:lvlText w:val=""/>
      <w:lvlJc w:val="left"/>
      <w:pPr>
        <w:ind w:left="794" w:firstLine="0"/>
      </w:pPr>
      <w:rPr>
        <w:rFonts w:ascii="Calibri" w:hAnsi="Calibri" w:hint="default"/>
        <w:b w:val="0"/>
        <w:i/>
        <w:vanish w:val="0"/>
        <w:color w:val="404040"/>
        <w:sz w:val="22"/>
      </w:rPr>
    </w:lvl>
    <w:lvl w:ilvl="6">
      <w:start w:val="1"/>
      <w:numFmt w:val="decimal"/>
      <w:pStyle w:val="Heading7"/>
      <w:suff w:val="nothing"/>
      <w:lvlText w:val=""/>
      <w:lvlJc w:val="left"/>
      <w:pPr>
        <w:ind w:left="794" w:firstLine="0"/>
      </w:pPr>
      <w:rPr>
        <w:rFonts w:ascii="Calibri" w:hAnsi="Calibri" w:hint="default"/>
        <w:b w:val="0"/>
        <w:i w:val="0"/>
        <w:vanish w:val="0"/>
        <w:color w:val="404040"/>
        <w:sz w:val="22"/>
      </w:rPr>
    </w:lvl>
    <w:lvl w:ilvl="7">
      <w:start w:val="1"/>
      <w:numFmt w:val="decimal"/>
      <w:pStyle w:val="Heading8"/>
      <w:suff w:val="nothing"/>
      <w:lvlText w:val=""/>
      <w:lvlJc w:val="left"/>
      <w:pPr>
        <w:ind w:left="794" w:firstLine="0"/>
      </w:pPr>
      <w:rPr>
        <w:rFonts w:ascii="Calibri" w:hAnsi="Calibri" w:hint="default"/>
        <w:b/>
        <w:i w:val="0"/>
        <w:vanish w:val="0"/>
        <w:color w:val="404040"/>
        <w:sz w:val="22"/>
      </w:rPr>
    </w:lvl>
    <w:lvl w:ilvl="8">
      <w:start w:val="1"/>
      <w:numFmt w:val="decimal"/>
      <w:pStyle w:val="Heading9"/>
      <w:suff w:val="nothing"/>
      <w:lvlText w:val=""/>
      <w:lvlJc w:val="left"/>
      <w:pPr>
        <w:ind w:left="794" w:firstLine="0"/>
      </w:pPr>
      <w:rPr>
        <w:rFonts w:ascii="Calibri" w:hAnsi="Calibri" w:hint="default"/>
        <w:b/>
        <w:i w:val="0"/>
        <w:vanish w:val="0"/>
        <w:color w:val="404040"/>
        <w:sz w:val="22"/>
      </w:rPr>
    </w:lvl>
  </w:abstractNum>
  <w:abstractNum w:abstractNumId="7">
    <w:nsid w:val="185B12BE"/>
    <w:multiLevelType w:val="hybridMultilevel"/>
    <w:tmpl w:val="4B4E538E"/>
    <w:lvl w:ilvl="0" w:tplc="0C090017">
      <w:start w:val="1"/>
      <w:numFmt w:val="lowerLetter"/>
      <w:lvlText w:val="%1)"/>
      <w:lvlJc w:val="left"/>
      <w:pPr>
        <w:ind w:left="1514" w:hanging="360"/>
      </w:pPr>
    </w:lvl>
    <w:lvl w:ilvl="1" w:tplc="0C090019" w:tentative="1">
      <w:start w:val="1"/>
      <w:numFmt w:val="lowerLetter"/>
      <w:lvlText w:val="%2."/>
      <w:lvlJc w:val="left"/>
      <w:pPr>
        <w:ind w:left="2234" w:hanging="360"/>
      </w:pPr>
    </w:lvl>
    <w:lvl w:ilvl="2" w:tplc="0C09001B" w:tentative="1">
      <w:start w:val="1"/>
      <w:numFmt w:val="lowerRoman"/>
      <w:lvlText w:val="%3."/>
      <w:lvlJc w:val="right"/>
      <w:pPr>
        <w:ind w:left="2954" w:hanging="180"/>
      </w:pPr>
    </w:lvl>
    <w:lvl w:ilvl="3" w:tplc="0C09000F" w:tentative="1">
      <w:start w:val="1"/>
      <w:numFmt w:val="decimal"/>
      <w:lvlText w:val="%4."/>
      <w:lvlJc w:val="left"/>
      <w:pPr>
        <w:ind w:left="3674" w:hanging="360"/>
      </w:pPr>
    </w:lvl>
    <w:lvl w:ilvl="4" w:tplc="0C090019" w:tentative="1">
      <w:start w:val="1"/>
      <w:numFmt w:val="lowerLetter"/>
      <w:lvlText w:val="%5."/>
      <w:lvlJc w:val="left"/>
      <w:pPr>
        <w:ind w:left="4394" w:hanging="360"/>
      </w:pPr>
    </w:lvl>
    <w:lvl w:ilvl="5" w:tplc="0C09001B" w:tentative="1">
      <w:start w:val="1"/>
      <w:numFmt w:val="lowerRoman"/>
      <w:lvlText w:val="%6."/>
      <w:lvlJc w:val="right"/>
      <w:pPr>
        <w:ind w:left="5114" w:hanging="180"/>
      </w:pPr>
    </w:lvl>
    <w:lvl w:ilvl="6" w:tplc="0C09000F" w:tentative="1">
      <w:start w:val="1"/>
      <w:numFmt w:val="decimal"/>
      <w:lvlText w:val="%7."/>
      <w:lvlJc w:val="left"/>
      <w:pPr>
        <w:ind w:left="5834" w:hanging="360"/>
      </w:pPr>
    </w:lvl>
    <w:lvl w:ilvl="7" w:tplc="0C090019" w:tentative="1">
      <w:start w:val="1"/>
      <w:numFmt w:val="lowerLetter"/>
      <w:lvlText w:val="%8."/>
      <w:lvlJc w:val="left"/>
      <w:pPr>
        <w:ind w:left="6554" w:hanging="360"/>
      </w:pPr>
    </w:lvl>
    <w:lvl w:ilvl="8" w:tplc="0C09001B" w:tentative="1">
      <w:start w:val="1"/>
      <w:numFmt w:val="lowerRoman"/>
      <w:lvlText w:val="%9."/>
      <w:lvlJc w:val="right"/>
      <w:pPr>
        <w:ind w:left="7274" w:hanging="180"/>
      </w:pPr>
    </w:lvl>
  </w:abstractNum>
  <w:abstractNum w:abstractNumId="8">
    <w:nsid w:val="1FCB7787"/>
    <w:multiLevelType w:val="multilevel"/>
    <w:tmpl w:val="EE5AABDA"/>
    <w:lvl w:ilvl="0">
      <w:start w:val="1"/>
      <w:numFmt w:val="decimal"/>
      <w:pStyle w:val="ListNumber"/>
      <w:lvlText w:val="%1."/>
      <w:lvlJc w:val="left"/>
      <w:pPr>
        <w:tabs>
          <w:tab w:val="num" w:pos="1077"/>
        </w:tabs>
        <w:ind w:left="1077" w:hanging="283"/>
      </w:pPr>
      <w:rPr>
        <w:rFonts w:ascii="Calibri" w:hAnsi="Calibri"/>
        <w:b w:val="0"/>
        <w:i w:val="0"/>
        <w:sz w:val="22"/>
      </w:rPr>
    </w:lvl>
    <w:lvl w:ilvl="1">
      <w:start w:val="1"/>
      <w:numFmt w:val="lowerLetter"/>
      <w:lvlText w:val="%2)"/>
      <w:lvlJc w:val="left"/>
      <w:pPr>
        <w:tabs>
          <w:tab w:val="num" w:pos="1361"/>
        </w:tabs>
        <w:ind w:left="1361" w:hanging="284"/>
      </w:pPr>
      <w:rPr>
        <w:rFonts w:ascii="Calibri" w:hAnsi="Calibri"/>
        <w:b w:val="0"/>
        <w:i w:val="0"/>
        <w:sz w:val="22"/>
      </w:rPr>
    </w:lvl>
    <w:lvl w:ilvl="2">
      <w:start w:val="1"/>
      <w:numFmt w:val="lowerRoman"/>
      <w:lvlText w:val="%3."/>
      <w:lvlJc w:val="left"/>
      <w:pPr>
        <w:tabs>
          <w:tab w:val="num" w:pos="1644"/>
        </w:tabs>
        <w:ind w:left="1644" w:hanging="283"/>
      </w:pPr>
      <w:rPr>
        <w:rFonts w:ascii="Calibri" w:hAnsi="Calibri"/>
        <w:b w:val="0"/>
        <w:i w:val="0"/>
        <w:sz w:val="22"/>
      </w:rPr>
    </w:lvl>
    <w:lvl w:ilvl="3">
      <w:start w:val="1"/>
      <w:numFmt w:val="decimal"/>
      <w:lvlText w:val="–"/>
      <w:lvlJc w:val="left"/>
      <w:pPr>
        <w:tabs>
          <w:tab w:val="num" w:pos="1928"/>
        </w:tabs>
        <w:ind w:left="1928" w:hanging="284"/>
      </w:pPr>
      <w:rPr>
        <w:rFonts w:ascii="Calibri" w:hAnsi="Calibri"/>
        <w:b w:val="0"/>
        <w:i w:val="0"/>
        <w:sz w:val="22"/>
      </w:rPr>
    </w:lvl>
    <w:lvl w:ilvl="4">
      <w:start w:val="1"/>
      <w:numFmt w:val="decimal"/>
      <w:lvlText w:val="–"/>
      <w:lvlJc w:val="left"/>
      <w:pPr>
        <w:tabs>
          <w:tab w:val="num" w:pos="2211"/>
        </w:tabs>
        <w:ind w:left="2211" w:hanging="283"/>
      </w:pPr>
      <w:rPr>
        <w:rFonts w:ascii="Calibri" w:hAnsi="Calibri"/>
        <w:b w:val="0"/>
        <w:i w:val="0"/>
        <w:sz w:val="22"/>
      </w:rPr>
    </w:lvl>
    <w:lvl w:ilvl="5">
      <w:start w:val="1"/>
      <w:numFmt w:val="decimal"/>
      <w:lvlText w:val="–"/>
      <w:lvlJc w:val="left"/>
      <w:pPr>
        <w:tabs>
          <w:tab w:val="num" w:pos="2495"/>
        </w:tabs>
        <w:ind w:left="2495" w:hanging="284"/>
      </w:pPr>
      <w:rPr>
        <w:rFonts w:ascii="Calibri" w:hAnsi="Calibri"/>
        <w:b w:val="0"/>
        <w:i w:val="0"/>
        <w:sz w:val="22"/>
      </w:rPr>
    </w:lvl>
    <w:lvl w:ilvl="6">
      <w:start w:val="1"/>
      <w:numFmt w:val="decimal"/>
      <w:lvlText w:val="–"/>
      <w:lvlJc w:val="left"/>
      <w:pPr>
        <w:tabs>
          <w:tab w:val="num" w:pos="2778"/>
        </w:tabs>
        <w:ind w:left="2778" w:hanging="283"/>
      </w:pPr>
      <w:rPr>
        <w:rFonts w:ascii="Calibri" w:hAnsi="Calibri"/>
        <w:b w:val="0"/>
        <w:i w:val="0"/>
        <w:sz w:val="22"/>
      </w:rPr>
    </w:lvl>
    <w:lvl w:ilvl="7">
      <w:start w:val="1"/>
      <w:numFmt w:val="decimal"/>
      <w:lvlText w:val="–"/>
      <w:lvlJc w:val="left"/>
      <w:pPr>
        <w:tabs>
          <w:tab w:val="num" w:pos="3062"/>
        </w:tabs>
        <w:ind w:left="3062" w:hanging="284"/>
      </w:pPr>
      <w:rPr>
        <w:rFonts w:ascii="Calibri" w:hAnsi="Calibri"/>
        <w:b w:val="0"/>
        <w:i w:val="0"/>
        <w:sz w:val="22"/>
      </w:rPr>
    </w:lvl>
    <w:lvl w:ilvl="8">
      <w:start w:val="1"/>
      <w:numFmt w:val="decimal"/>
      <w:lvlText w:val="–"/>
      <w:lvlJc w:val="left"/>
      <w:pPr>
        <w:tabs>
          <w:tab w:val="num" w:pos="3345"/>
        </w:tabs>
        <w:ind w:left="3345" w:hanging="283"/>
      </w:pPr>
      <w:rPr>
        <w:rFonts w:ascii="Calibri" w:hAnsi="Calibri"/>
        <w:b w:val="0"/>
        <w:i w:val="0"/>
        <w:sz w:val="22"/>
      </w:rPr>
    </w:lvl>
  </w:abstractNum>
  <w:abstractNum w:abstractNumId="9">
    <w:nsid w:val="1FD27E23"/>
    <w:multiLevelType w:val="hybridMultilevel"/>
    <w:tmpl w:val="2020D57E"/>
    <w:lvl w:ilvl="0" w:tplc="0C09001B">
      <w:start w:val="1"/>
      <w:numFmt w:val="lowerRoman"/>
      <w:lvlText w:val="%1."/>
      <w:lvlJc w:val="right"/>
      <w:pPr>
        <w:ind w:left="720" w:hanging="360"/>
      </w:pPr>
    </w:lvl>
    <w:lvl w:ilvl="1" w:tplc="F25A014E">
      <w:start w:val="1"/>
      <w:numFmt w:val="decimal"/>
      <w:lvlText w:val="%2"/>
      <w:lvlJc w:val="left"/>
      <w:pPr>
        <w:ind w:left="1710" w:hanging="630"/>
      </w:pPr>
      <w:rPr>
        <w:rFonts w:hint="default"/>
      </w:r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nsid w:val="27785FCD"/>
    <w:multiLevelType w:val="multilevel"/>
    <w:tmpl w:val="0268CF42"/>
    <w:lvl w:ilvl="0">
      <w:start w:val="1"/>
      <w:numFmt w:val="decimal"/>
      <w:pStyle w:val="Attachment1"/>
      <w:lvlText w:val="Attachment %1."/>
      <w:lvlJc w:val="left"/>
      <w:pPr>
        <w:tabs>
          <w:tab w:val="num" w:pos="2268"/>
        </w:tabs>
        <w:ind w:left="2268" w:hanging="2268"/>
      </w:pPr>
      <w:rPr>
        <w:rFonts w:ascii="Calibri" w:hAnsi="Calibri" w:cs="Lucida Grande" w:hint="default"/>
        <w:b w:val="0"/>
        <w:i w:val="0"/>
        <w:color w:val="404040"/>
        <w:sz w:val="40"/>
      </w:rPr>
    </w:lvl>
    <w:lvl w:ilvl="1">
      <w:start w:val="1"/>
      <w:numFmt w:val="decimal"/>
      <w:lvlText w:val="%1.%2"/>
      <w:lvlJc w:val="left"/>
      <w:pPr>
        <w:tabs>
          <w:tab w:val="num" w:pos="794"/>
        </w:tabs>
        <w:ind w:left="794" w:hanging="794"/>
      </w:pPr>
      <w:rPr>
        <w:rFonts w:ascii="Arial" w:hAnsi="Arial" w:cs="Lucida Grande" w:hint="default"/>
        <w:b w:val="0"/>
        <w:i w:val="0"/>
        <w:color w:val="87746A"/>
        <w:sz w:val="24"/>
      </w:rPr>
    </w:lvl>
    <w:lvl w:ilvl="2">
      <w:start w:val="1"/>
      <w:numFmt w:val="decimal"/>
      <w:lvlText w:val="%1.%2.%3"/>
      <w:lvlJc w:val="left"/>
      <w:pPr>
        <w:tabs>
          <w:tab w:val="num" w:pos="794"/>
        </w:tabs>
        <w:ind w:left="794" w:hanging="794"/>
      </w:pPr>
      <w:rPr>
        <w:rFonts w:ascii="Arial" w:hAnsi="Arial" w:cs="Lucida Grande" w:hint="default"/>
        <w:b w:val="0"/>
        <w:i w:val="0"/>
        <w:color w:val="B20838"/>
        <w:sz w:val="22"/>
      </w:rPr>
    </w:lvl>
    <w:lvl w:ilvl="3">
      <w:start w:val="1"/>
      <w:numFmt w:val="decimal"/>
      <w:lvlText w:val="%1.%2.%3.%4"/>
      <w:lvlJc w:val="left"/>
      <w:pPr>
        <w:tabs>
          <w:tab w:val="num" w:pos="794"/>
        </w:tabs>
        <w:ind w:left="794" w:hanging="794"/>
      </w:pPr>
      <w:rPr>
        <w:rFonts w:ascii="Arial" w:hAnsi="Arial" w:cs="Lucida Grande" w:hint="default"/>
        <w:b/>
        <w:i w:val="0"/>
        <w:color w:val="093A80"/>
        <w:sz w:val="20"/>
      </w:rPr>
    </w:lvl>
    <w:lvl w:ilvl="4">
      <w:start w:val="1"/>
      <w:numFmt w:val="decimal"/>
      <w:lvlText w:val="%1.%2.%3.%4.%5"/>
      <w:lvlJc w:val="left"/>
      <w:pPr>
        <w:tabs>
          <w:tab w:val="num" w:pos="794"/>
        </w:tabs>
        <w:ind w:left="794" w:hanging="794"/>
      </w:pPr>
      <w:rPr>
        <w:rFonts w:ascii="Arial" w:hAnsi="Arial" w:cs="Lucida Grande" w:hint="default"/>
        <w:b w:val="0"/>
        <w:i w:val="0"/>
        <w:color w:val="093A80"/>
        <w:sz w:val="20"/>
      </w:rPr>
    </w:lvl>
    <w:lvl w:ilvl="5">
      <w:start w:val="1"/>
      <w:numFmt w:val="decimal"/>
      <w:lvlText w:val="%1.%2.%3.%4.%5.%6"/>
      <w:lvlJc w:val="left"/>
      <w:pPr>
        <w:tabs>
          <w:tab w:val="num" w:pos="794"/>
        </w:tabs>
        <w:ind w:left="794" w:hanging="794"/>
      </w:pPr>
      <w:rPr>
        <w:rFonts w:ascii="Arial" w:hAnsi="Arial" w:cs="Lucida Grande" w:hint="default"/>
        <w:b w:val="0"/>
        <w:i w:val="0"/>
        <w:color w:val="093A80"/>
        <w:sz w:val="20"/>
      </w:rPr>
    </w:lvl>
    <w:lvl w:ilvl="6">
      <w:start w:val="1"/>
      <w:numFmt w:val="decimal"/>
      <w:lvlText w:val="%1.%2.%3.%4.%5.%6.%7"/>
      <w:lvlJc w:val="left"/>
      <w:pPr>
        <w:tabs>
          <w:tab w:val="num" w:pos="794"/>
        </w:tabs>
        <w:ind w:left="794" w:hanging="794"/>
      </w:pPr>
      <w:rPr>
        <w:rFonts w:ascii="Arial" w:hAnsi="Arial" w:cs="Lucida Grande" w:hint="default"/>
        <w:b w:val="0"/>
        <w:i w:val="0"/>
        <w:color w:val="093A80"/>
        <w:sz w:val="20"/>
      </w:rPr>
    </w:lvl>
    <w:lvl w:ilvl="7">
      <w:start w:val="1"/>
      <w:numFmt w:val="decimal"/>
      <w:lvlText w:val="%1.%2.%3.%4.%5.%6.%7.%8"/>
      <w:lvlJc w:val="left"/>
      <w:pPr>
        <w:tabs>
          <w:tab w:val="num" w:pos="794"/>
        </w:tabs>
        <w:ind w:left="794" w:hanging="794"/>
      </w:pPr>
      <w:rPr>
        <w:rFonts w:ascii="Arial" w:hAnsi="Arial" w:cs="Lucida Grande" w:hint="default"/>
        <w:b w:val="0"/>
        <w:i w:val="0"/>
        <w:color w:val="093A80"/>
        <w:sz w:val="20"/>
      </w:rPr>
    </w:lvl>
    <w:lvl w:ilvl="8">
      <w:start w:val="1"/>
      <w:numFmt w:val="decimal"/>
      <w:lvlText w:val="%1.%2.%3.%4.%5.%6.%7.%8.%9"/>
      <w:lvlJc w:val="left"/>
      <w:pPr>
        <w:tabs>
          <w:tab w:val="num" w:pos="794"/>
        </w:tabs>
        <w:ind w:left="794" w:hanging="794"/>
      </w:pPr>
      <w:rPr>
        <w:rFonts w:ascii="Arial" w:hAnsi="Arial" w:cs="Lucida Grande" w:hint="default"/>
        <w:b w:val="0"/>
        <w:i w:val="0"/>
        <w:color w:val="093A80"/>
        <w:sz w:val="20"/>
      </w:rPr>
    </w:lvl>
  </w:abstractNum>
  <w:abstractNum w:abstractNumId="11">
    <w:nsid w:val="32D70CCF"/>
    <w:multiLevelType w:val="hybridMultilevel"/>
    <w:tmpl w:val="C3D8E09A"/>
    <w:lvl w:ilvl="0" w:tplc="FDFEA42E">
      <w:start w:val="1"/>
      <w:numFmt w:val="decimal"/>
      <w:pStyle w:val="DHHSNumberText"/>
      <w:lvlText w:val="%1."/>
      <w:lvlJc w:val="left"/>
      <w:pPr>
        <w:ind w:left="397" w:hanging="397"/>
      </w:pPr>
      <w:rPr>
        <w:rFonts w:cs="Times New Roman"/>
        <w:b w:val="0"/>
        <w:bCs w:val="0"/>
        <w:i w:val="0"/>
        <w:iCs w:val="0"/>
        <w:caps w:val="0"/>
        <w:smallCaps w:val="0"/>
        <w:strike w:val="0"/>
        <w:dstrike w:val="0"/>
        <w:vanish w:val="0"/>
        <w:color w:val="000000"/>
        <w:spacing w:val="0"/>
        <w:kern w:val="0"/>
        <w:position w:val="0"/>
        <w:u w:val="none"/>
        <w:effect w:val="none"/>
        <w:vertAlign w:val="baseline"/>
      </w:rPr>
    </w:lvl>
    <w:lvl w:ilvl="1" w:tplc="0C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
    <w:nsid w:val="3F7B094E"/>
    <w:multiLevelType w:val="multilevel"/>
    <w:tmpl w:val="3696AA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0CC1E70"/>
    <w:multiLevelType w:val="hybridMultilevel"/>
    <w:tmpl w:val="A224A74C"/>
    <w:lvl w:ilvl="0" w:tplc="78085AA4">
      <w:start w:val="1"/>
      <w:numFmt w:val="bullet"/>
      <w:lvlText w:val="-"/>
      <w:lvlJc w:val="left"/>
      <w:pPr>
        <w:ind w:left="720" w:hanging="360"/>
      </w:pPr>
      <w:rPr>
        <w:rFonts w:ascii="Arial" w:eastAsia="Times New Roman" w:hAnsi="Arial" w:cs="Lucida Grande" w:hint="default"/>
      </w:rPr>
    </w:lvl>
    <w:lvl w:ilvl="1" w:tplc="0C090003" w:tentative="1">
      <w:start w:val="1"/>
      <w:numFmt w:val="bullet"/>
      <w:lvlText w:val="o"/>
      <w:lvlJc w:val="left"/>
      <w:pPr>
        <w:ind w:left="1440" w:hanging="360"/>
      </w:pPr>
      <w:rPr>
        <w:rFonts w:ascii="Courier New" w:hAnsi="Courier New" w:cs="Calibr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alibri"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alibri"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42590BA1"/>
    <w:multiLevelType w:val="hybridMultilevel"/>
    <w:tmpl w:val="2020D57E"/>
    <w:lvl w:ilvl="0" w:tplc="0C09001B">
      <w:start w:val="1"/>
      <w:numFmt w:val="lowerRoman"/>
      <w:lvlText w:val="%1."/>
      <w:lvlJc w:val="right"/>
      <w:pPr>
        <w:ind w:left="720" w:hanging="360"/>
      </w:pPr>
    </w:lvl>
    <w:lvl w:ilvl="1" w:tplc="F25A014E">
      <w:start w:val="1"/>
      <w:numFmt w:val="decimal"/>
      <w:lvlText w:val="%2"/>
      <w:lvlJc w:val="left"/>
      <w:pPr>
        <w:ind w:left="1710" w:hanging="630"/>
      </w:pPr>
      <w:rPr>
        <w:rFonts w:hint="default"/>
      </w:r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nsid w:val="446D3A6A"/>
    <w:multiLevelType w:val="multilevel"/>
    <w:tmpl w:val="A214506C"/>
    <w:lvl w:ilvl="0">
      <w:start w:val="1"/>
      <w:numFmt w:val="bullet"/>
      <w:pStyle w:val="Bullet1"/>
      <w:lvlText w:val=""/>
      <w:lvlJc w:val="left"/>
      <w:pPr>
        <w:tabs>
          <w:tab w:val="num" w:pos="1077"/>
        </w:tabs>
        <w:ind w:left="1077" w:hanging="283"/>
      </w:pPr>
      <w:rPr>
        <w:rFonts w:ascii="Symbol" w:hAnsi="Symbol" w:hint="default"/>
        <w:b w:val="0"/>
        <w:i w:val="0"/>
        <w:vanish w:val="0"/>
        <w:color w:val="auto"/>
        <w:sz w:val="22"/>
      </w:rPr>
    </w:lvl>
    <w:lvl w:ilvl="1">
      <w:start w:val="1"/>
      <w:numFmt w:val="bullet"/>
      <w:lvlText w:val="–"/>
      <w:lvlJc w:val="left"/>
      <w:pPr>
        <w:tabs>
          <w:tab w:val="num" w:pos="1361"/>
        </w:tabs>
        <w:ind w:left="1361" w:hanging="284"/>
      </w:pPr>
      <w:rPr>
        <w:rFonts w:ascii="Calibri" w:hAnsi="Calibri" w:hint="default"/>
        <w:b w:val="0"/>
        <w:i w:val="0"/>
        <w:vanish w:val="0"/>
        <w:color w:val="auto"/>
        <w:sz w:val="22"/>
      </w:rPr>
    </w:lvl>
    <w:lvl w:ilvl="2">
      <w:start w:val="1"/>
      <w:numFmt w:val="bullet"/>
      <w:lvlText w:val=""/>
      <w:lvlJc w:val="left"/>
      <w:pPr>
        <w:tabs>
          <w:tab w:val="num" w:pos="1644"/>
        </w:tabs>
        <w:ind w:left="1644" w:hanging="283"/>
      </w:pPr>
      <w:rPr>
        <w:rFonts w:ascii="Symbol" w:hAnsi="Symbol" w:hint="default"/>
        <w:b w:val="0"/>
        <w:i w:val="0"/>
        <w:vanish w:val="0"/>
        <w:color w:val="auto"/>
        <w:sz w:val="22"/>
      </w:rPr>
    </w:lvl>
    <w:lvl w:ilvl="3">
      <w:start w:val="1"/>
      <w:numFmt w:val="bullet"/>
      <w:lvlText w:val=""/>
      <w:lvlJc w:val="left"/>
      <w:pPr>
        <w:tabs>
          <w:tab w:val="num" w:pos="1928"/>
        </w:tabs>
        <w:ind w:left="1928" w:hanging="284"/>
      </w:pPr>
      <w:rPr>
        <w:rFonts w:ascii="Symbol" w:hAnsi="Symbol" w:hint="default"/>
        <w:b w:val="0"/>
        <w:i w:val="0"/>
        <w:vanish w:val="0"/>
        <w:color w:val="auto"/>
        <w:sz w:val="22"/>
      </w:rPr>
    </w:lvl>
    <w:lvl w:ilvl="4">
      <w:start w:val="1"/>
      <w:numFmt w:val="bullet"/>
      <w:lvlText w:val=""/>
      <w:lvlJc w:val="left"/>
      <w:pPr>
        <w:tabs>
          <w:tab w:val="num" w:pos="2211"/>
        </w:tabs>
        <w:ind w:left="2211" w:hanging="283"/>
      </w:pPr>
      <w:rPr>
        <w:rFonts w:ascii="Symbol" w:hAnsi="Symbol" w:hint="default"/>
        <w:b w:val="0"/>
        <w:i w:val="0"/>
        <w:vanish w:val="0"/>
        <w:color w:val="auto"/>
        <w:sz w:val="22"/>
      </w:rPr>
    </w:lvl>
    <w:lvl w:ilvl="5">
      <w:start w:val="1"/>
      <w:numFmt w:val="bullet"/>
      <w:lvlText w:val=""/>
      <w:lvlJc w:val="left"/>
      <w:pPr>
        <w:tabs>
          <w:tab w:val="num" w:pos="2495"/>
        </w:tabs>
        <w:ind w:left="2495" w:hanging="284"/>
      </w:pPr>
      <w:rPr>
        <w:rFonts w:ascii="Symbol" w:hAnsi="Symbol" w:hint="default"/>
        <w:b w:val="0"/>
        <w:i w:val="0"/>
        <w:vanish w:val="0"/>
        <w:color w:val="auto"/>
        <w:sz w:val="22"/>
      </w:rPr>
    </w:lvl>
    <w:lvl w:ilvl="6">
      <w:start w:val="1"/>
      <w:numFmt w:val="bullet"/>
      <w:lvlText w:val=""/>
      <w:lvlJc w:val="left"/>
      <w:pPr>
        <w:tabs>
          <w:tab w:val="num" w:pos="2778"/>
        </w:tabs>
        <w:ind w:left="2778" w:hanging="283"/>
      </w:pPr>
      <w:rPr>
        <w:rFonts w:ascii="Symbol" w:hAnsi="Symbol" w:hint="default"/>
        <w:b w:val="0"/>
        <w:i w:val="0"/>
        <w:vanish w:val="0"/>
        <w:color w:val="auto"/>
        <w:sz w:val="22"/>
      </w:rPr>
    </w:lvl>
    <w:lvl w:ilvl="7">
      <w:start w:val="1"/>
      <w:numFmt w:val="bullet"/>
      <w:lvlText w:val=""/>
      <w:lvlJc w:val="left"/>
      <w:pPr>
        <w:tabs>
          <w:tab w:val="num" w:pos="3062"/>
        </w:tabs>
        <w:ind w:left="3062" w:hanging="284"/>
      </w:pPr>
      <w:rPr>
        <w:rFonts w:ascii="Symbol" w:hAnsi="Symbol" w:hint="default"/>
        <w:b w:val="0"/>
        <w:i w:val="0"/>
        <w:vanish w:val="0"/>
        <w:color w:val="auto"/>
        <w:sz w:val="22"/>
      </w:rPr>
    </w:lvl>
    <w:lvl w:ilvl="8">
      <w:start w:val="1"/>
      <w:numFmt w:val="bullet"/>
      <w:lvlText w:val=""/>
      <w:lvlJc w:val="left"/>
      <w:pPr>
        <w:tabs>
          <w:tab w:val="num" w:pos="3345"/>
        </w:tabs>
        <w:ind w:left="3345" w:hanging="283"/>
      </w:pPr>
      <w:rPr>
        <w:rFonts w:ascii="Symbol" w:hAnsi="Symbol" w:hint="default"/>
        <w:b w:val="0"/>
        <w:i w:val="0"/>
        <w:vanish w:val="0"/>
        <w:color w:val="auto"/>
        <w:sz w:val="22"/>
      </w:rPr>
    </w:lvl>
  </w:abstractNum>
  <w:abstractNum w:abstractNumId="16">
    <w:nsid w:val="458F34C5"/>
    <w:multiLevelType w:val="hybridMultilevel"/>
    <w:tmpl w:val="AF4ED3E6"/>
    <w:lvl w:ilvl="0" w:tplc="269451EE">
      <w:start w:val="1"/>
      <w:numFmt w:val="decimal"/>
      <w:lvlText w:val="%1"/>
      <w:lvlJc w:val="left"/>
      <w:pPr>
        <w:ind w:left="1439" w:hanging="645"/>
      </w:pPr>
      <w:rPr>
        <w:rFonts w:hint="default"/>
      </w:rPr>
    </w:lvl>
    <w:lvl w:ilvl="1" w:tplc="0C090019" w:tentative="1">
      <w:start w:val="1"/>
      <w:numFmt w:val="lowerLetter"/>
      <w:lvlText w:val="%2."/>
      <w:lvlJc w:val="left"/>
      <w:pPr>
        <w:ind w:left="1874" w:hanging="360"/>
      </w:pPr>
    </w:lvl>
    <w:lvl w:ilvl="2" w:tplc="0C09001B" w:tentative="1">
      <w:start w:val="1"/>
      <w:numFmt w:val="lowerRoman"/>
      <w:lvlText w:val="%3."/>
      <w:lvlJc w:val="right"/>
      <w:pPr>
        <w:ind w:left="2594" w:hanging="180"/>
      </w:pPr>
    </w:lvl>
    <w:lvl w:ilvl="3" w:tplc="0C09000F" w:tentative="1">
      <w:start w:val="1"/>
      <w:numFmt w:val="decimal"/>
      <w:lvlText w:val="%4."/>
      <w:lvlJc w:val="left"/>
      <w:pPr>
        <w:ind w:left="3314" w:hanging="360"/>
      </w:pPr>
    </w:lvl>
    <w:lvl w:ilvl="4" w:tplc="0C090019" w:tentative="1">
      <w:start w:val="1"/>
      <w:numFmt w:val="lowerLetter"/>
      <w:lvlText w:val="%5."/>
      <w:lvlJc w:val="left"/>
      <w:pPr>
        <w:ind w:left="4034" w:hanging="360"/>
      </w:pPr>
    </w:lvl>
    <w:lvl w:ilvl="5" w:tplc="0C09001B" w:tentative="1">
      <w:start w:val="1"/>
      <w:numFmt w:val="lowerRoman"/>
      <w:lvlText w:val="%6."/>
      <w:lvlJc w:val="right"/>
      <w:pPr>
        <w:ind w:left="4754" w:hanging="180"/>
      </w:pPr>
    </w:lvl>
    <w:lvl w:ilvl="6" w:tplc="0C09000F" w:tentative="1">
      <w:start w:val="1"/>
      <w:numFmt w:val="decimal"/>
      <w:lvlText w:val="%7."/>
      <w:lvlJc w:val="left"/>
      <w:pPr>
        <w:ind w:left="5474" w:hanging="360"/>
      </w:pPr>
    </w:lvl>
    <w:lvl w:ilvl="7" w:tplc="0C090019" w:tentative="1">
      <w:start w:val="1"/>
      <w:numFmt w:val="lowerLetter"/>
      <w:lvlText w:val="%8."/>
      <w:lvlJc w:val="left"/>
      <w:pPr>
        <w:ind w:left="6194" w:hanging="360"/>
      </w:pPr>
    </w:lvl>
    <w:lvl w:ilvl="8" w:tplc="0C09001B" w:tentative="1">
      <w:start w:val="1"/>
      <w:numFmt w:val="lowerRoman"/>
      <w:lvlText w:val="%9."/>
      <w:lvlJc w:val="right"/>
      <w:pPr>
        <w:ind w:left="6914" w:hanging="180"/>
      </w:pPr>
    </w:lvl>
  </w:abstractNum>
  <w:abstractNum w:abstractNumId="17">
    <w:nsid w:val="46A57BF7"/>
    <w:multiLevelType w:val="multilevel"/>
    <w:tmpl w:val="EEE8BA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7D57965"/>
    <w:multiLevelType w:val="hybridMultilevel"/>
    <w:tmpl w:val="EAEC187A"/>
    <w:lvl w:ilvl="0" w:tplc="0C090001">
      <w:start w:val="1"/>
      <w:numFmt w:val="bullet"/>
      <w:lvlText w:val=""/>
      <w:lvlJc w:val="left"/>
      <w:pPr>
        <w:ind w:left="1514" w:hanging="360"/>
      </w:pPr>
      <w:rPr>
        <w:rFonts w:ascii="Symbol" w:hAnsi="Symbol" w:hint="default"/>
      </w:rPr>
    </w:lvl>
    <w:lvl w:ilvl="1" w:tplc="0C090003" w:tentative="1">
      <w:start w:val="1"/>
      <w:numFmt w:val="bullet"/>
      <w:lvlText w:val="o"/>
      <w:lvlJc w:val="left"/>
      <w:pPr>
        <w:ind w:left="2234" w:hanging="360"/>
      </w:pPr>
      <w:rPr>
        <w:rFonts w:ascii="Courier New" w:hAnsi="Courier New" w:cs="Courier New" w:hint="default"/>
      </w:rPr>
    </w:lvl>
    <w:lvl w:ilvl="2" w:tplc="0C090005" w:tentative="1">
      <w:start w:val="1"/>
      <w:numFmt w:val="bullet"/>
      <w:lvlText w:val=""/>
      <w:lvlJc w:val="left"/>
      <w:pPr>
        <w:ind w:left="2954" w:hanging="360"/>
      </w:pPr>
      <w:rPr>
        <w:rFonts w:ascii="Wingdings" w:hAnsi="Wingdings" w:hint="default"/>
      </w:rPr>
    </w:lvl>
    <w:lvl w:ilvl="3" w:tplc="0C090001" w:tentative="1">
      <w:start w:val="1"/>
      <w:numFmt w:val="bullet"/>
      <w:lvlText w:val=""/>
      <w:lvlJc w:val="left"/>
      <w:pPr>
        <w:ind w:left="3674" w:hanging="360"/>
      </w:pPr>
      <w:rPr>
        <w:rFonts w:ascii="Symbol" w:hAnsi="Symbol" w:hint="default"/>
      </w:rPr>
    </w:lvl>
    <w:lvl w:ilvl="4" w:tplc="0C090003" w:tentative="1">
      <w:start w:val="1"/>
      <w:numFmt w:val="bullet"/>
      <w:lvlText w:val="o"/>
      <w:lvlJc w:val="left"/>
      <w:pPr>
        <w:ind w:left="4394" w:hanging="360"/>
      </w:pPr>
      <w:rPr>
        <w:rFonts w:ascii="Courier New" w:hAnsi="Courier New" w:cs="Courier New" w:hint="default"/>
      </w:rPr>
    </w:lvl>
    <w:lvl w:ilvl="5" w:tplc="0C090005" w:tentative="1">
      <w:start w:val="1"/>
      <w:numFmt w:val="bullet"/>
      <w:lvlText w:val=""/>
      <w:lvlJc w:val="left"/>
      <w:pPr>
        <w:ind w:left="5114" w:hanging="360"/>
      </w:pPr>
      <w:rPr>
        <w:rFonts w:ascii="Wingdings" w:hAnsi="Wingdings" w:hint="default"/>
      </w:rPr>
    </w:lvl>
    <w:lvl w:ilvl="6" w:tplc="0C090001" w:tentative="1">
      <w:start w:val="1"/>
      <w:numFmt w:val="bullet"/>
      <w:lvlText w:val=""/>
      <w:lvlJc w:val="left"/>
      <w:pPr>
        <w:ind w:left="5834" w:hanging="360"/>
      </w:pPr>
      <w:rPr>
        <w:rFonts w:ascii="Symbol" w:hAnsi="Symbol" w:hint="default"/>
      </w:rPr>
    </w:lvl>
    <w:lvl w:ilvl="7" w:tplc="0C090003" w:tentative="1">
      <w:start w:val="1"/>
      <w:numFmt w:val="bullet"/>
      <w:lvlText w:val="o"/>
      <w:lvlJc w:val="left"/>
      <w:pPr>
        <w:ind w:left="6554" w:hanging="360"/>
      </w:pPr>
      <w:rPr>
        <w:rFonts w:ascii="Courier New" w:hAnsi="Courier New" w:cs="Courier New" w:hint="default"/>
      </w:rPr>
    </w:lvl>
    <w:lvl w:ilvl="8" w:tplc="0C090005" w:tentative="1">
      <w:start w:val="1"/>
      <w:numFmt w:val="bullet"/>
      <w:lvlText w:val=""/>
      <w:lvlJc w:val="left"/>
      <w:pPr>
        <w:ind w:left="7274" w:hanging="360"/>
      </w:pPr>
      <w:rPr>
        <w:rFonts w:ascii="Wingdings" w:hAnsi="Wingdings" w:hint="default"/>
      </w:rPr>
    </w:lvl>
  </w:abstractNum>
  <w:abstractNum w:abstractNumId="19">
    <w:nsid w:val="4A8D37B9"/>
    <w:multiLevelType w:val="hybridMultilevel"/>
    <w:tmpl w:val="AF4ED3E6"/>
    <w:lvl w:ilvl="0" w:tplc="269451EE">
      <w:start w:val="1"/>
      <w:numFmt w:val="decimal"/>
      <w:lvlText w:val="%1"/>
      <w:lvlJc w:val="left"/>
      <w:pPr>
        <w:ind w:left="1439" w:hanging="645"/>
      </w:pPr>
      <w:rPr>
        <w:rFonts w:hint="default"/>
      </w:rPr>
    </w:lvl>
    <w:lvl w:ilvl="1" w:tplc="0C090019" w:tentative="1">
      <w:start w:val="1"/>
      <w:numFmt w:val="lowerLetter"/>
      <w:lvlText w:val="%2."/>
      <w:lvlJc w:val="left"/>
      <w:pPr>
        <w:ind w:left="1874" w:hanging="360"/>
      </w:pPr>
    </w:lvl>
    <w:lvl w:ilvl="2" w:tplc="0C09001B" w:tentative="1">
      <w:start w:val="1"/>
      <w:numFmt w:val="lowerRoman"/>
      <w:lvlText w:val="%3."/>
      <w:lvlJc w:val="right"/>
      <w:pPr>
        <w:ind w:left="2594" w:hanging="180"/>
      </w:pPr>
    </w:lvl>
    <w:lvl w:ilvl="3" w:tplc="0C09000F" w:tentative="1">
      <w:start w:val="1"/>
      <w:numFmt w:val="decimal"/>
      <w:lvlText w:val="%4."/>
      <w:lvlJc w:val="left"/>
      <w:pPr>
        <w:ind w:left="3314" w:hanging="360"/>
      </w:pPr>
    </w:lvl>
    <w:lvl w:ilvl="4" w:tplc="0C090019" w:tentative="1">
      <w:start w:val="1"/>
      <w:numFmt w:val="lowerLetter"/>
      <w:lvlText w:val="%5."/>
      <w:lvlJc w:val="left"/>
      <w:pPr>
        <w:ind w:left="4034" w:hanging="360"/>
      </w:pPr>
    </w:lvl>
    <w:lvl w:ilvl="5" w:tplc="0C09001B" w:tentative="1">
      <w:start w:val="1"/>
      <w:numFmt w:val="lowerRoman"/>
      <w:lvlText w:val="%6."/>
      <w:lvlJc w:val="right"/>
      <w:pPr>
        <w:ind w:left="4754" w:hanging="180"/>
      </w:pPr>
    </w:lvl>
    <w:lvl w:ilvl="6" w:tplc="0C09000F" w:tentative="1">
      <w:start w:val="1"/>
      <w:numFmt w:val="decimal"/>
      <w:lvlText w:val="%7."/>
      <w:lvlJc w:val="left"/>
      <w:pPr>
        <w:ind w:left="5474" w:hanging="360"/>
      </w:pPr>
    </w:lvl>
    <w:lvl w:ilvl="7" w:tplc="0C090019" w:tentative="1">
      <w:start w:val="1"/>
      <w:numFmt w:val="lowerLetter"/>
      <w:lvlText w:val="%8."/>
      <w:lvlJc w:val="left"/>
      <w:pPr>
        <w:ind w:left="6194" w:hanging="360"/>
      </w:pPr>
    </w:lvl>
    <w:lvl w:ilvl="8" w:tplc="0C09001B" w:tentative="1">
      <w:start w:val="1"/>
      <w:numFmt w:val="lowerRoman"/>
      <w:lvlText w:val="%9."/>
      <w:lvlJc w:val="right"/>
      <w:pPr>
        <w:ind w:left="6914" w:hanging="180"/>
      </w:pPr>
    </w:lvl>
  </w:abstractNum>
  <w:abstractNum w:abstractNumId="20">
    <w:nsid w:val="4E2473E2"/>
    <w:multiLevelType w:val="hybridMultilevel"/>
    <w:tmpl w:val="26BA2C2A"/>
    <w:lvl w:ilvl="0" w:tplc="0B5C3D12">
      <w:start w:val="16"/>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4E2B1CB0"/>
    <w:multiLevelType w:val="hybridMultilevel"/>
    <w:tmpl w:val="658E83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65890DF3"/>
    <w:multiLevelType w:val="hybridMultilevel"/>
    <w:tmpl w:val="9EB646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6551A1C"/>
    <w:multiLevelType w:val="multilevel"/>
    <w:tmpl w:val="8F9AA32A"/>
    <w:lvl w:ilvl="0">
      <w:start w:val="1"/>
      <w:numFmt w:val="bullet"/>
      <w:pStyle w:val="TableBullet"/>
      <w:lvlText w:val=""/>
      <w:lvlJc w:val="left"/>
      <w:pPr>
        <w:tabs>
          <w:tab w:val="num" w:pos="227"/>
        </w:tabs>
        <w:ind w:left="227" w:hanging="227"/>
      </w:pPr>
      <w:rPr>
        <w:rFonts w:ascii="Symbol" w:hAnsi="Symbol" w:cs="Lucida Grande" w:hint="default"/>
        <w:b w:val="0"/>
        <w:i w:val="0"/>
        <w:sz w:val="18"/>
      </w:rPr>
    </w:lvl>
    <w:lvl w:ilvl="1">
      <w:start w:val="1"/>
      <w:numFmt w:val="bullet"/>
      <w:lvlText w:val="–"/>
      <w:lvlJc w:val="left"/>
      <w:pPr>
        <w:tabs>
          <w:tab w:val="num" w:pos="454"/>
        </w:tabs>
        <w:ind w:left="454" w:hanging="227"/>
      </w:pPr>
      <w:rPr>
        <w:rFonts w:ascii="Calibri" w:hAnsi="Calibri" w:cs="Lucida Grande" w:hint="default"/>
        <w:b w:val="0"/>
        <w:i w:val="0"/>
        <w:sz w:val="18"/>
      </w:rPr>
    </w:lvl>
    <w:lvl w:ilvl="2">
      <w:start w:val="1"/>
      <w:numFmt w:val="bullet"/>
      <w:lvlText w:val=""/>
      <w:lvlJc w:val="left"/>
      <w:pPr>
        <w:tabs>
          <w:tab w:val="num" w:pos="680"/>
        </w:tabs>
        <w:ind w:left="680" w:hanging="226"/>
      </w:pPr>
      <w:rPr>
        <w:rFonts w:ascii="Symbol" w:hAnsi="Symbol" w:cs="Lucida Grande" w:hint="default"/>
        <w:b w:val="0"/>
        <w:i w:val="0"/>
        <w:sz w:val="18"/>
      </w:rPr>
    </w:lvl>
    <w:lvl w:ilvl="3">
      <w:start w:val="1"/>
      <w:numFmt w:val="bullet"/>
      <w:lvlText w:val=""/>
      <w:lvlJc w:val="left"/>
      <w:pPr>
        <w:tabs>
          <w:tab w:val="num" w:pos="907"/>
        </w:tabs>
        <w:ind w:left="907" w:hanging="227"/>
      </w:pPr>
      <w:rPr>
        <w:rFonts w:ascii="Symbol" w:hAnsi="Symbol" w:cs="Lucida Grande" w:hint="default"/>
        <w:b w:val="0"/>
        <w:i w:val="0"/>
        <w:sz w:val="18"/>
      </w:rPr>
    </w:lvl>
    <w:lvl w:ilvl="4">
      <w:start w:val="1"/>
      <w:numFmt w:val="bullet"/>
      <w:lvlText w:val=""/>
      <w:lvlJc w:val="left"/>
      <w:pPr>
        <w:tabs>
          <w:tab w:val="num" w:pos="1134"/>
        </w:tabs>
        <w:ind w:left="1134" w:hanging="227"/>
      </w:pPr>
      <w:rPr>
        <w:rFonts w:ascii="Symbol" w:hAnsi="Symbol" w:cs="Lucida Grande" w:hint="default"/>
        <w:b w:val="0"/>
        <w:i w:val="0"/>
        <w:sz w:val="18"/>
      </w:rPr>
    </w:lvl>
    <w:lvl w:ilvl="5">
      <w:start w:val="1"/>
      <w:numFmt w:val="bullet"/>
      <w:lvlText w:val=""/>
      <w:lvlJc w:val="left"/>
      <w:pPr>
        <w:tabs>
          <w:tab w:val="num" w:pos="1361"/>
        </w:tabs>
        <w:ind w:left="1361" w:hanging="227"/>
      </w:pPr>
      <w:rPr>
        <w:rFonts w:ascii="Symbol" w:hAnsi="Symbol" w:cs="Lucida Grande" w:hint="default"/>
        <w:b w:val="0"/>
        <w:i w:val="0"/>
        <w:sz w:val="18"/>
      </w:rPr>
    </w:lvl>
    <w:lvl w:ilvl="6">
      <w:start w:val="1"/>
      <w:numFmt w:val="bullet"/>
      <w:lvlText w:val=""/>
      <w:lvlJc w:val="left"/>
      <w:pPr>
        <w:tabs>
          <w:tab w:val="num" w:pos="1587"/>
        </w:tabs>
        <w:ind w:left="1587" w:hanging="226"/>
      </w:pPr>
      <w:rPr>
        <w:rFonts w:ascii="Symbol" w:hAnsi="Symbol" w:cs="Lucida Grande" w:hint="default"/>
        <w:b w:val="0"/>
        <w:i w:val="0"/>
        <w:sz w:val="18"/>
      </w:rPr>
    </w:lvl>
    <w:lvl w:ilvl="7">
      <w:start w:val="1"/>
      <w:numFmt w:val="bullet"/>
      <w:lvlText w:val=""/>
      <w:lvlJc w:val="left"/>
      <w:pPr>
        <w:tabs>
          <w:tab w:val="num" w:pos="1814"/>
        </w:tabs>
        <w:ind w:left="1814" w:hanging="227"/>
      </w:pPr>
      <w:rPr>
        <w:rFonts w:ascii="Symbol" w:hAnsi="Symbol" w:cs="Lucida Grande" w:hint="default"/>
        <w:b w:val="0"/>
        <w:i w:val="0"/>
        <w:sz w:val="18"/>
      </w:rPr>
    </w:lvl>
    <w:lvl w:ilvl="8">
      <w:start w:val="1"/>
      <w:numFmt w:val="bullet"/>
      <w:lvlText w:val=""/>
      <w:lvlJc w:val="left"/>
      <w:pPr>
        <w:tabs>
          <w:tab w:val="num" w:pos="2041"/>
        </w:tabs>
        <w:ind w:left="2041" w:hanging="227"/>
      </w:pPr>
      <w:rPr>
        <w:rFonts w:ascii="Symbol" w:hAnsi="Symbol" w:cs="Lucida Grande" w:hint="default"/>
        <w:b w:val="0"/>
        <w:i w:val="0"/>
        <w:sz w:val="18"/>
      </w:rPr>
    </w:lvl>
  </w:abstractNum>
  <w:abstractNum w:abstractNumId="24">
    <w:nsid w:val="6D5B7FA5"/>
    <w:multiLevelType w:val="hybridMultilevel"/>
    <w:tmpl w:val="581C8F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708C7974"/>
    <w:multiLevelType w:val="hybridMultilevel"/>
    <w:tmpl w:val="636A6F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70FF3D54"/>
    <w:multiLevelType w:val="hybridMultilevel"/>
    <w:tmpl w:val="234098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2A31582"/>
    <w:multiLevelType w:val="hybridMultilevel"/>
    <w:tmpl w:val="92B0EC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alibr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alibri"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alibri" w:hint="default"/>
      </w:rPr>
    </w:lvl>
    <w:lvl w:ilvl="8" w:tplc="0C090005" w:tentative="1">
      <w:start w:val="1"/>
      <w:numFmt w:val="bullet"/>
      <w:lvlText w:val=""/>
      <w:lvlJc w:val="left"/>
      <w:pPr>
        <w:ind w:left="6480" w:hanging="360"/>
      </w:pPr>
      <w:rPr>
        <w:rFonts w:ascii="Wingdings" w:hAnsi="Wingdings" w:hint="default"/>
      </w:rPr>
    </w:lvl>
  </w:abstractNum>
  <w:abstractNum w:abstractNumId="28">
    <w:nsid w:val="7F215CBA"/>
    <w:multiLevelType w:val="multilevel"/>
    <w:tmpl w:val="353A6C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7F4B39C7"/>
    <w:multiLevelType w:val="hybridMultilevel"/>
    <w:tmpl w:val="B08A4894"/>
    <w:lvl w:ilvl="0" w:tplc="0C090001">
      <w:start w:val="1"/>
      <w:numFmt w:val="bullet"/>
      <w:lvlText w:val=""/>
      <w:lvlJc w:val="left"/>
      <w:pPr>
        <w:ind w:left="1514" w:hanging="360"/>
      </w:pPr>
      <w:rPr>
        <w:rFonts w:ascii="Symbol" w:hAnsi="Symbol" w:hint="default"/>
      </w:rPr>
    </w:lvl>
    <w:lvl w:ilvl="1" w:tplc="0C090003" w:tentative="1">
      <w:start w:val="1"/>
      <w:numFmt w:val="bullet"/>
      <w:lvlText w:val="o"/>
      <w:lvlJc w:val="left"/>
      <w:pPr>
        <w:ind w:left="2234" w:hanging="360"/>
      </w:pPr>
      <w:rPr>
        <w:rFonts w:ascii="Courier New" w:hAnsi="Courier New" w:cs="Courier New" w:hint="default"/>
      </w:rPr>
    </w:lvl>
    <w:lvl w:ilvl="2" w:tplc="0C090005" w:tentative="1">
      <w:start w:val="1"/>
      <w:numFmt w:val="bullet"/>
      <w:lvlText w:val=""/>
      <w:lvlJc w:val="left"/>
      <w:pPr>
        <w:ind w:left="2954" w:hanging="360"/>
      </w:pPr>
      <w:rPr>
        <w:rFonts w:ascii="Wingdings" w:hAnsi="Wingdings" w:hint="default"/>
      </w:rPr>
    </w:lvl>
    <w:lvl w:ilvl="3" w:tplc="0C090001" w:tentative="1">
      <w:start w:val="1"/>
      <w:numFmt w:val="bullet"/>
      <w:lvlText w:val=""/>
      <w:lvlJc w:val="left"/>
      <w:pPr>
        <w:ind w:left="3674" w:hanging="360"/>
      </w:pPr>
      <w:rPr>
        <w:rFonts w:ascii="Symbol" w:hAnsi="Symbol" w:hint="default"/>
      </w:rPr>
    </w:lvl>
    <w:lvl w:ilvl="4" w:tplc="0C090003" w:tentative="1">
      <w:start w:val="1"/>
      <w:numFmt w:val="bullet"/>
      <w:lvlText w:val="o"/>
      <w:lvlJc w:val="left"/>
      <w:pPr>
        <w:ind w:left="4394" w:hanging="360"/>
      </w:pPr>
      <w:rPr>
        <w:rFonts w:ascii="Courier New" w:hAnsi="Courier New" w:cs="Courier New" w:hint="default"/>
      </w:rPr>
    </w:lvl>
    <w:lvl w:ilvl="5" w:tplc="0C090005" w:tentative="1">
      <w:start w:val="1"/>
      <w:numFmt w:val="bullet"/>
      <w:lvlText w:val=""/>
      <w:lvlJc w:val="left"/>
      <w:pPr>
        <w:ind w:left="5114" w:hanging="360"/>
      </w:pPr>
      <w:rPr>
        <w:rFonts w:ascii="Wingdings" w:hAnsi="Wingdings" w:hint="default"/>
      </w:rPr>
    </w:lvl>
    <w:lvl w:ilvl="6" w:tplc="0C090001" w:tentative="1">
      <w:start w:val="1"/>
      <w:numFmt w:val="bullet"/>
      <w:lvlText w:val=""/>
      <w:lvlJc w:val="left"/>
      <w:pPr>
        <w:ind w:left="5834" w:hanging="360"/>
      </w:pPr>
      <w:rPr>
        <w:rFonts w:ascii="Symbol" w:hAnsi="Symbol" w:hint="default"/>
      </w:rPr>
    </w:lvl>
    <w:lvl w:ilvl="7" w:tplc="0C090003" w:tentative="1">
      <w:start w:val="1"/>
      <w:numFmt w:val="bullet"/>
      <w:lvlText w:val="o"/>
      <w:lvlJc w:val="left"/>
      <w:pPr>
        <w:ind w:left="6554" w:hanging="360"/>
      </w:pPr>
      <w:rPr>
        <w:rFonts w:ascii="Courier New" w:hAnsi="Courier New" w:cs="Courier New" w:hint="default"/>
      </w:rPr>
    </w:lvl>
    <w:lvl w:ilvl="8" w:tplc="0C090005" w:tentative="1">
      <w:start w:val="1"/>
      <w:numFmt w:val="bullet"/>
      <w:lvlText w:val=""/>
      <w:lvlJc w:val="left"/>
      <w:pPr>
        <w:ind w:left="7274" w:hanging="360"/>
      </w:pPr>
      <w:rPr>
        <w:rFonts w:ascii="Wingdings" w:hAnsi="Wingdings" w:hint="default"/>
      </w:rPr>
    </w:lvl>
  </w:abstractNum>
  <w:num w:numId="1">
    <w:abstractNumId w:val="6"/>
  </w:num>
  <w:num w:numId="2">
    <w:abstractNumId w:val="8"/>
  </w:num>
  <w:num w:numId="3">
    <w:abstractNumId w:val="15"/>
  </w:num>
  <w:num w:numId="4">
    <w:abstractNumId w:val="23"/>
  </w:num>
  <w:num w:numId="5">
    <w:abstractNumId w:val="10"/>
  </w:num>
  <w:num w:numId="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7"/>
  </w:num>
  <w:num w:numId="8">
    <w:abstractNumId w:val="7"/>
  </w:num>
  <w:num w:numId="9">
    <w:abstractNumId w:val="9"/>
  </w:num>
  <w:num w:numId="10">
    <w:abstractNumId w:val="5"/>
  </w:num>
  <w:num w:numId="11">
    <w:abstractNumId w:val="13"/>
  </w:num>
  <w:num w:numId="12">
    <w:abstractNumId w:val="23"/>
  </w:num>
  <w:num w:numId="13">
    <w:abstractNumId w:val="16"/>
  </w:num>
  <w:num w:numId="14">
    <w:abstractNumId w:val="14"/>
  </w:num>
  <w:num w:numId="15">
    <w:abstractNumId w:val="19"/>
  </w:num>
  <w:num w:numId="16">
    <w:abstractNumId w:val="2"/>
  </w:num>
  <w:num w:numId="17">
    <w:abstractNumId w:val="28"/>
  </w:num>
  <w:num w:numId="18">
    <w:abstractNumId w:val="24"/>
  </w:num>
  <w:num w:numId="19">
    <w:abstractNumId w:val="29"/>
  </w:num>
  <w:num w:numId="20">
    <w:abstractNumId w:val="18"/>
  </w:num>
  <w:num w:numId="21">
    <w:abstractNumId w:val="12"/>
  </w:num>
  <w:num w:numId="22">
    <w:abstractNumId w:val="3"/>
  </w:num>
  <w:num w:numId="23">
    <w:abstractNumId w:val="1"/>
  </w:num>
  <w:num w:numId="24">
    <w:abstractNumId w:val="15"/>
  </w:num>
  <w:num w:numId="25">
    <w:abstractNumId w:val="17"/>
  </w:num>
  <w:num w:numId="26">
    <w:abstractNumId w:val="11"/>
  </w:num>
  <w:num w:numId="27">
    <w:abstractNumId w:val="0"/>
  </w:num>
  <w:num w:numId="28">
    <w:abstractNumId w:val="21"/>
  </w:num>
  <w:num w:numId="29">
    <w:abstractNumId w:val="25"/>
  </w:num>
  <w:num w:numId="30">
    <w:abstractNumId w:val="23"/>
  </w:num>
  <w:num w:numId="31">
    <w:abstractNumId w:val="23"/>
  </w:num>
  <w:num w:numId="32">
    <w:abstractNumId w:val="23"/>
  </w:num>
  <w:num w:numId="33">
    <w:abstractNumId w:val="23"/>
  </w:num>
  <w:num w:numId="34">
    <w:abstractNumId w:val="20"/>
  </w:num>
  <w:num w:numId="35">
    <w:abstractNumId w:val="4"/>
  </w:num>
  <w:num w:numId="36">
    <w:abstractNumId w:val="22"/>
  </w:num>
  <w:num w:numId="37">
    <w:abstractNumId w:val="15"/>
  </w:num>
  <w:num w:numId="38">
    <w:abstractNumId w:val="26"/>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2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2"/>
  </w:compat>
  <w:rsids>
    <w:rsidRoot w:val="00B971DE"/>
    <w:rsid w:val="00004A6C"/>
    <w:rsid w:val="00005B90"/>
    <w:rsid w:val="00007D90"/>
    <w:rsid w:val="00013E63"/>
    <w:rsid w:val="00016F0C"/>
    <w:rsid w:val="00017228"/>
    <w:rsid w:val="000178E4"/>
    <w:rsid w:val="00017DE8"/>
    <w:rsid w:val="00020351"/>
    <w:rsid w:val="00020629"/>
    <w:rsid w:val="00023133"/>
    <w:rsid w:val="00023FBD"/>
    <w:rsid w:val="000255C1"/>
    <w:rsid w:val="0003010A"/>
    <w:rsid w:val="00031678"/>
    <w:rsid w:val="00031A72"/>
    <w:rsid w:val="0003274B"/>
    <w:rsid w:val="0003409C"/>
    <w:rsid w:val="000341C5"/>
    <w:rsid w:val="00035999"/>
    <w:rsid w:val="00042D41"/>
    <w:rsid w:val="00052729"/>
    <w:rsid w:val="0005337B"/>
    <w:rsid w:val="00057C51"/>
    <w:rsid w:val="00063B1B"/>
    <w:rsid w:val="00064492"/>
    <w:rsid w:val="00066BD2"/>
    <w:rsid w:val="00067653"/>
    <w:rsid w:val="00067BEC"/>
    <w:rsid w:val="00072E02"/>
    <w:rsid w:val="00073458"/>
    <w:rsid w:val="000749FD"/>
    <w:rsid w:val="00074B7B"/>
    <w:rsid w:val="000766BF"/>
    <w:rsid w:val="00081854"/>
    <w:rsid w:val="0008597E"/>
    <w:rsid w:val="00093EA5"/>
    <w:rsid w:val="00094E39"/>
    <w:rsid w:val="0009536F"/>
    <w:rsid w:val="00095505"/>
    <w:rsid w:val="000A0621"/>
    <w:rsid w:val="000A1498"/>
    <w:rsid w:val="000A26CE"/>
    <w:rsid w:val="000A27D9"/>
    <w:rsid w:val="000A45F9"/>
    <w:rsid w:val="000A4A12"/>
    <w:rsid w:val="000A4CD4"/>
    <w:rsid w:val="000A5B3B"/>
    <w:rsid w:val="000A5F10"/>
    <w:rsid w:val="000A75BE"/>
    <w:rsid w:val="000A7DCB"/>
    <w:rsid w:val="000B02F4"/>
    <w:rsid w:val="000B186F"/>
    <w:rsid w:val="000B5D29"/>
    <w:rsid w:val="000B5F2A"/>
    <w:rsid w:val="000B61E3"/>
    <w:rsid w:val="000B79CF"/>
    <w:rsid w:val="000B7BF5"/>
    <w:rsid w:val="000C2899"/>
    <w:rsid w:val="000C5BC5"/>
    <w:rsid w:val="000D0631"/>
    <w:rsid w:val="000D1A94"/>
    <w:rsid w:val="000D25E2"/>
    <w:rsid w:val="000D2AE1"/>
    <w:rsid w:val="000D3F1D"/>
    <w:rsid w:val="000D58DD"/>
    <w:rsid w:val="000D5DA6"/>
    <w:rsid w:val="000D686F"/>
    <w:rsid w:val="000D7385"/>
    <w:rsid w:val="000D7AB4"/>
    <w:rsid w:val="000E04DC"/>
    <w:rsid w:val="000E0EA3"/>
    <w:rsid w:val="000E3F05"/>
    <w:rsid w:val="000F0D6B"/>
    <w:rsid w:val="000F25F9"/>
    <w:rsid w:val="000F286E"/>
    <w:rsid w:val="000F62B4"/>
    <w:rsid w:val="0010133B"/>
    <w:rsid w:val="00101420"/>
    <w:rsid w:val="00102E1D"/>
    <w:rsid w:val="001033F5"/>
    <w:rsid w:val="00104E55"/>
    <w:rsid w:val="00107126"/>
    <w:rsid w:val="0011104D"/>
    <w:rsid w:val="0011150D"/>
    <w:rsid w:val="00112393"/>
    <w:rsid w:val="001124F8"/>
    <w:rsid w:val="00113259"/>
    <w:rsid w:val="001134D5"/>
    <w:rsid w:val="00113C3C"/>
    <w:rsid w:val="00114002"/>
    <w:rsid w:val="00114286"/>
    <w:rsid w:val="001207F9"/>
    <w:rsid w:val="00123F52"/>
    <w:rsid w:val="00125FA5"/>
    <w:rsid w:val="00127C76"/>
    <w:rsid w:val="001316BA"/>
    <w:rsid w:val="00136FFF"/>
    <w:rsid w:val="00137139"/>
    <w:rsid w:val="001373C2"/>
    <w:rsid w:val="00137DA4"/>
    <w:rsid w:val="001402EB"/>
    <w:rsid w:val="00140396"/>
    <w:rsid w:val="00140D1B"/>
    <w:rsid w:val="001434E8"/>
    <w:rsid w:val="001436C7"/>
    <w:rsid w:val="00143F89"/>
    <w:rsid w:val="00145486"/>
    <w:rsid w:val="00150A21"/>
    <w:rsid w:val="00151E3D"/>
    <w:rsid w:val="00154FA2"/>
    <w:rsid w:val="00155479"/>
    <w:rsid w:val="001578DC"/>
    <w:rsid w:val="00160855"/>
    <w:rsid w:val="00161298"/>
    <w:rsid w:val="00162DE9"/>
    <w:rsid w:val="001637BA"/>
    <w:rsid w:val="00164C63"/>
    <w:rsid w:val="0016773A"/>
    <w:rsid w:val="00171CDB"/>
    <w:rsid w:val="00173ECE"/>
    <w:rsid w:val="0017575A"/>
    <w:rsid w:val="0017669D"/>
    <w:rsid w:val="00176726"/>
    <w:rsid w:val="00180365"/>
    <w:rsid w:val="0018280C"/>
    <w:rsid w:val="00183AD8"/>
    <w:rsid w:val="00183F03"/>
    <w:rsid w:val="001869C0"/>
    <w:rsid w:val="00190152"/>
    <w:rsid w:val="00190558"/>
    <w:rsid w:val="00190D60"/>
    <w:rsid w:val="001911E4"/>
    <w:rsid w:val="001961EE"/>
    <w:rsid w:val="00197CBE"/>
    <w:rsid w:val="001A126C"/>
    <w:rsid w:val="001A257C"/>
    <w:rsid w:val="001A3505"/>
    <w:rsid w:val="001A3EF9"/>
    <w:rsid w:val="001A55DB"/>
    <w:rsid w:val="001A5C6E"/>
    <w:rsid w:val="001B1806"/>
    <w:rsid w:val="001B2405"/>
    <w:rsid w:val="001B29B3"/>
    <w:rsid w:val="001B3596"/>
    <w:rsid w:val="001B7A9F"/>
    <w:rsid w:val="001C052D"/>
    <w:rsid w:val="001C0C41"/>
    <w:rsid w:val="001C0CF5"/>
    <w:rsid w:val="001C507A"/>
    <w:rsid w:val="001C5A80"/>
    <w:rsid w:val="001D1766"/>
    <w:rsid w:val="001D541F"/>
    <w:rsid w:val="001D56A3"/>
    <w:rsid w:val="001D77CA"/>
    <w:rsid w:val="001D7822"/>
    <w:rsid w:val="001E3C8E"/>
    <w:rsid w:val="001E4CF8"/>
    <w:rsid w:val="001F0178"/>
    <w:rsid w:val="001F0BFD"/>
    <w:rsid w:val="001F3681"/>
    <w:rsid w:val="00200850"/>
    <w:rsid w:val="00203598"/>
    <w:rsid w:val="00204B00"/>
    <w:rsid w:val="002053B6"/>
    <w:rsid w:val="00206559"/>
    <w:rsid w:val="002117DC"/>
    <w:rsid w:val="00211FE8"/>
    <w:rsid w:val="002124BC"/>
    <w:rsid w:val="0021487B"/>
    <w:rsid w:val="002177DF"/>
    <w:rsid w:val="0022026B"/>
    <w:rsid w:val="00221A3F"/>
    <w:rsid w:val="002228A2"/>
    <w:rsid w:val="002232C2"/>
    <w:rsid w:val="002262CB"/>
    <w:rsid w:val="0022778A"/>
    <w:rsid w:val="0023128E"/>
    <w:rsid w:val="0023188C"/>
    <w:rsid w:val="00231C0B"/>
    <w:rsid w:val="00231EFF"/>
    <w:rsid w:val="00233DB7"/>
    <w:rsid w:val="00233FDE"/>
    <w:rsid w:val="00235CA3"/>
    <w:rsid w:val="002377E4"/>
    <w:rsid w:val="00245BEA"/>
    <w:rsid w:val="00246151"/>
    <w:rsid w:val="00246564"/>
    <w:rsid w:val="00247D97"/>
    <w:rsid w:val="00250EDB"/>
    <w:rsid w:val="002513A4"/>
    <w:rsid w:val="00251ACE"/>
    <w:rsid w:val="00252F65"/>
    <w:rsid w:val="00252FCC"/>
    <w:rsid w:val="002530A5"/>
    <w:rsid w:val="0025378F"/>
    <w:rsid w:val="00254D5C"/>
    <w:rsid w:val="00256861"/>
    <w:rsid w:val="00256B8D"/>
    <w:rsid w:val="00257D32"/>
    <w:rsid w:val="002614C0"/>
    <w:rsid w:val="00262ECB"/>
    <w:rsid w:val="002631D2"/>
    <w:rsid w:val="002637D5"/>
    <w:rsid w:val="00265535"/>
    <w:rsid w:val="00266AA2"/>
    <w:rsid w:val="0026758C"/>
    <w:rsid w:val="002705E0"/>
    <w:rsid w:val="00270EEA"/>
    <w:rsid w:val="002714B2"/>
    <w:rsid w:val="00271BDC"/>
    <w:rsid w:val="002726C4"/>
    <w:rsid w:val="0027567D"/>
    <w:rsid w:val="002772D4"/>
    <w:rsid w:val="00280262"/>
    <w:rsid w:val="002849CF"/>
    <w:rsid w:val="00284E8F"/>
    <w:rsid w:val="002855A8"/>
    <w:rsid w:val="00285E7A"/>
    <w:rsid w:val="00286425"/>
    <w:rsid w:val="00286D1B"/>
    <w:rsid w:val="00290F5B"/>
    <w:rsid w:val="002923BC"/>
    <w:rsid w:val="002941EE"/>
    <w:rsid w:val="0029589C"/>
    <w:rsid w:val="00295D8D"/>
    <w:rsid w:val="00297207"/>
    <w:rsid w:val="0029758F"/>
    <w:rsid w:val="00297C11"/>
    <w:rsid w:val="002A099C"/>
    <w:rsid w:val="002A39AE"/>
    <w:rsid w:val="002B07C2"/>
    <w:rsid w:val="002B112D"/>
    <w:rsid w:val="002B1289"/>
    <w:rsid w:val="002B134E"/>
    <w:rsid w:val="002B1DA4"/>
    <w:rsid w:val="002B2325"/>
    <w:rsid w:val="002C178B"/>
    <w:rsid w:val="002C4604"/>
    <w:rsid w:val="002C464B"/>
    <w:rsid w:val="002C5331"/>
    <w:rsid w:val="002C5E39"/>
    <w:rsid w:val="002C697B"/>
    <w:rsid w:val="002D34D4"/>
    <w:rsid w:val="002D4306"/>
    <w:rsid w:val="002D6451"/>
    <w:rsid w:val="002D7FBF"/>
    <w:rsid w:val="002E00E9"/>
    <w:rsid w:val="002E16AA"/>
    <w:rsid w:val="002E30C6"/>
    <w:rsid w:val="002E30F9"/>
    <w:rsid w:val="002E61F9"/>
    <w:rsid w:val="002E671D"/>
    <w:rsid w:val="002E7423"/>
    <w:rsid w:val="002E75B9"/>
    <w:rsid w:val="002F2506"/>
    <w:rsid w:val="002F7CF6"/>
    <w:rsid w:val="00300D51"/>
    <w:rsid w:val="00302208"/>
    <w:rsid w:val="00303B8F"/>
    <w:rsid w:val="00305626"/>
    <w:rsid w:val="003061D0"/>
    <w:rsid w:val="00306356"/>
    <w:rsid w:val="00306F02"/>
    <w:rsid w:val="003075AA"/>
    <w:rsid w:val="00307B69"/>
    <w:rsid w:val="00310989"/>
    <w:rsid w:val="00312054"/>
    <w:rsid w:val="00314D50"/>
    <w:rsid w:val="003150ED"/>
    <w:rsid w:val="00320E12"/>
    <w:rsid w:val="00321BD0"/>
    <w:rsid w:val="0032262B"/>
    <w:rsid w:val="0032290F"/>
    <w:rsid w:val="00323EEF"/>
    <w:rsid w:val="003244EC"/>
    <w:rsid w:val="00332130"/>
    <w:rsid w:val="00332D0E"/>
    <w:rsid w:val="00333B4F"/>
    <w:rsid w:val="0033443F"/>
    <w:rsid w:val="003352E3"/>
    <w:rsid w:val="003405D2"/>
    <w:rsid w:val="0034244F"/>
    <w:rsid w:val="003436D7"/>
    <w:rsid w:val="00343B80"/>
    <w:rsid w:val="00344686"/>
    <w:rsid w:val="00344B66"/>
    <w:rsid w:val="0034536C"/>
    <w:rsid w:val="00347122"/>
    <w:rsid w:val="00351265"/>
    <w:rsid w:val="003534E5"/>
    <w:rsid w:val="00355BB9"/>
    <w:rsid w:val="003560F4"/>
    <w:rsid w:val="00356746"/>
    <w:rsid w:val="00357C5A"/>
    <w:rsid w:val="00360EF0"/>
    <w:rsid w:val="003621C3"/>
    <w:rsid w:val="003630D4"/>
    <w:rsid w:val="003653F3"/>
    <w:rsid w:val="00367DF3"/>
    <w:rsid w:val="0037283A"/>
    <w:rsid w:val="003729B0"/>
    <w:rsid w:val="00372BDE"/>
    <w:rsid w:val="00373128"/>
    <w:rsid w:val="003831C5"/>
    <w:rsid w:val="003849A9"/>
    <w:rsid w:val="00384D8E"/>
    <w:rsid w:val="00386F65"/>
    <w:rsid w:val="00387269"/>
    <w:rsid w:val="00387C16"/>
    <w:rsid w:val="0039023A"/>
    <w:rsid w:val="003908D5"/>
    <w:rsid w:val="00391E63"/>
    <w:rsid w:val="00391FB7"/>
    <w:rsid w:val="00392DBB"/>
    <w:rsid w:val="00393CE2"/>
    <w:rsid w:val="003942A9"/>
    <w:rsid w:val="00397BDF"/>
    <w:rsid w:val="003A18AB"/>
    <w:rsid w:val="003A28C4"/>
    <w:rsid w:val="003A2CE3"/>
    <w:rsid w:val="003A63F2"/>
    <w:rsid w:val="003A716B"/>
    <w:rsid w:val="003A75A9"/>
    <w:rsid w:val="003A7DC3"/>
    <w:rsid w:val="003B0515"/>
    <w:rsid w:val="003B09FE"/>
    <w:rsid w:val="003B0BF4"/>
    <w:rsid w:val="003B27ED"/>
    <w:rsid w:val="003B398F"/>
    <w:rsid w:val="003B42E2"/>
    <w:rsid w:val="003B4988"/>
    <w:rsid w:val="003B4BF2"/>
    <w:rsid w:val="003B70AE"/>
    <w:rsid w:val="003C0EE1"/>
    <w:rsid w:val="003C1016"/>
    <w:rsid w:val="003C1334"/>
    <w:rsid w:val="003C353B"/>
    <w:rsid w:val="003C36FA"/>
    <w:rsid w:val="003C3B61"/>
    <w:rsid w:val="003C52D1"/>
    <w:rsid w:val="003D01D8"/>
    <w:rsid w:val="003D22E1"/>
    <w:rsid w:val="003D326E"/>
    <w:rsid w:val="003D5D85"/>
    <w:rsid w:val="003E0D66"/>
    <w:rsid w:val="003E3CC6"/>
    <w:rsid w:val="003E4965"/>
    <w:rsid w:val="003E4B87"/>
    <w:rsid w:val="003E659F"/>
    <w:rsid w:val="003F177F"/>
    <w:rsid w:val="003F1D5C"/>
    <w:rsid w:val="003F21E2"/>
    <w:rsid w:val="003F293F"/>
    <w:rsid w:val="003F2C91"/>
    <w:rsid w:val="003F67FB"/>
    <w:rsid w:val="003F68D4"/>
    <w:rsid w:val="00404E35"/>
    <w:rsid w:val="004144EE"/>
    <w:rsid w:val="00414AE0"/>
    <w:rsid w:val="00414E57"/>
    <w:rsid w:val="00415A9F"/>
    <w:rsid w:val="00417780"/>
    <w:rsid w:val="004208F3"/>
    <w:rsid w:val="004216B6"/>
    <w:rsid w:val="00421AC9"/>
    <w:rsid w:val="00425661"/>
    <w:rsid w:val="00426242"/>
    <w:rsid w:val="00426CDA"/>
    <w:rsid w:val="00427A14"/>
    <w:rsid w:val="00434984"/>
    <w:rsid w:val="00434B3D"/>
    <w:rsid w:val="0043686D"/>
    <w:rsid w:val="004409BD"/>
    <w:rsid w:val="00442D45"/>
    <w:rsid w:val="00443A35"/>
    <w:rsid w:val="004443E4"/>
    <w:rsid w:val="00450A27"/>
    <w:rsid w:val="00452442"/>
    <w:rsid w:val="004527ED"/>
    <w:rsid w:val="0045449E"/>
    <w:rsid w:val="00455EC6"/>
    <w:rsid w:val="004569B2"/>
    <w:rsid w:val="00457B7F"/>
    <w:rsid w:val="00462182"/>
    <w:rsid w:val="00463264"/>
    <w:rsid w:val="004643AF"/>
    <w:rsid w:val="004645DA"/>
    <w:rsid w:val="0046531B"/>
    <w:rsid w:val="00465B55"/>
    <w:rsid w:val="004675D3"/>
    <w:rsid w:val="00467B2A"/>
    <w:rsid w:val="00467DA7"/>
    <w:rsid w:val="00471F8D"/>
    <w:rsid w:val="004726B3"/>
    <w:rsid w:val="00472D2D"/>
    <w:rsid w:val="00472EAC"/>
    <w:rsid w:val="00473375"/>
    <w:rsid w:val="0047371A"/>
    <w:rsid w:val="0047585D"/>
    <w:rsid w:val="00475919"/>
    <w:rsid w:val="004759CB"/>
    <w:rsid w:val="00475D38"/>
    <w:rsid w:val="00476F87"/>
    <w:rsid w:val="00477C7D"/>
    <w:rsid w:val="004827DF"/>
    <w:rsid w:val="00483783"/>
    <w:rsid w:val="00484FC0"/>
    <w:rsid w:val="00486027"/>
    <w:rsid w:val="0048798B"/>
    <w:rsid w:val="004900E7"/>
    <w:rsid w:val="0049132E"/>
    <w:rsid w:val="0049357F"/>
    <w:rsid w:val="0049627A"/>
    <w:rsid w:val="004A1520"/>
    <w:rsid w:val="004A2888"/>
    <w:rsid w:val="004A6A11"/>
    <w:rsid w:val="004A6F71"/>
    <w:rsid w:val="004A72F3"/>
    <w:rsid w:val="004A7A50"/>
    <w:rsid w:val="004B0FBE"/>
    <w:rsid w:val="004B258D"/>
    <w:rsid w:val="004B33DC"/>
    <w:rsid w:val="004B3C5E"/>
    <w:rsid w:val="004B5F2B"/>
    <w:rsid w:val="004B6766"/>
    <w:rsid w:val="004B7E92"/>
    <w:rsid w:val="004C4535"/>
    <w:rsid w:val="004C4BB2"/>
    <w:rsid w:val="004C5EAD"/>
    <w:rsid w:val="004C74EF"/>
    <w:rsid w:val="004D2DC7"/>
    <w:rsid w:val="004D5114"/>
    <w:rsid w:val="004D52FD"/>
    <w:rsid w:val="004E0B35"/>
    <w:rsid w:val="004E479C"/>
    <w:rsid w:val="004E4A6B"/>
    <w:rsid w:val="004F0A7E"/>
    <w:rsid w:val="004F1995"/>
    <w:rsid w:val="004F24A9"/>
    <w:rsid w:val="004F34A0"/>
    <w:rsid w:val="004F5118"/>
    <w:rsid w:val="004F58AB"/>
    <w:rsid w:val="004F5AC8"/>
    <w:rsid w:val="004F73D4"/>
    <w:rsid w:val="00503206"/>
    <w:rsid w:val="00503761"/>
    <w:rsid w:val="00504EFA"/>
    <w:rsid w:val="00506326"/>
    <w:rsid w:val="00507378"/>
    <w:rsid w:val="005102BC"/>
    <w:rsid w:val="00511ABC"/>
    <w:rsid w:val="00512D61"/>
    <w:rsid w:val="00514D8D"/>
    <w:rsid w:val="00515002"/>
    <w:rsid w:val="00523F3C"/>
    <w:rsid w:val="0052438F"/>
    <w:rsid w:val="00525A5B"/>
    <w:rsid w:val="00525D22"/>
    <w:rsid w:val="005269A0"/>
    <w:rsid w:val="005303DF"/>
    <w:rsid w:val="005319F2"/>
    <w:rsid w:val="00532102"/>
    <w:rsid w:val="00532E71"/>
    <w:rsid w:val="0053478D"/>
    <w:rsid w:val="00534790"/>
    <w:rsid w:val="00537289"/>
    <w:rsid w:val="00537562"/>
    <w:rsid w:val="00537FBE"/>
    <w:rsid w:val="00542EBA"/>
    <w:rsid w:val="00544AEE"/>
    <w:rsid w:val="00544F05"/>
    <w:rsid w:val="00546FB0"/>
    <w:rsid w:val="005476F1"/>
    <w:rsid w:val="00550348"/>
    <w:rsid w:val="0055294D"/>
    <w:rsid w:val="00553A4A"/>
    <w:rsid w:val="00561FC2"/>
    <w:rsid w:val="00562AFE"/>
    <w:rsid w:val="005647B9"/>
    <w:rsid w:val="005649A4"/>
    <w:rsid w:val="00566AEB"/>
    <w:rsid w:val="00571152"/>
    <w:rsid w:val="00571365"/>
    <w:rsid w:val="005719B5"/>
    <w:rsid w:val="00573CA6"/>
    <w:rsid w:val="00574481"/>
    <w:rsid w:val="00580389"/>
    <w:rsid w:val="005808F9"/>
    <w:rsid w:val="00580A5A"/>
    <w:rsid w:val="00585AF0"/>
    <w:rsid w:val="005862F8"/>
    <w:rsid w:val="005868C8"/>
    <w:rsid w:val="00587601"/>
    <w:rsid w:val="005905CD"/>
    <w:rsid w:val="00591CA0"/>
    <w:rsid w:val="00597548"/>
    <w:rsid w:val="005A5729"/>
    <w:rsid w:val="005B127E"/>
    <w:rsid w:val="005B294A"/>
    <w:rsid w:val="005B4F0E"/>
    <w:rsid w:val="005B6A6E"/>
    <w:rsid w:val="005B7B0C"/>
    <w:rsid w:val="005C04D8"/>
    <w:rsid w:val="005C1D71"/>
    <w:rsid w:val="005C31C6"/>
    <w:rsid w:val="005C41E5"/>
    <w:rsid w:val="005C4998"/>
    <w:rsid w:val="005C5930"/>
    <w:rsid w:val="005C5C0C"/>
    <w:rsid w:val="005C655B"/>
    <w:rsid w:val="005C7211"/>
    <w:rsid w:val="005D0DB0"/>
    <w:rsid w:val="005D2672"/>
    <w:rsid w:val="005D51FF"/>
    <w:rsid w:val="005D5A96"/>
    <w:rsid w:val="005D5F3C"/>
    <w:rsid w:val="005E136A"/>
    <w:rsid w:val="005E18A2"/>
    <w:rsid w:val="005E1930"/>
    <w:rsid w:val="005E249F"/>
    <w:rsid w:val="005E4AFF"/>
    <w:rsid w:val="005E7313"/>
    <w:rsid w:val="005F18C0"/>
    <w:rsid w:val="005F4D4D"/>
    <w:rsid w:val="00600068"/>
    <w:rsid w:val="006003A6"/>
    <w:rsid w:val="00601390"/>
    <w:rsid w:val="00603B14"/>
    <w:rsid w:val="00604B15"/>
    <w:rsid w:val="006113B3"/>
    <w:rsid w:val="0061174D"/>
    <w:rsid w:val="006129E6"/>
    <w:rsid w:val="00613FD5"/>
    <w:rsid w:val="00614067"/>
    <w:rsid w:val="00617404"/>
    <w:rsid w:val="00622691"/>
    <w:rsid w:val="00624D86"/>
    <w:rsid w:val="0062677F"/>
    <w:rsid w:val="00627976"/>
    <w:rsid w:val="006349EE"/>
    <w:rsid w:val="00634B20"/>
    <w:rsid w:val="00640574"/>
    <w:rsid w:val="00642E86"/>
    <w:rsid w:val="0064654E"/>
    <w:rsid w:val="0064672C"/>
    <w:rsid w:val="006474D8"/>
    <w:rsid w:val="0065243A"/>
    <w:rsid w:val="0065323C"/>
    <w:rsid w:val="00653691"/>
    <w:rsid w:val="00654F4D"/>
    <w:rsid w:val="006578F7"/>
    <w:rsid w:val="00660129"/>
    <w:rsid w:val="00664558"/>
    <w:rsid w:val="006647D0"/>
    <w:rsid w:val="00665F94"/>
    <w:rsid w:val="006661B0"/>
    <w:rsid w:val="00666B32"/>
    <w:rsid w:val="006747B5"/>
    <w:rsid w:val="006758A7"/>
    <w:rsid w:val="00676483"/>
    <w:rsid w:val="0068065D"/>
    <w:rsid w:val="00682395"/>
    <w:rsid w:val="00682A8E"/>
    <w:rsid w:val="0068462F"/>
    <w:rsid w:val="00684E74"/>
    <w:rsid w:val="00685889"/>
    <w:rsid w:val="00685FEB"/>
    <w:rsid w:val="00690F4E"/>
    <w:rsid w:val="006916B0"/>
    <w:rsid w:val="00691AB2"/>
    <w:rsid w:val="006922F4"/>
    <w:rsid w:val="0069235A"/>
    <w:rsid w:val="0069535F"/>
    <w:rsid w:val="006A1436"/>
    <w:rsid w:val="006A298A"/>
    <w:rsid w:val="006A3147"/>
    <w:rsid w:val="006A31EC"/>
    <w:rsid w:val="006A3E27"/>
    <w:rsid w:val="006A5851"/>
    <w:rsid w:val="006A61B4"/>
    <w:rsid w:val="006B06BB"/>
    <w:rsid w:val="006B34C6"/>
    <w:rsid w:val="006B36E0"/>
    <w:rsid w:val="006C2E8D"/>
    <w:rsid w:val="006C4EB2"/>
    <w:rsid w:val="006C78E9"/>
    <w:rsid w:val="006D2286"/>
    <w:rsid w:val="006D2463"/>
    <w:rsid w:val="006D276A"/>
    <w:rsid w:val="006D2DC2"/>
    <w:rsid w:val="006D3E2D"/>
    <w:rsid w:val="006D3FB8"/>
    <w:rsid w:val="006D4D44"/>
    <w:rsid w:val="006D6406"/>
    <w:rsid w:val="006E04FC"/>
    <w:rsid w:val="006E0F6C"/>
    <w:rsid w:val="006E128D"/>
    <w:rsid w:val="006E1F03"/>
    <w:rsid w:val="006E3976"/>
    <w:rsid w:val="006E5987"/>
    <w:rsid w:val="006E6D40"/>
    <w:rsid w:val="006F0088"/>
    <w:rsid w:val="006F01CC"/>
    <w:rsid w:val="006F19A9"/>
    <w:rsid w:val="006F1BB3"/>
    <w:rsid w:val="006F20B3"/>
    <w:rsid w:val="006F4063"/>
    <w:rsid w:val="006F7C68"/>
    <w:rsid w:val="00702D73"/>
    <w:rsid w:val="007048F7"/>
    <w:rsid w:val="00707FB8"/>
    <w:rsid w:val="00712457"/>
    <w:rsid w:val="00712DA3"/>
    <w:rsid w:val="00713FF2"/>
    <w:rsid w:val="00720B3B"/>
    <w:rsid w:val="0072177F"/>
    <w:rsid w:val="007223BC"/>
    <w:rsid w:val="00726B56"/>
    <w:rsid w:val="007278E9"/>
    <w:rsid w:val="00732173"/>
    <w:rsid w:val="0073495B"/>
    <w:rsid w:val="00735C7E"/>
    <w:rsid w:val="007369A6"/>
    <w:rsid w:val="0073764B"/>
    <w:rsid w:val="00741F0C"/>
    <w:rsid w:val="00742D43"/>
    <w:rsid w:val="00747779"/>
    <w:rsid w:val="00754527"/>
    <w:rsid w:val="00755402"/>
    <w:rsid w:val="007556B9"/>
    <w:rsid w:val="007561C2"/>
    <w:rsid w:val="00756602"/>
    <w:rsid w:val="00757C97"/>
    <w:rsid w:val="0076042C"/>
    <w:rsid w:val="007604B1"/>
    <w:rsid w:val="007605CF"/>
    <w:rsid w:val="00761FA9"/>
    <w:rsid w:val="00764A65"/>
    <w:rsid w:val="007713D1"/>
    <w:rsid w:val="007723E4"/>
    <w:rsid w:val="007731F6"/>
    <w:rsid w:val="00775B95"/>
    <w:rsid w:val="007767B3"/>
    <w:rsid w:val="007778C5"/>
    <w:rsid w:val="00781725"/>
    <w:rsid w:val="00781E5E"/>
    <w:rsid w:val="00781F30"/>
    <w:rsid w:val="00782085"/>
    <w:rsid w:val="00782BFC"/>
    <w:rsid w:val="007868B1"/>
    <w:rsid w:val="00787654"/>
    <w:rsid w:val="007914F6"/>
    <w:rsid w:val="00791A53"/>
    <w:rsid w:val="00791C45"/>
    <w:rsid w:val="007937B1"/>
    <w:rsid w:val="00793B2B"/>
    <w:rsid w:val="00794B51"/>
    <w:rsid w:val="00795C6D"/>
    <w:rsid w:val="00796495"/>
    <w:rsid w:val="00796FD4"/>
    <w:rsid w:val="00797096"/>
    <w:rsid w:val="007A0940"/>
    <w:rsid w:val="007A12CA"/>
    <w:rsid w:val="007A1829"/>
    <w:rsid w:val="007A3524"/>
    <w:rsid w:val="007A405E"/>
    <w:rsid w:val="007A4C32"/>
    <w:rsid w:val="007A551C"/>
    <w:rsid w:val="007A5B11"/>
    <w:rsid w:val="007B56EC"/>
    <w:rsid w:val="007B5DD3"/>
    <w:rsid w:val="007B69B6"/>
    <w:rsid w:val="007B7557"/>
    <w:rsid w:val="007C2542"/>
    <w:rsid w:val="007C2609"/>
    <w:rsid w:val="007C2A1B"/>
    <w:rsid w:val="007C3CF8"/>
    <w:rsid w:val="007C44F0"/>
    <w:rsid w:val="007C6CD8"/>
    <w:rsid w:val="007D1825"/>
    <w:rsid w:val="007D292A"/>
    <w:rsid w:val="007D3447"/>
    <w:rsid w:val="007D42F7"/>
    <w:rsid w:val="007D6AE0"/>
    <w:rsid w:val="007E10A1"/>
    <w:rsid w:val="007E2C1E"/>
    <w:rsid w:val="007E6BD5"/>
    <w:rsid w:val="007F0011"/>
    <w:rsid w:val="007F1D8D"/>
    <w:rsid w:val="007F4439"/>
    <w:rsid w:val="007F56D0"/>
    <w:rsid w:val="007F5F9D"/>
    <w:rsid w:val="007F73E8"/>
    <w:rsid w:val="00803741"/>
    <w:rsid w:val="00804CEB"/>
    <w:rsid w:val="00804FA5"/>
    <w:rsid w:val="008056A5"/>
    <w:rsid w:val="00805C2F"/>
    <w:rsid w:val="00805C87"/>
    <w:rsid w:val="00805F89"/>
    <w:rsid w:val="00806A27"/>
    <w:rsid w:val="00806BC2"/>
    <w:rsid w:val="0081090A"/>
    <w:rsid w:val="00811159"/>
    <w:rsid w:val="008119D2"/>
    <w:rsid w:val="00812614"/>
    <w:rsid w:val="00812AFE"/>
    <w:rsid w:val="00812C89"/>
    <w:rsid w:val="008141D3"/>
    <w:rsid w:val="008151C5"/>
    <w:rsid w:val="00815E47"/>
    <w:rsid w:val="00817A42"/>
    <w:rsid w:val="00817F5B"/>
    <w:rsid w:val="008220EF"/>
    <w:rsid w:val="008223FA"/>
    <w:rsid w:val="0082263A"/>
    <w:rsid w:val="00823ABA"/>
    <w:rsid w:val="00827A45"/>
    <w:rsid w:val="008309A0"/>
    <w:rsid w:val="008312F0"/>
    <w:rsid w:val="00831E32"/>
    <w:rsid w:val="008330D0"/>
    <w:rsid w:val="0083359A"/>
    <w:rsid w:val="00833EC3"/>
    <w:rsid w:val="00833FCC"/>
    <w:rsid w:val="00836A64"/>
    <w:rsid w:val="00844BC1"/>
    <w:rsid w:val="00844BC9"/>
    <w:rsid w:val="00846EC6"/>
    <w:rsid w:val="008521A3"/>
    <w:rsid w:val="008522A3"/>
    <w:rsid w:val="008528A7"/>
    <w:rsid w:val="008533F7"/>
    <w:rsid w:val="0085372A"/>
    <w:rsid w:val="0085550E"/>
    <w:rsid w:val="008571E5"/>
    <w:rsid w:val="008609E2"/>
    <w:rsid w:val="00861226"/>
    <w:rsid w:val="008627C8"/>
    <w:rsid w:val="00864D39"/>
    <w:rsid w:val="00865348"/>
    <w:rsid w:val="008656E6"/>
    <w:rsid w:val="00865852"/>
    <w:rsid w:val="008674F9"/>
    <w:rsid w:val="00870CCC"/>
    <w:rsid w:val="00870FC7"/>
    <w:rsid w:val="00872875"/>
    <w:rsid w:val="008769BE"/>
    <w:rsid w:val="00880274"/>
    <w:rsid w:val="00884845"/>
    <w:rsid w:val="00885BE7"/>
    <w:rsid w:val="008866C7"/>
    <w:rsid w:val="0089190A"/>
    <w:rsid w:val="00891BDF"/>
    <w:rsid w:val="00891EF6"/>
    <w:rsid w:val="008928FB"/>
    <w:rsid w:val="008935D6"/>
    <w:rsid w:val="0089534A"/>
    <w:rsid w:val="00896387"/>
    <w:rsid w:val="008967B0"/>
    <w:rsid w:val="008A12C6"/>
    <w:rsid w:val="008A27E2"/>
    <w:rsid w:val="008A298E"/>
    <w:rsid w:val="008A445A"/>
    <w:rsid w:val="008A4E5E"/>
    <w:rsid w:val="008A5F08"/>
    <w:rsid w:val="008A6495"/>
    <w:rsid w:val="008A718C"/>
    <w:rsid w:val="008A76CB"/>
    <w:rsid w:val="008A777E"/>
    <w:rsid w:val="008B0745"/>
    <w:rsid w:val="008B1930"/>
    <w:rsid w:val="008B1C18"/>
    <w:rsid w:val="008B2D33"/>
    <w:rsid w:val="008C12C2"/>
    <w:rsid w:val="008C15B0"/>
    <w:rsid w:val="008C1874"/>
    <w:rsid w:val="008C1A19"/>
    <w:rsid w:val="008D04E9"/>
    <w:rsid w:val="008D117E"/>
    <w:rsid w:val="008D199D"/>
    <w:rsid w:val="008D4431"/>
    <w:rsid w:val="008D4BB2"/>
    <w:rsid w:val="008E0DF1"/>
    <w:rsid w:val="008E2B3F"/>
    <w:rsid w:val="008E39FF"/>
    <w:rsid w:val="008E3C54"/>
    <w:rsid w:val="008E3E69"/>
    <w:rsid w:val="008E562F"/>
    <w:rsid w:val="008E5DCD"/>
    <w:rsid w:val="008E628C"/>
    <w:rsid w:val="008E63A8"/>
    <w:rsid w:val="008E7184"/>
    <w:rsid w:val="008F1E38"/>
    <w:rsid w:val="008F297A"/>
    <w:rsid w:val="008F30D6"/>
    <w:rsid w:val="008F39B8"/>
    <w:rsid w:val="008F43CD"/>
    <w:rsid w:val="008F7F3D"/>
    <w:rsid w:val="00901BA9"/>
    <w:rsid w:val="009022CB"/>
    <w:rsid w:val="00902571"/>
    <w:rsid w:val="00902792"/>
    <w:rsid w:val="00902D71"/>
    <w:rsid w:val="0090409D"/>
    <w:rsid w:val="00904111"/>
    <w:rsid w:val="00904A3C"/>
    <w:rsid w:val="00904F12"/>
    <w:rsid w:val="00907041"/>
    <w:rsid w:val="0090779E"/>
    <w:rsid w:val="0091235F"/>
    <w:rsid w:val="00913562"/>
    <w:rsid w:val="00916B77"/>
    <w:rsid w:val="00917239"/>
    <w:rsid w:val="00920D0E"/>
    <w:rsid w:val="0092145E"/>
    <w:rsid w:val="00922FEA"/>
    <w:rsid w:val="009251C9"/>
    <w:rsid w:val="00925E39"/>
    <w:rsid w:val="00926274"/>
    <w:rsid w:val="00931446"/>
    <w:rsid w:val="0093259D"/>
    <w:rsid w:val="00934158"/>
    <w:rsid w:val="00937833"/>
    <w:rsid w:val="00941E57"/>
    <w:rsid w:val="0094397A"/>
    <w:rsid w:val="00950372"/>
    <w:rsid w:val="00950BE0"/>
    <w:rsid w:val="009511CF"/>
    <w:rsid w:val="009571E2"/>
    <w:rsid w:val="00957727"/>
    <w:rsid w:val="00961A4B"/>
    <w:rsid w:val="00965B5C"/>
    <w:rsid w:val="0096651F"/>
    <w:rsid w:val="009675CE"/>
    <w:rsid w:val="009703C8"/>
    <w:rsid w:val="0097042D"/>
    <w:rsid w:val="009704DC"/>
    <w:rsid w:val="00971A8F"/>
    <w:rsid w:val="00977854"/>
    <w:rsid w:val="00982570"/>
    <w:rsid w:val="009833C2"/>
    <w:rsid w:val="0098341E"/>
    <w:rsid w:val="009835E3"/>
    <w:rsid w:val="009844A5"/>
    <w:rsid w:val="00986F3F"/>
    <w:rsid w:val="00987DD3"/>
    <w:rsid w:val="00990712"/>
    <w:rsid w:val="00991073"/>
    <w:rsid w:val="0099167B"/>
    <w:rsid w:val="009918DE"/>
    <w:rsid w:val="00992D05"/>
    <w:rsid w:val="009938D2"/>
    <w:rsid w:val="0099428F"/>
    <w:rsid w:val="009970CD"/>
    <w:rsid w:val="00997F90"/>
    <w:rsid w:val="009A362A"/>
    <w:rsid w:val="009A41EB"/>
    <w:rsid w:val="009B099B"/>
    <w:rsid w:val="009B1A8F"/>
    <w:rsid w:val="009B20D8"/>
    <w:rsid w:val="009B2675"/>
    <w:rsid w:val="009B270C"/>
    <w:rsid w:val="009B4438"/>
    <w:rsid w:val="009B5B7C"/>
    <w:rsid w:val="009B762D"/>
    <w:rsid w:val="009B7B63"/>
    <w:rsid w:val="009C1E6E"/>
    <w:rsid w:val="009C3C92"/>
    <w:rsid w:val="009C49B8"/>
    <w:rsid w:val="009D12F0"/>
    <w:rsid w:val="009D14C0"/>
    <w:rsid w:val="009D2A2D"/>
    <w:rsid w:val="009D44AE"/>
    <w:rsid w:val="009D4A19"/>
    <w:rsid w:val="009E0C7F"/>
    <w:rsid w:val="009E1521"/>
    <w:rsid w:val="009E3F3D"/>
    <w:rsid w:val="009E40CE"/>
    <w:rsid w:val="009E59D1"/>
    <w:rsid w:val="009E77B2"/>
    <w:rsid w:val="009F2905"/>
    <w:rsid w:val="009F4D80"/>
    <w:rsid w:val="009F55C6"/>
    <w:rsid w:val="009F57A7"/>
    <w:rsid w:val="00A01247"/>
    <w:rsid w:val="00A019BB"/>
    <w:rsid w:val="00A03C29"/>
    <w:rsid w:val="00A04102"/>
    <w:rsid w:val="00A044E3"/>
    <w:rsid w:val="00A05153"/>
    <w:rsid w:val="00A05B97"/>
    <w:rsid w:val="00A06B68"/>
    <w:rsid w:val="00A104D2"/>
    <w:rsid w:val="00A10688"/>
    <w:rsid w:val="00A1172B"/>
    <w:rsid w:val="00A12A60"/>
    <w:rsid w:val="00A14E51"/>
    <w:rsid w:val="00A1501B"/>
    <w:rsid w:val="00A15393"/>
    <w:rsid w:val="00A166D3"/>
    <w:rsid w:val="00A22A16"/>
    <w:rsid w:val="00A23FE2"/>
    <w:rsid w:val="00A30060"/>
    <w:rsid w:val="00A30D88"/>
    <w:rsid w:val="00A30E03"/>
    <w:rsid w:val="00A30F09"/>
    <w:rsid w:val="00A3353B"/>
    <w:rsid w:val="00A33DB8"/>
    <w:rsid w:val="00A34D25"/>
    <w:rsid w:val="00A3753E"/>
    <w:rsid w:val="00A37AF3"/>
    <w:rsid w:val="00A40F7C"/>
    <w:rsid w:val="00A44638"/>
    <w:rsid w:val="00A45715"/>
    <w:rsid w:val="00A457D2"/>
    <w:rsid w:val="00A46C6F"/>
    <w:rsid w:val="00A51307"/>
    <w:rsid w:val="00A52AA6"/>
    <w:rsid w:val="00A5366C"/>
    <w:rsid w:val="00A53ED6"/>
    <w:rsid w:val="00A54AB0"/>
    <w:rsid w:val="00A57C79"/>
    <w:rsid w:val="00A61D76"/>
    <w:rsid w:val="00A631E1"/>
    <w:rsid w:val="00A653E0"/>
    <w:rsid w:val="00A65FE7"/>
    <w:rsid w:val="00A663C3"/>
    <w:rsid w:val="00A7104A"/>
    <w:rsid w:val="00A71ABC"/>
    <w:rsid w:val="00A74B26"/>
    <w:rsid w:val="00A7651D"/>
    <w:rsid w:val="00A81314"/>
    <w:rsid w:val="00A814A7"/>
    <w:rsid w:val="00A82FFD"/>
    <w:rsid w:val="00A845C4"/>
    <w:rsid w:val="00A8696F"/>
    <w:rsid w:val="00A9404F"/>
    <w:rsid w:val="00A95B55"/>
    <w:rsid w:val="00AA2C1C"/>
    <w:rsid w:val="00AA590D"/>
    <w:rsid w:val="00AA5AE5"/>
    <w:rsid w:val="00AA6646"/>
    <w:rsid w:val="00AA6AF4"/>
    <w:rsid w:val="00AB1374"/>
    <w:rsid w:val="00AB32CB"/>
    <w:rsid w:val="00AB6DD0"/>
    <w:rsid w:val="00AC1075"/>
    <w:rsid w:val="00AC1959"/>
    <w:rsid w:val="00AC2400"/>
    <w:rsid w:val="00AC2D30"/>
    <w:rsid w:val="00AC335A"/>
    <w:rsid w:val="00AC3B4B"/>
    <w:rsid w:val="00AC4590"/>
    <w:rsid w:val="00AC4B5B"/>
    <w:rsid w:val="00AC517C"/>
    <w:rsid w:val="00AC6194"/>
    <w:rsid w:val="00AC641D"/>
    <w:rsid w:val="00AC642F"/>
    <w:rsid w:val="00AC764D"/>
    <w:rsid w:val="00AD0C9F"/>
    <w:rsid w:val="00AD1558"/>
    <w:rsid w:val="00AD19F6"/>
    <w:rsid w:val="00AD1A3E"/>
    <w:rsid w:val="00AD2107"/>
    <w:rsid w:val="00AD21C3"/>
    <w:rsid w:val="00AD2CD9"/>
    <w:rsid w:val="00AD3CC6"/>
    <w:rsid w:val="00AD4981"/>
    <w:rsid w:val="00AD5D9B"/>
    <w:rsid w:val="00AD7571"/>
    <w:rsid w:val="00AD7DDB"/>
    <w:rsid w:val="00AE0029"/>
    <w:rsid w:val="00AE1EB4"/>
    <w:rsid w:val="00AE3C29"/>
    <w:rsid w:val="00AE43CE"/>
    <w:rsid w:val="00AE447E"/>
    <w:rsid w:val="00AE5B16"/>
    <w:rsid w:val="00AE730B"/>
    <w:rsid w:val="00AE7EB4"/>
    <w:rsid w:val="00AF2D2F"/>
    <w:rsid w:val="00AF42F2"/>
    <w:rsid w:val="00AF504C"/>
    <w:rsid w:val="00B00510"/>
    <w:rsid w:val="00B00B8D"/>
    <w:rsid w:val="00B01208"/>
    <w:rsid w:val="00B018F1"/>
    <w:rsid w:val="00B0298D"/>
    <w:rsid w:val="00B038D5"/>
    <w:rsid w:val="00B06F70"/>
    <w:rsid w:val="00B077F8"/>
    <w:rsid w:val="00B10AAC"/>
    <w:rsid w:val="00B117DE"/>
    <w:rsid w:val="00B126DD"/>
    <w:rsid w:val="00B12E25"/>
    <w:rsid w:val="00B13331"/>
    <w:rsid w:val="00B14065"/>
    <w:rsid w:val="00B152B5"/>
    <w:rsid w:val="00B21C58"/>
    <w:rsid w:val="00B233EF"/>
    <w:rsid w:val="00B23799"/>
    <w:rsid w:val="00B239B4"/>
    <w:rsid w:val="00B255BD"/>
    <w:rsid w:val="00B31291"/>
    <w:rsid w:val="00B32361"/>
    <w:rsid w:val="00B32D95"/>
    <w:rsid w:val="00B33D2F"/>
    <w:rsid w:val="00B37C9A"/>
    <w:rsid w:val="00B40B37"/>
    <w:rsid w:val="00B40E37"/>
    <w:rsid w:val="00B4250E"/>
    <w:rsid w:val="00B427EF"/>
    <w:rsid w:val="00B42930"/>
    <w:rsid w:val="00B42C54"/>
    <w:rsid w:val="00B44640"/>
    <w:rsid w:val="00B523A9"/>
    <w:rsid w:val="00B54E74"/>
    <w:rsid w:val="00B552A7"/>
    <w:rsid w:val="00B56349"/>
    <w:rsid w:val="00B56BC7"/>
    <w:rsid w:val="00B570EE"/>
    <w:rsid w:val="00B6344A"/>
    <w:rsid w:val="00B66437"/>
    <w:rsid w:val="00B67833"/>
    <w:rsid w:val="00B734C1"/>
    <w:rsid w:val="00B7366D"/>
    <w:rsid w:val="00B74DD2"/>
    <w:rsid w:val="00B76A10"/>
    <w:rsid w:val="00B815B6"/>
    <w:rsid w:val="00B81F18"/>
    <w:rsid w:val="00B82CC6"/>
    <w:rsid w:val="00B858EA"/>
    <w:rsid w:val="00B90862"/>
    <w:rsid w:val="00B91344"/>
    <w:rsid w:val="00B94734"/>
    <w:rsid w:val="00B971DE"/>
    <w:rsid w:val="00BA1104"/>
    <w:rsid w:val="00BA275A"/>
    <w:rsid w:val="00BA4204"/>
    <w:rsid w:val="00BA4BAE"/>
    <w:rsid w:val="00BA5694"/>
    <w:rsid w:val="00BA6D56"/>
    <w:rsid w:val="00BB1CC1"/>
    <w:rsid w:val="00BB2FED"/>
    <w:rsid w:val="00BB57D8"/>
    <w:rsid w:val="00BC0D9C"/>
    <w:rsid w:val="00BC0EB9"/>
    <w:rsid w:val="00BC0F41"/>
    <w:rsid w:val="00BC1652"/>
    <w:rsid w:val="00BC35FB"/>
    <w:rsid w:val="00BC4CDD"/>
    <w:rsid w:val="00BD140D"/>
    <w:rsid w:val="00BD339D"/>
    <w:rsid w:val="00BD64AE"/>
    <w:rsid w:val="00BD6982"/>
    <w:rsid w:val="00BD6DF5"/>
    <w:rsid w:val="00BE1180"/>
    <w:rsid w:val="00BE1B42"/>
    <w:rsid w:val="00BE1B5A"/>
    <w:rsid w:val="00BE1CD1"/>
    <w:rsid w:val="00BE236C"/>
    <w:rsid w:val="00BE40E4"/>
    <w:rsid w:val="00BE4302"/>
    <w:rsid w:val="00BE768C"/>
    <w:rsid w:val="00BF00D7"/>
    <w:rsid w:val="00BF25B3"/>
    <w:rsid w:val="00BF3EDE"/>
    <w:rsid w:val="00BF5DFD"/>
    <w:rsid w:val="00BF71B6"/>
    <w:rsid w:val="00BF7AF6"/>
    <w:rsid w:val="00C01AB2"/>
    <w:rsid w:val="00C03228"/>
    <w:rsid w:val="00C033D3"/>
    <w:rsid w:val="00C104FB"/>
    <w:rsid w:val="00C11DF8"/>
    <w:rsid w:val="00C12ABC"/>
    <w:rsid w:val="00C136D4"/>
    <w:rsid w:val="00C16266"/>
    <w:rsid w:val="00C17009"/>
    <w:rsid w:val="00C17694"/>
    <w:rsid w:val="00C232A7"/>
    <w:rsid w:val="00C23A23"/>
    <w:rsid w:val="00C248A9"/>
    <w:rsid w:val="00C24CEC"/>
    <w:rsid w:val="00C303BA"/>
    <w:rsid w:val="00C30E6E"/>
    <w:rsid w:val="00C346D7"/>
    <w:rsid w:val="00C36BC5"/>
    <w:rsid w:val="00C36E11"/>
    <w:rsid w:val="00C43D51"/>
    <w:rsid w:val="00C50053"/>
    <w:rsid w:val="00C51D5D"/>
    <w:rsid w:val="00C57819"/>
    <w:rsid w:val="00C57EEF"/>
    <w:rsid w:val="00C67522"/>
    <w:rsid w:val="00C71620"/>
    <w:rsid w:val="00C71868"/>
    <w:rsid w:val="00C721C0"/>
    <w:rsid w:val="00C73CB0"/>
    <w:rsid w:val="00C742A7"/>
    <w:rsid w:val="00C759DF"/>
    <w:rsid w:val="00C75B6C"/>
    <w:rsid w:val="00C8230B"/>
    <w:rsid w:val="00C82F09"/>
    <w:rsid w:val="00C842FC"/>
    <w:rsid w:val="00C8657E"/>
    <w:rsid w:val="00C86A72"/>
    <w:rsid w:val="00C86D39"/>
    <w:rsid w:val="00C87E42"/>
    <w:rsid w:val="00C9075A"/>
    <w:rsid w:val="00C90A4B"/>
    <w:rsid w:val="00C930EE"/>
    <w:rsid w:val="00C94360"/>
    <w:rsid w:val="00C944FD"/>
    <w:rsid w:val="00C9502A"/>
    <w:rsid w:val="00C96369"/>
    <w:rsid w:val="00C9777A"/>
    <w:rsid w:val="00CA08AE"/>
    <w:rsid w:val="00CA1277"/>
    <w:rsid w:val="00CA4AA6"/>
    <w:rsid w:val="00CA550C"/>
    <w:rsid w:val="00CA6362"/>
    <w:rsid w:val="00CA7392"/>
    <w:rsid w:val="00CB1567"/>
    <w:rsid w:val="00CB15B3"/>
    <w:rsid w:val="00CB172D"/>
    <w:rsid w:val="00CB1869"/>
    <w:rsid w:val="00CB4B1F"/>
    <w:rsid w:val="00CB696D"/>
    <w:rsid w:val="00CB7F2C"/>
    <w:rsid w:val="00CD0E46"/>
    <w:rsid w:val="00CD124B"/>
    <w:rsid w:val="00CD18E6"/>
    <w:rsid w:val="00CD2864"/>
    <w:rsid w:val="00CD2A1F"/>
    <w:rsid w:val="00CD3D4E"/>
    <w:rsid w:val="00CD6245"/>
    <w:rsid w:val="00CD69D5"/>
    <w:rsid w:val="00CD7271"/>
    <w:rsid w:val="00CE58DD"/>
    <w:rsid w:val="00CE623C"/>
    <w:rsid w:val="00CE6B5E"/>
    <w:rsid w:val="00CF01ED"/>
    <w:rsid w:val="00CF1B4E"/>
    <w:rsid w:val="00CF4F1B"/>
    <w:rsid w:val="00CF50F9"/>
    <w:rsid w:val="00CF5FC9"/>
    <w:rsid w:val="00CF79DD"/>
    <w:rsid w:val="00D035E5"/>
    <w:rsid w:val="00D03FB3"/>
    <w:rsid w:val="00D07300"/>
    <w:rsid w:val="00D10085"/>
    <w:rsid w:val="00D11AAC"/>
    <w:rsid w:val="00D11F40"/>
    <w:rsid w:val="00D12342"/>
    <w:rsid w:val="00D130C8"/>
    <w:rsid w:val="00D15581"/>
    <w:rsid w:val="00D1609C"/>
    <w:rsid w:val="00D16759"/>
    <w:rsid w:val="00D17A29"/>
    <w:rsid w:val="00D22258"/>
    <w:rsid w:val="00D23982"/>
    <w:rsid w:val="00D326F9"/>
    <w:rsid w:val="00D33345"/>
    <w:rsid w:val="00D33B05"/>
    <w:rsid w:val="00D35046"/>
    <w:rsid w:val="00D37CA9"/>
    <w:rsid w:val="00D40938"/>
    <w:rsid w:val="00D42608"/>
    <w:rsid w:val="00D439FF"/>
    <w:rsid w:val="00D43D27"/>
    <w:rsid w:val="00D44A93"/>
    <w:rsid w:val="00D451F1"/>
    <w:rsid w:val="00D45592"/>
    <w:rsid w:val="00D45FA1"/>
    <w:rsid w:val="00D477E1"/>
    <w:rsid w:val="00D5287B"/>
    <w:rsid w:val="00D546FE"/>
    <w:rsid w:val="00D5495A"/>
    <w:rsid w:val="00D55C29"/>
    <w:rsid w:val="00D55D1C"/>
    <w:rsid w:val="00D5769D"/>
    <w:rsid w:val="00D5786B"/>
    <w:rsid w:val="00D60A1D"/>
    <w:rsid w:val="00D614A7"/>
    <w:rsid w:val="00D6356B"/>
    <w:rsid w:val="00D644F5"/>
    <w:rsid w:val="00D65BAC"/>
    <w:rsid w:val="00D65E39"/>
    <w:rsid w:val="00D66B57"/>
    <w:rsid w:val="00D674F9"/>
    <w:rsid w:val="00D7100C"/>
    <w:rsid w:val="00D7303F"/>
    <w:rsid w:val="00D7446B"/>
    <w:rsid w:val="00D75922"/>
    <w:rsid w:val="00D763CF"/>
    <w:rsid w:val="00D76840"/>
    <w:rsid w:val="00D77C88"/>
    <w:rsid w:val="00D80333"/>
    <w:rsid w:val="00D813B1"/>
    <w:rsid w:val="00D8667D"/>
    <w:rsid w:val="00D90B29"/>
    <w:rsid w:val="00D91ACE"/>
    <w:rsid w:val="00DA01FE"/>
    <w:rsid w:val="00DA1CE3"/>
    <w:rsid w:val="00DA1E78"/>
    <w:rsid w:val="00DA27AC"/>
    <w:rsid w:val="00DA28B7"/>
    <w:rsid w:val="00DA29E2"/>
    <w:rsid w:val="00DA312C"/>
    <w:rsid w:val="00DB075F"/>
    <w:rsid w:val="00DB1AD5"/>
    <w:rsid w:val="00DB25E1"/>
    <w:rsid w:val="00DB2943"/>
    <w:rsid w:val="00DB558D"/>
    <w:rsid w:val="00DB6EDF"/>
    <w:rsid w:val="00DC14C4"/>
    <w:rsid w:val="00DC1568"/>
    <w:rsid w:val="00DC31A8"/>
    <w:rsid w:val="00DC34A6"/>
    <w:rsid w:val="00DC38B6"/>
    <w:rsid w:val="00DC395D"/>
    <w:rsid w:val="00DC4A85"/>
    <w:rsid w:val="00DC68A8"/>
    <w:rsid w:val="00DC6A7B"/>
    <w:rsid w:val="00DC6E73"/>
    <w:rsid w:val="00DD4C20"/>
    <w:rsid w:val="00DD4E90"/>
    <w:rsid w:val="00DD756A"/>
    <w:rsid w:val="00DE1F58"/>
    <w:rsid w:val="00DE2217"/>
    <w:rsid w:val="00DE39CE"/>
    <w:rsid w:val="00DE3C08"/>
    <w:rsid w:val="00DE47B2"/>
    <w:rsid w:val="00DE4E18"/>
    <w:rsid w:val="00DF0990"/>
    <w:rsid w:val="00DF1ECB"/>
    <w:rsid w:val="00DF402F"/>
    <w:rsid w:val="00E00BDF"/>
    <w:rsid w:val="00E04C38"/>
    <w:rsid w:val="00E05337"/>
    <w:rsid w:val="00E059A3"/>
    <w:rsid w:val="00E05C7B"/>
    <w:rsid w:val="00E07B86"/>
    <w:rsid w:val="00E10BEC"/>
    <w:rsid w:val="00E10C28"/>
    <w:rsid w:val="00E11417"/>
    <w:rsid w:val="00E11B91"/>
    <w:rsid w:val="00E11F23"/>
    <w:rsid w:val="00E1403B"/>
    <w:rsid w:val="00E1451C"/>
    <w:rsid w:val="00E16499"/>
    <w:rsid w:val="00E17A2B"/>
    <w:rsid w:val="00E17EAF"/>
    <w:rsid w:val="00E21482"/>
    <w:rsid w:val="00E23359"/>
    <w:rsid w:val="00E23BE5"/>
    <w:rsid w:val="00E242F9"/>
    <w:rsid w:val="00E27732"/>
    <w:rsid w:val="00E33EE5"/>
    <w:rsid w:val="00E37EC1"/>
    <w:rsid w:val="00E40428"/>
    <w:rsid w:val="00E40AD3"/>
    <w:rsid w:val="00E41286"/>
    <w:rsid w:val="00E427D0"/>
    <w:rsid w:val="00E44414"/>
    <w:rsid w:val="00E4578B"/>
    <w:rsid w:val="00E45EE4"/>
    <w:rsid w:val="00E504F9"/>
    <w:rsid w:val="00E516BA"/>
    <w:rsid w:val="00E51CA0"/>
    <w:rsid w:val="00E5549A"/>
    <w:rsid w:val="00E56318"/>
    <w:rsid w:val="00E568D8"/>
    <w:rsid w:val="00E60283"/>
    <w:rsid w:val="00E609CF"/>
    <w:rsid w:val="00E60E95"/>
    <w:rsid w:val="00E61F55"/>
    <w:rsid w:val="00E62A91"/>
    <w:rsid w:val="00E638FF"/>
    <w:rsid w:val="00E662A2"/>
    <w:rsid w:val="00E66605"/>
    <w:rsid w:val="00E715C5"/>
    <w:rsid w:val="00E71806"/>
    <w:rsid w:val="00E761EB"/>
    <w:rsid w:val="00E762E9"/>
    <w:rsid w:val="00E765C4"/>
    <w:rsid w:val="00E767B2"/>
    <w:rsid w:val="00E77627"/>
    <w:rsid w:val="00E80B05"/>
    <w:rsid w:val="00E81083"/>
    <w:rsid w:val="00E817CF"/>
    <w:rsid w:val="00E83A79"/>
    <w:rsid w:val="00E83D5D"/>
    <w:rsid w:val="00E844B0"/>
    <w:rsid w:val="00E85016"/>
    <w:rsid w:val="00E859A6"/>
    <w:rsid w:val="00E85CD5"/>
    <w:rsid w:val="00E878A0"/>
    <w:rsid w:val="00E906D0"/>
    <w:rsid w:val="00E919A5"/>
    <w:rsid w:val="00E92CCF"/>
    <w:rsid w:val="00E92F02"/>
    <w:rsid w:val="00EA03D3"/>
    <w:rsid w:val="00EA03DD"/>
    <w:rsid w:val="00EA3623"/>
    <w:rsid w:val="00EA4A29"/>
    <w:rsid w:val="00EB0074"/>
    <w:rsid w:val="00EB17F8"/>
    <w:rsid w:val="00EB5976"/>
    <w:rsid w:val="00EB59DB"/>
    <w:rsid w:val="00EC0DE9"/>
    <w:rsid w:val="00EC48D0"/>
    <w:rsid w:val="00EC4C8A"/>
    <w:rsid w:val="00EC571B"/>
    <w:rsid w:val="00EC60D4"/>
    <w:rsid w:val="00ED0C02"/>
    <w:rsid w:val="00ED238F"/>
    <w:rsid w:val="00ED39F1"/>
    <w:rsid w:val="00EE16F2"/>
    <w:rsid w:val="00EE331D"/>
    <w:rsid w:val="00EE43CA"/>
    <w:rsid w:val="00EE4A9A"/>
    <w:rsid w:val="00EE5BE9"/>
    <w:rsid w:val="00EE675B"/>
    <w:rsid w:val="00EF2643"/>
    <w:rsid w:val="00EF49B0"/>
    <w:rsid w:val="00EF757E"/>
    <w:rsid w:val="00EF7BCB"/>
    <w:rsid w:val="00F04A9C"/>
    <w:rsid w:val="00F04B62"/>
    <w:rsid w:val="00F04D4C"/>
    <w:rsid w:val="00F0751C"/>
    <w:rsid w:val="00F118A5"/>
    <w:rsid w:val="00F1202D"/>
    <w:rsid w:val="00F140E1"/>
    <w:rsid w:val="00F15265"/>
    <w:rsid w:val="00F16187"/>
    <w:rsid w:val="00F16A29"/>
    <w:rsid w:val="00F16CB2"/>
    <w:rsid w:val="00F203FC"/>
    <w:rsid w:val="00F20FE2"/>
    <w:rsid w:val="00F225B1"/>
    <w:rsid w:val="00F27810"/>
    <w:rsid w:val="00F30669"/>
    <w:rsid w:val="00F346DF"/>
    <w:rsid w:val="00F35EC7"/>
    <w:rsid w:val="00F36C25"/>
    <w:rsid w:val="00F37171"/>
    <w:rsid w:val="00F37531"/>
    <w:rsid w:val="00F42251"/>
    <w:rsid w:val="00F42DC6"/>
    <w:rsid w:val="00F44A42"/>
    <w:rsid w:val="00F45C82"/>
    <w:rsid w:val="00F4608D"/>
    <w:rsid w:val="00F501BF"/>
    <w:rsid w:val="00F50B85"/>
    <w:rsid w:val="00F54BEB"/>
    <w:rsid w:val="00F57B15"/>
    <w:rsid w:val="00F608BC"/>
    <w:rsid w:val="00F61B1C"/>
    <w:rsid w:val="00F6202E"/>
    <w:rsid w:val="00F652D8"/>
    <w:rsid w:val="00F66BB0"/>
    <w:rsid w:val="00F70048"/>
    <w:rsid w:val="00F704A4"/>
    <w:rsid w:val="00F706AE"/>
    <w:rsid w:val="00F72624"/>
    <w:rsid w:val="00F7528D"/>
    <w:rsid w:val="00F777F2"/>
    <w:rsid w:val="00F80BD6"/>
    <w:rsid w:val="00F82630"/>
    <w:rsid w:val="00F83143"/>
    <w:rsid w:val="00F831CB"/>
    <w:rsid w:val="00F83E44"/>
    <w:rsid w:val="00F84013"/>
    <w:rsid w:val="00F840ED"/>
    <w:rsid w:val="00F87925"/>
    <w:rsid w:val="00F87C10"/>
    <w:rsid w:val="00F904C2"/>
    <w:rsid w:val="00F91925"/>
    <w:rsid w:val="00F93247"/>
    <w:rsid w:val="00F9369A"/>
    <w:rsid w:val="00F96683"/>
    <w:rsid w:val="00FA0A18"/>
    <w:rsid w:val="00FA23A6"/>
    <w:rsid w:val="00FA2A08"/>
    <w:rsid w:val="00FA3272"/>
    <w:rsid w:val="00FA3622"/>
    <w:rsid w:val="00FA53FE"/>
    <w:rsid w:val="00FB07F4"/>
    <w:rsid w:val="00FB0A6A"/>
    <w:rsid w:val="00FB15A3"/>
    <w:rsid w:val="00FB3499"/>
    <w:rsid w:val="00FB5211"/>
    <w:rsid w:val="00FB779F"/>
    <w:rsid w:val="00FC0CD7"/>
    <w:rsid w:val="00FC0D5A"/>
    <w:rsid w:val="00FC3A08"/>
    <w:rsid w:val="00FC452B"/>
    <w:rsid w:val="00FC4616"/>
    <w:rsid w:val="00FC5C86"/>
    <w:rsid w:val="00FC63F4"/>
    <w:rsid w:val="00FC6EEE"/>
    <w:rsid w:val="00FC7E14"/>
    <w:rsid w:val="00FD0317"/>
    <w:rsid w:val="00FD4457"/>
    <w:rsid w:val="00FD5803"/>
    <w:rsid w:val="00FE0FD8"/>
    <w:rsid w:val="00FE3849"/>
    <w:rsid w:val="00FE3E0E"/>
    <w:rsid w:val="00FE4A3F"/>
    <w:rsid w:val="00FF0413"/>
    <w:rsid w:val="00FF1196"/>
    <w:rsid w:val="00FF146E"/>
    <w:rsid w:val="00FF15D3"/>
    <w:rsid w:val="00FF2F49"/>
    <w:rsid w:val="00FF6D82"/>
  </w:rsids>
  <m:mathPr>
    <m:mathFont m:val="Cambria Math"/>
    <m:brkBin m:val="before"/>
    <m:brkBinSub m:val="--"/>
    <m:smallFrac/>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sz w:val="24"/>
        <w:szCs w:val="24"/>
        <w:lang w:val="en-AU" w:eastAsia="en-AU" w:bidi="ar-SA"/>
      </w:rPr>
    </w:rPrDefault>
    <w:pPrDefault/>
  </w:docDefaults>
  <w:latentStyles w:defLockedState="0" w:defUIPriority="0" w:defSemiHidden="1" w:defUnhideWhenUsed="1" w:defQFormat="0" w:count="267">
    <w:lsdException w:name="Normal" w:semiHidden="0" w:unhideWhenUsed="0"/>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3" w:qFormat="1"/>
    <w:lsdException w:name="heading 6" w:uiPriority="3" w:qFormat="1"/>
    <w:lsdException w:name="heading 7" w:uiPriority="3" w:qFormat="1"/>
    <w:lsdException w:name="heading 8" w:uiPriority="3" w:qFormat="1"/>
    <w:lsdException w:name="heading 9" w:uiPriority="3" w:qFormat="1"/>
    <w:lsdException w:name="toc 1" w:uiPriority="39"/>
    <w:lsdException w:name="toc 2" w:uiPriority="39"/>
    <w:lsdException w:name="annotation text" w:uiPriority="99"/>
    <w:lsdException w:name="caption" w:qFormat="1"/>
    <w:lsdException w:name="table of figures" w:uiPriority="99"/>
    <w:lsdException w:name="annotation reference" w:uiPriority="99"/>
    <w:lsdException w:name="List" w:semiHidden="0" w:unhideWhenUsed="0"/>
    <w:lsdException w:name="List Number" w:uiPriority="7" w:qFormat="1"/>
    <w:lsdException w:name="List 2" w:semiHidden="0" w:unhideWhenUsed="0"/>
    <w:lsdException w:name="List 3" w:semiHidden="0" w:unhideWhenUsed="0"/>
    <w:lsdException w:name="Title" w:semiHidden="0" w:unhideWhenUsed="0"/>
    <w:lsdException w:name="List Continue 5" w:semiHidden="0" w:unhideWhenUsed="0"/>
    <w:lsdException w:name="Message Header" w:semiHidden="0" w:unhideWhenUsed="0"/>
    <w:lsdException w:name="Subtitle" w:semiHidden="0" w:unhideWhenUsed="0"/>
    <w:lsdException w:name="Salutation" w:semiHidden="0" w:unhideWhenUsed="0"/>
    <w:lsdException w:name="Hyperlink" w:uiPriority="99"/>
    <w:lsdException w:name="Strong" w:semiHidden="0" w:uiPriority="22" w:unhideWhenUsed="0" w:qFormat="1"/>
    <w:lsdException w:name="Emphasis" w:semiHidden="0" w:uiPriority="20" w:unhideWhenUsed="0" w:qFormat="1"/>
    <w:lsdException w:name="Normal (Web)" w:uiPriority="99"/>
    <w:lsdException w:name="Table Grid" w:semiHidden="0" w:unhideWhenUsed="0"/>
    <w:lsdException w:name="Placeholder Text" w:semiHidden="0" w:unhideWhenUsed="0"/>
    <w:lsdException w:name="No Spacing" w:semiHidden="0"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sdException w:name="Bibliography" w:semiHidden="0" w:unhideWhenUsed="0"/>
    <w:lsdException w:name="TOC Heading" w:semiHidden="0" w:unhideWhenUsed="0"/>
  </w:latentStyles>
  <w:style w:type="paragraph" w:default="1" w:styleId="Normal">
    <w:name w:val="Normal"/>
    <w:rsid w:val="00221A3F"/>
  </w:style>
  <w:style w:type="paragraph" w:styleId="Heading1">
    <w:name w:val="heading 1"/>
    <w:basedOn w:val="Normal"/>
    <w:next w:val="Normal"/>
    <w:link w:val="Heading1Char"/>
    <w:uiPriority w:val="9"/>
    <w:qFormat/>
    <w:rsid w:val="00484FC0"/>
    <w:pPr>
      <w:keepNext/>
      <w:keepLines/>
      <w:pageBreakBefore/>
      <w:numPr>
        <w:numId w:val="1"/>
      </w:numPr>
      <w:spacing w:after="1120" w:line="216" w:lineRule="auto"/>
      <w:outlineLvl w:val="0"/>
    </w:pPr>
    <w:rPr>
      <w:rFonts w:ascii="Calibri" w:hAnsi="Calibri" w:cs="Calibri"/>
      <w:color w:val="404040"/>
      <w:kern w:val="28"/>
      <w:sz w:val="40"/>
      <w:szCs w:val="22"/>
      <w:lang w:eastAsia="en-US"/>
    </w:rPr>
  </w:style>
  <w:style w:type="paragraph" w:styleId="Heading2">
    <w:name w:val="heading 2"/>
    <w:basedOn w:val="Heading1"/>
    <w:next w:val="Normal"/>
    <w:link w:val="Heading2Char"/>
    <w:uiPriority w:val="9"/>
    <w:qFormat/>
    <w:rsid w:val="00484FC0"/>
    <w:pPr>
      <w:pageBreakBefore w:val="0"/>
      <w:widowControl w:val="0"/>
      <w:numPr>
        <w:ilvl w:val="1"/>
      </w:numPr>
      <w:spacing w:before="280" w:after="120"/>
      <w:outlineLvl w:val="1"/>
    </w:pPr>
    <w:rPr>
      <w:color w:val="4D4D4D"/>
      <w:sz w:val="30"/>
    </w:rPr>
  </w:style>
  <w:style w:type="paragraph" w:styleId="Heading3">
    <w:name w:val="heading 3"/>
    <w:basedOn w:val="Heading2"/>
    <w:next w:val="Normal"/>
    <w:link w:val="Heading3Char"/>
    <w:uiPriority w:val="9"/>
    <w:qFormat/>
    <w:rsid w:val="00484FC0"/>
    <w:pPr>
      <w:numPr>
        <w:ilvl w:val="2"/>
      </w:numPr>
      <w:spacing w:before="200"/>
      <w:outlineLvl w:val="2"/>
    </w:pPr>
    <w:rPr>
      <w:b/>
      <w:sz w:val="26"/>
    </w:rPr>
  </w:style>
  <w:style w:type="paragraph" w:styleId="Heading4">
    <w:name w:val="heading 4"/>
    <w:basedOn w:val="Heading3"/>
    <w:next w:val="Normal"/>
    <w:link w:val="Heading4Char"/>
    <w:uiPriority w:val="9"/>
    <w:qFormat/>
    <w:rsid w:val="00484FC0"/>
    <w:pPr>
      <w:numPr>
        <w:ilvl w:val="3"/>
      </w:numPr>
      <w:spacing w:before="160" w:line="228" w:lineRule="auto"/>
      <w:outlineLvl w:val="3"/>
    </w:pPr>
    <w:rPr>
      <w:sz w:val="22"/>
    </w:rPr>
  </w:style>
  <w:style w:type="paragraph" w:styleId="Heading5">
    <w:name w:val="heading 5"/>
    <w:basedOn w:val="Heading4"/>
    <w:next w:val="Normal"/>
    <w:link w:val="Heading5Char"/>
    <w:uiPriority w:val="3"/>
    <w:qFormat/>
    <w:rsid w:val="00484FC0"/>
    <w:pPr>
      <w:numPr>
        <w:ilvl w:val="4"/>
      </w:numPr>
      <w:outlineLvl w:val="4"/>
    </w:pPr>
    <w:rPr>
      <w:bCs/>
      <w:i/>
      <w:color w:val="404040"/>
    </w:rPr>
  </w:style>
  <w:style w:type="paragraph" w:styleId="Heading6">
    <w:name w:val="heading 6"/>
    <w:basedOn w:val="Heading5"/>
    <w:next w:val="Normal"/>
    <w:link w:val="Heading6Char"/>
    <w:uiPriority w:val="3"/>
    <w:qFormat/>
    <w:rsid w:val="00484FC0"/>
    <w:pPr>
      <w:numPr>
        <w:ilvl w:val="5"/>
      </w:numPr>
      <w:outlineLvl w:val="5"/>
    </w:pPr>
    <w:rPr>
      <w:iCs/>
    </w:rPr>
  </w:style>
  <w:style w:type="paragraph" w:styleId="Heading7">
    <w:name w:val="heading 7"/>
    <w:basedOn w:val="Heading6"/>
    <w:next w:val="Normal"/>
    <w:link w:val="Heading7Char"/>
    <w:uiPriority w:val="3"/>
    <w:qFormat/>
    <w:rsid w:val="00484FC0"/>
    <w:pPr>
      <w:numPr>
        <w:ilvl w:val="6"/>
      </w:numPr>
      <w:outlineLvl w:val="6"/>
    </w:pPr>
    <w:rPr>
      <w:i w:val="0"/>
    </w:rPr>
  </w:style>
  <w:style w:type="paragraph" w:styleId="Heading8">
    <w:name w:val="heading 8"/>
    <w:basedOn w:val="Heading7"/>
    <w:next w:val="Normal"/>
    <w:link w:val="Heading8Char"/>
    <w:uiPriority w:val="3"/>
    <w:qFormat/>
    <w:rsid w:val="00484FC0"/>
    <w:pPr>
      <w:numPr>
        <w:ilvl w:val="7"/>
      </w:numPr>
      <w:outlineLvl w:val="7"/>
    </w:pPr>
    <w:rPr>
      <w:b w:val="0"/>
    </w:rPr>
  </w:style>
  <w:style w:type="paragraph" w:styleId="Heading9">
    <w:name w:val="heading 9"/>
    <w:basedOn w:val="Heading8"/>
    <w:next w:val="Normal"/>
    <w:link w:val="Heading9Char"/>
    <w:uiPriority w:val="3"/>
    <w:qFormat/>
    <w:rsid w:val="00484FC0"/>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CopyBlack">
    <w:name w:val="Body Copy Black"/>
    <w:basedOn w:val="Normal"/>
    <w:uiPriority w:val="99"/>
    <w:rsid w:val="00B971DE"/>
    <w:pPr>
      <w:widowControl w:val="0"/>
      <w:tabs>
        <w:tab w:val="left" w:pos="283"/>
        <w:tab w:val="left" w:pos="567"/>
      </w:tabs>
      <w:suppressAutoHyphens/>
      <w:autoSpaceDE w:val="0"/>
      <w:autoSpaceDN w:val="0"/>
      <w:adjustRightInd w:val="0"/>
      <w:spacing w:after="113" w:line="270" w:lineRule="atLeast"/>
      <w:textAlignment w:val="center"/>
    </w:pPr>
    <w:rPr>
      <w:rFonts w:ascii="TradeGothic-CondEighteen" w:hAnsi="TradeGothic-CondEighteen" w:cs="TradeGothic-CondEighteen"/>
      <w:color w:val="000000"/>
      <w:sz w:val="21"/>
      <w:szCs w:val="21"/>
      <w:lang w:val="en-GB"/>
    </w:rPr>
  </w:style>
  <w:style w:type="paragraph" w:customStyle="1" w:styleId="HeadingDBlue">
    <w:name w:val="Heading D Blue"/>
    <w:basedOn w:val="BodyCopyBlack"/>
    <w:uiPriority w:val="99"/>
    <w:rsid w:val="00B971DE"/>
    <w:rPr>
      <w:rFonts w:ascii="TradeGothic-BoldCondTwenty" w:hAnsi="TradeGothic-BoldCondTwenty" w:cs="TradeGothic-BoldCondTwenty"/>
      <w:b/>
      <w:bCs/>
      <w:color w:val="66C1CA"/>
    </w:rPr>
  </w:style>
  <w:style w:type="character" w:customStyle="1" w:styleId="BodyCopyItalicBlack">
    <w:name w:val="Body Copy Italic Black"/>
    <w:uiPriority w:val="99"/>
    <w:rsid w:val="00B971DE"/>
    <w:rPr>
      <w:i/>
      <w:iCs/>
    </w:rPr>
  </w:style>
  <w:style w:type="character" w:styleId="Hyperlink">
    <w:name w:val="Hyperlink"/>
    <w:basedOn w:val="DefaultParagraphFont"/>
    <w:uiPriority w:val="99"/>
    <w:unhideWhenUsed/>
    <w:rsid w:val="00B971DE"/>
    <w:rPr>
      <w:color w:val="0000FF" w:themeColor="hyperlink"/>
      <w:u w:val="single"/>
    </w:rPr>
  </w:style>
  <w:style w:type="paragraph" w:styleId="BalloonText">
    <w:name w:val="Balloon Text"/>
    <w:basedOn w:val="Normal"/>
    <w:link w:val="BalloonTextChar"/>
    <w:uiPriority w:val="99"/>
    <w:semiHidden/>
    <w:unhideWhenUsed/>
    <w:rsid w:val="00231EF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31EFF"/>
    <w:rPr>
      <w:rFonts w:ascii="Lucida Grande" w:hAnsi="Lucida Grande" w:cs="Lucida Grande"/>
      <w:sz w:val="18"/>
      <w:szCs w:val="18"/>
    </w:rPr>
  </w:style>
  <w:style w:type="character" w:customStyle="1" w:styleId="Heading1Char">
    <w:name w:val="Heading 1 Char"/>
    <w:basedOn w:val="DefaultParagraphFont"/>
    <w:link w:val="Heading1"/>
    <w:uiPriority w:val="9"/>
    <w:rsid w:val="00484FC0"/>
    <w:rPr>
      <w:rFonts w:ascii="Calibri" w:hAnsi="Calibri" w:cs="Calibri"/>
      <w:color w:val="404040"/>
      <w:kern w:val="28"/>
      <w:sz w:val="40"/>
      <w:szCs w:val="22"/>
      <w:lang w:eastAsia="en-US"/>
    </w:rPr>
  </w:style>
  <w:style w:type="character" w:customStyle="1" w:styleId="Heading2Char">
    <w:name w:val="Heading 2 Char"/>
    <w:basedOn w:val="DefaultParagraphFont"/>
    <w:link w:val="Heading2"/>
    <w:uiPriority w:val="9"/>
    <w:rsid w:val="00484FC0"/>
    <w:rPr>
      <w:rFonts w:ascii="Calibri" w:hAnsi="Calibri" w:cs="Calibri"/>
      <w:color w:val="4D4D4D"/>
      <w:kern w:val="28"/>
      <w:sz w:val="30"/>
      <w:szCs w:val="22"/>
      <w:lang w:eastAsia="en-US"/>
    </w:rPr>
  </w:style>
  <w:style w:type="character" w:customStyle="1" w:styleId="Heading3Char">
    <w:name w:val="Heading 3 Char"/>
    <w:basedOn w:val="DefaultParagraphFont"/>
    <w:link w:val="Heading3"/>
    <w:uiPriority w:val="9"/>
    <w:rsid w:val="00484FC0"/>
    <w:rPr>
      <w:rFonts w:ascii="Calibri" w:hAnsi="Calibri" w:cs="Calibri"/>
      <w:b/>
      <w:color w:val="4D4D4D"/>
      <w:kern w:val="28"/>
      <w:sz w:val="26"/>
      <w:szCs w:val="22"/>
      <w:lang w:eastAsia="en-US"/>
    </w:rPr>
  </w:style>
  <w:style w:type="character" w:customStyle="1" w:styleId="Heading4Char">
    <w:name w:val="Heading 4 Char"/>
    <w:basedOn w:val="DefaultParagraphFont"/>
    <w:link w:val="Heading4"/>
    <w:uiPriority w:val="9"/>
    <w:rsid w:val="00484FC0"/>
    <w:rPr>
      <w:rFonts w:ascii="Calibri" w:hAnsi="Calibri" w:cs="Calibri"/>
      <w:b/>
      <w:color w:val="4D4D4D"/>
      <w:kern w:val="28"/>
      <w:sz w:val="22"/>
      <w:szCs w:val="22"/>
      <w:lang w:eastAsia="en-US"/>
    </w:rPr>
  </w:style>
  <w:style w:type="character" w:customStyle="1" w:styleId="Heading5Char">
    <w:name w:val="Heading 5 Char"/>
    <w:basedOn w:val="DefaultParagraphFont"/>
    <w:link w:val="Heading5"/>
    <w:uiPriority w:val="3"/>
    <w:rsid w:val="00484FC0"/>
    <w:rPr>
      <w:rFonts w:ascii="Calibri" w:hAnsi="Calibri" w:cs="Calibri"/>
      <w:b/>
      <w:bCs/>
      <w:i/>
      <w:color w:val="404040"/>
      <w:kern w:val="28"/>
      <w:sz w:val="22"/>
      <w:szCs w:val="22"/>
      <w:lang w:eastAsia="en-US"/>
    </w:rPr>
  </w:style>
  <w:style w:type="character" w:customStyle="1" w:styleId="Heading6Char">
    <w:name w:val="Heading 6 Char"/>
    <w:basedOn w:val="DefaultParagraphFont"/>
    <w:link w:val="Heading6"/>
    <w:uiPriority w:val="3"/>
    <w:rsid w:val="00484FC0"/>
    <w:rPr>
      <w:rFonts w:ascii="Calibri" w:hAnsi="Calibri" w:cs="Calibri"/>
      <w:b/>
      <w:bCs/>
      <w:i/>
      <w:iCs/>
      <w:color w:val="404040"/>
      <w:kern w:val="28"/>
      <w:sz w:val="22"/>
      <w:szCs w:val="22"/>
      <w:lang w:eastAsia="en-US"/>
    </w:rPr>
  </w:style>
  <w:style w:type="character" w:customStyle="1" w:styleId="Heading7Char">
    <w:name w:val="Heading 7 Char"/>
    <w:basedOn w:val="DefaultParagraphFont"/>
    <w:link w:val="Heading7"/>
    <w:uiPriority w:val="3"/>
    <w:rsid w:val="00484FC0"/>
    <w:rPr>
      <w:rFonts w:ascii="Calibri" w:hAnsi="Calibri" w:cs="Calibri"/>
      <w:b/>
      <w:bCs/>
      <w:iCs/>
      <w:color w:val="404040"/>
      <w:kern w:val="28"/>
      <w:sz w:val="22"/>
      <w:szCs w:val="22"/>
      <w:lang w:eastAsia="en-US"/>
    </w:rPr>
  </w:style>
  <w:style w:type="character" w:customStyle="1" w:styleId="Heading8Char">
    <w:name w:val="Heading 8 Char"/>
    <w:basedOn w:val="DefaultParagraphFont"/>
    <w:link w:val="Heading8"/>
    <w:uiPriority w:val="3"/>
    <w:rsid w:val="00484FC0"/>
    <w:rPr>
      <w:rFonts w:ascii="Calibri" w:hAnsi="Calibri" w:cs="Calibri"/>
      <w:bCs/>
      <w:iCs/>
      <w:color w:val="404040"/>
      <w:kern w:val="28"/>
      <w:sz w:val="22"/>
      <w:szCs w:val="22"/>
      <w:lang w:eastAsia="en-US"/>
    </w:rPr>
  </w:style>
  <w:style w:type="character" w:customStyle="1" w:styleId="Heading9Char">
    <w:name w:val="Heading 9 Char"/>
    <w:basedOn w:val="DefaultParagraphFont"/>
    <w:link w:val="Heading9"/>
    <w:uiPriority w:val="3"/>
    <w:rsid w:val="00484FC0"/>
    <w:rPr>
      <w:rFonts w:ascii="Calibri" w:hAnsi="Calibri" w:cs="Calibri"/>
      <w:bCs/>
      <w:iCs/>
      <w:color w:val="404040"/>
      <w:kern w:val="28"/>
      <w:sz w:val="22"/>
      <w:szCs w:val="22"/>
      <w:lang w:eastAsia="en-US"/>
    </w:rPr>
  </w:style>
  <w:style w:type="paragraph" w:styleId="Caption">
    <w:name w:val="caption"/>
    <w:basedOn w:val="Normal"/>
    <w:next w:val="Normal"/>
    <w:link w:val="CaptionChar"/>
    <w:qFormat/>
    <w:rsid w:val="00484FC0"/>
    <w:pPr>
      <w:keepNext/>
      <w:keepLines/>
      <w:tabs>
        <w:tab w:val="left" w:pos="851"/>
      </w:tabs>
      <w:spacing w:before="60" w:after="60" w:line="228" w:lineRule="auto"/>
      <w:ind w:left="794"/>
    </w:pPr>
    <w:rPr>
      <w:rFonts w:ascii="Calibri" w:hAnsi="Calibri" w:cs="Calibri"/>
      <w:b/>
      <w:sz w:val="22"/>
      <w:szCs w:val="22"/>
    </w:rPr>
  </w:style>
  <w:style w:type="character" w:customStyle="1" w:styleId="CaptionChar">
    <w:name w:val="Caption Char"/>
    <w:link w:val="Caption"/>
    <w:rsid w:val="00484FC0"/>
    <w:rPr>
      <w:rFonts w:ascii="Calibri" w:hAnsi="Calibri" w:cs="Calibri"/>
      <w:b/>
      <w:sz w:val="22"/>
      <w:szCs w:val="22"/>
    </w:rPr>
  </w:style>
  <w:style w:type="paragraph" w:styleId="ListNumber">
    <w:name w:val="List Number"/>
    <w:basedOn w:val="Normal"/>
    <w:uiPriority w:val="7"/>
    <w:qFormat/>
    <w:rsid w:val="00484FC0"/>
    <w:pPr>
      <w:numPr>
        <w:numId w:val="2"/>
      </w:numPr>
      <w:spacing w:before="100" w:after="100"/>
      <w:contextualSpacing/>
    </w:pPr>
    <w:rPr>
      <w:rFonts w:ascii="Calibri" w:hAnsi="Calibri" w:cs="Calibri"/>
      <w:sz w:val="22"/>
      <w:szCs w:val="22"/>
    </w:rPr>
  </w:style>
  <w:style w:type="paragraph" w:styleId="Title">
    <w:name w:val="Title"/>
    <w:basedOn w:val="Normal"/>
    <w:link w:val="TitleChar"/>
    <w:uiPriority w:val="10"/>
    <w:qFormat/>
    <w:rsid w:val="00484FC0"/>
    <w:pPr>
      <w:spacing w:after="100" w:line="560" w:lineRule="exact"/>
      <w:ind w:right="3402"/>
    </w:pPr>
    <w:rPr>
      <w:rFonts w:ascii="Calibri" w:hAnsi="Calibri" w:cs="Calibri"/>
      <w:b/>
      <w:color w:val="000000"/>
      <w:sz w:val="60"/>
      <w:szCs w:val="22"/>
    </w:rPr>
  </w:style>
  <w:style w:type="character" w:customStyle="1" w:styleId="TitleChar">
    <w:name w:val="Title Char"/>
    <w:basedOn w:val="DefaultParagraphFont"/>
    <w:link w:val="Title"/>
    <w:uiPriority w:val="10"/>
    <w:rsid w:val="00484FC0"/>
    <w:rPr>
      <w:rFonts w:ascii="Calibri" w:hAnsi="Calibri" w:cs="Calibri"/>
      <w:b/>
      <w:color w:val="000000"/>
      <w:sz w:val="60"/>
      <w:szCs w:val="22"/>
    </w:rPr>
  </w:style>
  <w:style w:type="paragraph" w:styleId="ListContinue">
    <w:name w:val="List Continue"/>
    <w:basedOn w:val="Normal"/>
    <w:uiPriority w:val="8"/>
    <w:qFormat/>
    <w:rsid w:val="00484FC0"/>
    <w:pPr>
      <w:ind w:left="1077"/>
    </w:pPr>
    <w:rPr>
      <w:rFonts w:ascii="Calibri" w:hAnsi="Calibri" w:cs="Calibri"/>
      <w:sz w:val="22"/>
      <w:szCs w:val="22"/>
    </w:rPr>
  </w:style>
  <w:style w:type="paragraph" w:styleId="Subtitle">
    <w:name w:val="Subtitle"/>
    <w:basedOn w:val="Normal"/>
    <w:link w:val="SubtitleChar"/>
    <w:uiPriority w:val="29"/>
    <w:qFormat/>
    <w:rsid w:val="00484FC0"/>
    <w:pPr>
      <w:spacing w:line="440" w:lineRule="exact"/>
    </w:pPr>
    <w:rPr>
      <w:rFonts w:ascii="Calibri" w:hAnsi="Calibri" w:cs="Calibri"/>
      <w:color w:val="000000"/>
      <w:sz w:val="40"/>
    </w:rPr>
  </w:style>
  <w:style w:type="character" w:customStyle="1" w:styleId="SubtitleChar">
    <w:name w:val="Subtitle Char"/>
    <w:basedOn w:val="DefaultParagraphFont"/>
    <w:link w:val="Subtitle"/>
    <w:uiPriority w:val="29"/>
    <w:rsid w:val="00484FC0"/>
    <w:rPr>
      <w:rFonts w:ascii="Calibri" w:hAnsi="Calibri" w:cs="Calibri"/>
      <w:color w:val="000000"/>
      <w:sz w:val="40"/>
      <w:szCs w:val="24"/>
    </w:rPr>
  </w:style>
  <w:style w:type="character" w:styleId="Strong">
    <w:name w:val="Strong"/>
    <w:uiPriority w:val="22"/>
    <w:qFormat/>
    <w:rsid w:val="00484FC0"/>
    <w:rPr>
      <w:b/>
      <w:bCs/>
    </w:rPr>
  </w:style>
  <w:style w:type="character" w:styleId="Emphasis">
    <w:name w:val="Emphasis"/>
    <w:uiPriority w:val="20"/>
    <w:qFormat/>
    <w:rsid w:val="00484FC0"/>
    <w:rPr>
      <w:i/>
      <w:iCs/>
    </w:rPr>
  </w:style>
  <w:style w:type="paragraph" w:styleId="NoSpacing">
    <w:name w:val="No Spacing"/>
    <w:qFormat/>
    <w:rsid w:val="00484FC0"/>
    <w:pPr>
      <w:widowControl w:val="0"/>
    </w:pPr>
    <w:rPr>
      <w:color w:val="000000"/>
      <w:spacing w:val="-5"/>
      <w:lang w:eastAsia="en-US"/>
    </w:rPr>
  </w:style>
  <w:style w:type="paragraph" w:styleId="ListParagraph">
    <w:name w:val="List Paragraph"/>
    <w:basedOn w:val="Normal"/>
    <w:link w:val="ListParagraphChar"/>
    <w:uiPriority w:val="34"/>
    <w:qFormat/>
    <w:rsid w:val="00484FC0"/>
    <w:pPr>
      <w:spacing w:before="100" w:after="100"/>
      <w:ind w:left="720"/>
      <w:contextualSpacing/>
    </w:pPr>
    <w:rPr>
      <w:rFonts w:ascii="Calibri" w:hAnsi="Calibri" w:cs="Calibri"/>
      <w:sz w:val="22"/>
      <w:szCs w:val="22"/>
    </w:rPr>
  </w:style>
  <w:style w:type="character" w:styleId="SubtleEmphasis">
    <w:name w:val="Subtle Emphasis"/>
    <w:uiPriority w:val="19"/>
    <w:qFormat/>
    <w:rsid w:val="00484FC0"/>
    <w:rPr>
      <w:i/>
      <w:iCs/>
      <w:color w:val="808080"/>
    </w:rPr>
  </w:style>
  <w:style w:type="character" w:styleId="IntenseEmphasis">
    <w:name w:val="Intense Emphasis"/>
    <w:uiPriority w:val="21"/>
    <w:qFormat/>
    <w:rsid w:val="00484FC0"/>
    <w:rPr>
      <w:b/>
      <w:bCs/>
      <w:i/>
      <w:iCs/>
      <w:color w:val="4F81BD"/>
    </w:rPr>
  </w:style>
  <w:style w:type="character" w:styleId="SubtleReference">
    <w:name w:val="Subtle Reference"/>
    <w:uiPriority w:val="31"/>
    <w:qFormat/>
    <w:rsid w:val="00484FC0"/>
    <w:rPr>
      <w:smallCaps/>
      <w:color w:val="C0504D"/>
      <w:u w:val="single"/>
    </w:rPr>
  </w:style>
  <w:style w:type="character" w:styleId="IntenseReference">
    <w:name w:val="Intense Reference"/>
    <w:uiPriority w:val="32"/>
    <w:qFormat/>
    <w:rsid w:val="00484FC0"/>
    <w:rPr>
      <w:b/>
      <w:bCs/>
      <w:smallCaps/>
      <w:color w:val="C0504D"/>
      <w:spacing w:val="5"/>
      <w:u w:val="single"/>
    </w:rPr>
  </w:style>
  <w:style w:type="character" w:styleId="BookTitle">
    <w:name w:val="Book Title"/>
    <w:uiPriority w:val="33"/>
    <w:qFormat/>
    <w:rsid w:val="00484FC0"/>
    <w:rPr>
      <w:rFonts w:ascii="Calibri" w:hAnsi="Calibri"/>
      <w:b/>
      <w:bCs/>
      <w:smallCaps/>
      <w:spacing w:val="5"/>
    </w:rPr>
  </w:style>
  <w:style w:type="paragraph" w:styleId="TOCHeading">
    <w:name w:val="TOC Heading"/>
    <w:uiPriority w:val="29"/>
    <w:qFormat/>
    <w:rsid w:val="00484FC0"/>
    <w:pPr>
      <w:keepNext/>
      <w:pageBreakBefore/>
      <w:spacing w:after="1200"/>
    </w:pPr>
    <w:rPr>
      <w:rFonts w:ascii="Calibri" w:hAnsi="Calibri" w:cs="Calibri"/>
      <w:color w:val="4C4C4C"/>
      <w:kern w:val="28"/>
      <w:sz w:val="40"/>
      <w:szCs w:val="22"/>
    </w:rPr>
  </w:style>
  <w:style w:type="paragraph" w:customStyle="1" w:styleId="Bullet1">
    <w:name w:val="Bullet 1"/>
    <w:basedOn w:val="Normal"/>
    <w:uiPriority w:val="11"/>
    <w:qFormat/>
    <w:rsid w:val="00484FC0"/>
    <w:pPr>
      <w:numPr>
        <w:numId w:val="3"/>
      </w:numPr>
      <w:spacing w:before="80" w:after="80"/>
    </w:pPr>
    <w:rPr>
      <w:rFonts w:ascii="Calibri" w:hAnsi="Calibri" w:cs="Calibri"/>
      <w:sz w:val="22"/>
      <w:szCs w:val="22"/>
    </w:rPr>
  </w:style>
  <w:style w:type="paragraph" w:customStyle="1" w:styleId="NormalIndentItalics">
    <w:name w:val="Normal Indent Italics"/>
    <w:basedOn w:val="NormalIndent"/>
    <w:uiPriority w:val="13"/>
    <w:qFormat/>
    <w:rsid w:val="00484FC0"/>
    <w:pPr>
      <w:spacing w:before="100" w:after="100" w:line="240" w:lineRule="exact"/>
      <w:ind w:left="1077" w:right="284"/>
    </w:pPr>
    <w:rPr>
      <w:rFonts w:ascii="Calibri" w:hAnsi="Calibri" w:cs="Calibri"/>
      <w:i/>
      <w:sz w:val="22"/>
      <w:szCs w:val="22"/>
    </w:rPr>
  </w:style>
  <w:style w:type="paragraph" w:styleId="NormalIndent">
    <w:name w:val="Normal Indent"/>
    <w:basedOn w:val="Normal"/>
    <w:uiPriority w:val="99"/>
    <w:semiHidden/>
    <w:unhideWhenUsed/>
    <w:rsid w:val="00484FC0"/>
    <w:pPr>
      <w:ind w:left="720"/>
    </w:pPr>
  </w:style>
  <w:style w:type="paragraph" w:customStyle="1" w:styleId="TableBullet">
    <w:name w:val="Table Bullet"/>
    <w:basedOn w:val="Normal"/>
    <w:uiPriority w:val="10"/>
    <w:qFormat/>
    <w:rsid w:val="00A15393"/>
    <w:pPr>
      <w:numPr>
        <w:numId w:val="4"/>
      </w:numPr>
    </w:pPr>
    <w:rPr>
      <w:rFonts w:ascii="Calibri" w:hAnsi="Calibri" w:cs="Calibri"/>
      <w:sz w:val="20"/>
      <w:szCs w:val="22"/>
    </w:rPr>
  </w:style>
  <w:style w:type="paragraph" w:customStyle="1" w:styleId="Spacer">
    <w:name w:val="Spacer"/>
    <w:basedOn w:val="Normal"/>
    <w:uiPriority w:val="13"/>
    <w:semiHidden/>
    <w:unhideWhenUsed/>
    <w:qFormat/>
    <w:rsid w:val="00484FC0"/>
    <w:pPr>
      <w:spacing w:line="120" w:lineRule="atLeast"/>
    </w:pPr>
    <w:rPr>
      <w:rFonts w:ascii="Calibri" w:hAnsi="Calibri" w:cs="Calibri"/>
      <w:sz w:val="12"/>
      <w:szCs w:val="22"/>
    </w:rPr>
  </w:style>
  <w:style w:type="paragraph" w:customStyle="1" w:styleId="Pictwide">
    <w:name w:val="Pict wide"/>
    <w:basedOn w:val="Normal"/>
    <w:next w:val="Normal"/>
    <w:uiPriority w:val="13"/>
    <w:semiHidden/>
    <w:unhideWhenUsed/>
    <w:qFormat/>
    <w:rsid w:val="00484FC0"/>
    <w:pPr>
      <w:widowControl w:val="0"/>
      <w:spacing w:before="160" w:after="320"/>
      <w:ind w:left="794"/>
    </w:pPr>
    <w:rPr>
      <w:rFonts w:ascii="Calibri" w:hAnsi="Calibri" w:cs="Calibri"/>
      <w:szCs w:val="22"/>
    </w:rPr>
  </w:style>
  <w:style w:type="paragraph" w:customStyle="1" w:styleId="TableText">
    <w:name w:val="Table Text"/>
    <w:basedOn w:val="Normal"/>
    <w:qFormat/>
    <w:rsid w:val="002E30F9"/>
    <w:pPr>
      <w:spacing w:before="20" w:after="20"/>
    </w:pPr>
    <w:rPr>
      <w:rFonts w:ascii="Calibri" w:hAnsi="Calibri" w:cs="Calibri"/>
      <w:sz w:val="20"/>
      <w:szCs w:val="20"/>
    </w:rPr>
  </w:style>
  <w:style w:type="paragraph" w:customStyle="1" w:styleId="TableHeader">
    <w:name w:val="Table Header"/>
    <w:basedOn w:val="TableText"/>
    <w:uiPriority w:val="15"/>
    <w:qFormat/>
    <w:rsid w:val="00113259"/>
    <w:pPr>
      <w:keepNext/>
      <w:spacing w:before="40" w:after="40"/>
    </w:pPr>
    <w:rPr>
      <w:color w:val="333333"/>
      <w:sz w:val="22"/>
    </w:rPr>
  </w:style>
  <w:style w:type="paragraph" w:customStyle="1" w:styleId="Heading1NoNum">
    <w:name w:val="Heading 1 NoNum"/>
    <w:basedOn w:val="Heading1"/>
    <w:next w:val="Normal"/>
    <w:uiPriority w:val="4"/>
    <w:qFormat/>
    <w:rsid w:val="00484FC0"/>
    <w:pPr>
      <w:numPr>
        <w:numId w:val="0"/>
      </w:numPr>
      <w:ind w:left="794"/>
    </w:pPr>
  </w:style>
  <w:style w:type="paragraph" w:customStyle="1" w:styleId="Heading2NoNum">
    <w:name w:val="Heading 2 NoNum"/>
    <w:basedOn w:val="Heading2"/>
    <w:next w:val="Normal"/>
    <w:link w:val="Heading2NoNumChar"/>
    <w:uiPriority w:val="4"/>
    <w:qFormat/>
    <w:rsid w:val="00484FC0"/>
    <w:pPr>
      <w:numPr>
        <w:ilvl w:val="0"/>
        <w:numId w:val="0"/>
      </w:numPr>
      <w:ind w:left="794"/>
    </w:pPr>
  </w:style>
  <w:style w:type="paragraph" w:customStyle="1" w:styleId="Heading3NoNum">
    <w:name w:val="Heading 3 NoNum"/>
    <w:basedOn w:val="Heading3"/>
    <w:next w:val="Normal"/>
    <w:uiPriority w:val="4"/>
    <w:qFormat/>
    <w:rsid w:val="00484FC0"/>
    <w:pPr>
      <w:numPr>
        <w:ilvl w:val="0"/>
        <w:numId w:val="0"/>
      </w:numPr>
      <w:ind w:left="794"/>
    </w:pPr>
  </w:style>
  <w:style w:type="paragraph" w:customStyle="1" w:styleId="Attachment1">
    <w:name w:val="Attachment 1"/>
    <w:next w:val="Normal"/>
    <w:uiPriority w:val="19"/>
    <w:qFormat/>
    <w:rsid w:val="00484FC0"/>
    <w:pPr>
      <w:pageBreakBefore/>
      <w:numPr>
        <w:numId w:val="5"/>
      </w:numPr>
      <w:pBdr>
        <w:bottom w:val="single" w:sz="4" w:space="1" w:color="404040"/>
      </w:pBdr>
      <w:spacing w:before="400" w:after="1200"/>
    </w:pPr>
    <w:rPr>
      <w:rFonts w:ascii="Calibri" w:hAnsi="Calibri" w:cs="Calibri"/>
      <w:color w:val="404040"/>
      <w:kern w:val="28"/>
      <w:sz w:val="40"/>
      <w:szCs w:val="22"/>
      <w:lang w:eastAsia="en-US"/>
    </w:rPr>
  </w:style>
  <w:style w:type="paragraph" w:customStyle="1" w:styleId="Heading4NoNum">
    <w:name w:val="Heading 4 NoNum"/>
    <w:basedOn w:val="Heading4"/>
    <w:uiPriority w:val="4"/>
    <w:qFormat/>
    <w:rsid w:val="00484FC0"/>
    <w:pPr>
      <w:numPr>
        <w:ilvl w:val="0"/>
        <w:numId w:val="0"/>
      </w:numPr>
      <w:ind w:left="794"/>
    </w:pPr>
  </w:style>
  <w:style w:type="paragraph" w:customStyle="1" w:styleId="Normal1">
    <w:name w:val="Normal1"/>
    <w:basedOn w:val="Normal"/>
    <w:link w:val="NormalChar"/>
    <w:qFormat/>
    <w:rsid w:val="005B127E"/>
    <w:pPr>
      <w:spacing w:before="100" w:after="100"/>
      <w:ind w:left="794"/>
    </w:pPr>
    <w:rPr>
      <w:rFonts w:ascii="Calibri" w:hAnsi="Calibri" w:cs="Calibri"/>
      <w:sz w:val="22"/>
      <w:szCs w:val="22"/>
    </w:rPr>
  </w:style>
  <w:style w:type="character" w:customStyle="1" w:styleId="NormalChar">
    <w:name w:val="Normal Char"/>
    <w:basedOn w:val="DefaultParagraphFont"/>
    <w:link w:val="Normal1"/>
    <w:rsid w:val="005B127E"/>
    <w:rPr>
      <w:rFonts w:ascii="Calibri" w:hAnsi="Calibri" w:cs="Calibri"/>
      <w:sz w:val="22"/>
      <w:szCs w:val="22"/>
    </w:rPr>
  </w:style>
  <w:style w:type="paragraph" w:styleId="Header">
    <w:name w:val="header"/>
    <w:basedOn w:val="Normal"/>
    <w:link w:val="HeaderChar"/>
    <w:uiPriority w:val="99"/>
    <w:unhideWhenUsed/>
    <w:rsid w:val="009F4D80"/>
    <w:pPr>
      <w:tabs>
        <w:tab w:val="center" w:pos="4513"/>
        <w:tab w:val="right" w:pos="9026"/>
      </w:tabs>
    </w:pPr>
  </w:style>
  <w:style w:type="paragraph" w:styleId="TableofFigures">
    <w:name w:val="table of figures"/>
    <w:basedOn w:val="Normal"/>
    <w:next w:val="Normal"/>
    <w:uiPriority w:val="99"/>
    <w:unhideWhenUsed/>
    <w:rsid w:val="009F4D80"/>
    <w:rPr>
      <w:rFonts w:asciiTheme="majorHAnsi" w:hAnsiTheme="majorHAnsi"/>
    </w:rPr>
  </w:style>
  <w:style w:type="paragraph" w:styleId="TOC1">
    <w:name w:val="toc 1"/>
    <w:basedOn w:val="Normal"/>
    <w:next w:val="Normal"/>
    <w:autoRedefine/>
    <w:uiPriority w:val="39"/>
    <w:unhideWhenUsed/>
    <w:rsid w:val="0043686D"/>
    <w:pPr>
      <w:spacing w:after="100"/>
    </w:pPr>
    <w:rPr>
      <w:rFonts w:asciiTheme="majorHAnsi" w:hAnsiTheme="majorHAnsi"/>
      <w:sz w:val="22"/>
    </w:rPr>
  </w:style>
  <w:style w:type="paragraph" w:styleId="TOC2">
    <w:name w:val="toc 2"/>
    <w:basedOn w:val="Normal"/>
    <w:next w:val="Normal"/>
    <w:autoRedefine/>
    <w:uiPriority w:val="39"/>
    <w:unhideWhenUsed/>
    <w:rsid w:val="009F4D80"/>
    <w:pPr>
      <w:spacing w:after="100"/>
      <w:ind w:left="200"/>
    </w:pPr>
    <w:rPr>
      <w:rFonts w:asciiTheme="majorHAnsi" w:hAnsiTheme="majorHAnsi"/>
    </w:rPr>
  </w:style>
  <w:style w:type="paragraph" w:styleId="TOC3">
    <w:name w:val="toc 3"/>
    <w:basedOn w:val="Normal"/>
    <w:next w:val="Normal"/>
    <w:autoRedefine/>
    <w:uiPriority w:val="39"/>
    <w:unhideWhenUsed/>
    <w:rsid w:val="009F4D80"/>
    <w:pPr>
      <w:spacing w:after="100"/>
      <w:ind w:left="400"/>
    </w:pPr>
    <w:rPr>
      <w:rFonts w:asciiTheme="majorHAnsi" w:hAnsiTheme="majorHAnsi"/>
    </w:rPr>
  </w:style>
  <w:style w:type="character" w:customStyle="1" w:styleId="HeaderChar">
    <w:name w:val="Header Char"/>
    <w:basedOn w:val="DefaultParagraphFont"/>
    <w:link w:val="Header"/>
    <w:uiPriority w:val="99"/>
    <w:rsid w:val="009F4D80"/>
  </w:style>
  <w:style w:type="paragraph" w:styleId="Footer">
    <w:name w:val="footer"/>
    <w:basedOn w:val="Normal"/>
    <w:link w:val="FooterChar"/>
    <w:uiPriority w:val="99"/>
    <w:unhideWhenUsed/>
    <w:rsid w:val="009F4D80"/>
    <w:pPr>
      <w:tabs>
        <w:tab w:val="center" w:pos="4513"/>
        <w:tab w:val="right" w:pos="9026"/>
      </w:tabs>
    </w:pPr>
  </w:style>
  <w:style w:type="character" w:customStyle="1" w:styleId="FooterChar">
    <w:name w:val="Footer Char"/>
    <w:basedOn w:val="DefaultParagraphFont"/>
    <w:link w:val="Footer"/>
    <w:uiPriority w:val="99"/>
    <w:rsid w:val="009F4D80"/>
  </w:style>
  <w:style w:type="character" w:customStyle="1" w:styleId="Italic">
    <w:name w:val="Italic"/>
    <w:uiPriority w:val="99"/>
    <w:rsid w:val="0043686D"/>
    <w:rPr>
      <w:i/>
      <w:iCs/>
    </w:rPr>
  </w:style>
  <w:style w:type="character" w:styleId="CommentReference">
    <w:name w:val="annotation reference"/>
    <w:basedOn w:val="DefaultParagraphFont"/>
    <w:uiPriority w:val="99"/>
    <w:unhideWhenUsed/>
    <w:rsid w:val="005D5A96"/>
    <w:rPr>
      <w:sz w:val="16"/>
      <w:szCs w:val="16"/>
    </w:rPr>
  </w:style>
  <w:style w:type="paragraph" w:styleId="CommentText">
    <w:name w:val="annotation text"/>
    <w:basedOn w:val="Normal"/>
    <w:link w:val="CommentTextChar"/>
    <w:uiPriority w:val="99"/>
    <w:unhideWhenUsed/>
    <w:rsid w:val="005D5A96"/>
  </w:style>
  <w:style w:type="character" w:customStyle="1" w:styleId="CommentTextChar">
    <w:name w:val="Comment Text Char"/>
    <w:basedOn w:val="DefaultParagraphFont"/>
    <w:link w:val="CommentText"/>
    <w:uiPriority w:val="99"/>
    <w:rsid w:val="005D5A96"/>
  </w:style>
  <w:style w:type="paragraph" w:styleId="CommentSubject">
    <w:name w:val="annotation subject"/>
    <w:basedOn w:val="CommentText"/>
    <w:next w:val="CommentText"/>
    <w:link w:val="CommentSubjectChar"/>
    <w:uiPriority w:val="99"/>
    <w:semiHidden/>
    <w:unhideWhenUsed/>
    <w:rsid w:val="005D5A96"/>
    <w:rPr>
      <w:b/>
      <w:bCs/>
    </w:rPr>
  </w:style>
  <w:style w:type="character" w:customStyle="1" w:styleId="CommentSubjectChar">
    <w:name w:val="Comment Subject Char"/>
    <w:basedOn w:val="CommentTextChar"/>
    <w:link w:val="CommentSubject"/>
    <w:uiPriority w:val="99"/>
    <w:semiHidden/>
    <w:rsid w:val="005D5A96"/>
    <w:rPr>
      <w:b/>
      <w:bCs/>
    </w:rPr>
  </w:style>
  <w:style w:type="table" w:styleId="TableGrid">
    <w:name w:val="Table Grid"/>
    <w:basedOn w:val="TableNormal"/>
    <w:rsid w:val="005D5A9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5D5A96"/>
    <w:pPr>
      <w:spacing w:before="100" w:beforeAutospacing="1" w:after="100" w:afterAutospacing="1"/>
    </w:pPr>
    <w:rPr>
      <w:rFonts w:ascii="Times New Roman" w:hAnsi="Times New Roman"/>
    </w:rPr>
  </w:style>
  <w:style w:type="paragraph" w:customStyle="1" w:styleId="Default">
    <w:name w:val="Default"/>
    <w:rsid w:val="00AD19F6"/>
    <w:pPr>
      <w:autoSpaceDE w:val="0"/>
      <w:autoSpaceDN w:val="0"/>
      <w:adjustRightInd w:val="0"/>
    </w:pPr>
    <w:rPr>
      <w:rFonts w:ascii="Calibri" w:hAnsi="Calibri" w:cs="Calibri"/>
      <w:color w:val="000000"/>
    </w:rPr>
  </w:style>
  <w:style w:type="paragraph" w:styleId="Revision">
    <w:name w:val="Revision"/>
    <w:hidden/>
    <w:uiPriority w:val="99"/>
    <w:semiHidden/>
    <w:rsid w:val="002E16AA"/>
  </w:style>
  <w:style w:type="character" w:customStyle="1" w:styleId="apple-converted-space">
    <w:name w:val="apple-converted-space"/>
    <w:basedOn w:val="DefaultParagraphFont"/>
    <w:rsid w:val="00F57B15"/>
  </w:style>
  <w:style w:type="character" w:customStyle="1" w:styleId="st">
    <w:name w:val="st"/>
    <w:basedOn w:val="DefaultParagraphFont"/>
    <w:rsid w:val="00BC4CDD"/>
  </w:style>
  <w:style w:type="paragraph" w:styleId="FootnoteText">
    <w:name w:val="footnote text"/>
    <w:basedOn w:val="Normal"/>
    <w:link w:val="FootnoteTextChar"/>
    <w:rsid w:val="001869C0"/>
    <w:rPr>
      <w:sz w:val="20"/>
      <w:szCs w:val="20"/>
    </w:rPr>
  </w:style>
  <w:style w:type="character" w:customStyle="1" w:styleId="FootnoteTextChar">
    <w:name w:val="Footnote Text Char"/>
    <w:basedOn w:val="DefaultParagraphFont"/>
    <w:link w:val="FootnoteText"/>
    <w:rsid w:val="001869C0"/>
    <w:rPr>
      <w:sz w:val="20"/>
      <w:szCs w:val="20"/>
    </w:rPr>
  </w:style>
  <w:style w:type="character" w:styleId="FootnoteReference">
    <w:name w:val="footnote reference"/>
    <w:basedOn w:val="DefaultParagraphFont"/>
    <w:rsid w:val="001869C0"/>
    <w:rPr>
      <w:vertAlign w:val="superscript"/>
    </w:rPr>
  </w:style>
  <w:style w:type="paragraph" w:styleId="EndnoteText">
    <w:name w:val="endnote text"/>
    <w:basedOn w:val="Normal"/>
    <w:link w:val="EndnoteTextChar"/>
    <w:rsid w:val="001869C0"/>
    <w:rPr>
      <w:sz w:val="20"/>
      <w:szCs w:val="20"/>
    </w:rPr>
  </w:style>
  <w:style w:type="character" w:customStyle="1" w:styleId="EndnoteTextChar">
    <w:name w:val="Endnote Text Char"/>
    <w:basedOn w:val="DefaultParagraphFont"/>
    <w:link w:val="EndnoteText"/>
    <w:rsid w:val="001869C0"/>
    <w:rPr>
      <w:sz w:val="20"/>
      <w:szCs w:val="20"/>
    </w:rPr>
  </w:style>
  <w:style w:type="character" w:styleId="EndnoteReference">
    <w:name w:val="endnote reference"/>
    <w:basedOn w:val="DefaultParagraphFont"/>
    <w:rsid w:val="001869C0"/>
    <w:rPr>
      <w:vertAlign w:val="superscript"/>
    </w:rPr>
  </w:style>
  <w:style w:type="paragraph" w:customStyle="1" w:styleId="BodyCopy">
    <w:name w:val="Body Copy"/>
    <w:basedOn w:val="Normal"/>
    <w:uiPriority w:val="99"/>
    <w:rsid w:val="00817F5B"/>
    <w:pPr>
      <w:widowControl w:val="0"/>
      <w:tabs>
        <w:tab w:val="left" w:pos="283"/>
        <w:tab w:val="left" w:pos="567"/>
        <w:tab w:val="left" w:pos="850"/>
      </w:tabs>
      <w:suppressAutoHyphens/>
      <w:autoSpaceDE w:val="0"/>
      <w:autoSpaceDN w:val="0"/>
      <w:adjustRightInd w:val="0"/>
      <w:spacing w:after="113" w:line="270" w:lineRule="atLeast"/>
    </w:pPr>
    <w:rPr>
      <w:rFonts w:eastAsiaTheme="minorEastAsia" w:cs="TradeGothic-Light"/>
      <w:color w:val="000000"/>
      <w:spacing w:val="-2"/>
      <w:sz w:val="20"/>
      <w:szCs w:val="20"/>
      <w:lang w:eastAsia="en-US"/>
    </w:rPr>
  </w:style>
  <w:style w:type="character" w:styleId="FollowedHyperlink">
    <w:name w:val="FollowedHyperlink"/>
    <w:basedOn w:val="DefaultParagraphFont"/>
    <w:rsid w:val="009D12F0"/>
    <w:rPr>
      <w:color w:val="800080" w:themeColor="followedHyperlink"/>
      <w:u w:val="single"/>
    </w:rPr>
  </w:style>
  <w:style w:type="character" w:customStyle="1" w:styleId="ListParagraphChar">
    <w:name w:val="List Paragraph Char"/>
    <w:basedOn w:val="DefaultParagraphFont"/>
    <w:link w:val="ListParagraph"/>
    <w:uiPriority w:val="34"/>
    <w:rsid w:val="00E07B86"/>
    <w:rPr>
      <w:rFonts w:ascii="Calibri" w:hAnsi="Calibri" w:cs="Calibri"/>
      <w:sz w:val="22"/>
      <w:szCs w:val="22"/>
    </w:rPr>
  </w:style>
  <w:style w:type="character" w:customStyle="1" w:styleId="content">
    <w:name w:val="content"/>
    <w:basedOn w:val="DefaultParagraphFont"/>
    <w:rsid w:val="00E07B86"/>
  </w:style>
  <w:style w:type="paragraph" w:customStyle="1" w:styleId="Bullet2">
    <w:name w:val="Bullet 2"/>
    <w:basedOn w:val="Bullet1"/>
    <w:uiPriority w:val="11"/>
    <w:qFormat/>
    <w:rsid w:val="00E07B86"/>
    <w:pPr>
      <w:numPr>
        <w:numId w:val="0"/>
      </w:numPr>
      <w:tabs>
        <w:tab w:val="num" w:pos="1361"/>
      </w:tabs>
      <w:ind w:left="1361" w:hanging="284"/>
    </w:pPr>
  </w:style>
  <w:style w:type="paragraph" w:customStyle="1" w:styleId="Bullet3">
    <w:name w:val="Bullet 3"/>
    <w:basedOn w:val="Bullet2"/>
    <w:uiPriority w:val="11"/>
    <w:qFormat/>
    <w:rsid w:val="00E07B86"/>
    <w:pPr>
      <w:tabs>
        <w:tab w:val="clear" w:pos="1361"/>
        <w:tab w:val="num" w:pos="1644"/>
      </w:tabs>
      <w:ind w:left="1644" w:hanging="283"/>
    </w:pPr>
  </w:style>
  <w:style w:type="paragraph" w:customStyle="1" w:styleId="DHHSNumberText">
    <w:name w:val="DHHS Number Text"/>
    <w:basedOn w:val="Normal"/>
    <w:uiPriority w:val="99"/>
    <w:rsid w:val="00805F89"/>
    <w:pPr>
      <w:numPr>
        <w:numId w:val="26"/>
      </w:numPr>
      <w:spacing w:after="120" w:line="270" w:lineRule="exact"/>
    </w:pPr>
    <w:rPr>
      <w:rFonts w:ascii="Calibri" w:hAnsi="Calibri"/>
      <w:sz w:val="22"/>
      <w:szCs w:val="20"/>
      <w:lang w:eastAsia="en-US"/>
    </w:rPr>
  </w:style>
  <w:style w:type="paragraph" w:customStyle="1" w:styleId="Subscriptnote">
    <w:name w:val="Subscript note"/>
    <w:basedOn w:val="BodyText3"/>
    <w:link w:val="SubscriptnoteChar"/>
    <w:qFormat/>
    <w:rsid w:val="001D1766"/>
    <w:pPr>
      <w:spacing w:before="40"/>
      <w:ind w:left="720"/>
    </w:pPr>
    <w:rPr>
      <w:sz w:val="20"/>
      <w:szCs w:val="20"/>
    </w:rPr>
  </w:style>
  <w:style w:type="character" w:customStyle="1" w:styleId="Heading2NoNumChar">
    <w:name w:val="Heading 2 NoNum Char"/>
    <w:basedOn w:val="Heading2Char"/>
    <w:link w:val="Heading2NoNum"/>
    <w:uiPriority w:val="4"/>
    <w:rsid w:val="00D6356B"/>
    <w:rPr>
      <w:rFonts w:ascii="Calibri" w:hAnsi="Calibri" w:cs="Calibri"/>
      <w:color w:val="4D4D4D"/>
      <w:kern w:val="28"/>
      <w:sz w:val="30"/>
      <w:szCs w:val="22"/>
      <w:lang w:eastAsia="en-US"/>
    </w:rPr>
  </w:style>
  <w:style w:type="character" w:customStyle="1" w:styleId="SubscriptnoteChar">
    <w:name w:val="Subscript note Char"/>
    <w:basedOn w:val="Heading2NoNumChar"/>
    <w:link w:val="Subscriptnote"/>
    <w:rsid w:val="001D1766"/>
    <w:rPr>
      <w:rFonts w:ascii="Calibri" w:hAnsi="Calibri" w:cs="Calibri"/>
      <w:color w:val="4D4D4D"/>
      <w:kern w:val="28"/>
      <w:sz w:val="20"/>
      <w:szCs w:val="20"/>
      <w:lang w:eastAsia="en-US"/>
    </w:rPr>
  </w:style>
  <w:style w:type="paragraph" w:styleId="BodyText3">
    <w:name w:val="Body Text 3"/>
    <w:basedOn w:val="Normal"/>
    <w:link w:val="BodyText3Char"/>
    <w:rsid w:val="001D1766"/>
    <w:pPr>
      <w:spacing w:after="120"/>
    </w:pPr>
    <w:rPr>
      <w:sz w:val="16"/>
      <w:szCs w:val="16"/>
    </w:rPr>
  </w:style>
  <w:style w:type="character" w:customStyle="1" w:styleId="BodyText3Char">
    <w:name w:val="Body Text 3 Char"/>
    <w:basedOn w:val="DefaultParagraphFont"/>
    <w:link w:val="BodyText3"/>
    <w:rsid w:val="001D1766"/>
    <w:rPr>
      <w:sz w:val="16"/>
      <w:szCs w:val="16"/>
    </w:rPr>
  </w:style>
  <w:style w:type="paragraph" w:customStyle="1" w:styleId="HeadingC">
    <w:name w:val="Heading C"/>
    <w:basedOn w:val="Normal"/>
    <w:uiPriority w:val="99"/>
    <w:rsid w:val="00B233EF"/>
    <w:pPr>
      <w:widowControl w:val="0"/>
      <w:suppressAutoHyphens/>
      <w:autoSpaceDE w:val="0"/>
      <w:autoSpaceDN w:val="0"/>
      <w:adjustRightInd w:val="0"/>
      <w:spacing w:before="113" w:after="170" w:line="280" w:lineRule="atLeast"/>
      <w:ind w:left="794"/>
      <w:textAlignment w:val="center"/>
    </w:pPr>
    <w:rPr>
      <w:rFonts w:ascii="Calibri" w:hAnsi="Calibri" w:cs="VIC-SemiBold"/>
      <w:b/>
      <w:bCs/>
      <w:color w:val="000000"/>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153314">
      <w:bodyDiv w:val="1"/>
      <w:marLeft w:val="0"/>
      <w:marRight w:val="0"/>
      <w:marTop w:val="0"/>
      <w:marBottom w:val="0"/>
      <w:divBdr>
        <w:top w:val="none" w:sz="0" w:space="0" w:color="auto"/>
        <w:left w:val="none" w:sz="0" w:space="0" w:color="auto"/>
        <w:bottom w:val="none" w:sz="0" w:space="0" w:color="auto"/>
        <w:right w:val="none" w:sz="0" w:space="0" w:color="auto"/>
      </w:divBdr>
    </w:div>
    <w:div w:id="65299305">
      <w:bodyDiv w:val="1"/>
      <w:marLeft w:val="0"/>
      <w:marRight w:val="0"/>
      <w:marTop w:val="0"/>
      <w:marBottom w:val="0"/>
      <w:divBdr>
        <w:top w:val="none" w:sz="0" w:space="0" w:color="auto"/>
        <w:left w:val="none" w:sz="0" w:space="0" w:color="auto"/>
        <w:bottom w:val="none" w:sz="0" w:space="0" w:color="auto"/>
        <w:right w:val="none" w:sz="0" w:space="0" w:color="auto"/>
      </w:divBdr>
    </w:div>
    <w:div w:id="94134886">
      <w:bodyDiv w:val="1"/>
      <w:marLeft w:val="0"/>
      <w:marRight w:val="0"/>
      <w:marTop w:val="0"/>
      <w:marBottom w:val="0"/>
      <w:divBdr>
        <w:top w:val="none" w:sz="0" w:space="0" w:color="auto"/>
        <w:left w:val="none" w:sz="0" w:space="0" w:color="auto"/>
        <w:bottom w:val="none" w:sz="0" w:space="0" w:color="auto"/>
        <w:right w:val="none" w:sz="0" w:space="0" w:color="auto"/>
      </w:divBdr>
    </w:div>
    <w:div w:id="97062189">
      <w:bodyDiv w:val="1"/>
      <w:marLeft w:val="0"/>
      <w:marRight w:val="0"/>
      <w:marTop w:val="0"/>
      <w:marBottom w:val="0"/>
      <w:divBdr>
        <w:top w:val="none" w:sz="0" w:space="0" w:color="auto"/>
        <w:left w:val="none" w:sz="0" w:space="0" w:color="auto"/>
        <w:bottom w:val="none" w:sz="0" w:space="0" w:color="auto"/>
        <w:right w:val="none" w:sz="0" w:space="0" w:color="auto"/>
      </w:divBdr>
    </w:div>
    <w:div w:id="103156842">
      <w:bodyDiv w:val="1"/>
      <w:marLeft w:val="0"/>
      <w:marRight w:val="0"/>
      <w:marTop w:val="0"/>
      <w:marBottom w:val="0"/>
      <w:divBdr>
        <w:top w:val="none" w:sz="0" w:space="0" w:color="auto"/>
        <w:left w:val="none" w:sz="0" w:space="0" w:color="auto"/>
        <w:bottom w:val="none" w:sz="0" w:space="0" w:color="auto"/>
        <w:right w:val="none" w:sz="0" w:space="0" w:color="auto"/>
      </w:divBdr>
    </w:div>
    <w:div w:id="119229600">
      <w:bodyDiv w:val="1"/>
      <w:marLeft w:val="0"/>
      <w:marRight w:val="0"/>
      <w:marTop w:val="0"/>
      <w:marBottom w:val="0"/>
      <w:divBdr>
        <w:top w:val="none" w:sz="0" w:space="0" w:color="auto"/>
        <w:left w:val="none" w:sz="0" w:space="0" w:color="auto"/>
        <w:bottom w:val="none" w:sz="0" w:space="0" w:color="auto"/>
        <w:right w:val="none" w:sz="0" w:space="0" w:color="auto"/>
      </w:divBdr>
    </w:div>
    <w:div w:id="154885721">
      <w:bodyDiv w:val="1"/>
      <w:marLeft w:val="0"/>
      <w:marRight w:val="0"/>
      <w:marTop w:val="0"/>
      <w:marBottom w:val="0"/>
      <w:divBdr>
        <w:top w:val="none" w:sz="0" w:space="0" w:color="auto"/>
        <w:left w:val="none" w:sz="0" w:space="0" w:color="auto"/>
        <w:bottom w:val="none" w:sz="0" w:space="0" w:color="auto"/>
        <w:right w:val="none" w:sz="0" w:space="0" w:color="auto"/>
      </w:divBdr>
    </w:div>
    <w:div w:id="160199089">
      <w:bodyDiv w:val="1"/>
      <w:marLeft w:val="0"/>
      <w:marRight w:val="0"/>
      <w:marTop w:val="0"/>
      <w:marBottom w:val="0"/>
      <w:divBdr>
        <w:top w:val="none" w:sz="0" w:space="0" w:color="auto"/>
        <w:left w:val="none" w:sz="0" w:space="0" w:color="auto"/>
        <w:bottom w:val="none" w:sz="0" w:space="0" w:color="auto"/>
        <w:right w:val="none" w:sz="0" w:space="0" w:color="auto"/>
      </w:divBdr>
    </w:div>
    <w:div w:id="169637893">
      <w:bodyDiv w:val="1"/>
      <w:marLeft w:val="0"/>
      <w:marRight w:val="0"/>
      <w:marTop w:val="0"/>
      <w:marBottom w:val="0"/>
      <w:divBdr>
        <w:top w:val="none" w:sz="0" w:space="0" w:color="auto"/>
        <w:left w:val="none" w:sz="0" w:space="0" w:color="auto"/>
        <w:bottom w:val="none" w:sz="0" w:space="0" w:color="auto"/>
        <w:right w:val="none" w:sz="0" w:space="0" w:color="auto"/>
      </w:divBdr>
    </w:div>
    <w:div w:id="176576165">
      <w:bodyDiv w:val="1"/>
      <w:marLeft w:val="0"/>
      <w:marRight w:val="0"/>
      <w:marTop w:val="0"/>
      <w:marBottom w:val="0"/>
      <w:divBdr>
        <w:top w:val="none" w:sz="0" w:space="0" w:color="auto"/>
        <w:left w:val="none" w:sz="0" w:space="0" w:color="auto"/>
        <w:bottom w:val="none" w:sz="0" w:space="0" w:color="auto"/>
        <w:right w:val="none" w:sz="0" w:space="0" w:color="auto"/>
      </w:divBdr>
    </w:div>
    <w:div w:id="220604501">
      <w:bodyDiv w:val="1"/>
      <w:marLeft w:val="0"/>
      <w:marRight w:val="0"/>
      <w:marTop w:val="0"/>
      <w:marBottom w:val="0"/>
      <w:divBdr>
        <w:top w:val="none" w:sz="0" w:space="0" w:color="auto"/>
        <w:left w:val="none" w:sz="0" w:space="0" w:color="auto"/>
        <w:bottom w:val="none" w:sz="0" w:space="0" w:color="auto"/>
        <w:right w:val="none" w:sz="0" w:space="0" w:color="auto"/>
      </w:divBdr>
    </w:div>
    <w:div w:id="226574453">
      <w:bodyDiv w:val="1"/>
      <w:marLeft w:val="0"/>
      <w:marRight w:val="0"/>
      <w:marTop w:val="0"/>
      <w:marBottom w:val="0"/>
      <w:divBdr>
        <w:top w:val="none" w:sz="0" w:space="0" w:color="auto"/>
        <w:left w:val="none" w:sz="0" w:space="0" w:color="auto"/>
        <w:bottom w:val="none" w:sz="0" w:space="0" w:color="auto"/>
        <w:right w:val="none" w:sz="0" w:space="0" w:color="auto"/>
      </w:divBdr>
    </w:div>
    <w:div w:id="226918337">
      <w:bodyDiv w:val="1"/>
      <w:marLeft w:val="0"/>
      <w:marRight w:val="0"/>
      <w:marTop w:val="0"/>
      <w:marBottom w:val="0"/>
      <w:divBdr>
        <w:top w:val="none" w:sz="0" w:space="0" w:color="auto"/>
        <w:left w:val="none" w:sz="0" w:space="0" w:color="auto"/>
        <w:bottom w:val="none" w:sz="0" w:space="0" w:color="auto"/>
        <w:right w:val="none" w:sz="0" w:space="0" w:color="auto"/>
      </w:divBdr>
    </w:div>
    <w:div w:id="318002563">
      <w:bodyDiv w:val="1"/>
      <w:marLeft w:val="0"/>
      <w:marRight w:val="0"/>
      <w:marTop w:val="0"/>
      <w:marBottom w:val="0"/>
      <w:divBdr>
        <w:top w:val="none" w:sz="0" w:space="0" w:color="auto"/>
        <w:left w:val="none" w:sz="0" w:space="0" w:color="auto"/>
        <w:bottom w:val="none" w:sz="0" w:space="0" w:color="auto"/>
        <w:right w:val="none" w:sz="0" w:space="0" w:color="auto"/>
      </w:divBdr>
    </w:div>
    <w:div w:id="385642601">
      <w:bodyDiv w:val="1"/>
      <w:marLeft w:val="0"/>
      <w:marRight w:val="0"/>
      <w:marTop w:val="0"/>
      <w:marBottom w:val="0"/>
      <w:divBdr>
        <w:top w:val="none" w:sz="0" w:space="0" w:color="auto"/>
        <w:left w:val="none" w:sz="0" w:space="0" w:color="auto"/>
        <w:bottom w:val="none" w:sz="0" w:space="0" w:color="auto"/>
        <w:right w:val="none" w:sz="0" w:space="0" w:color="auto"/>
      </w:divBdr>
    </w:div>
    <w:div w:id="389309600">
      <w:bodyDiv w:val="1"/>
      <w:marLeft w:val="0"/>
      <w:marRight w:val="0"/>
      <w:marTop w:val="0"/>
      <w:marBottom w:val="0"/>
      <w:divBdr>
        <w:top w:val="none" w:sz="0" w:space="0" w:color="auto"/>
        <w:left w:val="none" w:sz="0" w:space="0" w:color="auto"/>
        <w:bottom w:val="none" w:sz="0" w:space="0" w:color="auto"/>
        <w:right w:val="none" w:sz="0" w:space="0" w:color="auto"/>
      </w:divBdr>
    </w:div>
    <w:div w:id="394209048">
      <w:bodyDiv w:val="1"/>
      <w:marLeft w:val="0"/>
      <w:marRight w:val="0"/>
      <w:marTop w:val="0"/>
      <w:marBottom w:val="0"/>
      <w:divBdr>
        <w:top w:val="none" w:sz="0" w:space="0" w:color="auto"/>
        <w:left w:val="none" w:sz="0" w:space="0" w:color="auto"/>
        <w:bottom w:val="none" w:sz="0" w:space="0" w:color="auto"/>
        <w:right w:val="none" w:sz="0" w:space="0" w:color="auto"/>
      </w:divBdr>
    </w:div>
    <w:div w:id="421225385">
      <w:bodyDiv w:val="1"/>
      <w:marLeft w:val="0"/>
      <w:marRight w:val="0"/>
      <w:marTop w:val="0"/>
      <w:marBottom w:val="0"/>
      <w:divBdr>
        <w:top w:val="none" w:sz="0" w:space="0" w:color="auto"/>
        <w:left w:val="none" w:sz="0" w:space="0" w:color="auto"/>
        <w:bottom w:val="none" w:sz="0" w:space="0" w:color="auto"/>
        <w:right w:val="none" w:sz="0" w:space="0" w:color="auto"/>
      </w:divBdr>
    </w:div>
    <w:div w:id="432676659">
      <w:bodyDiv w:val="1"/>
      <w:marLeft w:val="0"/>
      <w:marRight w:val="0"/>
      <w:marTop w:val="0"/>
      <w:marBottom w:val="0"/>
      <w:divBdr>
        <w:top w:val="none" w:sz="0" w:space="0" w:color="auto"/>
        <w:left w:val="none" w:sz="0" w:space="0" w:color="auto"/>
        <w:bottom w:val="none" w:sz="0" w:space="0" w:color="auto"/>
        <w:right w:val="none" w:sz="0" w:space="0" w:color="auto"/>
      </w:divBdr>
    </w:div>
    <w:div w:id="454493747">
      <w:bodyDiv w:val="1"/>
      <w:marLeft w:val="0"/>
      <w:marRight w:val="0"/>
      <w:marTop w:val="0"/>
      <w:marBottom w:val="0"/>
      <w:divBdr>
        <w:top w:val="none" w:sz="0" w:space="0" w:color="auto"/>
        <w:left w:val="none" w:sz="0" w:space="0" w:color="auto"/>
        <w:bottom w:val="none" w:sz="0" w:space="0" w:color="auto"/>
        <w:right w:val="none" w:sz="0" w:space="0" w:color="auto"/>
      </w:divBdr>
    </w:div>
    <w:div w:id="477652110">
      <w:bodyDiv w:val="1"/>
      <w:marLeft w:val="0"/>
      <w:marRight w:val="0"/>
      <w:marTop w:val="0"/>
      <w:marBottom w:val="0"/>
      <w:divBdr>
        <w:top w:val="none" w:sz="0" w:space="0" w:color="auto"/>
        <w:left w:val="none" w:sz="0" w:space="0" w:color="auto"/>
        <w:bottom w:val="none" w:sz="0" w:space="0" w:color="auto"/>
        <w:right w:val="none" w:sz="0" w:space="0" w:color="auto"/>
      </w:divBdr>
    </w:div>
    <w:div w:id="501044471">
      <w:bodyDiv w:val="1"/>
      <w:marLeft w:val="0"/>
      <w:marRight w:val="0"/>
      <w:marTop w:val="0"/>
      <w:marBottom w:val="0"/>
      <w:divBdr>
        <w:top w:val="none" w:sz="0" w:space="0" w:color="auto"/>
        <w:left w:val="none" w:sz="0" w:space="0" w:color="auto"/>
        <w:bottom w:val="none" w:sz="0" w:space="0" w:color="auto"/>
        <w:right w:val="none" w:sz="0" w:space="0" w:color="auto"/>
      </w:divBdr>
    </w:div>
    <w:div w:id="520120846">
      <w:bodyDiv w:val="1"/>
      <w:marLeft w:val="0"/>
      <w:marRight w:val="0"/>
      <w:marTop w:val="0"/>
      <w:marBottom w:val="0"/>
      <w:divBdr>
        <w:top w:val="none" w:sz="0" w:space="0" w:color="auto"/>
        <w:left w:val="none" w:sz="0" w:space="0" w:color="auto"/>
        <w:bottom w:val="none" w:sz="0" w:space="0" w:color="auto"/>
        <w:right w:val="none" w:sz="0" w:space="0" w:color="auto"/>
      </w:divBdr>
    </w:div>
    <w:div w:id="546140386">
      <w:bodyDiv w:val="1"/>
      <w:marLeft w:val="0"/>
      <w:marRight w:val="0"/>
      <w:marTop w:val="0"/>
      <w:marBottom w:val="0"/>
      <w:divBdr>
        <w:top w:val="none" w:sz="0" w:space="0" w:color="auto"/>
        <w:left w:val="none" w:sz="0" w:space="0" w:color="auto"/>
        <w:bottom w:val="none" w:sz="0" w:space="0" w:color="auto"/>
        <w:right w:val="none" w:sz="0" w:space="0" w:color="auto"/>
      </w:divBdr>
    </w:div>
    <w:div w:id="569656554">
      <w:bodyDiv w:val="1"/>
      <w:marLeft w:val="0"/>
      <w:marRight w:val="0"/>
      <w:marTop w:val="0"/>
      <w:marBottom w:val="0"/>
      <w:divBdr>
        <w:top w:val="none" w:sz="0" w:space="0" w:color="auto"/>
        <w:left w:val="none" w:sz="0" w:space="0" w:color="auto"/>
        <w:bottom w:val="none" w:sz="0" w:space="0" w:color="auto"/>
        <w:right w:val="none" w:sz="0" w:space="0" w:color="auto"/>
      </w:divBdr>
    </w:div>
    <w:div w:id="621420535">
      <w:bodyDiv w:val="1"/>
      <w:marLeft w:val="0"/>
      <w:marRight w:val="0"/>
      <w:marTop w:val="0"/>
      <w:marBottom w:val="0"/>
      <w:divBdr>
        <w:top w:val="none" w:sz="0" w:space="0" w:color="auto"/>
        <w:left w:val="none" w:sz="0" w:space="0" w:color="auto"/>
        <w:bottom w:val="none" w:sz="0" w:space="0" w:color="auto"/>
        <w:right w:val="none" w:sz="0" w:space="0" w:color="auto"/>
      </w:divBdr>
    </w:div>
    <w:div w:id="638925827">
      <w:bodyDiv w:val="1"/>
      <w:marLeft w:val="0"/>
      <w:marRight w:val="0"/>
      <w:marTop w:val="0"/>
      <w:marBottom w:val="0"/>
      <w:divBdr>
        <w:top w:val="none" w:sz="0" w:space="0" w:color="auto"/>
        <w:left w:val="none" w:sz="0" w:space="0" w:color="auto"/>
        <w:bottom w:val="none" w:sz="0" w:space="0" w:color="auto"/>
        <w:right w:val="none" w:sz="0" w:space="0" w:color="auto"/>
      </w:divBdr>
    </w:div>
    <w:div w:id="670721391">
      <w:bodyDiv w:val="1"/>
      <w:marLeft w:val="0"/>
      <w:marRight w:val="0"/>
      <w:marTop w:val="0"/>
      <w:marBottom w:val="0"/>
      <w:divBdr>
        <w:top w:val="none" w:sz="0" w:space="0" w:color="auto"/>
        <w:left w:val="none" w:sz="0" w:space="0" w:color="auto"/>
        <w:bottom w:val="none" w:sz="0" w:space="0" w:color="auto"/>
        <w:right w:val="none" w:sz="0" w:space="0" w:color="auto"/>
      </w:divBdr>
    </w:div>
    <w:div w:id="744305047">
      <w:bodyDiv w:val="1"/>
      <w:marLeft w:val="0"/>
      <w:marRight w:val="0"/>
      <w:marTop w:val="0"/>
      <w:marBottom w:val="0"/>
      <w:divBdr>
        <w:top w:val="none" w:sz="0" w:space="0" w:color="auto"/>
        <w:left w:val="none" w:sz="0" w:space="0" w:color="auto"/>
        <w:bottom w:val="none" w:sz="0" w:space="0" w:color="auto"/>
        <w:right w:val="none" w:sz="0" w:space="0" w:color="auto"/>
      </w:divBdr>
    </w:div>
    <w:div w:id="762071379">
      <w:bodyDiv w:val="1"/>
      <w:marLeft w:val="0"/>
      <w:marRight w:val="0"/>
      <w:marTop w:val="0"/>
      <w:marBottom w:val="0"/>
      <w:divBdr>
        <w:top w:val="none" w:sz="0" w:space="0" w:color="auto"/>
        <w:left w:val="none" w:sz="0" w:space="0" w:color="auto"/>
        <w:bottom w:val="none" w:sz="0" w:space="0" w:color="auto"/>
        <w:right w:val="none" w:sz="0" w:space="0" w:color="auto"/>
      </w:divBdr>
    </w:div>
    <w:div w:id="784999617">
      <w:bodyDiv w:val="1"/>
      <w:marLeft w:val="0"/>
      <w:marRight w:val="0"/>
      <w:marTop w:val="0"/>
      <w:marBottom w:val="0"/>
      <w:divBdr>
        <w:top w:val="none" w:sz="0" w:space="0" w:color="auto"/>
        <w:left w:val="none" w:sz="0" w:space="0" w:color="auto"/>
        <w:bottom w:val="none" w:sz="0" w:space="0" w:color="auto"/>
        <w:right w:val="none" w:sz="0" w:space="0" w:color="auto"/>
      </w:divBdr>
    </w:div>
    <w:div w:id="793065306">
      <w:bodyDiv w:val="1"/>
      <w:marLeft w:val="0"/>
      <w:marRight w:val="0"/>
      <w:marTop w:val="0"/>
      <w:marBottom w:val="0"/>
      <w:divBdr>
        <w:top w:val="none" w:sz="0" w:space="0" w:color="auto"/>
        <w:left w:val="none" w:sz="0" w:space="0" w:color="auto"/>
        <w:bottom w:val="none" w:sz="0" w:space="0" w:color="auto"/>
        <w:right w:val="none" w:sz="0" w:space="0" w:color="auto"/>
      </w:divBdr>
    </w:div>
    <w:div w:id="797726401">
      <w:bodyDiv w:val="1"/>
      <w:marLeft w:val="0"/>
      <w:marRight w:val="0"/>
      <w:marTop w:val="0"/>
      <w:marBottom w:val="0"/>
      <w:divBdr>
        <w:top w:val="none" w:sz="0" w:space="0" w:color="auto"/>
        <w:left w:val="none" w:sz="0" w:space="0" w:color="auto"/>
        <w:bottom w:val="none" w:sz="0" w:space="0" w:color="auto"/>
        <w:right w:val="none" w:sz="0" w:space="0" w:color="auto"/>
      </w:divBdr>
    </w:div>
    <w:div w:id="819462561">
      <w:bodyDiv w:val="1"/>
      <w:marLeft w:val="0"/>
      <w:marRight w:val="0"/>
      <w:marTop w:val="0"/>
      <w:marBottom w:val="0"/>
      <w:divBdr>
        <w:top w:val="none" w:sz="0" w:space="0" w:color="auto"/>
        <w:left w:val="none" w:sz="0" w:space="0" w:color="auto"/>
        <w:bottom w:val="none" w:sz="0" w:space="0" w:color="auto"/>
        <w:right w:val="none" w:sz="0" w:space="0" w:color="auto"/>
      </w:divBdr>
    </w:div>
    <w:div w:id="834757827">
      <w:bodyDiv w:val="1"/>
      <w:marLeft w:val="0"/>
      <w:marRight w:val="0"/>
      <w:marTop w:val="0"/>
      <w:marBottom w:val="0"/>
      <w:divBdr>
        <w:top w:val="none" w:sz="0" w:space="0" w:color="auto"/>
        <w:left w:val="none" w:sz="0" w:space="0" w:color="auto"/>
        <w:bottom w:val="none" w:sz="0" w:space="0" w:color="auto"/>
        <w:right w:val="none" w:sz="0" w:space="0" w:color="auto"/>
      </w:divBdr>
    </w:div>
    <w:div w:id="846478639">
      <w:bodyDiv w:val="1"/>
      <w:marLeft w:val="0"/>
      <w:marRight w:val="0"/>
      <w:marTop w:val="0"/>
      <w:marBottom w:val="0"/>
      <w:divBdr>
        <w:top w:val="none" w:sz="0" w:space="0" w:color="auto"/>
        <w:left w:val="none" w:sz="0" w:space="0" w:color="auto"/>
        <w:bottom w:val="none" w:sz="0" w:space="0" w:color="auto"/>
        <w:right w:val="none" w:sz="0" w:space="0" w:color="auto"/>
      </w:divBdr>
    </w:div>
    <w:div w:id="906185090">
      <w:bodyDiv w:val="1"/>
      <w:marLeft w:val="0"/>
      <w:marRight w:val="0"/>
      <w:marTop w:val="0"/>
      <w:marBottom w:val="0"/>
      <w:divBdr>
        <w:top w:val="none" w:sz="0" w:space="0" w:color="auto"/>
        <w:left w:val="none" w:sz="0" w:space="0" w:color="auto"/>
        <w:bottom w:val="none" w:sz="0" w:space="0" w:color="auto"/>
        <w:right w:val="none" w:sz="0" w:space="0" w:color="auto"/>
      </w:divBdr>
    </w:div>
    <w:div w:id="934554843">
      <w:bodyDiv w:val="1"/>
      <w:marLeft w:val="0"/>
      <w:marRight w:val="0"/>
      <w:marTop w:val="0"/>
      <w:marBottom w:val="0"/>
      <w:divBdr>
        <w:top w:val="none" w:sz="0" w:space="0" w:color="auto"/>
        <w:left w:val="none" w:sz="0" w:space="0" w:color="auto"/>
        <w:bottom w:val="none" w:sz="0" w:space="0" w:color="auto"/>
        <w:right w:val="none" w:sz="0" w:space="0" w:color="auto"/>
      </w:divBdr>
    </w:div>
    <w:div w:id="983586256">
      <w:bodyDiv w:val="1"/>
      <w:marLeft w:val="0"/>
      <w:marRight w:val="0"/>
      <w:marTop w:val="0"/>
      <w:marBottom w:val="0"/>
      <w:divBdr>
        <w:top w:val="none" w:sz="0" w:space="0" w:color="auto"/>
        <w:left w:val="none" w:sz="0" w:space="0" w:color="auto"/>
        <w:bottom w:val="none" w:sz="0" w:space="0" w:color="auto"/>
        <w:right w:val="none" w:sz="0" w:space="0" w:color="auto"/>
      </w:divBdr>
    </w:div>
    <w:div w:id="1020012000">
      <w:bodyDiv w:val="1"/>
      <w:marLeft w:val="0"/>
      <w:marRight w:val="0"/>
      <w:marTop w:val="0"/>
      <w:marBottom w:val="0"/>
      <w:divBdr>
        <w:top w:val="none" w:sz="0" w:space="0" w:color="auto"/>
        <w:left w:val="none" w:sz="0" w:space="0" w:color="auto"/>
        <w:bottom w:val="none" w:sz="0" w:space="0" w:color="auto"/>
        <w:right w:val="none" w:sz="0" w:space="0" w:color="auto"/>
      </w:divBdr>
    </w:div>
    <w:div w:id="1044596544">
      <w:bodyDiv w:val="1"/>
      <w:marLeft w:val="0"/>
      <w:marRight w:val="0"/>
      <w:marTop w:val="0"/>
      <w:marBottom w:val="0"/>
      <w:divBdr>
        <w:top w:val="none" w:sz="0" w:space="0" w:color="auto"/>
        <w:left w:val="none" w:sz="0" w:space="0" w:color="auto"/>
        <w:bottom w:val="none" w:sz="0" w:space="0" w:color="auto"/>
        <w:right w:val="none" w:sz="0" w:space="0" w:color="auto"/>
      </w:divBdr>
    </w:div>
    <w:div w:id="1060397552">
      <w:bodyDiv w:val="1"/>
      <w:marLeft w:val="0"/>
      <w:marRight w:val="0"/>
      <w:marTop w:val="0"/>
      <w:marBottom w:val="0"/>
      <w:divBdr>
        <w:top w:val="none" w:sz="0" w:space="0" w:color="auto"/>
        <w:left w:val="none" w:sz="0" w:space="0" w:color="auto"/>
        <w:bottom w:val="none" w:sz="0" w:space="0" w:color="auto"/>
        <w:right w:val="none" w:sz="0" w:space="0" w:color="auto"/>
      </w:divBdr>
    </w:div>
    <w:div w:id="1079210738">
      <w:bodyDiv w:val="1"/>
      <w:marLeft w:val="0"/>
      <w:marRight w:val="0"/>
      <w:marTop w:val="0"/>
      <w:marBottom w:val="0"/>
      <w:divBdr>
        <w:top w:val="none" w:sz="0" w:space="0" w:color="auto"/>
        <w:left w:val="none" w:sz="0" w:space="0" w:color="auto"/>
        <w:bottom w:val="none" w:sz="0" w:space="0" w:color="auto"/>
        <w:right w:val="none" w:sz="0" w:space="0" w:color="auto"/>
      </w:divBdr>
    </w:div>
    <w:div w:id="1092319454">
      <w:bodyDiv w:val="1"/>
      <w:marLeft w:val="0"/>
      <w:marRight w:val="0"/>
      <w:marTop w:val="0"/>
      <w:marBottom w:val="0"/>
      <w:divBdr>
        <w:top w:val="none" w:sz="0" w:space="0" w:color="auto"/>
        <w:left w:val="none" w:sz="0" w:space="0" w:color="auto"/>
        <w:bottom w:val="none" w:sz="0" w:space="0" w:color="auto"/>
        <w:right w:val="none" w:sz="0" w:space="0" w:color="auto"/>
      </w:divBdr>
    </w:div>
    <w:div w:id="1097597295">
      <w:bodyDiv w:val="1"/>
      <w:marLeft w:val="0"/>
      <w:marRight w:val="0"/>
      <w:marTop w:val="0"/>
      <w:marBottom w:val="0"/>
      <w:divBdr>
        <w:top w:val="none" w:sz="0" w:space="0" w:color="auto"/>
        <w:left w:val="none" w:sz="0" w:space="0" w:color="auto"/>
        <w:bottom w:val="none" w:sz="0" w:space="0" w:color="auto"/>
        <w:right w:val="none" w:sz="0" w:space="0" w:color="auto"/>
      </w:divBdr>
    </w:div>
    <w:div w:id="1114209455">
      <w:bodyDiv w:val="1"/>
      <w:marLeft w:val="0"/>
      <w:marRight w:val="0"/>
      <w:marTop w:val="0"/>
      <w:marBottom w:val="0"/>
      <w:divBdr>
        <w:top w:val="none" w:sz="0" w:space="0" w:color="auto"/>
        <w:left w:val="none" w:sz="0" w:space="0" w:color="auto"/>
        <w:bottom w:val="none" w:sz="0" w:space="0" w:color="auto"/>
        <w:right w:val="none" w:sz="0" w:space="0" w:color="auto"/>
      </w:divBdr>
    </w:div>
    <w:div w:id="1130365812">
      <w:bodyDiv w:val="1"/>
      <w:marLeft w:val="0"/>
      <w:marRight w:val="0"/>
      <w:marTop w:val="0"/>
      <w:marBottom w:val="0"/>
      <w:divBdr>
        <w:top w:val="none" w:sz="0" w:space="0" w:color="auto"/>
        <w:left w:val="none" w:sz="0" w:space="0" w:color="auto"/>
        <w:bottom w:val="none" w:sz="0" w:space="0" w:color="auto"/>
        <w:right w:val="none" w:sz="0" w:space="0" w:color="auto"/>
      </w:divBdr>
    </w:div>
    <w:div w:id="1136610247">
      <w:bodyDiv w:val="1"/>
      <w:marLeft w:val="0"/>
      <w:marRight w:val="0"/>
      <w:marTop w:val="0"/>
      <w:marBottom w:val="0"/>
      <w:divBdr>
        <w:top w:val="none" w:sz="0" w:space="0" w:color="auto"/>
        <w:left w:val="none" w:sz="0" w:space="0" w:color="auto"/>
        <w:bottom w:val="none" w:sz="0" w:space="0" w:color="auto"/>
        <w:right w:val="none" w:sz="0" w:space="0" w:color="auto"/>
      </w:divBdr>
    </w:div>
    <w:div w:id="1165897365">
      <w:bodyDiv w:val="1"/>
      <w:marLeft w:val="0"/>
      <w:marRight w:val="0"/>
      <w:marTop w:val="0"/>
      <w:marBottom w:val="0"/>
      <w:divBdr>
        <w:top w:val="none" w:sz="0" w:space="0" w:color="auto"/>
        <w:left w:val="none" w:sz="0" w:space="0" w:color="auto"/>
        <w:bottom w:val="none" w:sz="0" w:space="0" w:color="auto"/>
        <w:right w:val="none" w:sz="0" w:space="0" w:color="auto"/>
      </w:divBdr>
    </w:div>
    <w:div w:id="1167358684">
      <w:bodyDiv w:val="1"/>
      <w:marLeft w:val="0"/>
      <w:marRight w:val="0"/>
      <w:marTop w:val="0"/>
      <w:marBottom w:val="0"/>
      <w:divBdr>
        <w:top w:val="none" w:sz="0" w:space="0" w:color="auto"/>
        <w:left w:val="none" w:sz="0" w:space="0" w:color="auto"/>
        <w:bottom w:val="none" w:sz="0" w:space="0" w:color="auto"/>
        <w:right w:val="none" w:sz="0" w:space="0" w:color="auto"/>
      </w:divBdr>
    </w:div>
    <w:div w:id="1233353535">
      <w:bodyDiv w:val="1"/>
      <w:marLeft w:val="0"/>
      <w:marRight w:val="0"/>
      <w:marTop w:val="0"/>
      <w:marBottom w:val="0"/>
      <w:divBdr>
        <w:top w:val="none" w:sz="0" w:space="0" w:color="auto"/>
        <w:left w:val="none" w:sz="0" w:space="0" w:color="auto"/>
        <w:bottom w:val="none" w:sz="0" w:space="0" w:color="auto"/>
        <w:right w:val="none" w:sz="0" w:space="0" w:color="auto"/>
      </w:divBdr>
    </w:div>
    <w:div w:id="1241403580">
      <w:bodyDiv w:val="1"/>
      <w:marLeft w:val="0"/>
      <w:marRight w:val="0"/>
      <w:marTop w:val="0"/>
      <w:marBottom w:val="0"/>
      <w:divBdr>
        <w:top w:val="none" w:sz="0" w:space="0" w:color="auto"/>
        <w:left w:val="none" w:sz="0" w:space="0" w:color="auto"/>
        <w:bottom w:val="none" w:sz="0" w:space="0" w:color="auto"/>
        <w:right w:val="none" w:sz="0" w:space="0" w:color="auto"/>
      </w:divBdr>
    </w:div>
    <w:div w:id="1241718834">
      <w:bodyDiv w:val="1"/>
      <w:marLeft w:val="0"/>
      <w:marRight w:val="0"/>
      <w:marTop w:val="0"/>
      <w:marBottom w:val="0"/>
      <w:divBdr>
        <w:top w:val="none" w:sz="0" w:space="0" w:color="auto"/>
        <w:left w:val="none" w:sz="0" w:space="0" w:color="auto"/>
        <w:bottom w:val="none" w:sz="0" w:space="0" w:color="auto"/>
        <w:right w:val="none" w:sz="0" w:space="0" w:color="auto"/>
      </w:divBdr>
    </w:div>
    <w:div w:id="1249264903">
      <w:bodyDiv w:val="1"/>
      <w:marLeft w:val="0"/>
      <w:marRight w:val="0"/>
      <w:marTop w:val="0"/>
      <w:marBottom w:val="0"/>
      <w:divBdr>
        <w:top w:val="none" w:sz="0" w:space="0" w:color="auto"/>
        <w:left w:val="none" w:sz="0" w:space="0" w:color="auto"/>
        <w:bottom w:val="none" w:sz="0" w:space="0" w:color="auto"/>
        <w:right w:val="none" w:sz="0" w:space="0" w:color="auto"/>
      </w:divBdr>
    </w:div>
    <w:div w:id="1251694095">
      <w:bodyDiv w:val="1"/>
      <w:marLeft w:val="0"/>
      <w:marRight w:val="0"/>
      <w:marTop w:val="0"/>
      <w:marBottom w:val="0"/>
      <w:divBdr>
        <w:top w:val="none" w:sz="0" w:space="0" w:color="auto"/>
        <w:left w:val="none" w:sz="0" w:space="0" w:color="auto"/>
        <w:bottom w:val="none" w:sz="0" w:space="0" w:color="auto"/>
        <w:right w:val="none" w:sz="0" w:space="0" w:color="auto"/>
      </w:divBdr>
    </w:div>
    <w:div w:id="1253201253">
      <w:bodyDiv w:val="1"/>
      <w:marLeft w:val="0"/>
      <w:marRight w:val="0"/>
      <w:marTop w:val="0"/>
      <w:marBottom w:val="0"/>
      <w:divBdr>
        <w:top w:val="none" w:sz="0" w:space="0" w:color="auto"/>
        <w:left w:val="none" w:sz="0" w:space="0" w:color="auto"/>
        <w:bottom w:val="none" w:sz="0" w:space="0" w:color="auto"/>
        <w:right w:val="none" w:sz="0" w:space="0" w:color="auto"/>
      </w:divBdr>
    </w:div>
    <w:div w:id="1254701265">
      <w:bodyDiv w:val="1"/>
      <w:marLeft w:val="0"/>
      <w:marRight w:val="0"/>
      <w:marTop w:val="0"/>
      <w:marBottom w:val="0"/>
      <w:divBdr>
        <w:top w:val="none" w:sz="0" w:space="0" w:color="auto"/>
        <w:left w:val="none" w:sz="0" w:space="0" w:color="auto"/>
        <w:bottom w:val="none" w:sz="0" w:space="0" w:color="auto"/>
        <w:right w:val="none" w:sz="0" w:space="0" w:color="auto"/>
      </w:divBdr>
    </w:div>
    <w:div w:id="1276249826">
      <w:bodyDiv w:val="1"/>
      <w:marLeft w:val="0"/>
      <w:marRight w:val="0"/>
      <w:marTop w:val="0"/>
      <w:marBottom w:val="0"/>
      <w:divBdr>
        <w:top w:val="none" w:sz="0" w:space="0" w:color="auto"/>
        <w:left w:val="none" w:sz="0" w:space="0" w:color="auto"/>
        <w:bottom w:val="none" w:sz="0" w:space="0" w:color="auto"/>
        <w:right w:val="none" w:sz="0" w:space="0" w:color="auto"/>
      </w:divBdr>
    </w:div>
    <w:div w:id="1364863603">
      <w:bodyDiv w:val="1"/>
      <w:marLeft w:val="0"/>
      <w:marRight w:val="0"/>
      <w:marTop w:val="0"/>
      <w:marBottom w:val="0"/>
      <w:divBdr>
        <w:top w:val="none" w:sz="0" w:space="0" w:color="auto"/>
        <w:left w:val="none" w:sz="0" w:space="0" w:color="auto"/>
        <w:bottom w:val="none" w:sz="0" w:space="0" w:color="auto"/>
        <w:right w:val="none" w:sz="0" w:space="0" w:color="auto"/>
      </w:divBdr>
    </w:div>
    <w:div w:id="1379165465">
      <w:bodyDiv w:val="1"/>
      <w:marLeft w:val="0"/>
      <w:marRight w:val="0"/>
      <w:marTop w:val="0"/>
      <w:marBottom w:val="0"/>
      <w:divBdr>
        <w:top w:val="none" w:sz="0" w:space="0" w:color="auto"/>
        <w:left w:val="none" w:sz="0" w:space="0" w:color="auto"/>
        <w:bottom w:val="none" w:sz="0" w:space="0" w:color="auto"/>
        <w:right w:val="none" w:sz="0" w:space="0" w:color="auto"/>
      </w:divBdr>
    </w:div>
    <w:div w:id="1388335768">
      <w:bodyDiv w:val="1"/>
      <w:marLeft w:val="0"/>
      <w:marRight w:val="0"/>
      <w:marTop w:val="0"/>
      <w:marBottom w:val="0"/>
      <w:divBdr>
        <w:top w:val="none" w:sz="0" w:space="0" w:color="auto"/>
        <w:left w:val="none" w:sz="0" w:space="0" w:color="auto"/>
        <w:bottom w:val="none" w:sz="0" w:space="0" w:color="auto"/>
        <w:right w:val="none" w:sz="0" w:space="0" w:color="auto"/>
      </w:divBdr>
    </w:div>
    <w:div w:id="1403214673">
      <w:bodyDiv w:val="1"/>
      <w:marLeft w:val="0"/>
      <w:marRight w:val="0"/>
      <w:marTop w:val="0"/>
      <w:marBottom w:val="0"/>
      <w:divBdr>
        <w:top w:val="none" w:sz="0" w:space="0" w:color="auto"/>
        <w:left w:val="none" w:sz="0" w:space="0" w:color="auto"/>
        <w:bottom w:val="none" w:sz="0" w:space="0" w:color="auto"/>
        <w:right w:val="none" w:sz="0" w:space="0" w:color="auto"/>
      </w:divBdr>
    </w:div>
    <w:div w:id="1411731964">
      <w:bodyDiv w:val="1"/>
      <w:marLeft w:val="0"/>
      <w:marRight w:val="0"/>
      <w:marTop w:val="0"/>
      <w:marBottom w:val="0"/>
      <w:divBdr>
        <w:top w:val="none" w:sz="0" w:space="0" w:color="auto"/>
        <w:left w:val="none" w:sz="0" w:space="0" w:color="auto"/>
        <w:bottom w:val="none" w:sz="0" w:space="0" w:color="auto"/>
        <w:right w:val="none" w:sz="0" w:space="0" w:color="auto"/>
      </w:divBdr>
    </w:div>
    <w:div w:id="1450663301">
      <w:bodyDiv w:val="1"/>
      <w:marLeft w:val="0"/>
      <w:marRight w:val="0"/>
      <w:marTop w:val="0"/>
      <w:marBottom w:val="0"/>
      <w:divBdr>
        <w:top w:val="none" w:sz="0" w:space="0" w:color="auto"/>
        <w:left w:val="none" w:sz="0" w:space="0" w:color="auto"/>
        <w:bottom w:val="none" w:sz="0" w:space="0" w:color="auto"/>
        <w:right w:val="none" w:sz="0" w:space="0" w:color="auto"/>
      </w:divBdr>
    </w:div>
    <w:div w:id="1477721604">
      <w:bodyDiv w:val="1"/>
      <w:marLeft w:val="0"/>
      <w:marRight w:val="0"/>
      <w:marTop w:val="0"/>
      <w:marBottom w:val="0"/>
      <w:divBdr>
        <w:top w:val="none" w:sz="0" w:space="0" w:color="auto"/>
        <w:left w:val="none" w:sz="0" w:space="0" w:color="auto"/>
        <w:bottom w:val="none" w:sz="0" w:space="0" w:color="auto"/>
        <w:right w:val="none" w:sz="0" w:space="0" w:color="auto"/>
      </w:divBdr>
    </w:div>
    <w:div w:id="1506819159">
      <w:bodyDiv w:val="1"/>
      <w:marLeft w:val="0"/>
      <w:marRight w:val="0"/>
      <w:marTop w:val="0"/>
      <w:marBottom w:val="0"/>
      <w:divBdr>
        <w:top w:val="none" w:sz="0" w:space="0" w:color="auto"/>
        <w:left w:val="none" w:sz="0" w:space="0" w:color="auto"/>
        <w:bottom w:val="none" w:sz="0" w:space="0" w:color="auto"/>
        <w:right w:val="none" w:sz="0" w:space="0" w:color="auto"/>
      </w:divBdr>
    </w:div>
    <w:div w:id="1510413002">
      <w:bodyDiv w:val="1"/>
      <w:marLeft w:val="0"/>
      <w:marRight w:val="0"/>
      <w:marTop w:val="0"/>
      <w:marBottom w:val="0"/>
      <w:divBdr>
        <w:top w:val="none" w:sz="0" w:space="0" w:color="auto"/>
        <w:left w:val="none" w:sz="0" w:space="0" w:color="auto"/>
        <w:bottom w:val="none" w:sz="0" w:space="0" w:color="auto"/>
        <w:right w:val="none" w:sz="0" w:space="0" w:color="auto"/>
      </w:divBdr>
    </w:div>
    <w:div w:id="1511068561">
      <w:bodyDiv w:val="1"/>
      <w:marLeft w:val="0"/>
      <w:marRight w:val="0"/>
      <w:marTop w:val="0"/>
      <w:marBottom w:val="0"/>
      <w:divBdr>
        <w:top w:val="none" w:sz="0" w:space="0" w:color="auto"/>
        <w:left w:val="none" w:sz="0" w:space="0" w:color="auto"/>
        <w:bottom w:val="none" w:sz="0" w:space="0" w:color="auto"/>
        <w:right w:val="none" w:sz="0" w:space="0" w:color="auto"/>
      </w:divBdr>
    </w:div>
    <w:div w:id="1519655983">
      <w:bodyDiv w:val="1"/>
      <w:marLeft w:val="0"/>
      <w:marRight w:val="0"/>
      <w:marTop w:val="0"/>
      <w:marBottom w:val="0"/>
      <w:divBdr>
        <w:top w:val="none" w:sz="0" w:space="0" w:color="auto"/>
        <w:left w:val="none" w:sz="0" w:space="0" w:color="auto"/>
        <w:bottom w:val="none" w:sz="0" w:space="0" w:color="auto"/>
        <w:right w:val="none" w:sz="0" w:space="0" w:color="auto"/>
      </w:divBdr>
    </w:div>
    <w:div w:id="1540245775">
      <w:bodyDiv w:val="1"/>
      <w:marLeft w:val="0"/>
      <w:marRight w:val="0"/>
      <w:marTop w:val="0"/>
      <w:marBottom w:val="0"/>
      <w:divBdr>
        <w:top w:val="none" w:sz="0" w:space="0" w:color="auto"/>
        <w:left w:val="none" w:sz="0" w:space="0" w:color="auto"/>
        <w:bottom w:val="none" w:sz="0" w:space="0" w:color="auto"/>
        <w:right w:val="none" w:sz="0" w:space="0" w:color="auto"/>
      </w:divBdr>
    </w:div>
    <w:div w:id="1553230566">
      <w:bodyDiv w:val="1"/>
      <w:marLeft w:val="0"/>
      <w:marRight w:val="0"/>
      <w:marTop w:val="0"/>
      <w:marBottom w:val="0"/>
      <w:divBdr>
        <w:top w:val="none" w:sz="0" w:space="0" w:color="auto"/>
        <w:left w:val="none" w:sz="0" w:space="0" w:color="auto"/>
        <w:bottom w:val="none" w:sz="0" w:space="0" w:color="auto"/>
        <w:right w:val="none" w:sz="0" w:space="0" w:color="auto"/>
      </w:divBdr>
    </w:div>
    <w:div w:id="1560824379">
      <w:bodyDiv w:val="1"/>
      <w:marLeft w:val="0"/>
      <w:marRight w:val="0"/>
      <w:marTop w:val="0"/>
      <w:marBottom w:val="0"/>
      <w:divBdr>
        <w:top w:val="none" w:sz="0" w:space="0" w:color="auto"/>
        <w:left w:val="none" w:sz="0" w:space="0" w:color="auto"/>
        <w:bottom w:val="none" w:sz="0" w:space="0" w:color="auto"/>
        <w:right w:val="none" w:sz="0" w:space="0" w:color="auto"/>
      </w:divBdr>
    </w:div>
    <w:div w:id="1644962069">
      <w:bodyDiv w:val="1"/>
      <w:marLeft w:val="0"/>
      <w:marRight w:val="0"/>
      <w:marTop w:val="0"/>
      <w:marBottom w:val="0"/>
      <w:divBdr>
        <w:top w:val="none" w:sz="0" w:space="0" w:color="auto"/>
        <w:left w:val="none" w:sz="0" w:space="0" w:color="auto"/>
        <w:bottom w:val="none" w:sz="0" w:space="0" w:color="auto"/>
        <w:right w:val="none" w:sz="0" w:space="0" w:color="auto"/>
      </w:divBdr>
    </w:div>
    <w:div w:id="1672417226">
      <w:bodyDiv w:val="1"/>
      <w:marLeft w:val="0"/>
      <w:marRight w:val="0"/>
      <w:marTop w:val="0"/>
      <w:marBottom w:val="0"/>
      <w:divBdr>
        <w:top w:val="none" w:sz="0" w:space="0" w:color="auto"/>
        <w:left w:val="none" w:sz="0" w:space="0" w:color="auto"/>
        <w:bottom w:val="none" w:sz="0" w:space="0" w:color="auto"/>
        <w:right w:val="none" w:sz="0" w:space="0" w:color="auto"/>
      </w:divBdr>
    </w:div>
    <w:div w:id="1682047854">
      <w:bodyDiv w:val="1"/>
      <w:marLeft w:val="0"/>
      <w:marRight w:val="0"/>
      <w:marTop w:val="0"/>
      <w:marBottom w:val="0"/>
      <w:divBdr>
        <w:top w:val="none" w:sz="0" w:space="0" w:color="auto"/>
        <w:left w:val="none" w:sz="0" w:space="0" w:color="auto"/>
        <w:bottom w:val="none" w:sz="0" w:space="0" w:color="auto"/>
        <w:right w:val="none" w:sz="0" w:space="0" w:color="auto"/>
      </w:divBdr>
    </w:div>
    <w:div w:id="1711342179">
      <w:bodyDiv w:val="1"/>
      <w:marLeft w:val="0"/>
      <w:marRight w:val="0"/>
      <w:marTop w:val="0"/>
      <w:marBottom w:val="0"/>
      <w:divBdr>
        <w:top w:val="none" w:sz="0" w:space="0" w:color="auto"/>
        <w:left w:val="none" w:sz="0" w:space="0" w:color="auto"/>
        <w:bottom w:val="none" w:sz="0" w:space="0" w:color="auto"/>
        <w:right w:val="none" w:sz="0" w:space="0" w:color="auto"/>
      </w:divBdr>
    </w:div>
    <w:div w:id="1760759970">
      <w:bodyDiv w:val="1"/>
      <w:marLeft w:val="0"/>
      <w:marRight w:val="0"/>
      <w:marTop w:val="0"/>
      <w:marBottom w:val="0"/>
      <w:divBdr>
        <w:top w:val="none" w:sz="0" w:space="0" w:color="auto"/>
        <w:left w:val="none" w:sz="0" w:space="0" w:color="auto"/>
        <w:bottom w:val="none" w:sz="0" w:space="0" w:color="auto"/>
        <w:right w:val="none" w:sz="0" w:space="0" w:color="auto"/>
      </w:divBdr>
    </w:div>
    <w:div w:id="1815296215">
      <w:bodyDiv w:val="1"/>
      <w:marLeft w:val="0"/>
      <w:marRight w:val="0"/>
      <w:marTop w:val="0"/>
      <w:marBottom w:val="0"/>
      <w:divBdr>
        <w:top w:val="none" w:sz="0" w:space="0" w:color="auto"/>
        <w:left w:val="none" w:sz="0" w:space="0" w:color="auto"/>
        <w:bottom w:val="none" w:sz="0" w:space="0" w:color="auto"/>
        <w:right w:val="none" w:sz="0" w:space="0" w:color="auto"/>
      </w:divBdr>
    </w:div>
    <w:div w:id="1867407712">
      <w:bodyDiv w:val="1"/>
      <w:marLeft w:val="0"/>
      <w:marRight w:val="0"/>
      <w:marTop w:val="0"/>
      <w:marBottom w:val="0"/>
      <w:divBdr>
        <w:top w:val="none" w:sz="0" w:space="0" w:color="auto"/>
        <w:left w:val="none" w:sz="0" w:space="0" w:color="auto"/>
        <w:bottom w:val="none" w:sz="0" w:space="0" w:color="auto"/>
        <w:right w:val="none" w:sz="0" w:space="0" w:color="auto"/>
      </w:divBdr>
    </w:div>
    <w:div w:id="1891110927">
      <w:bodyDiv w:val="1"/>
      <w:marLeft w:val="0"/>
      <w:marRight w:val="0"/>
      <w:marTop w:val="0"/>
      <w:marBottom w:val="0"/>
      <w:divBdr>
        <w:top w:val="none" w:sz="0" w:space="0" w:color="auto"/>
        <w:left w:val="none" w:sz="0" w:space="0" w:color="auto"/>
        <w:bottom w:val="none" w:sz="0" w:space="0" w:color="auto"/>
        <w:right w:val="none" w:sz="0" w:space="0" w:color="auto"/>
      </w:divBdr>
    </w:div>
    <w:div w:id="1914588240">
      <w:bodyDiv w:val="1"/>
      <w:marLeft w:val="0"/>
      <w:marRight w:val="0"/>
      <w:marTop w:val="0"/>
      <w:marBottom w:val="0"/>
      <w:divBdr>
        <w:top w:val="none" w:sz="0" w:space="0" w:color="auto"/>
        <w:left w:val="none" w:sz="0" w:space="0" w:color="auto"/>
        <w:bottom w:val="none" w:sz="0" w:space="0" w:color="auto"/>
        <w:right w:val="none" w:sz="0" w:space="0" w:color="auto"/>
      </w:divBdr>
    </w:div>
    <w:div w:id="1960600690">
      <w:bodyDiv w:val="1"/>
      <w:marLeft w:val="0"/>
      <w:marRight w:val="0"/>
      <w:marTop w:val="0"/>
      <w:marBottom w:val="0"/>
      <w:divBdr>
        <w:top w:val="none" w:sz="0" w:space="0" w:color="auto"/>
        <w:left w:val="none" w:sz="0" w:space="0" w:color="auto"/>
        <w:bottom w:val="none" w:sz="0" w:space="0" w:color="auto"/>
        <w:right w:val="none" w:sz="0" w:space="0" w:color="auto"/>
      </w:divBdr>
    </w:div>
    <w:div w:id="1986742331">
      <w:bodyDiv w:val="1"/>
      <w:marLeft w:val="0"/>
      <w:marRight w:val="0"/>
      <w:marTop w:val="0"/>
      <w:marBottom w:val="0"/>
      <w:divBdr>
        <w:top w:val="none" w:sz="0" w:space="0" w:color="auto"/>
        <w:left w:val="none" w:sz="0" w:space="0" w:color="auto"/>
        <w:bottom w:val="none" w:sz="0" w:space="0" w:color="auto"/>
        <w:right w:val="none" w:sz="0" w:space="0" w:color="auto"/>
      </w:divBdr>
    </w:div>
    <w:div w:id="1987971614">
      <w:bodyDiv w:val="1"/>
      <w:marLeft w:val="0"/>
      <w:marRight w:val="0"/>
      <w:marTop w:val="0"/>
      <w:marBottom w:val="0"/>
      <w:divBdr>
        <w:top w:val="none" w:sz="0" w:space="0" w:color="auto"/>
        <w:left w:val="none" w:sz="0" w:space="0" w:color="auto"/>
        <w:bottom w:val="none" w:sz="0" w:space="0" w:color="auto"/>
        <w:right w:val="none" w:sz="0" w:space="0" w:color="auto"/>
      </w:divBdr>
    </w:div>
    <w:div w:id="2011564446">
      <w:bodyDiv w:val="1"/>
      <w:marLeft w:val="0"/>
      <w:marRight w:val="0"/>
      <w:marTop w:val="0"/>
      <w:marBottom w:val="0"/>
      <w:divBdr>
        <w:top w:val="none" w:sz="0" w:space="0" w:color="auto"/>
        <w:left w:val="none" w:sz="0" w:space="0" w:color="auto"/>
        <w:bottom w:val="none" w:sz="0" w:space="0" w:color="auto"/>
        <w:right w:val="none" w:sz="0" w:space="0" w:color="auto"/>
      </w:divBdr>
    </w:div>
    <w:div w:id="2054385751">
      <w:bodyDiv w:val="1"/>
      <w:marLeft w:val="0"/>
      <w:marRight w:val="0"/>
      <w:marTop w:val="0"/>
      <w:marBottom w:val="0"/>
      <w:divBdr>
        <w:top w:val="none" w:sz="0" w:space="0" w:color="auto"/>
        <w:left w:val="none" w:sz="0" w:space="0" w:color="auto"/>
        <w:bottom w:val="none" w:sz="0" w:space="0" w:color="auto"/>
        <w:right w:val="none" w:sz="0" w:space="0" w:color="auto"/>
      </w:divBdr>
    </w:div>
    <w:div w:id="2089958126">
      <w:bodyDiv w:val="1"/>
      <w:marLeft w:val="0"/>
      <w:marRight w:val="0"/>
      <w:marTop w:val="0"/>
      <w:marBottom w:val="0"/>
      <w:divBdr>
        <w:top w:val="none" w:sz="0" w:space="0" w:color="auto"/>
        <w:left w:val="none" w:sz="0" w:space="0" w:color="auto"/>
        <w:bottom w:val="none" w:sz="0" w:space="0" w:color="auto"/>
        <w:right w:val="none" w:sz="0" w:space="0" w:color="auto"/>
      </w:divBdr>
    </w:div>
    <w:div w:id="2125466817">
      <w:bodyDiv w:val="1"/>
      <w:marLeft w:val="0"/>
      <w:marRight w:val="0"/>
      <w:marTop w:val="0"/>
      <w:marBottom w:val="0"/>
      <w:divBdr>
        <w:top w:val="none" w:sz="0" w:space="0" w:color="auto"/>
        <w:left w:val="none" w:sz="0" w:space="0" w:color="auto"/>
        <w:bottom w:val="none" w:sz="0" w:space="0" w:color="auto"/>
        <w:right w:val="none" w:sz="0" w:space="0" w:color="auto"/>
      </w:divBdr>
    </w:div>
    <w:div w:id="214303808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4.jpeg"/><Relationship Id="rId26" Type="http://schemas.openxmlformats.org/officeDocument/2006/relationships/image" Target="media/image10.jpeg"/><Relationship Id="rId39" Type="http://schemas.openxmlformats.org/officeDocument/2006/relationships/image" Target="media/image23.jpeg"/><Relationship Id="rId21" Type="http://schemas.openxmlformats.org/officeDocument/2006/relationships/chart" Target="charts/chart1.xml"/><Relationship Id="rId34" Type="http://schemas.openxmlformats.org/officeDocument/2006/relationships/image" Target="media/image18.jpeg"/><Relationship Id="rId42" Type="http://schemas.openxmlformats.org/officeDocument/2006/relationships/image" Target="media/image26.jpeg"/><Relationship Id="rId47" Type="http://schemas.openxmlformats.org/officeDocument/2006/relationships/image" Target="media/image31.jpeg"/><Relationship Id="rId50" Type="http://schemas.openxmlformats.org/officeDocument/2006/relationships/hyperlink" Target="http://www.tenders.vic.gov.au" TargetMode="External"/><Relationship Id="rId55"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3.jpeg"/><Relationship Id="rId25" Type="http://schemas.openxmlformats.org/officeDocument/2006/relationships/image" Target="media/image9.jpeg"/><Relationship Id="rId33" Type="http://schemas.openxmlformats.org/officeDocument/2006/relationships/image" Target="media/image17.jpeg"/><Relationship Id="rId38" Type="http://schemas.openxmlformats.org/officeDocument/2006/relationships/image" Target="media/image22.jpeg"/><Relationship Id="rId46" Type="http://schemas.openxmlformats.org/officeDocument/2006/relationships/image" Target="media/image30.jpeg"/><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image" Target="media/image6.jpeg"/><Relationship Id="rId29" Type="http://schemas.openxmlformats.org/officeDocument/2006/relationships/image" Target="media/image13.jpeg"/><Relationship Id="rId41" Type="http://schemas.openxmlformats.org/officeDocument/2006/relationships/image" Target="media/image25.jpe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8.jpeg"/><Relationship Id="rId32" Type="http://schemas.openxmlformats.org/officeDocument/2006/relationships/image" Target="media/image16.jpeg"/><Relationship Id="rId37" Type="http://schemas.openxmlformats.org/officeDocument/2006/relationships/image" Target="media/image21.jpeg"/><Relationship Id="rId40" Type="http://schemas.openxmlformats.org/officeDocument/2006/relationships/image" Target="media/image24.jpeg"/><Relationship Id="rId45" Type="http://schemas.openxmlformats.org/officeDocument/2006/relationships/image" Target="media/image29.jpeg"/><Relationship Id="rId53" Type="http://schemas.openxmlformats.org/officeDocument/2006/relationships/hyperlink" Target="http://vpsc.vic.gov.au/products/view-products/conflict-of-interest-policy-framework.html" TargetMode="External"/><Relationship Id="rId5" Type="http://schemas.openxmlformats.org/officeDocument/2006/relationships/settings" Target="settings.xml"/><Relationship Id="rId15" Type="http://schemas.openxmlformats.org/officeDocument/2006/relationships/hyperlink" Target="http://www.procurement.vic.gov.au/Buyers/Other-Procurement-Links" TargetMode="External"/><Relationship Id="rId23" Type="http://schemas.openxmlformats.org/officeDocument/2006/relationships/image" Target="media/image7.jpeg"/><Relationship Id="rId28" Type="http://schemas.openxmlformats.org/officeDocument/2006/relationships/image" Target="media/image12.jpeg"/><Relationship Id="rId36" Type="http://schemas.openxmlformats.org/officeDocument/2006/relationships/image" Target="media/image20.jpeg"/><Relationship Id="rId49" Type="http://schemas.openxmlformats.org/officeDocument/2006/relationships/hyperlink" Target="http://www.procurement.vic.gov.au" TargetMode="External"/><Relationship Id="rId10" Type="http://schemas.openxmlformats.org/officeDocument/2006/relationships/hyperlink" Target="mailto:IPpolicy@dtf.vic.gov.au" TargetMode="External"/><Relationship Id="rId19" Type="http://schemas.openxmlformats.org/officeDocument/2006/relationships/image" Target="media/image5.jpeg"/><Relationship Id="rId31" Type="http://schemas.openxmlformats.org/officeDocument/2006/relationships/image" Target="media/image15.jpeg"/><Relationship Id="rId44" Type="http://schemas.openxmlformats.org/officeDocument/2006/relationships/image" Target="media/image28.jpeg"/><Relationship Id="rId52" Type="http://schemas.openxmlformats.org/officeDocument/2006/relationships/hyperlink" Target="http://www.training.gov.au" TargetMode="Externa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footer" Target="footer3.xml"/><Relationship Id="rId22" Type="http://schemas.openxmlformats.org/officeDocument/2006/relationships/chart" Target="charts/chart2.xml"/><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image" Target="media/image19.jpeg"/><Relationship Id="rId43" Type="http://schemas.openxmlformats.org/officeDocument/2006/relationships/image" Target="media/image27.jpeg"/><Relationship Id="rId48" Type="http://schemas.openxmlformats.org/officeDocument/2006/relationships/hyperlink" Target="http://www.procurement.vic.gov.au/" TargetMode="External"/><Relationship Id="rId8" Type="http://schemas.openxmlformats.org/officeDocument/2006/relationships/endnotes" Target="endnotes.xml"/><Relationship Id="rId51" Type="http://schemas.openxmlformats.org/officeDocument/2006/relationships/hyperlink" Target="http://www.apcc.gov.au" TargetMode="External"/><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Keelie\Dropbox\Work\VGPB%20Annual%20report%202015-16\ASRs%202015-16\Merged%20ASR%20data%20v0.1.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Keelie\Dropbox\Work\VGPB%20Annual%20report%202015-16\ASRs%202015-16\Merged%20ASR%20data%20v0.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stacked"/>
        <c:varyColors val="0"/>
        <c:ser>
          <c:idx val="0"/>
          <c:order val="0"/>
          <c:tx>
            <c:strRef>
              <c:f>Graphs!$B$28</c:f>
              <c:strCache>
                <c:ptCount val="1"/>
                <c:pt idx="0">
                  <c:v>Goods</c:v>
                </c:pt>
              </c:strCache>
            </c:strRef>
          </c:tx>
          <c:invertIfNegative val="0"/>
          <c:cat>
            <c:strRef>
              <c:f>Graphs!$A$29:$A$37</c:f>
              <c:strCache>
                <c:ptCount val="9"/>
                <c:pt idx="0">
                  <c:v>Economic Development, Jobs, Transport and Resources</c:v>
                </c:pt>
                <c:pt idx="1">
                  <c:v>Education and Training</c:v>
                </c:pt>
                <c:pt idx="2">
                  <c:v>Environment, Land, Water and Planning</c:v>
                </c:pt>
                <c:pt idx="3">
                  <c:v>Health and Human Services</c:v>
                </c:pt>
                <c:pt idx="4">
                  <c:v>Justice and Regulation</c:v>
                </c:pt>
                <c:pt idx="5">
                  <c:v>Premier and Cabinet</c:v>
                </c:pt>
                <c:pt idx="6">
                  <c:v>Treasury and Finance</c:v>
                </c:pt>
                <c:pt idx="7">
                  <c:v>VicRoads</c:v>
                </c:pt>
                <c:pt idx="8">
                  <c:v>Victoria Police</c:v>
                </c:pt>
              </c:strCache>
            </c:strRef>
          </c:cat>
          <c:val>
            <c:numRef>
              <c:f>Graphs!$B$29:$B$37</c:f>
              <c:numCache>
                <c:formatCode>General</c:formatCode>
                <c:ptCount val="9"/>
                <c:pt idx="0">
                  <c:v>8</c:v>
                </c:pt>
                <c:pt idx="1">
                  <c:v>18</c:v>
                </c:pt>
                <c:pt idx="2">
                  <c:v>8</c:v>
                </c:pt>
                <c:pt idx="3">
                  <c:v>3</c:v>
                </c:pt>
                <c:pt idx="4">
                  <c:v>22</c:v>
                </c:pt>
                <c:pt idx="5">
                  <c:v>5</c:v>
                </c:pt>
                <c:pt idx="6">
                  <c:v>0</c:v>
                </c:pt>
                <c:pt idx="7">
                  <c:v>8</c:v>
                </c:pt>
                <c:pt idx="8">
                  <c:v>16</c:v>
                </c:pt>
              </c:numCache>
            </c:numRef>
          </c:val>
          <c:extLst xmlns:c16r2="http://schemas.microsoft.com/office/drawing/2015/06/chart">
            <c:ext xmlns:c16="http://schemas.microsoft.com/office/drawing/2014/chart" uri="{C3380CC4-5D6E-409C-BE32-E72D297353CC}">
              <c16:uniqueId val="{00000000-6E26-406C-B0B3-0AC12B2CAE9A}"/>
            </c:ext>
          </c:extLst>
        </c:ser>
        <c:ser>
          <c:idx val="1"/>
          <c:order val="1"/>
          <c:tx>
            <c:strRef>
              <c:f>Graphs!$C$28</c:f>
              <c:strCache>
                <c:ptCount val="1"/>
                <c:pt idx="0">
                  <c:v>Services</c:v>
                </c:pt>
              </c:strCache>
            </c:strRef>
          </c:tx>
          <c:invertIfNegative val="0"/>
          <c:cat>
            <c:strRef>
              <c:f>Graphs!$A$29:$A$37</c:f>
              <c:strCache>
                <c:ptCount val="9"/>
                <c:pt idx="0">
                  <c:v>Economic Development, Jobs, Transport and Resources</c:v>
                </c:pt>
                <c:pt idx="1">
                  <c:v>Education and Training</c:v>
                </c:pt>
                <c:pt idx="2">
                  <c:v>Environment, Land, Water and Planning</c:v>
                </c:pt>
                <c:pt idx="3">
                  <c:v>Health and Human Services</c:v>
                </c:pt>
                <c:pt idx="4">
                  <c:v>Justice and Regulation</c:v>
                </c:pt>
                <c:pt idx="5">
                  <c:v>Premier and Cabinet</c:v>
                </c:pt>
                <c:pt idx="6">
                  <c:v>Treasury and Finance</c:v>
                </c:pt>
                <c:pt idx="7">
                  <c:v>VicRoads</c:v>
                </c:pt>
                <c:pt idx="8">
                  <c:v>Victoria Police</c:v>
                </c:pt>
              </c:strCache>
            </c:strRef>
          </c:cat>
          <c:val>
            <c:numRef>
              <c:f>Graphs!$C$29:$C$37</c:f>
              <c:numCache>
                <c:formatCode>General</c:formatCode>
                <c:ptCount val="9"/>
                <c:pt idx="0">
                  <c:v>66</c:v>
                </c:pt>
                <c:pt idx="1">
                  <c:v>233</c:v>
                </c:pt>
                <c:pt idx="2">
                  <c:v>97</c:v>
                </c:pt>
                <c:pt idx="3">
                  <c:v>89</c:v>
                </c:pt>
                <c:pt idx="4">
                  <c:v>41</c:v>
                </c:pt>
                <c:pt idx="5">
                  <c:v>24</c:v>
                </c:pt>
                <c:pt idx="6">
                  <c:v>23</c:v>
                </c:pt>
                <c:pt idx="7">
                  <c:v>69</c:v>
                </c:pt>
                <c:pt idx="8">
                  <c:v>13</c:v>
                </c:pt>
              </c:numCache>
            </c:numRef>
          </c:val>
          <c:extLst xmlns:c16r2="http://schemas.microsoft.com/office/drawing/2015/06/chart">
            <c:ext xmlns:c16="http://schemas.microsoft.com/office/drawing/2014/chart" uri="{C3380CC4-5D6E-409C-BE32-E72D297353CC}">
              <c16:uniqueId val="{00000001-6E26-406C-B0B3-0AC12B2CAE9A}"/>
            </c:ext>
          </c:extLst>
        </c:ser>
        <c:dLbls>
          <c:showLegendKey val="0"/>
          <c:showVal val="0"/>
          <c:showCatName val="0"/>
          <c:showSerName val="0"/>
          <c:showPercent val="0"/>
          <c:showBubbleSize val="0"/>
        </c:dLbls>
        <c:gapWidth val="150"/>
        <c:overlap val="100"/>
        <c:axId val="149900288"/>
        <c:axId val="34419456"/>
      </c:barChart>
      <c:catAx>
        <c:axId val="149900288"/>
        <c:scaling>
          <c:orientation val="maxMin"/>
        </c:scaling>
        <c:delete val="0"/>
        <c:axPos val="l"/>
        <c:numFmt formatCode="General" sourceLinked="0"/>
        <c:majorTickMark val="out"/>
        <c:minorTickMark val="none"/>
        <c:tickLblPos val="nextTo"/>
        <c:crossAx val="34419456"/>
        <c:crosses val="autoZero"/>
        <c:auto val="1"/>
        <c:lblAlgn val="ctr"/>
        <c:lblOffset val="100"/>
        <c:noMultiLvlLbl val="0"/>
      </c:catAx>
      <c:valAx>
        <c:axId val="34419456"/>
        <c:scaling>
          <c:orientation val="minMax"/>
        </c:scaling>
        <c:delete val="0"/>
        <c:axPos val="t"/>
        <c:majorGridlines/>
        <c:numFmt formatCode="General" sourceLinked="1"/>
        <c:majorTickMark val="out"/>
        <c:minorTickMark val="none"/>
        <c:tickLblPos val="nextTo"/>
        <c:crossAx val="149900288"/>
        <c:crosses val="autoZero"/>
        <c:crossBetween val="between"/>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34514129483814521"/>
          <c:y val="0.11597987751531058"/>
          <c:w val="0.40993657042869641"/>
          <c:h val="0.83309419655876904"/>
        </c:manualLayout>
      </c:layout>
      <c:barChart>
        <c:barDir val="bar"/>
        <c:grouping val="stacked"/>
        <c:varyColors val="0"/>
        <c:ser>
          <c:idx val="0"/>
          <c:order val="0"/>
          <c:tx>
            <c:strRef>
              <c:f>Graphs!$F$28</c:f>
              <c:strCache>
                <c:ptCount val="1"/>
                <c:pt idx="0">
                  <c:v>Goods</c:v>
                </c:pt>
              </c:strCache>
            </c:strRef>
          </c:tx>
          <c:invertIfNegative val="0"/>
          <c:cat>
            <c:strRef>
              <c:f>Graphs!$D$29:$E$37</c:f>
              <c:strCache>
                <c:ptCount val="9"/>
                <c:pt idx="0">
                  <c:v>Economic Development, Jobs, Transport and Resources</c:v>
                </c:pt>
                <c:pt idx="1">
                  <c:v>Education and Training</c:v>
                </c:pt>
                <c:pt idx="2">
                  <c:v>Environment, Land, Water and Planning</c:v>
                </c:pt>
                <c:pt idx="3">
                  <c:v>Health and Human Services</c:v>
                </c:pt>
                <c:pt idx="4">
                  <c:v>Justice and Regulation</c:v>
                </c:pt>
                <c:pt idx="5">
                  <c:v>Premier and Cabinet</c:v>
                </c:pt>
                <c:pt idx="6">
                  <c:v>Treasury and Finance</c:v>
                </c:pt>
                <c:pt idx="7">
                  <c:v>VicRoads</c:v>
                </c:pt>
                <c:pt idx="8">
                  <c:v>Victoria Police</c:v>
                </c:pt>
              </c:strCache>
            </c:strRef>
          </c:cat>
          <c:val>
            <c:numRef>
              <c:f>Graphs!$F$29:$F$37</c:f>
              <c:numCache>
                <c:formatCode>"$"0.0,,"M"</c:formatCode>
                <c:ptCount val="9"/>
                <c:pt idx="0">
                  <c:v>14233610</c:v>
                </c:pt>
                <c:pt idx="1">
                  <c:v>163037934</c:v>
                </c:pt>
                <c:pt idx="2">
                  <c:v>3440362</c:v>
                </c:pt>
                <c:pt idx="3">
                  <c:v>7576500</c:v>
                </c:pt>
                <c:pt idx="4">
                  <c:v>104198275</c:v>
                </c:pt>
                <c:pt idx="5">
                  <c:v>1098963.9000000004</c:v>
                </c:pt>
                <c:pt idx="6">
                  <c:v>0</c:v>
                </c:pt>
                <c:pt idx="7">
                  <c:v>1206049</c:v>
                </c:pt>
                <c:pt idx="8">
                  <c:v>9294174</c:v>
                </c:pt>
              </c:numCache>
            </c:numRef>
          </c:val>
          <c:extLst xmlns:c16r2="http://schemas.microsoft.com/office/drawing/2015/06/chart">
            <c:ext xmlns:c16="http://schemas.microsoft.com/office/drawing/2014/chart" uri="{C3380CC4-5D6E-409C-BE32-E72D297353CC}">
              <c16:uniqueId val="{00000000-DC27-4B6A-95F4-F88C7FD9271D}"/>
            </c:ext>
          </c:extLst>
        </c:ser>
        <c:ser>
          <c:idx val="1"/>
          <c:order val="1"/>
          <c:tx>
            <c:strRef>
              <c:f>Graphs!$G$28</c:f>
              <c:strCache>
                <c:ptCount val="1"/>
                <c:pt idx="0">
                  <c:v>Services</c:v>
                </c:pt>
              </c:strCache>
            </c:strRef>
          </c:tx>
          <c:invertIfNegative val="0"/>
          <c:cat>
            <c:strRef>
              <c:f>Graphs!$D$29:$E$37</c:f>
              <c:strCache>
                <c:ptCount val="9"/>
                <c:pt idx="0">
                  <c:v>Economic Development, Jobs, Transport and Resources</c:v>
                </c:pt>
                <c:pt idx="1">
                  <c:v>Education and Training</c:v>
                </c:pt>
                <c:pt idx="2">
                  <c:v>Environment, Land, Water and Planning</c:v>
                </c:pt>
                <c:pt idx="3">
                  <c:v>Health and Human Services</c:v>
                </c:pt>
                <c:pt idx="4">
                  <c:v>Justice and Regulation</c:v>
                </c:pt>
                <c:pt idx="5">
                  <c:v>Premier and Cabinet</c:v>
                </c:pt>
                <c:pt idx="6">
                  <c:v>Treasury and Finance</c:v>
                </c:pt>
                <c:pt idx="7">
                  <c:v>VicRoads</c:v>
                </c:pt>
                <c:pt idx="8">
                  <c:v>Victoria Police</c:v>
                </c:pt>
              </c:strCache>
            </c:strRef>
          </c:cat>
          <c:val>
            <c:numRef>
              <c:f>Graphs!$G$29:$G$37</c:f>
              <c:numCache>
                <c:formatCode>"$"0.0,,"M"</c:formatCode>
                <c:ptCount val="9"/>
                <c:pt idx="0">
                  <c:v>19752270.729999997</c:v>
                </c:pt>
                <c:pt idx="1">
                  <c:v>138951287</c:v>
                </c:pt>
                <c:pt idx="2">
                  <c:v>166808508</c:v>
                </c:pt>
                <c:pt idx="3">
                  <c:v>63577300.32</c:v>
                </c:pt>
                <c:pt idx="4">
                  <c:v>140553719</c:v>
                </c:pt>
                <c:pt idx="5">
                  <c:v>12481672.1</c:v>
                </c:pt>
                <c:pt idx="6">
                  <c:v>11124000</c:v>
                </c:pt>
                <c:pt idx="7">
                  <c:v>53754592</c:v>
                </c:pt>
                <c:pt idx="8">
                  <c:v>4397522</c:v>
                </c:pt>
              </c:numCache>
            </c:numRef>
          </c:val>
          <c:extLst xmlns:c16r2="http://schemas.microsoft.com/office/drawing/2015/06/chart">
            <c:ext xmlns:c16="http://schemas.microsoft.com/office/drawing/2014/chart" uri="{C3380CC4-5D6E-409C-BE32-E72D297353CC}">
              <c16:uniqueId val="{00000001-DC27-4B6A-95F4-F88C7FD9271D}"/>
            </c:ext>
          </c:extLst>
        </c:ser>
        <c:dLbls>
          <c:showLegendKey val="0"/>
          <c:showVal val="0"/>
          <c:showCatName val="0"/>
          <c:showSerName val="0"/>
          <c:showPercent val="0"/>
          <c:showBubbleSize val="0"/>
        </c:dLbls>
        <c:gapWidth val="150"/>
        <c:overlap val="100"/>
        <c:axId val="34449280"/>
        <c:axId val="34450816"/>
      </c:barChart>
      <c:catAx>
        <c:axId val="34449280"/>
        <c:scaling>
          <c:orientation val="maxMin"/>
        </c:scaling>
        <c:delete val="0"/>
        <c:axPos val="l"/>
        <c:numFmt formatCode="General" sourceLinked="0"/>
        <c:majorTickMark val="out"/>
        <c:minorTickMark val="none"/>
        <c:tickLblPos val="nextTo"/>
        <c:crossAx val="34450816"/>
        <c:crosses val="autoZero"/>
        <c:auto val="1"/>
        <c:lblAlgn val="ctr"/>
        <c:lblOffset val="100"/>
        <c:noMultiLvlLbl val="0"/>
      </c:catAx>
      <c:valAx>
        <c:axId val="34450816"/>
        <c:scaling>
          <c:orientation val="minMax"/>
        </c:scaling>
        <c:delete val="0"/>
        <c:axPos val="t"/>
        <c:majorGridlines/>
        <c:numFmt formatCode="&quot;$&quot;0.0,,&quot;M&quot;" sourceLinked="1"/>
        <c:majorTickMark val="out"/>
        <c:minorTickMark val="none"/>
        <c:tickLblPos val="nextTo"/>
        <c:crossAx val="34449280"/>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FFAA906-A3E4-4307-94E7-E353DE3A95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76</Pages>
  <Words>19245</Words>
  <Characters>109703</Characters>
  <Application>Microsoft Office Word</Application>
  <DocSecurity>0</DocSecurity>
  <Lines>914</Lines>
  <Paragraphs>257</Paragraphs>
  <ScaleCrop>false</ScaleCrop>
  <HeadingPairs>
    <vt:vector size="2" baseType="variant">
      <vt:variant>
        <vt:lpstr>Title</vt:lpstr>
      </vt:variant>
      <vt:variant>
        <vt:i4>1</vt:i4>
      </vt:variant>
    </vt:vector>
  </HeadingPairs>
  <TitlesOfParts>
    <vt:vector size="1" baseType="lpstr">
      <vt:lpstr/>
    </vt:vector>
  </TitlesOfParts>
  <Company>Cordial Creative</Company>
  <LinksUpToDate>false</LinksUpToDate>
  <CharactersWithSpaces>128691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Vanessa Coles</dc:creator>
  <cp:lastModifiedBy>Shell Pocock</cp:lastModifiedBy>
  <cp:revision>2</cp:revision>
  <cp:lastPrinted>2015-07-29T12:53:00Z</cp:lastPrinted>
  <dcterms:created xsi:type="dcterms:W3CDTF">2016-10-12T23:05:00Z</dcterms:created>
  <dcterms:modified xsi:type="dcterms:W3CDTF">2016-10-12T23:05:00Z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fd37a6d9-544f-45ef-bf30-2164253adc21</vt:lpwstr>
  </property>
  <property fmtid="{D5CDD505-2E9C-101B-9397-08002B2CF9AE}" pid="3" name="PSPFClassification">
    <vt:lpwstr>Public</vt:lpwstr>
  </property>
</Properties>
</file>