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A9C23" w14:textId="77777777" w:rsidR="00CB4E50" w:rsidRPr="00E85B88" w:rsidRDefault="00CD4CC5" w:rsidP="00E85B88">
      <w:pPr>
        <w:pStyle w:val="Heading1"/>
        <w:rPr>
          <w:b/>
          <w:color w:val="7030A0"/>
          <w:sz w:val="36"/>
          <w:szCs w:val="36"/>
        </w:rPr>
      </w:pPr>
      <w:r w:rsidRPr="00E85B88">
        <w:rPr>
          <w:b/>
          <w:color w:val="7030A0"/>
          <w:sz w:val="36"/>
          <w:szCs w:val="36"/>
        </w:rPr>
        <w:t xml:space="preserve">Managing contract price reviews </w:t>
      </w:r>
      <w:r w:rsidR="00304E7F" w:rsidRPr="00E85B88">
        <w:rPr>
          <w:b/>
          <w:color w:val="7030A0"/>
          <w:sz w:val="36"/>
          <w:szCs w:val="36"/>
        </w:rPr>
        <w:t xml:space="preserve">– </w:t>
      </w:r>
      <w:r w:rsidR="00E85B88" w:rsidRPr="00E85B88">
        <w:rPr>
          <w:b/>
          <w:color w:val="7030A0"/>
          <w:sz w:val="36"/>
          <w:szCs w:val="36"/>
        </w:rPr>
        <w:br/>
        <w:t>Goods and services procurement guide</w:t>
      </w:r>
    </w:p>
    <w:p w14:paraId="6AC4BF62" w14:textId="77777777" w:rsidR="00CD4CC5" w:rsidRPr="00E85B88" w:rsidRDefault="00CD4CC5" w:rsidP="00E85B88">
      <w:pPr>
        <w:pStyle w:val="Heading2"/>
        <w:spacing w:before="100" w:after="100" w:line="260" w:lineRule="atLeast"/>
        <w:rPr>
          <w:color w:val="7030A0"/>
        </w:rPr>
      </w:pPr>
      <w:r w:rsidRPr="00E85B88">
        <w:rPr>
          <w:color w:val="7030A0"/>
        </w:rPr>
        <w:t>Background</w:t>
      </w:r>
    </w:p>
    <w:p w14:paraId="18EEF62F" w14:textId="77777777" w:rsidR="00CD4CC5" w:rsidRDefault="00CD4CC5" w:rsidP="00E85B88">
      <w:pPr>
        <w:spacing w:before="100" w:after="100" w:line="260" w:lineRule="atLeast"/>
      </w:pPr>
      <w:r>
        <w:t>The Victorian Government Purchasing Board (VGPB) recognises the important role contract managers have in ensuring the procurement of goods and services not only improves government service delivery, but also delivers value for money over the life of the contract. To achieve this, procurers should fully consider the cost drivers which impact the goods or services’ overall costs, before determining the appropriate price index applicable to a contractual arrangement</w:t>
      </w:r>
      <w:r w:rsidR="001D5E05">
        <w:t xml:space="preserve">. </w:t>
      </w:r>
      <w:r>
        <w:t>Contract managers should fully understand the cost drivers to assess the validity of a price increase or decrease.</w:t>
      </w:r>
    </w:p>
    <w:p w14:paraId="22672BFD" w14:textId="77777777" w:rsidR="00CD4CC5" w:rsidRDefault="00CD4CC5" w:rsidP="00E85B88">
      <w:pPr>
        <w:spacing w:before="100" w:after="100" w:line="260" w:lineRule="atLeast"/>
      </w:pPr>
      <w:r>
        <w:t>The Consumer Price Index (CPI) is widely used within government contracts as a basis for calculating price increases during the term of a contract</w:t>
      </w:r>
      <w:r w:rsidR="001D5E05">
        <w:t xml:space="preserve">. </w:t>
      </w:r>
      <w:r>
        <w:t>This is likely due to its easy comprehension and seminal status as a price indicator, relative lack of volatility and ease of application when calculating and verifying price movement.</w:t>
      </w:r>
    </w:p>
    <w:p w14:paraId="6B0F4440" w14:textId="77777777" w:rsidR="00CD4CC5" w:rsidRDefault="00CD4CC5" w:rsidP="00E85B88">
      <w:pPr>
        <w:spacing w:before="100" w:after="100" w:line="260" w:lineRule="atLeast"/>
      </w:pPr>
      <w:r>
        <w:t>However, the CPI, by nature, may not always be the most appropriate measure for calculating price changes: CPI measures price movement in a wide range of consumer goods and services, most of which are not applicable for the types of goods and services procured by the Victorian government</w:t>
      </w:r>
      <w:r w:rsidR="001D5E05">
        <w:t xml:space="preserve">. </w:t>
      </w:r>
      <w:r>
        <w:t>Alternative indices and other approaches for measuring cost changes are available and should be considered when negotiating contracts</w:t>
      </w:r>
      <w:r w:rsidR="001D5E05">
        <w:t xml:space="preserve">. </w:t>
      </w:r>
      <w:r>
        <w:t>Furthermore, contract managers should also determine if an annu</w:t>
      </w:r>
      <w:r w:rsidR="00980547">
        <w:t>al price change is warranted at</w:t>
      </w:r>
      <w:r w:rsidR="00E85B88">
        <w:t xml:space="preserve"> </w:t>
      </w:r>
      <w:r>
        <w:t>all.</w:t>
      </w:r>
    </w:p>
    <w:p w14:paraId="43BA460F" w14:textId="77777777" w:rsidR="00CD4CC5" w:rsidRDefault="00CD4CC5" w:rsidP="00E85B88">
      <w:pPr>
        <w:spacing w:before="100" w:after="100" w:line="260" w:lineRule="atLeast"/>
      </w:pPr>
      <w:r>
        <w:t>The intent of this document is to assist contract managers to make an informed decision when deciding on an appropriate price indicator for the life of the contract</w:t>
      </w:r>
      <w:r w:rsidR="00980547">
        <w:t>.</w:t>
      </w:r>
    </w:p>
    <w:p w14:paraId="5C1E7C33" w14:textId="77777777" w:rsidR="007741F3" w:rsidRPr="00E85B88" w:rsidRDefault="00E85B88" w:rsidP="00E85B88">
      <w:pPr>
        <w:pStyle w:val="Heading3"/>
        <w:spacing w:before="100" w:after="100" w:line="260" w:lineRule="atLeast"/>
        <w:rPr>
          <w:color w:val="7030A0"/>
        </w:rPr>
      </w:pPr>
      <w:r w:rsidRPr="00E85B88">
        <w:rPr>
          <w:color w:val="7030A0"/>
        </w:rPr>
        <w:t>Challenge the assumption that prices increase every year</w:t>
      </w:r>
    </w:p>
    <w:p w14:paraId="188F86B3" w14:textId="77777777" w:rsidR="00E85B88" w:rsidRDefault="00E85B88" w:rsidP="00E85B88">
      <w:pPr>
        <w:spacing w:before="100" w:after="100" w:line="260" w:lineRule="atLeast"/>
      </w:pPr>
      <w:r w:rsidRPr="007741F3">
        <w:t>Each year, the price of goods and services fluctuates depending on the type. However, not all goods and services increase in price:  the price of a particular item may remain the same or decrease in price. Implementing a fixed annual price increase should be assessed on a case</w:t>
      </w:r>
      <w:r w:rsidRPr="007741F3">
        <w:noBreakHyphen/>
        <w:t>by</w:t>
      </w:r>
      <w:r w:rsidRPr="007741F3">
        <w:noBreakHyphen/>
        <w:t>case basis, rather than applied as a default price indicator</w:t>
      </w:r>
    </w:p>
    <w:p w14:paraId="552F3028" w14:textId="77777777" w:rsidR="007741F3" w:rsidRDefault="007741F3" w:rsidP="00E85B88">
      <w:pPr>
        <w:spacing w:before="100" w:after="100" w:line="260" w:lineRule="atLeast"/>
      </w:pPr>
      <w:r>
        <w:t>Price review mechanisms, to some extent, ignore the supplier’s ability to increase their margins over time through increases in efficiency and/or innovation. Consider the price review from the supplier’s perspective. Are they:</w:t>
      </w:r>
      <w:r w:rsidRPr="00CD4CC5">
        <w:t xml:space="preserve"> </w:t>
      </w:r>
    </w:p>
    <w:p w14:paraId="0E57520A" w14:textId="77777777" w:rsidR="007741F3" w:rsidRDefault="007741F3" w:rsidP="00E85B88">
      <w:pPr>
        <w:pStyle w:val="ListParagraph"/>
        <w:numPr>
          <w:ilvl w:val="0"/>
          <w:numId w:val="45"/>
        </w:numPr>
        <w:spacing w:before="100" w:after="100" w:line="260" w:lineRule="atLeast"/>
      </w:pPr>
      <w:r>
        <w:t>mitigating risk for cost movements that are outside of their control?</w:t>
      </w:r>
      <w:r w:rsidRPr="00CD4CC5">
        <w:t xml:space="preserve"> </w:t>
      </w:r>
    </w:p>
    <w:p w14:paraId="46F30580" w14:textId="77777777" w:rsidR="007741F3" w:rsidRDefault="007741F3" w:rsidP="00E85B88">
      <w:pPr>
        <w:pStyle w:val="ListParagraph"/>
        <w:numPr>
          <w:ilvl w:val="0"/>
          <w:numId w:val="45"/>
        </w:numPr>
        <w:spacing w:before="100" w:after="100" w:line="260" w:lineRule="atLeast"/>
      </w:pPr>
      <w:r>
        <w:t>trying to recoup money ‘lost’ in the early years of a contract, as a result of bidding low?</w:t>
      </w:r>
      <w:r w:rsidRPr="00CD4CC5">
        <w:t xml:space="preserve"> </w:t>
      </w:r>
    </w:p>
    <w:p w14:paraId="7426DE5B" w14:textId="77777777" w:rsidR="007741F3" w:rsidRDefault="007741F3" w:rsidP="00E85B88">
      <w:pPr>
        <w:spacing w:before="100" w:after="100" w:line="260" w:lineRule="atLeast"/>
      </w:pPr>
      <w:r>
        <w:t>Contract managers should aim to recognise genuine price increase requests that are attempting to maintain a supplier’s profit margin.</w:t>
      </w:r>
    </w:p>
    <w:p w14:paraId="122D479E" w14:textId="77777777" w:rsidR="00CD4CC5" w:rsidRPr="00E85B88" w:rsidRDefault="00CD4CC5" w:rsidP="00E85B88">
      <w:pPr>
        <w:pStyle w:val="Heading2"/>
        <w:rPr>
          <w:color w:val="7030A0"/>
        </w:rPr>
      </w:pPr>
      <w:r w:rsidRPr="00E85B88">
        <w:rPr>
          <w:color w:val="7030A0"/>
        </w:rPr>
        <w:t>Considerations</w:t>
      </w:r>
    </w:p>
    <w:p w14:paraId="6E2123EE" w14:textId="77777777" w:rsidR="00CD4CC5" w:rsidRDefault="00CD4CC5" w:rsidP="00E85B88">
      <w:pPr>
        <w:spacing w:before="100" w:after="100" w:line="260" w:lineRule="atLeast"/>
      </w:pPr>
      <w:r>
        <w:t>Two factors need to be considered when including a price review mechanism in a contractual arrangement:</w:t>
      </w:r>
    </w:p>
    <w:p w14:paraId="086C4FC2" w14:textId="77777777" w:rsidR="00CD4CC5" w:rsidRDefault="00CD4CC5" w:rsidP="00E85B88">
      <w:pPr>
        <w:pStyle w:val="Bullet1"/>
        <w:spacing w:before="100" w:after="100" w:line="260" w:lineRule="atLeast"/>
        <w:ind w:left="357" w:hanging="357"/>
        <w:contextualSpacing/>
      </w:pPr>
      <w:r>
        <w:t>the cost drivers; and</w:t>
      </w:r>
    </w:p>
    <w:p w14:paraId="3E3C8757" w14:textId="77777777" w:rsidR="00CD4CC5" w:rsidRDefault="00CD4CC5" w:rsidP="00E85B88">
      <w:pPr>
        <w:pStyle w:val="Bullet1"/>
        <w:spacing w:before="100" w:after="100" w:line="260" w:lineRule="atLeast"/>
      </w:pPr>
      <w:r>
        <w:t>the contract term.</w:t>
      </w:r>
    </w:p>
    <w:p w14:paraId="3320E17C" w14:textId="77777777" w:rsidR="00CD4CC5" w:rsidRPr="00E85B88" w:rsidRDefault="00CD4CC5" w:rsidP="00E85B88">
      <w:pPr>
        <w:pStyle w:val="Heading3"/>
        <w:rPr>
          <w:color w:val="7030A0"/>
        </w:rPr>
      </w:pPr>
      <w:r w:rsidRPr="00E85B88">
        <w:rPr>
          <w:color w:val="7030A0"/>
        </w:rPr>
        <w:t xml:space="preserve">Case </w:t>
      </w:r>
      <w:r w:rsidR="001D5E05" w:rsidRPr="00E85B88">
        <w:rPr>
          <w:color w:val="7030A0"/>
        </w:rPr>
        <w:t xml:space="preserve">study </w:t>
      </w:r>
      <w:r w:rsidRPr="00E85B88">
        <w:rPr>
          <w:color w:val="7030A0"/>
        </w:rPr>
        <w:t>1</w:t>
      </w:r>
    </w:p>
    <w:p w14:paraId="0F771376" w14:textId="77777777" w:rsidR="00CD4CC5" w:rsidRDefault="00CD4CC5" w:rsidP="00E85B88">
      <w:pPr>
        <w:spacing w:before="100" w:after="100" w:line="260" w:lineRule="atLeast"/>
      </w:pPr>
      <w:r>
        <w:t xml:space="preserve">A print supplier providing printing of a weekly journal for a period of three years submitted a substantial price increase for the third year of the contract. The supplier requested the price increase on the basis of increases in electricity costs (which had changed in the market place by a similar amount.) However, by </w:t>
      </w:r>
      <w:r>
        <w:lastRenderedPageBreak/>
        <w:t>understanding the proportion represented by the cost of electricity in the supplier’s overall costs, the contract manager was able to reduce the price increase to a much smaller and appropriate amount.</w:t>
      </w:r>
    </w:p>
    <w:p w14:paraId="66325F4B" w14:textId="77777777" w:rsidR="00CD4CC5" w:rsidRPr="00E85B88" w:rsidRDefault="00CD4CC5" w:rsidP="00E85B88">
      <w:pPr>
        <w:pStyle w:val="Heading3"/>
        <w:rPr>
          <w:color w:val="7030A0"/>
        </w:rPr>
      </w:pPr>
      <w:r w:rsidRPr="00E85B88">
        <w:rPr>
          <w:color w:val="7030A0"/>
        </w:rPr>
        <w:t xml:space="preserve">Case </w:t>
      </w:r>
      <w:r w:rsidR="001D5E05" w:rsidRPr="00E85B88">
        <w:rPr>
          <w:color w:val="7030A0"/>
        </w:rPr>
        <w:t xml:space="preserve">study </w:t>
      </w:r>
      <w:r w:rsidRPr="00E85B88">
        <w:rPr>
          <w:color w:val="7030A0"/>
        </w:rPr>
        <w:t>2</w:t>
      </w:r>
    </w:p>
    <w:p w14:paraId="357EC0C0" w14:textId="77777777" w:rsidR="00CD4CC5" w:rsidRDefault="00CD4CC5" w:rsidP="00E85B88">
      <w:pPr>
        <w:spacing w:before="100" w:after="100" w:line="260" w:lineRule="atLeast"/>
      </w:pPr>
      <w:r>
        <w:t>A department established a contract for the provision of ICT services for a period of 5 years with the option to extend for a further 2 plus 2 years</w:t>
      </w:r>
      <w:r w:rsidR="001D5E05">
        <w:t xml:space="preserve">. </w:t>
      </w:r>
      <w:r>
        <w:t>The contract included the provision of hardware, software and IT services</w:t>
      </w:r>
      <w:r w:rsidR="001D5E05">
        <w:t xml:space="preserve">. </w:t>
      </w:r>
      <w:r>
        <w:t>A price review mechanism utilising both a Producer Price Index and a Labour Price Index was applied to applicable components of the contract</w:t>
      </w:r>
      <w:r w:rsidR="001D5E05">
        <w:t xml:space="preserve">. </w:t>
      </w:r>
      <w:r>
        <w:t>This was designed to provide a more relevant and appropriate price review mechanism</w:t>
      </w:r>
      <w:r w:rsidR="001D5E05">
        <w:t xml:space="preserve">. </w:t>
      </w:r>
      <w:r>
        <w:t>The contract also required the supplier to provide justification, with evidence, to support a request for a price increase.</w:t>
      </w:r>
    </w:p>
    <w:p w14:paraId="5AB54CEE" w14:textId="77777777" w:rsidR="00CD4CC5" w:rsidRPr="00E85B88" w:rsidRDefault="00CD4CC5" w:rsidP="00E85B88">
      <w:pPr>
        <w:pStyle w:val="Heading2"/>
        <w:rPr>
          <w:color w:val="7030A0"/>
        </w:rPr>
      </w:pPr>
      <w:r w:rsidRPr="00E85B88">
        <w:rPr>
          <w:color w:val="7030A0"/>
        </w:rPr>
        <w:t>Understanding the cost</w:t>
      </w:r>
    </w:p>
    <w:p w14:paraId="785535BA" w14:textId="77777777" w:rsidR="00CD4CC5" w:rsidRDefault="00CD4CC5" w:rsidP="00E85B88">
      <w:pPr>
        <w:spacing w:before="100" w:after="100" w:line="260" w:lineRule="atLeast"/>
      </w:pPr>
      <w:r>
        <w:t>Before considering an appropriate price review mechanism, it is important to understand the main influences, or drivers, on the cost</w:t>
      </w:r>
      <w:r w:rsidR="001D5E05">
        <w:t xml:space="preserve">. </w:t>
      </w:r>
      <w:r>
        <w:t>This will help determine the most appropriate mechanism to manage cost increases and help determine which cost components are ‘controllable’ by the supplier and which components are ‘uncontrollable’</w:t>
      </w:r>
      <w:r w:rsidR="001D5E05">
        <w:t xml:space="preserve">. </w:t>
      </w:r>
      <w:r>
        <w:t>There is some strong support for the notion that ‘controllable’ components should remain fixed during the term of the contract or are at least forecastable</w:t>
      </w:r>
      <w:r w:rsidR="001D5E05">
        <w:t xml:space="preserve">. </w:t>
      </w:r>
      <w:r>
        <w:t>It is also important to understand the relative proportion of each component to gauge its impact on price changes. This understanding of cost drivers and their impacts can help influence the procurement process and the contract (including the term).</w:t>
      </w:r>
    </w:p>
    <w:p w14:paraId="77FB16A7" w14:textId="77777777" w:rsidR="00CD4CC5" w:rsidRDefault="00CD4CC5" w:rsidP="00E85B88">
      <w:pPr>
        <w:spacing w:before="100" w:after="100" w:line="260" w:lineRule="atLeast"/>
      </w:pPr>
      <w:r>
        <w:t>The use of fixed pricing within contracts can also be considered as a means of avoiding price increases during the term of the contract</w:t>
      </w:r>
      <w:r w:rsidR="001D5E05">
        <w:t xml:space="preserve">. </w:t>
      </w:r>
      <w:r>
        <w:t>However, if prices reduce during the term of the contract, the benefits of these decreases will be missed.</w:t>
      </w:r>
    </w:p>
    <w:p w14:paraId="76A10F0F" w14:textId="77777777" w:rsidR="00CD4CC5" w:rsidRDefault="00CD4CC5" w:rsidP="00E85B88">
      <w:pPr>
        <w:spacing w:before="100" w:after="100" w:line="260" w:lineRule="atLeast"/>
      </w:pPr>
      <w:r>
        <w:t xml:space="preserve">The choice of price review mechanism ultimately requires careful consideration of what is being procured. </w:t>
      </w:r>
    </w:p>
    <w:p w14:paraId="1BCB9F2C" w14:textId="77777777" w:rsidR="00CD4CC5" w:rsidRPr="00E85B88" w:rsidRDefault="00CD4CC5" w:rsidP="00E85B88">
      <w:pPr>
        <w:pStyle w:val="Heading2"/>
        <w:rPr>
          <w:color w:val="7030A0"/>
        </w:rPr>
      </w:pPr>
      <w:r w:rsidRPr="00E85B88">
        <w:rPr>
          <w:color w:val="7030A0"/>
        </w:rPr>
        <w:t>Determining the contract term</w:t>
      </w:r>
    </w:p>
    <w:p w14:paraId="6DA62409" w14:textId="77777777" w:rsidR="00CD4CC5" w:rsidRDefault="00CD4CC5" w:rsidP="00E85B88">
      <w:pPr>
        <w:spacing w:before="100" w:after="100" w:line="260" w:lineRule="atLeast"/>
      </w:pPr>
      <w:r>
        <w:t xml:space="preserve">The proposed contract term needs to be considered carefully as it can drive the need for a price review. </w:t>
      </w:r>
    </w:p>
    <w:p w14:paraId="19C1714C" w14:textId="77777777" w:rsidR="00CD4CC5" w:rsidRDefault="00CD4CC5" w:rsidP="00E85B88">
      <w:pPr>
        <w:spacing w:before="100" w:after="100" w:line="260" w:lineRule="atLeast"/>
      </w:pPr>
      <w:r>
        <w:t>Longer contract terms are considered prudent in certain circumstances (e.g. where transition to a new supplier is considered costly or risky, or where the supplier is required to make significant investments in order to deliver the goods or services), but the increased duration may necessitate the need for regular price reviews</w:t>
      </w:r>
      <w:r w:rsidR="001D5E05">
        <w:t xml:space="preserve">. </w:t>
      </w:r>
      <w:r>
        <w:t>In highly competitive markets, shorter contracts should be considered in order to leverage competition as frequently as possible</w:t>
      </w:r>
      <w:r w:rsidR="001D5E05">
        <w:t xml:space="preserve">. </w:t>
      </w:r>
      <w:r>
        <w:t>Consideration should also be given for a period of time in which the supplier is prepared to fix their pricing, as it may cause a reduction in savings</w:t>
      </w:r>
      <w:r w:rsidR="00E85B88">
        <w:t>.</w:t>
      </w:r>
    </w:p>
    <w:p w14:paraId="2D24262F" w14:textId="77777777" w:rsidR="00CD4CC5" w:rsidRPr="00E85B88" w:rsidRDefault="00CD4CC5" w:rsidP="00E85B88">
      <w:pPr>
        <w:pStyle w:val="Heading2"/>
        <w:rPr>
          <w:color w:val="7030A0"/>
        </w:rPr>
      </w:pPr>
      <w:r w:rsidRPr="00E85B88">
        <w:rPr>
          <w:color w:val="7030A0"/>
        </w:rPr>
        <w:t>Types of price indicators</w:t>
      </w:r>
    </w:p>
    <w:p w14:paraId="5ED9AE0B" w14:textId="77777777" w:rsidR="00CD4CC5" w:rsidRPr="00E85B88" w:rsidRDefault="00CD4CC5" w:rsidP="00E85B88">
      <w:pPr>
        <w:pStyle w:val="Heading3"/>
        <w:rPr>
          <w:color w:val="7030A0"/>
        </w:rPr>
      </w:pPr>
      <w:r w:rsidRPr="00E85B88">
        <w:rPr>
          <w:color w:val="7030A0"/>
        </w:rPr>
        <w:t xml:space="preserve">Consumer </w:t>
      </w:r>
      <w:r w:rsidR="008B2BD7" w:rsidRPr="00E85B88">
        <w:rPr>
          <w:color w:val="7030A0"/>
        </w:rPr>
        <w:t>price index</w:t>
      </w:r>
    </w:p>
    <w:p w14:paraId="5FF6B516" w14:textId="77777777" w:rsidR="00CD4CC5" w:rsidRDefault="008B2BD7" w:rsidP="00E85B88">
      <w:pPr>
        <w:spacing w:before="100" w:after="100" w:line="260" w:lineRule="atLeast"/>
      </w:pPr>
      <w:r w:rsidRPr="008B2BD7">
        <w:t xml:space="preserve">Consumer price index </w:t>
      </w:r>
      <w:r>
        <w:t>(</w:t>
      </w:r>
      <w:r w:rsidR="00CD4CC5">
        <w:t>CPI</w:t>
      </w:r>
      <w:r>
        <w:t>)</w:t>
      </w:r>
      <w:r w:rsidR="00CD4CC5">
        <w:t xml:space="preserve"> is the key measure of inflation in Australia and measures the average change over time in the prices paid by households for a fixed basket of goods and services</w:t>
      </w:r>
      <w:r w:rsidR="001D5E05">
        <w:t xml:space="preserve">. </w:t>
      </w:r>
      <w:r w:rsidR="00CD4CC5">
        <w:t>Its purpose is to provide a general measure of inflation for Australian households</w:t>
      </w:r>
      <w:r w:rsidR="001D5E05">
        <w:t xml:space="preserve">. </w:t>
      </w:r>
      <w:r w:rsidR="00CD4CC5">
        <w:t>Each quarter, the Australian Bureau of St</w:t>
      </w:r>
      <w:r>
        <w:t>atistics (ABS) obtains over 100 </w:t>
      </w:r>
      <w:r w:rsidR="00CD4CC5">
        <w:t>000 prices that are used as a representative range of goods and services that Australian households acquire. The changes in price of these goods are combined with actual expenditure data of Australian households to calculate the overall price change in the quarter.</w:t>
      </w:r>
    </w:p>
    <w:p w14:paraId="168DE5B6" w14:textId="77777777" w:rsidR="00CD4CC5" w:rsidRDefault="00CD4CC5" w:rsidP="00E85B88">
      <w:pPr>
        <w:spacing w:before="100" w:after="100" w:line="260" w:lineRule="atLeast"/>
      </w:pPr>
      <w:r>
        <w:t xml:space="preserve">Because it is a general measure, the CPI could be considered to lack precision when being applied to specific cost drivers. </w:t>
      </w:r>
    </w:p>
    <w:p w14:paraId="5CB22CFD" w14:textId="3DB1A2E2" w:rsidR="00CD4CC5" w:rsidRDefault="00E85B88" w:rsidP="00E85B88">
      <w:pPr>
        <w:spacing w:before="100" w:after="100" w:line="260" w:lineRule="atLeast"/>
      </w:pPr>
      <w:r>
        <w:t xml:space="preserve">Access the </w:t>
      </w:r>
      <w:hyperlink r:id="rId9" w:history="1">
        <w:r w:rsidRPr="0002146B">
          <w:rPr>
            <w:rStyle w:val="Hyperlink"/>
          </w:rPr>
          <w:t>Australian Bureau of Statistics website</w:t>
        </w:r>
      </w:hyperlink>
      <w:r>
        <w:t>.</w:t>
      </w:r>
    </w:p>
    <w:p w14:paraId="3A74D6C1" w14:textId="77777777" w:rsidR="00CD4CC5" w:rsidRPr="00E85B88" w:rsidRDefault="00CD4CC5" w:rsidP="00E85B88">
      <w:pPr>
        <w:pStyle w:val="Heading3"/>
        <w:rPr>
          <w:color w:val="7030A0"/>
        </w:rPr>
      </w:pPr>
      <w:r w:rsidRPr="00E85B88">
        <w:rPr>
          <w:color w:val="7030A0"/>
        </w:rPr>
        <w:lastRenderedPageBreak/>
        <w:t xml:space="preserve">Producer </w:t>
      </w:r>
      <w:r w:rsidR="008B2BD7" w:rsidRPr="00E85B88">
        <w:rPr>
          <w:color w:val="7030A0"/>
        </w:rPr>
        <w:t>price indexs</w:t>
      </w:r>
    </w:p>
    <w:p w14:paraId="2F5F72B8" w14:textId="77777777" w:rsidR="00CD4CC5" w:rsidRDefault="00CD4CC5" w:rsidP="00E85B88">
      <w:pPr>
        <w:spacing w:before="100" w:after="100" w:line="260" w:lineRule="atLeast"/>
      </w:pPr>
      <w:r>
        <w:t xml:space="preserve">Several </w:t>
      </w:r>
      <w:r w:rsidR="008B2BD7">
        <w:t>p</w:t>
      </w:r>
      <w:r>
        <w:t xml:space="preserve">roducer </w:t>
      </w:r>
      <w:r w:rsidR="008B2BD7">
        <w:t xml:space="preserve">price indexes </w:t>
      </w:r>
      <w:r>
        <w:t>(PPIs) are published by the ABS</w:t>
      </w:r>
      <w:r w:rsidR="001D5E05">
        <w:t xml:space="preserve">. </w:t>
      </w:r>
      <w:r>
        <w:t xml:space="preserve">These include a set of indexes relating to specific industries (selected manufacturing, construction, mining and service industries), which may be more representative of the goods and/or services being contracted. </w:t>
      </w:r>
    </w:p>
    <w:p w14:paraId="7BC0D70E" w14:textId="77777777" w:rsidR="00CD4CC5" w:rsidRDefault="00CD4CC5" w:rsidP="00E85B88">
      <w:pPr>
        <w:spacing w:before="100" w:after="100" w:line="260" w:lineRule="atLeast"/>
      </w:pPr>
      <w:r>
        <w:t>PPIs can be utilised as either output measures (measuring changes in the prices of goods and/or services sold by the specific industry) or input measures (measuring changes in the prices of goods and/or services purchased by the specific industry).</w:t>
      </w:r>
    </w:p>
    <w:p w14:paraId="3007289A" w14:textId="77777777" w:rsidR="00CD4CC5" w:rsidRPr="00E85B88" w:rsidRDefault="00CD4CC5" w:rsidP="00E85B88">
      <w:pPr>
        <w:pStyle w:val="Heading3"/>
        <w:rPr>
          <w:color w:val="7030A0"/>
        </w:rPr>
      </w:pPr>
      <w:r w:rsidRPr="00E85B88">
        <w:rPr>
          <w:color w:val="7030A0"/>
        </w:rPr>
        <w:t xml:space="preserve">Labour </w:t>
      </w:r>
      <w:r w:rsidR="008B2BD7" w:rsidRPr="00E85B88">
        <w:rPr>
          <w:color w:val="7030A0"/>
        </w:rPr>
        <w:t>price index</w:t>
      </w:r>
    </w:p>
    <w:p w14:paraId="1DAD60CF" w14:textId="77777777" w:rsidR="00CD4CC5" w:rsidRDefault="00CD4CC5" w:rsidP="00E85B88">
      <w:pPr>
        <w:spacing w:before="100" w:after="100" w:line="260" w:lineRule="atLeast"/>
      </w:pPr>
      <w:r>
        <w:t xml:space="preserve">The </w:t>
      </w:r>
      <w:r w:rsidR="008B2BD7">
        <w:t>Labour price index</w:t>
      </w:r>
      <w:r w:rsidR="008B2BD7" w:rsidRPr="008B2BD7">
        <w:t xml:space="preserve"> </w:t>
      </w:r>
      <w:r w:rsidR="008B2BD7">
        <w:t>(</w:t>
      </w:r>
      <w:r>
        <w:t>LPI</w:t>
      </w:r>
      <w:r w:rsidR="008B2BD7">
        <w:t>)</w:t>
      </w:r>
      <w:r>
        <w:t xml:space="preserve"> measures annual changes in the price of labour in the Australian labour market</w:t>
      </w:r>
      <w:r w:rsidR="001D5E05">
        <w:t xml:space="preserve">. </w:t>
      </w:r>
      <w:r>
        <w:t>Specific indexes are published quarterly for combinations of State/Territory, sector (public/private) and broad industry groups</w:t>
      </w:r>
      <w:r w:rsidR="001D5E05">
        <w:t xml:space="preserve">. </w:t>
      </w:r>
      <w:r>
        <w:t xml:space="preserve">This index may be appropriate where labour costs make up a significant proportion of contract prices. </w:t>
      </w:r>
    </w:p>
    <w:p w14:paraId="1F6795E8" w14:textId="77777777" w:rsidR="00CD4CC5" w:rsidRDefault="00CD4CC5" w:rsidP="00E85B88">
      <w:pPr>
        <w:spacing w:before="100" w:after="100" w:line="260" w:lineRule="atLeast"/>
      </w:pPr>
      <w:r w:rsidRPr="00CD4CC5">
        <w:t>If possible, an agreed ceiling rate can be applied to a specific index, which creates an upper limit to protect parties from unforeseen spikes in the specific index. This is particularly useful when applying indexes which can be more volatile than the CPI. It may also be useful to develop a weighted combination of price indexes where there are two or more main cost drivers</w:t>
      </w:r>
    </w:p>
    <w:p w14:paraId="63EE9B4D" w14:textId="77777777" w:rsidR="00CD4CC5" w:rsidRPr="00E85B88" w:rsidRDefault="00CD4CC5" w:rsidP="00E85B88">
      <w:pPr>
        <w:pStyle w:val="Heading2"/>
        <w:rPr>
          <w:color w:val="7030A0"/>
        </w:rPr>
      </w:pPr>
      <w:r w:rsidRPr="00E85B88">
        <w:rPr>
          <w:color w:val="7030A0"/>
        </w:rPr>
        <w:t>Evidence</w:t>
      </w:r>
      <w:r w:rsidR="001D5E05" w:rsidRPr="00E85B88">
        <w:rPr>
          <w:color w:val="7030A0"/>
        </w:rPr>
        <w:noBreakHyphen/>
      </w:r>
      <w:r w:rsidRPr="00E85B88">
        <w:rPr>
          <w:color w:val="7030A0"/>
        </w:rPr>
        <w:t>based request</w:t>
      </w:r>
    </w:p>
    <w:p w14:paraId="53C8D7C0" w14:textId="77777777" w:rsidR="00CD4CC5" w:rsidRDefault="00CD4CC5" w:rsidP="00E85B88">
      <w:pPr>
        <w:spacing w:before="100" w:after="100" w:line="260" w:lineRule="atLeast"/>
      </w:pPr>
      <w:r>
        <w:t>Suppliers can be requested to provide written evidence for the basis of their price increase request, such as increases in their cost inputs (e.g. utilities, wages or fuel)</w:t>
      </w:r>
      <w:r w:rsidR="001D5E05">
        <w:t xml:space="preserve">. </w:t>
      </w:r>
      <w:r>
        <w:t>These requests can then be reviewed by the contract manager and approved, negotiated or rejected as appropriate. This method could be considered to be the most rigorous and evidence</w:t>
      </w:r>
      <w:r w:rsidR="001D5E05">
        <w:noBreakHyphen/>
      </w:r>
      <w:r>
        <w:t>based process and is best managed with a sufficient understanding of cost drivers, proportion of elements and how these elements are managed by the supplier</w:t>
      </w:r>
      <w:r w:rsidR="001D5E05">
        <w:t xml:space="preserve">. </w:t>
      </w:r>
      <w:r>
        <w:t>Adequate pre</w:t>
      </w:r>
      <w:r w:rsidR="001D5E05">
        <w:noBreakHyphen/>
      </w:r>
      <w:r>
        <w:t>planning, understanding and knowledge of the products and services being acquired will help avoid protracted negotiations and re</w:t>
      </w:r>
      <w:r w:rsidR="001D5E05">
        <w:noBreakHyphen/>
      </w:r>
      <w:r>
        <w:t>work as a consequence of any price change request.</w:t>
      </w:r>
    </w:p>
    <w:p w14:paraId="5B09C77A" w14:textId="77777777" w:rsidR="00CD4CC5" w:rsidRPr="00E85B88" w:rsidRDefault="00CD4CC5" w:rsidP="00E85B88">
      <w:pPr>
        <w:pStyle w:val="Heading2"/>
        <w:rPr>
          <w:color w:val="7030A0"/>
        </w:rPr>
      </w:pPr>
      <w:r w:rsidRPr="00E85B88">
        <w:rPr>
          <w:color w:val="7030A0"/>
        </w:rPr>
        <w:t>Other considerations</w:t>
      </w:r>
    </w:p>
    <w:p w14:paraId="21366E49" w14:textId="77777777" w:rsidR="00CD4CC5" w:rsidRDefault="00CD4CC5" w:rsidP="00E85B88">
      <w:pPr>
        <w:spacing w:before="100" w:after="100" w:line="260" w:lineRule="atLeast"/>
      </w:pPr>
      <w:r>
        <w:t>Each contract should be considered on a case</w:t>
      </w:r>
      <w:r w:rsidR="001D5E05">
        <w:noBreakHyphen/>
      </w:r>
      <w:r>
        <w:t>by</w:t>
      </w:r>
      <w:r w:rsidR="001D5E05">
        <w:noBreakHyphen/>
      </w:r>
      <w:r>
        <w:t>case basis when determining the most appropriate price review method</w:t>
      </w:r>
      <w:r w:rsidR="001D5E05">
        <w:t xml:space="preserve">. </w:t>
      </w:r>
      <w:r>
        <w:t>However, the following factors should also be taken into account:</w:t>
      </w:r>
    </w:p>
    <w:p w14:paraId="4031ADA0" w14:textId="77777777" w:rsidR="00CD4CC5" w:rsidRDefault="00CD4CC5" w:rsidP="00E85B88">
      <w:pPr>
        <w:pStyle w:val="Bullet1"/>
        <w:spacing w:before="100" w:after="100" w:line="260" w:lineRule="atLeast"/>
        <w:ind w:left="357" w:hanging="357"/>
        <w:contextualSpacing/>
      </w:pPr>
      <w:r>
        <w:t>volatility of the price index – what impact will this volatility have on pricing and, in turn, budgeting?;</w:t>
      </w:r>
    </w:p>
    <w:p w14:paraId="4CDEBB6D" w14:textId="77777777" w:rsidR="00CD4CC5" w:rsidRDefault="00CD4CC5" w:rsidP="00E85B88">
      <w:pPr>
        <w:pStyle w:val="Bullet1"/>
        <w:spacing w:before="100" w:after="100" w:line="260" w:lineRule="atLeast"/>
        <w:ind w:left="357" w:hanging="357"/>
        <w:contextualSpacing/>
      </w:pPr>
      <w:r>
        <w:t>time and resources available – some price review mechanisms are time, data and labour intensive to validate and administer;</w:t>
      </w:r>
    </w:p>
    <w:p w14:paraId="17C91872" w14:textId="77777777" w:rsidR="00CD4CC5" w:rsidRDefault="00CD4CC5" w:rsidP="00E85B88">
      <w:pPr>
        <w:pStyle w:val="Bullet1"/>
        <w:spacing w:before="100" w:after="100" w:line="260" w:lineRule="atLeast"/>
        <w:ind w:left="357" w:hanging="357"/>
        <w:contextualSpacing/>
      </w:pPr>
      <w:r>
        <w:t>ease of negotiation – some price review mechanisms can be problematic to either include in a contract or require ongoing negotiations to agree on a price increase; and</w:t>
      </w:r>
    </w:p>
    <w:p w14:paraId="18BB8AB5" w14:textId="77777777" w:rsidR="00CD4CC5" w:rsidRDefault="00CD4CC5" w:rsidP="00E85B88">
      <w:pPr>
        <w:pStyle w:val="Bullet1"/>
        <w:spacing w:before="100" w:after="100" w:line="260" w:lineRule="atLeast"/>
      </w:pPr>
      <w:r>
        <w:t>capability of procurement practitioners to undertake financial and data analysis, complex contract negotiations and robust contract management, supported by an efficient contract management system.</w:t>
      </w:r>
    </w:p>
    <w:p w14:paraId="6DC50B8E" w14:textId="77777777" w:rsidR="00CD4CC5" w:rsidRDefault="00CD4CC5" w:rsidP="00E85B88">
      <w:pPr>
        <w:spacing w:before="100" w:after="100" w:line="260" w:lineRule="atLeast"/>
      </w:pPr>
      <w:r>
        <w:t>Irrespective of the measure or approach adopted, the following factors should be considered for inclusion in a contract (if the price is not fixed):  clearly identify the selected index and its source;</w:t>
      </w:r>
    </w:p>
    <w:p w14:paraId="3B594391" w14:textId="77777777" w:rsidR="00CD4CC5" w:rsidRDefault="00CD4CC5" w:rsidP="00E85B88">
      <w:pPr>
        <w:pStyle w:val="Bullet1"/>
        <w:spacing w:before="100" w:after="100" w:line="260" w:lineRule="atLeast"/>
        <w:ind w:left="357" w:hanging="357"/>
        <w:contextualSpacing/>
      </w:pPr>
      <w:r>
        <w:t>clearly establish the base price and the starting point of the price index;</w:t>
      </w:r>
    </w:p>
    <w:p w14:paraId="6A81EA9D" w14:textId="77777777" w:rsidR="00CD4CC5" w:rsidRDefault="00CD4CC5" w:rsidP="00E85B88">
      <w:pPr>
        <w:pStyle w:val="Bullet1"/>
        <w:spacing w:before="100" w:after="100" w:line="260" w:lineRule="atLeast"/>
        <w:ind w:left="357" w:hanging="357"/>
        <w:contextualSpacing/>
      </w:pPr>
      <w:r>
        <w:t>clearly state the frequency of the price review;</w:t>
      </w:r>
    </w:p>
    <w:p w14:paraId="15127A2E" w14:textId="77777777" w:rsidR="00CD4CC5" w:rsidRDefault="00CD4CC5" w:rsidP="00E85B88">
      <w:pPr>
        <w:pStyle w:val="Bullet1"/>
        <w:spacing w:before="100" w:after="100" w:line="260" w:lineRule="atLeast"/>
        <w:ind w:left="357" w:hanging="357"/>
        <w:contextualSpacing/>
      </w:pPr>
      <w:r>
        <w:t>clearly define the formula by which the price adjustments will be calculated;</w:t>
      </w:r>
    </w:p>
    <w:p w14:paraId="00E5F4D5" w14:textId="77777777" w:rsidR="00CD4CC5" w:rsidRDefault="00CD4CC5" w:rsidP="00E85B88">
      <w:pPr>
        <w:pStyle w:val="Bullet1"/>
        <w:spacing w:before="100" w:after="100" w:line="260" w:lineRule="atLeast"/>
        <w:ind w:left="357" w:hanging="357"/>
        <w:contextualSpacing/>
      </w:pPr>
      <w:r>
        <w:t>clearly state the process and timing for the formal price adjustment requests to be made by the supplier;</w:t>
      </w:r>
    </w:p>
    <w:p w14:paraId="10EE32C0" w14:textId="77777777" w:rsidR="00CD4CC5" w:rsidRDefault="00CD4CC5" w:rsidP="00E85B88">
      <w:pPr>
        <w:pStyle w:val="Bullet1"/>
        <w:spacing w:before="100" w:after="100" w:line="260" w:lineRule="atLeast"/>
        <w:ind w:left="357" w:hanging="357"/>
        <w:contextualSpacing/>
      </w:pPr>
      <w:r>
        <w:t>allow for re</w:t>
      </w:r>
      <w:r w:rsidR="001D5E05">
        <w:noBreakHyphen/>
      </w:r>
      <w:r>
        <w:t>named, varied or discontinued price indexes; and</w:t>
      </w:r>
    </w:p>
    <w:p w14:paraId="1D1D990A" w14:textId="77777777" w:rsidR="00CD4CC5" w:rsidRDefault="00CD4CC5" w:rsidP="00E85B88">
      <w:pPr>
        <w:pStyle w:val="Bullet1"/>
        <w:spacing w:before="100" w:after="100" w:line="260" w:lineRule="atLeast"/>
      </w:pPr>
      <w:r>
        <w:t>ideally, price reviews should allow for negative price movements.</w:t>
      </w:r>
    </w:p>
    <w:p w14:paraId="1384D6D6" w14:textId="77777777" w:rsidR="00CD4CC5" w:rsidRDefault="00CD4CC5" w:rsidP="00E85B88">
      <w:pPr>
        <w:spacing w:before="100" w:after="100" w:line="260" w:lineRule="atLeast"/>
      </w:pPr>
      <w:r>
        <w:t>Best practice in contract management should include a request for sufficient evidence or justification from the supplier when a price change is proposed</w:t>
      </w:r>
      <w:r w:rsidR="001D5E05">
        <w:t xml:space="preserve">. </w:t>
      </w:r>
      <w:r>
        <w:t xml:space="preserve">This information then becomes the basis for a better understanding of the cost drivers. </w:t>
      </w:r>
    </w:p>
    <w:p w14:paraId="6A32826E" w14:textId="77777777" w:rsidR="00CD4CC5" w:rsidRDefault="00CD4CC5" w:rsidP="00E85B88">
      <w:pPr>
        <w:spacing w:before="100" w:after="100" w:line="260" w:lineRule="atLeast"/>
      </w:pPr>
      <w:r>
        <w:lastRenderedPageBreak/>
        <w:t>All price increases, once reviewed, should be approved by the contract manager before becoming effective.</w:t>
      </w:r>
    </w:p>
    <w:p w14:paraId="128B73C5" w14:textId="77777777" w:rsidR="001D4769" w:rsidRPr="00F221EA" w:rsidRDefault="001D4769" w:rsidP="001D4769">
      <w:pPr>
        <w:pStyle w:val="Heading2"/>
        <w:rPr>
          <w:color w:val="7030A0"/>
        </w:rPr>
      </w:pPr>
      <w:r w:rsidRPr="00F221EA">
        <w:rPr>
          <w:color w:val="7030A0"/>
        </w:rPr>
        <w:t>Using this guide</w:t>
      </w:r>
    </w:p>
    <w:p w14:paraId="0AE51673" w14:textId="4155C17D" w:rsidR="001D4769" w:rsidRPr="00D879F1" w:rsidRDefault="001D4769" w:rsidP="001D4769">
      <w:r w:rsidRPr="00D879F1">
        <w:t xml:space="preserve">This guide accompanies the </w:t>
      </w:r>
      <w:hyperlink r:id="rId10" w:history="1">
        <w:r w:rsidRPr="0002146B">
          <w:rPr>
            <w:rStyle w:val="Hyperlink"/>
          </w:rPr>
          <w:t>goods and services supply policies</w:t>
        </w:r>
      </w:hyperlink>
      <w:r w:rsidRPr="00D879F1">
        <w:t>. There are 5 supplies policies:</w:t>
      </w:r>
    </w:p>
    <w:p w14:paraId="119AF101" w14:textId="77777777" w:rsidR="001D4769" w:rsidRPr="00D879F1" w:rsidRDefault="001D4769" w:rsidP="001D4769">
      <w:pPr>
        <w:pStyle w:val="ListParagraph"/>
        <w:numPr>
          <w:ilvl w:val="0"/>
          <w:numId w:val="46"/>
        </w:numPr>
        <w:spacing w:before="100" w:after="100" w:line="260" w:lineRule="atLeast"/>
      </w:pPr>
      <w:r w:rsidRPr="00D879F1">
        <w:t>Governance policy</w:t>
      </w:r>
      <w:bookmarkStart w:id="0" w:name="_GoBack"/>
      <w:bookmarkEnd w:id="0"/>
    </w:p>
    <w:p w14:paraId="001C61D3" w14:textId="77777777" w:rsidR="001D4769" w:rsidRPr="00D879F1" w:rsidRDefault="001D4769" w:rsidP="001D4769">
      <w:pPr>
        <w:pStyle w:val="ListParagraph"/>
        <w:numPr>
          <w:ilvl w:val="0"/>
          <w:numId w:val="46"/>
        </w:numPr>
        <w:spacing w:before="100" w:after="100" w:line="260" w:lineRule="atLeast"/>
      </w:pPr>
      <w:r w:rsidRPr="00D879F1">
        <w:t xml:space="preserve">Complexity and capability </w:t>
      </w:r>
      <w:r>
        <w:t xml:space="preserve">assessment </w:t>
      </w:r>
      <w:r w:rsidRPr="00D879F1">
        <w:t>policy</w:t>
      </w:r>
    </w:p>
    <w:p w14:paraId="5BE18071" w14:textId="77777777" w:rsidR="001D4769" w:rsidRPr="00D879F1" w:rsidRDefault="001D4769" w:rsidP="001D4769">
      <w:pPr>
        <w:pStyle w:val="ListParagraph"/>
        <w:numPr>
          <w:ilvl w:val="0"/>
          <w:numId w:val="46"/>
        </w:numPr>
        <w:spacing w:before="100" w:after="100" w:line="260" w:lineRule="atLeast"/>
      </w:pPr>
      <w:r w:rsidRPr="00D879F1">
        <w:t>Market analysis and review policy</w:t>
      </w:r>
    </w:p>
    <w:p w14:paraId="75095002" w14:textId="77777777" w:rsidR="001D4769" w:rsidRPr="00D879F1" w:rsidRDefault="001D4769" w:rsidP="001D4769">
      <w:pPr>
        <w:pStyle w:val="ListParagraph"/>
        <w:numPr>
          <w:ilvl w:val="0"/>
          <w:numId w:val="46"/>
        </w:numPr>
        <w:spacing w:before="100" w:after="100" w:line="260" w:lineRule="atLeast"/>
      </w:pPr>
      <w:r w:rsidRPr="00D879F1">
        <w:t>Market approach policy</w:t>
      </w:r>
    </w:p>
    <w:p w14:paraId="014F469B" w14:textId="77777777" w:rsidR="001D4769" w:rsidRPr="00D879F1" w:rsidRDefault="001D4769" w:rsidP="001D4769">
      <w:pPr>
        <w:pStyle w:val="ListParagraph"/>
        <w:numPr>
          <w:ilvl w:val="0"/>
          <w:numId w:val="46"/>
        </w:numPr>
        <w:spacing w:before="100" w:after="100" w:line="260" w:lineRule="atLeast"/>
      </w:pPr>
      <w:r w:rsidRPr="00D879F1">
        <w:t>Contract management and disclosure policy</w:t>
      </w:r>
    </w:p>
    <w:p w14:paraId="59544EBF" w14:textId="432D74A6" w:rsidR="001D4769" w:rsidRPr="00D879F1" w:rsidRDefault="001D4769" w:rsidP="001D4769">
      <w:r w:rsidRPr="00D879F1">
        <w:t xml:space="preserve">This guide supports the </w:t>
      </w:r>
      <w:hyperlink r:id="rId11" w:history="1">
        <w:r w:rsidRPr="0002146B">
          <w:rPr>
            <w:rStyle w:val="Hyperlink"/>
          </w:rPr>
          <w:t>Contract management and contract disclosure policy</w:t>
        </w:r>
      </w:hyperlink>
      <w:r w:rsidRPr="00D879F1">
        <w:t>.</w:t>
      </w:r>
    </w:p>
    <w:p w14:paraId="2EC29E60" w14:textId="77777777" w:rsidR="007741F3" w:rsidRDefault="007741F3" w:rsidP="00E85B88">
      <w:pPr>
        <w:spacing w:before="100" w:after="100" w:line="260" w:lineRule="atLeast"/>
      </w:pPr>
    </w:p>
    <w:p w14:paraId="7B4293F3" w14:textId="77777777" w:rsidR="007741F3" w:rsidRDefault="007741F3" w:rsidP="00E85B88">
      <w:pPr>
        <w:spacing w:before="100" w:after="100" w:line="260" w:lineRule="atLeast"/>
      </w:pPr>
    </w:p>
    <w:p w14:paraId="4432D1A1" w14:textId="77777777" w:rsidR="007741F3" w:rsidRDefault="007741F3" w:rsidP="00E85B88">
      <w:pPr>
        <w:spacing w:before="100" w:after="100" w:line="260" w:lineRule="atLeast"/>
      </w:pPr>
    </w:p>
    <w:p w14:paraId="6CA0ED2B" w14:textId="77777777" w:rsidR="007741F3" w:rsidRDefault="007741F3" w:rsidP="00E85B88">
      <w:pPr>
        <w:spacing w:before="100" w:after="100" w:line="260" w:lineRule="atLeast"/>
      </w:pPr>
    </w:p>
    <w:p w14:paraId="74B78919" w14:textId="77777777" w:rsidR="007741F3" w:rsidRDefault="007741F3" w:rsidP="00E85B88">
      <w:pPr>
        <w:spacing w:before="100" w:after="100" w:line="260" w:lineRule="atLeast"/>
      </w:pPr>
    </w:p>
    <w:p w14:paraId="4013754D" w14:textId="77777777" w:rsidR="007741F3" w:rsidRDefault="007741F3" w:rsidP="00E85B88">
      <w:pPr>
        <w:spacing w:before="100" w:after="100" w:line="260" w:lineRule="atLeast"/>
      </w:pPr>
    </w:p>
    <w:p w14:paraId="4587D022" w14:textId="77777777" w:rsidR="00F731E9" w:rsidRDefault="00F731E9" w:rsidP="00E85B88">
      <w:pPr>
        <w:spacing w:before="100" w:after="100" w:line="260" w:lineRule="atLeast"/>
      </w:pPr>
    </w:p>
    <w:p w14:paraId="064874EF" w14:textId="77777777" w:rsidR="00F731E9" w:rsidRPr="00F32A9D" w:rsidRDefault="00F731E9" w:rsidP="00E85B88">
      <w:pPr>
        <w:spacing w:before="100" w:after="100" w:line="260" w:lineRule="atLeast"/>
      </w:pPr>
    </w:p>
    <w:p w14:paraId="24BA9A5E" w14:textId="7B6D7584" w:rsidR="00F731E9" w:rsidRPr="001D4769" w:rsidRDefault="00F731E9" w:rsidP="00E85B88">
      <w:pPr>
        <w:spacing w:before="100" w:after="100" w:line="260" w:lineRule="atLeast"/>
      </w:pPr>
    </w:p>
    <w:p w14:paraId="79A63806" w14:textId="78C029A0" w:rsidR="001D4769" w:rsidRPr="001D4769" w:rsidRDefault="001D4769" w:rsidP="00E85B88">
      <w:pPr>
        <w:spacing w:before="100" w:after="100" w:line="260" w:lineRule="atLeast"/>
      </w:pPr>
    </w:p>
    <w:p w14:paraId="7F09CB3E" w14:textId="35C70DEC" w:rsidR="001D4769" w:rsidRPr="001D4769" w:rsidRDefault="001D4769" w:rsidP="00E85B88">
      <w:pPr>
        <w:spacing w:before="100" w:after="100" w:line="260" w:lineRule="atLeast"/>
      </w:pPr>
    </w:p>
    <w:p w14:paraId="306DEF13" w14:textId="04798BAA" w:rsidR="001D4769" w:rsidRPr="001D4769" w:rsidRDefault="001D4769" w:rsidP="00E85B88">
      <w:pPr>
        <w:spacing w:before="100" w:after="100" w:line="260" w:lineRule="atLeast"/>
      </w:pPr>
    </w:p>
    <w:p w14:paraId="45EFB17A" w14:textId="1778826B" w:rsidR="001D4769" w:rsidRPr="001D4769" w:rsidRDefault="001D4769" w:rsidP="00E85B88">
      <w:pPr>
        <w:spacing w:before="100" w:after="100" w:line="260" w:lineRule="atLeast"/>
      </w:pPr>
    </w:p>
    <w:p w14:paraId="05300855" w14:textId="1EBC66F8" w:rsidR="001D4769" w:rsidRPr="001D4769" w:rsidRDefault="001D4769" w:rsidP="00E85B88">
      <w:pPr>
        <w:spacing w:before="100" w:after="100" w:line="260" w:lineRule="atLeast"/>
      </w:pPr>
    </w:p>
    <w:p w14:paraId="3CC6F383" w14:textId="3778C401" w:rsidR="001D4769" w:rsidRPr="001D4769" w:rsidRDefault="001D4769" w:rsidP="00E85B88">
      <w:pPr>
        <w:spacing w:before="100" w:after="100" w:line="260" w:lineRule="atLeast"/>
      </w:pPr>
    </w:p>
    <w:p w14:paraId="2F0424EB" w14:textId="4D091AF2" w:rsidR="001D4769" w:rsidRPr="001D4769" w:rsidRDefault="001D4769" w:rsidP="00E85B88">
      <w:pPr>
        <w:spacing w:before="100" w:after="100" w:line="260" w:lineRule="atLeast"/>
      </w:pPr>
    </w:p>
    <w:p w14:paraId="1B0F1EAB" w14:textId="2E184F7A" w:rsidR="001D4769" w:rsidRPr="001D4769" w:rsidRDefault="001D4769" w:rsidP="00E85B88">
      <w:pPr>
        <w:spacing w:before="100" w:after="100" w:line="260" w:lineRule="atLeast"/>
      </w:pPr>
    </w:p>
    <w:p w14:paraId="75ADCE7D" w14:textId="77777777" w:rsidR="001D4769" w:rsidRPr="00F32A9D" w:rsidRDefault="001D4769" w:rsidP="00E85B88">
      <w:pPr>
        <w:spacing w:before="100" w:after="100" w:line="260" w:lineRule="atLeast"/>
      </w:pPr>
    </w:p>
    <w:p w14:paraId="25C0BBB3" w14:textId="77777777" w:rsidR="007741F3" w:rsidRDefault="007741F3" w:rsidP="00E85B88">
      <w:pPr>
        <w:spacing w:before="100" w:after="100" w:line="260" w:lineRule="atLeast"/>
      </w:pPr>
    </w:p>
    <w:p w14:paraId="6DED9AAA" w14:textId="5D1E796E" w:rsidR="00F731E9" w:rsidRPr="00F32A9D" w:rsidRDefault="00F731E9" w:rsidP="00F731E9">
      <w:r w:rsidRPr="00F32A9D">
        <w:t>© State of Victoria 2014</w:t>
      </w:r>
      <w:r w:rsidR="00E36C19">
        <w:t xml:space="preserve"> (Victorian Government Purchasing Board)</w:t>
      </w:r>
    </w:p>
    <w:p w14:paraId="4F536764" w14:textId="77777777" w:rsidR="00F731E9" w:rsidRPr="00F32A9D" w:rsidRDefault="00433E0F" w:rsidP="00F731E9">
      <w:hyperlink r:id="rId12" w:history="1">
        <w:r w:rsidR="00F731E9" w:rsidRPr="00F32A9D">
          <w:rPr>
            <w:rStyle w:val="Hyperlink"/>
            <w:noProof/>
            <w:lang w:val="en-US"/>
          </w:rPr>
          <w:drawing>
            <wp:inline distT="0" distB="0" distL="0" distR="0" wp14:anchorId="34F74D31" wp14:editId="0E592FBD">
              <wp:extent cx="11144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81000"/>
                      </a:xfrm>
                      <a:prstGeom prst="rect">
                        <a:avLst/>
                      </a:prstGeom>
                      <a:noFill/>
                      <a:ln>
                        <a:noFill/>
                      </a:ln>
                    </pic:spPr>
                  </pic:pic>
                </a:graphicData>
              </a:graphic>
            </wp:inline>
          </w:drawing>
        </w:r>
        <w:r w:rsidR="00F731E9" w:rsidRPr="00F32A9D">
          <w:rPr>
            <w:rStyle w:val="Hyperlink"/>
          </w:rPr>
          <w:t xml:space="preserve"> </w:t>
        </w:r>
      </w:hyperlink>
      <w:r w:rsidR="00F731E9" w:rsidRPr="00F32A9D">
        <w:t xml:space="preserve"> </w:t>
      </w:r>
    </w:p>
    <w:p w14:paraId="4DB23614" w14:textId="77777777" w:rsidR="00F731E9" w:rsidRPr="00F32A9D" w:rsidRDefault="00F731E9" w:rsidP="00F731E9">
      <w:r w:rsidRPr="00F32A9D">
        <w:t xml:space="preserve">This work is licensed under a </w:t>
      </w:r>
      <w:hyperlink r:id="rId14" w:history="1">
        <w:r w:rsidRPr="00F32A9D">
          <w:rPr>
            <w:rStyle w:val="Hyperlink"/>
          </w:rPr>
          <w:t>Creative Commons Attribution 3.0 Australia licence</w:t>
        </w:r>
      </w:hyperlink>
      <w:r w:rsidRPr="00F32A9D">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8D1736F" w14:textId="77777777" w:rsidR="00F731E9" w:rsidRPr="00F32A9D" w:rsidRDefault="00F731E9" w:rsidP="00F731E9">
      <w:r w:rsidRPr="00F32A9D">
        <w:t xml:space="preserve">Copyright queries may be directed to </w:t>
      </w:r>
      <w:hyperlink r:id="rId15" w:history="1">
        <w:r w:rsidRPr="00F32A9D">
          <w:rPr>
            <w:rStyle w:val="Hyperlink"/>
          </w:rPr>
          <w:t>IPpolicy@dtf.vic.gov.au</w:t>
        </w:r>
      </w:hyperlink>
    </w:p>
    <w:p w14:paraId="6FE4BB6E" w14:textId="77777777" w:rsidR="00CD4CC5" w:rsidRDefault="00CD4CC5" w:rsidP="0035041C"/>
    <w:sectPr w:rsidR="00CD4CC5" w:rsidSect="00E85B88">
      <w:headerReference w:type="default" r:id="rId16"/>
      <w:footerReference w:type="default" r:id="rId17"/>
      <w:headerReference w:type="first" r:id="rId18"/>
      <w:footerReference w:type="first" r:id="rId19"/>
      <w:pgSz w:w="11901" w:h="16840" w:code="9"/>
      <w:pgMar w:top="1560" w:right="1008" w:bottom="1418" w:left="1152" w:header="567"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1895" w14:textId="77777777" w:rsidR="00433E0F" w:rsidRDefault="00433E0F">
      <w:r>
        <w:separator/>
      </w:r>
    </w:p>
    <w:p w14:paraId="7538D58E" w14:textId="77777777" w:rsidR="00433E0F" w:rsidRDefault="00433E0F"/>
  </w:endnote>
  <w:endnote w:type="continuationSeparator" w:id="0">
    <w:p w14:paraId="77149E9C" w14:textId="77777777" w:rsidR="00433E0F" w:rsidRDefault="00433E0F">
      <w:r>
        <w:continuationSeparator/>
      </w:r>
    </w:p>
    <w:p w14:paraId="6D15BCE8" w14:textId="77777777" w:rsidR="00433E0F" w:rsidRDefault="00433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426" w14:textId="131AB432" w:rsidR="000E3175" w:rsidRDefault="00E36C19" w:rsidP="00E85B88">
    <w:pPr>
      <w:pStyle w:val="Footer"/>
      <w:jc w:val="left"/>
    </w:pPr>
    <w:r>
      <w:t xml:space="preserve">Victorian Government Purchasing Board </w:t>
    </w:r>
    <w:r w:rsidR="000E3175">
      <mc:AlternateContent>
        <mc:Choice Requires="wps">
          <w:drawing>
            <wp:anchor distT="0" distB="0" distL="114300" distR="114300" simplePos="0" relativeHeight="251657728" behindDoc="0" locked="0" layoutInCell="0" allowOverlap="1" wp14:anchorId="4F6AB079" wp14:editId="0290A1F1">
              <wp:simplePos x="0" y="0"/>
              <wp:positionH relativeFrom="page">
                <wp:posOffset>0</wp:posOffset>
              </wp:positionH>
              <wp:positionV relativeFrom="page">
                <wp:posOffset>10236200</wp:posOffset>
              </wp:positionV>
              <wp:extent cx="7557135" cy="266700"/>
              <wp:effectExtent l="0" t="0" r="0" b="0"/>
              <wp:wrapNone/>
              <wp:docPr id="293" name="MSIPCMe01a49199bf956c428c17d9f"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20BB9" w14:textId="3F80A202" w:rsidR="000E3175" w:rsidRPr="000E3175" w:rsidRDefault="000E3175" w:rsidP="000E3175">
                          <w:pPr>
                            <w:spacing w:after="0"/>
                            <w:rPr>
                              <w:rFonts w:ascii="Calibri" w:hAnsi="Calibri" w:cs="Calibri"/>
                              <w:color w:val="000000"/>
                            </w:rPr>
                          </w:pPr>
                          <w:r w:rsidRPr="000E317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6AB079" id="_x0000_t202" coordsize="21600,21600" o:spt="202" path="m,l,21600r21600,l21600,xe">
              <v:stroke joinstyle="miter"/>
              <v:path gradientshapeok="t" o:connecttype="rect"/>
            </v:shapetype>
            <v:shape id="MSIPCMe01a49199bf956c428c17d9f"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egIAMAADo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KCMN6AgAwAAOgYAAA4AAAAA&#10;AAAAAAAAAAAALgIAAGRycy9lMm9Eb2MueG1sUEsBAi0AFAAGAAgAAAAhAMhEIg/eAAAACwEAAA8A&#10;AAAAAAAAAAAAAAAAegUAAGRycy9kb3ducmV2LnhtbFBLBQYAAAAABAAEAPMAAACFBgAAAAA=&#10;" o:allowincell="f" filled="f" stroked="f" strokeweight=".5pt">
              <v:textbox inset="20pt,0,,0">
                <w:txbxContent>
                  <w:p w14:paraId="72020BB9" w14:textId="3F80A202" w:rsidR="000E3175" w:rsidRPr="000E3175" w:rsidRDefault="000E3175" w:rsidP="000E3175">
                    <w:pPr>
                      <w:spacing w:after="0"/>
                      <w:rPr>
                        <w:rFonts w:ascii="Calibri" w:hAnsi="Calibri" w:cs="Calibri"/>
                        <w:color w:val="000000"/>
                      </w:rPr>
                    </w:pPr>
                    <w:r w:rsidRPr="000E3175">
                      <w:rPr>
                        <w:rFonts w:ascii="Calibri" w:hAnsi="Calibri" w:cs="Calibri"/>
                        <w:color w:val="000000"/>
                      </w:rPr>
                      <w:t>OFFICIAL</w:t>
                    </w:r>
                  </w:p>
                </w:txbxContent>
              </v:textbox>
              <w10:wrap anchorx="page" anchory="page"/>
            </v:shape>
          </w:pict>
        </mc:Fallback>
      </mc:AlternateContent>
    </w:r>
  </w:p>
  <w:sdt>
    <w:sdtPr>
      <w:id w:val="1159883324"/>
      <w:docPartObj>
        <w:docPartGallery w:val="Page Numbers (Bottom of Page)"/>
        <w:docPartUnique/>
      </w:docPartObj>
    </w:sdtPr>
    <w:sdtEndPr/>
    <w:sdtContent>
      <w:sdt>
        <w:sdtPr>
          <w:id w:val="-790355604"/>
          <w:docPartObj>
            <w:docPartGallery w:val="Page Numbers (Top of Page)"/>
            <w:docPartUnique/>
          </w:docPartObj>
        </w:sdtPr>
        <w:sdtEndPr/>
        <w:sdtContent>
          <w:p w14:paraId="70E0A106" w14:textId="7F6DEB3E" w:rsidR="00E85B88" w:rsidRDefault="00E85B88" w:rsidP="00E85B88">
            <w:pPr>
              <w:pStyle w:val="Footer"/>
              <w:jc w:val="left"/>
            </w:pPr>
            <w:r>
              <w:t>Managing contract price reviews – Goods and services procurement guide</w:t>
            </w:r>
          </w:p>
          <w:p w14:paraId="748E53DE" w14:textId="77777777" w:rsidR="00304E7F" w:rsidRDefault="00E85B88" w:rsidP="00E85B88">
            <w:pPr>
              <w:pStyle w:val="Footer"/>
              <w:tabs>
                <w:tab w:val="clear" w:pos="8220"/>
                <w:tab w:val="right" w:pos="9639"/>
              </w:tabs>
              <w:jc w:val="left"/>
            </w:pPr>
            <w:r>
              <w:t>October 2013</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2436" w14:textId="77777777" w:rsidR="00304E7F" w:rsidRDefault="00304E7F" w:rsidP="003C0F49">
    <w:pPr>
      <w:pStyle w:val="Footer"/>
    </w:pPr>
    <w:r>
      <w:rPr>
        <w:lang w:val="en-US" w:eastAsia="en-US"/>
      </w:rPr>
      <w:drawing>
        <wp:anchor distT="0" distB="0" distL="114300" distR="114300" simplePos="0" relativeHeight="251656704" behindDoc="0" locked="0" layoutInCell="1" allowOverlap="1" wp14:anchorId="1040B30A" wp14:editId="1D213398">
          <wp:simplePos x="0" y="0"/>
          <wp:positionH relativeFrom="column">
            <wp:posOffset>5861050</wp:posOffset>
          </wp:positionH>
          <wp:positionV relativeFrom="page">
            <wp:posOffset>10049510</wp:posOffset>
          </wp:positionV>
          <wp:extent cx="758952" cy="438912"/>
          <wp:effectExtent l="0" t="0" r="3175" b="0"/>
          <wp:wrapNone/>
          <wp:docPr id="292" name="Picture 29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9543" w14:textId="77777777" w:rsidR="00433E0F" w:rsidRDefault="00433E0F">
      <w:r>
        <w:separator/>
      </w:r>
    </w:p>
    <w:p w14:paraId="120EDC59" w14:textId="77777777" w:rsidR="00433E0F" w:rsidRDefault="00433E0F"/>
  </w:footnote>
  <w:footnote w:type="continuationSeparator" w:id="0">
    <w:p w14:paraId="19DD2595" w14:textId="77777777" w:rsidR="00433E0F" w:rsidRDefault="00433E0F">
      <w:r>
        <w:continuationSeparator/>
      </w:r>
    </w:p>
    <w:p w14:paraId="53F786FD" w14:textId="77777777" w:rsidR="00433E0F" w:rsidRDefault="00433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BE6A" w14:textId="77777777" w:rsidR="00304E7F" w:rsidRPr="00E85B88" w:rsidRDefault="00E85B88" w:rsidP="00E85B88">
    <w:pPr>
      <w:pStyle w:val="Header"/>
      <w:tabs>
        <w:tab w:val="clear" w:pos="10350"/>
      </w:tabs>
      <w:spacing w:before="240"/>
      <w:ind w:right="102"/>
      <w:rPr>
        <w:sz w:val="20"/>
        <w:szCs w:val="20"/>
      </w:rPr>
    </w:pPr>
    <w:r>
      <w:rPr>
        <w:sz w:val="20"/>
        <w:szCs w:val="20"/>
        <w:lang w:val="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4F86" w14:textId="77777777" w:rsidR="00304E7F" w:rsidRPr="007602D7" w:rsidRDefault="00304E7F" w:rsidP="00B54F88">
    <w:pPr>
      <w:pStyle w:val="Header"/>
      <w:spacing w:before="240"/>
      <w:ind w:right="-461"/>
    </w:pPr>
    <w:r w:rsidRPr="000E286D">
      <w:rPr>
        <w:lang w:val="en-US"/>
      </w:rPr>
      <w:drawing>
        <wp:anchor distT="0" distB="0" distL="114300" distR="114300" simplePos="0" relativeHeight="251658752" behindDoc="1" locked="0" layoutInCell="1" allowOverlap="1" wp14:anchorId="44320D00" wp14:editId="4F299935">
          <wp:simplePos x="0" y="0"/>
          <wp:positionH relativeFrom="column">
            <wp:posOffset>-731520</wp:posOffset>
          </wp:positionH>
          <wp:positionV relativeFrom="paragraph">
            <wp:posOffset>-200133</wp:posOffset>
          </wp:positionV>
          <wp:extent cx="560717" cy="10717356"/>
          <wp:effectExtent l="0" t="0" r="0" b="825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drawing>
        <wp:inline distT="0" distB="0" distL="0" distR="0" wp14:anchorId="09E768CA" wp14:editId="0DABBB64">
          <wp:extent cx="2162175" cy="133350"/>
          <wp:effectExtent l="0" t="0" r="0" b="0"/>
          <wp:docPr id="2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1FE63B2"/>
    <w:multiLevelType w:val="hybridMultilevel"/>
    <w:tmpl w:val="D4BCB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0"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8"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9"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0"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1"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2"/>
  </w:num>
  <w:num w:numId="4">
    <w:abstractNumId w:val="27"/>
  </w:num>
  <w:num w:numId="5">
    <w:abstractNumId w:val="6"/>
  </w:num>
  <w:num w:numId="6">
    <w:abstractNumId w:val="5"/>
  </w:num>
  <w:num w:numId="7">
    <w:abstractNumId w:val="4"/>
  </w:num>
  <w:num w:numId="8">
    <w:abstractNumId w:val="48"/>
  </w:num>
  <w:num w:numId="9">
    <w:abstractNumId w:val="29"/>
  </w:num>
  <w:num w:numId="10">
    <w:abstractNumId w:val="14"/>
  </w:num>
  <w:num w:numId="11">
    <w:abstractNumId w:val="16"/>
  </w:num>
  <w:num w:numId="12">
    <w:abstractNumId w:val="47"/>
  </w:num>
  <w:num w:numId="13">
    <w:abstractNumId w:val="18"/>
  </w:num>
  <w:num w:numId="14">
    <w:abstractNumId w:val="37"/>
  </w:num>
  <w:num w:numId="15">
    <w:abstractNumId w:val="3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5"/>
  </w:num>
  <w:num w:numId="19">
    <w:abstractNumId w:val="2"/>
  </w:num>
  <w:num w:numId="20">
    <w:abstractNumId w:val="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8"/>
    <w:lvlOverride w:ilvl="0">
      <w:startOverride w:val="1"/>
    </w:lvlOverride>
  </w:num>
  <w:num w:numId="24">
    <w:abstractNumId w:val="38"/>
    <w:lvlOverride w:ilvl="0">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2"/>
  </w:num>
  <w:num w:numId="31">
    <w:abstractNumId w:val="23"/>
  </w:num>
  <w:num w:numId="32">
    <w:abstractNumId w:val="46"/>
  </w:num>
  <w:num w:numId="33">
    <w:abstractNumId w:val="17"/>
  </w:num>
  <w:num w:numId="34">
    <w:abstractNumId w:val="41"/>
  </w:num>
  <w:num w:numId="35">
    <w:abstractNumId w:val="33"/>
  </w:num>
  <w:num w:numId="36">
    <w:abstractNumId w:val="36"/>
  </w:num>
  <w:num w:numId="37">
    <w:abstractNumId w:val="8"/>
  </w:num>
  <w:num w:numId="38">
    <w:abstractNumId w:val="26"/>
  </w:num>
  <w:num w:numId="39">
    <w:abstractNumId w:val="25"/>
  </w:num>
  <w:num w:numId="40">
    <w:abstractNumId w:val="21"/>
  </w:num>
  <w:num w:numId="41">
    <w:abstractNumId w:val="34"/>
  </w:num>
  <w:num w:numId="42">
    <w:abstractNumId w:val="31"/>
  </w:num>
  <w:num w:numId="43">
    <w:abstractNumId w:val="32"/>
  </w:num>
  <w:num w:numId="44">
    <w:abstractNumId w:val="40"/>
  </w:num>
  <w:num w:numId="45">
    <w:abstractNumId w:val="12"/>
  </w:num>
  <w:num w:numId="46">
    <w:abstractNumId w:val="5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3935"/>
    <w:rsid w:val="00016492"/>
    <w:rsid w:val="0002146B"/>
    <w:rsid w:val="00026C82"/>
    <w:rsid w:val="0004698A"/>
    <w:rsid w:val="00063BFD"/>
    <w:rsid w:val="00086691"/>
    <w:rsid w:val="00086AD6"/>
    <w:rsid w:val="000949CB"/>
    <w:rsid w:val="000C141A"/>
    <w:rsid w:val="000C1C01"/>
    <w:rsid w:val="000C3368"/>
    <w:rsid w:val="000C3814"/>
    <w:rsid w:val="000E3175"/>
    <w:rsid w:val="000E4881"/>
    <w:rsid w:val="000E5B4E"/>
    <w:rsid w:val="000F54E7"/>
    <w:rsid w:val="00102BFC"/>
    <w:rsid w:val="00104077"/>
    <w:rsid w:val="001213BE"/>
    <w:rsid w:val="00122EAB"/>
    <w:rsid w:val="001251C4"/>
    <w:rsid w:val="00126C86"/>
    <w:rsid w:val="00135230"/>
    <w:rsid w:val="00143A23"/>
    <w:rsid w:val="0015674B"/>
    <w:rsid w:val="00157448"/>
    <w:rsid w:val="00164424"/>
    <w:rsid w:val="00181844"/>
    <w:rsid w:val="00184E1A"/>
    <w:rsid w:val="00185DE2"/>
    <w:rsid w:val="0018749C"/>
    <w:rsid w:val="001A7B19"/>
    <w:rsid w:val="001B0B3F"/>
    <w:rsid w:val="001C0319"/>
    <w:rsid w:val="001C351D"/>
    <w:rsid w:val="001C6970"/>
    <w:rsid w:val="001D0547"/>
    <w:rsid w:val="001D4769"/>
    <w:rsid w:val="001D5E05"/>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E1673"/>
    <w:rsid w:val="002E7EFC"/>
    <w:rsid w:val="002F2549"/>
    <w:rsid w:val="002F64DF"/>
    <w:rsid w:val="002F7AEB"/>
    <w:rsid w:val="00304E7F"/>
    <w:rsid w:val="00306CBA"/>
    <w:rsid w:val="00307CC0"/>
    <w:rsid w:val="00322500"/>
    <w:rsid w:val="0033633A"/>
    <w:rsid w:val="0035041C"/>
    <w:rsid w:val="00351035"/>
    <w:rsid w:val="0035331C"/>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33E0F"/>
    <w:rsid w:val="004455A7"/>
    <w:rsid w:val="00451758"/>
    <w:rsid w:val="00456B6B"/>
    <w:rsid w:val="00462DB3"/>
    <w:rsid w:val="00466D77"/>
    <w:rsid w:val="00467979"/>
    <w:rsid w:val="00475FC8"/>
    <w:rsid w:val="00480708"/>
    <w:rsid w:val="004907E5"/>
    <w:rsid w:val="004A2DD7"/>
    <w:rsid w:val="004A460D"/>
    <w:rsid w:val="004A6A50"/>
    <w:rsid w:val="004B0978"/>
    <w:rsid w:val="004B534D"/>
    <w:rsid w:val="004C7E27"/>
    <w:rsid w:val="004D7D40"/>
    <w:rsid w:val="004F1A9B"/>
    <w:rsid w:val="005013B3"/>
    <w:rsid w:val="00505FD8"/>
    <w:rsid w:val="00506E38"/>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7317"/>
    <w:rsid w:val="005C69CC"/>
    <w:rsid w:val="005D3801"/>
    <w:rsid w:val="005D502E"/>
    <w:rsid w:val="005E006C"/>
    <w:rsid w:val="005E32AE"/>
    <w:rsid w:val="005F0BBF"/>
    <w:rsid w:val="005F6958"/>
    <w:rsid w:val="00610AFF"/>
    <w:rsid w:val="00610EE2"/>
    <w:rsid w:val="0064063D"/>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20BF"/>
    <w:rsid w:val="0077373E"/>
    <w:rsid w:val="00773ACE"/>
    <w:rsid w:val="007741F3"/>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04B"/>
    <w:rsid w:val="0082311D"/>
    <w:rsid w:val="00840293"/>
    <w:rsid w:val="008410D5"/>
    <w:rsid w:val="008433CF"/>
    <w:rsid w:val="00846677"/>
    <w:rsid w:val="008645CD"/>
    <w:rsid w:val="0087108A"/>
    <w:rsid w:val="00872CD7"/>
    <w:rsid w:val="00886A1C"/>
    <w:rsid w:val="008A3BC9"/>
    <w:rsid w:val="008A3BE3"/>
    <w:rsid w:val="008B00A2"/>
    <w:rsid w:val="008B2BD7"/>
    <w:rsid w:val="008B7C35"/>
    <w:rsid w:val="008C5DD9"/>
    <w:rsid w:val="008D2825"/>
    <w:rsid w:val="008D74B1"/>
    <w:rsid w:val="008E5070"/>
    <w:rsid w:val="008E7403"/>
    <w:rsid w:val="008F1C0C"/>
    <w:rsid w:val="00900A09"/>
    <w:rsid w:val="009074D9"/>
    <w:rsid w:val="00915450"/>
    <w:rsid w:val="0091711E"/>
    <w:rsid w:val="0091728E"/>
    <w:rsid w:val="0092029B"/>
    <w:rsid w:val="00925CAA"/>
    <w:rsid w:val="00925F83"/>
    <w:rsid w:val="00933996"/>
    <w:rsid w:val="009342B3"/>
    <w:rsid w:val="00951F3D"/>
    <w:rsid w:val="00956416"/>
    <w:rsid w:val="009572B6"/>
    <w:rsid w:val="009647C8"/>
    <w:rsid w:val="00967F9A"/>
    <w:rsid w:val="0098017E"/>
    <w:rsid w:val="00980547"/>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A5A6B"/>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71063"/>
    <w:rsid w:val="00B82136"/>
    <w:rsid w:val="00B96F20"/>
    <w:rsid w:val="00BA277B"/>
    <w:rsid w:val="00BA7830"/>
    <w:rsid w:val="00BC0888"/>
    <w:rsid w:val="00BC2A9C"/>
    <w:rsid w:val="00BC60A9"/>
    <w:rsid w:val="00BD45AA"/>
    <w:rsid w:val="00BE09D0"/>
    <w:rsid w:val="00BE1393"/>
    <w:rsid w:val="00C01977"/>
    <w:rsid w:val="00C16FF3"/>
    <w:rsid w:val="00C252AE"/>
    <w:rsid w:val="00C3191D"/>
    <w:rsid w:val="00C41C46"/>
    <w:rsid w:val="00C71D9D"/>
    <w:rsid w:val="00C81316"/>
    <w:rsid w:val="00C850E0"/>
    <w:rsid w:val="00CA4310"/>
    <w:rsid w:val="00CB307B"/>
    <w:rsid w:val="00CB4E50"/>
    <w:rsid w:val="00CB72F7"/>
    <w:rsid w:val="00CB793A"/>
    <w:rsid w:val="00CD4CC5"/>
    <w:rsid w:val="00CE2166"/>
    <w:rsid w:val="00D000C1"/>
    <w:rsid w:val="00D06C25"/>
    <w:rsid w:val="00D25E99"/>
    <w:rsid w:val="00D31E02"/>
    <w:rsid w:val="00D355EE"/>
    <w:rsid w:val="00D40B9E"/>
    <w:rsid w:val="00D456E5"/>
    <w:rsid w:val="00D57AA5"/>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6C19"/>
    <w:rsid w:val="00E3726E"/>
    <w:rsid w:val="00E46801"/>
    <w:rsid w:val="00E47A3E"/>
    <w:rsid w:val="00E500D1"/>
    <w:rsid w:val="00E5224A"/>
    <w:rsid w:val="00E54015"/>
    <w:rsid w:val="00E557E9"/>
    <w:rsid w:val="00E7585E"/>
    <w:rsid w:val="00E85B88"/>
    <w:rsid w:val="00E97E50"/>
    <w:rsid w:val="00EA07C3"/>
    <w:rsid w:val="00EB2189"/>
    <w:rsid w:val="00EC1C00"/>
    <w:rsid w:val="00EC708F"/>
    <w:rsid w:val="00ED03A1"/>
    <w:rsid w:val="00ED45BB"/>
    <w:rsid w:val="00EE7442"/>
    <w:rsid w:val="00EF0311"/>
    <w:rsid w:val="00EF03B9"/>
    <w:rsid w:val="00EF17FB"/>
    <w:rsid w:val="00EF637C"/>
    <w:rsid w:val="00F006B6"/>
    <w:rsid w:val="00F00827"/>
    <w:rsid w:val="00F031EB"/>
    <w:rsid w:val="00F13091"/>
    <w:rsid w:val="00F15703"/>
    <w:rsid w:val="00F23661"/>
    <w:rsid w:val="00F2435D"/>
    <w:rsid w:val="00F2502B"/>
    <w:rsid w:val="00F25823"/>
    <w:rsid w:val="00F26F35"/>
    <w:rsid w:val="00F31235"/>
    <w:rsid w:val="00F355BA"/>
    <w:rsid w:val="00F42424"/>
    <w:rsid w:val="00F42854"/>
    <w:rsid w:val="00F52F0F"/>
    <w:rsid w:val="00F57633"/>
    <w:rsid w:val="00F67E0A"/>
    <w:rsid w:val="00F731E9"/>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39,#4d4d4d,maroon"/>
    </o:shapedefaults>
    <o:shapelayout v:ext="edit">
      <o:idmap v:ext="edit" data="1"/>
    </o:shapelayout>
  </w:shapeDefaults>
  <w:decimalSymbol w:val="."/>
  <w:listSeparator w:val=","/>
  <w14:docId w14:val="1186D76A"/>
  <w15:docId w15:val="{EEFABA64-78EA-41A2-8889-2AD0319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46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uiPriority w:val="3"/>
    <w:qFormat/>
    <w:rsid w:val="0091728E"/>
    <w:pPr>
      <w:keepNext/>
      <w:spacing w:before="200" w:after="120" w:line="240" w:lineRule="auto"/>
      <w:outlineLvl w:val="0"/>
    </w:pPr>
    <w:rPr>
      <w:color w:val="4D4D4D"/>
      <w:sz w:val="34"/>
    </w:rPr>
  </w:style>
  <w:style w:type="paragraph" w:styleId="Heading2">
    <w:name w:val="heading 2"/>
    <w:basedOn w:val="Normal"/>
    <w:next w:val="Normal"/>
    <w:uiPriority w:val="3"/>
    <w:qFormat/>
    <w:rsid w:val="0091728E"/>
    <w:pPr>
      <w:keepNext/>
      <w:spacing w:before="120" w:after="120" w:line="240" w:lineRule="auto"/>
      <w:outlineLvl w:val="1"/>
    </w:pPr>
    <w:rPr>
      <w:b/>
      <w:color w:val="4D4D4D"/>
      <w:sz w:val="28"/>
    </w:rPr>
  </w:style>
  <w:style w:type="paragraph" w:styleId="Heading3">
    <w:name w:val="heading 3"/>
    <w:basedOn w:val="Heading2"/>
    <w:next w:val="Normal"/>
    <w:uiPriority w:val="3"/>
    <w:qFormat/>
    <w:rsid w:val="0091728E"/>
    <w:pPr>
      <w:outlineLvl w:val="2"/>
    </w:pPr>
    <w:rPr>
      <w:sz w:val="24"/>
    </w:rPr>
  </w:style>
  <w:style w:type="paragraph" w:styleId="Heading4">
    <w:name w:val="heading 4"/>
    <w:basedOn w:val="Heading3"/>
    <w:next w:val="Normal"/>
    <w:uiPriority w:val="3"/>
    <w:semiHidden/>
    <w:qFormat/>
    <w:rsid w:val="0091728E"/>
    <w:pPr>
      <w:numPr>
        <w:ilvl w:val="3"/>
      </w:numPr>
      <w:spacing w:before="160" w:line="280" w:lineRule="atLeast"/>
      <w:outlineLvl w:val="3"/>
    </w:pPr>
    <w:rPr>
      <w:sz w:val="22"/>
    </w:rPr>
  </w:style>
  <w:style w:type="paragraph" w:styleId="Heading5">
    <w:name w:val="heading 5"/>
    <w:basedOn w:val="Heading4"/>
    <w:next w:val="Normal"/>
    <w:uiPriority w:val="3"/>
    <w:semiHidden/>
    <w:qFormat/>
    <w:rsid w:val="0091728E"/>
    <w:pPr>
      <w:numPr>
        <w:ilvl w:val="4"/>
      </w:numPr>
      <w:outlineLvl w:val="4"/>
    </w:pPr>
    <w:rPr>
      <w:b w:val="0"/>
      <w:bCs/>
      <w:color w:val="404040"/>
    </w:rPr>
  </w:style>
  <w:style w:type="paragraph" w:styleId="Heading6">
    <w:name w:val="heading 6"/>
    <w:basedOn w:val="Heading5"/>
    <w:next w:val="Normal"/>
    <w:uiPriority w:val="3"/>
    <w:semiHidden/>
    <w:qFormat/>
    <w:rsid w:val="0091728E"/>
    <w:pPr>
      <w:numPr>
        <w:ilvl w:val="5"/>
      </w:numPr>
      <w:outlineLvl w:val="5"/>
    </w:pPr>
    <w:rPr>
      <w:iCs/>
    </w:rPr>
  </w:style>
  <w:style w:type="paragraph" w:styleId="Heading7">
    <w:name w:val="heading 7"/>
    <w:basedOn w:val="Heading6"/>
    <w:next w:val="Normal"/>
    <w:uiPriority w:val="3"/>
    <w:semiHidden/>
    <w:qFormat/>
    <w:rsid w:val="0091728E"/>
    <w:pPr>
      <w:numPr>
        <w:ilvl w:val="6"/>
      </w:numPr>
      <w:outlineLvl w:val="6"/>
    </w:pPr>
    <w:rPr>
      <w:i/>
    </w:rPr>
  </w:style>
  <w:style w:type="paragraph" w:styleId="Heading8">
    <w:name w:val="heading 8"/>
    <w:basedOn w:val="Heading7"/>
    <w:next w:val="Normal"/>
    <w:uiPriority w:val="3"/>
    <w:semiHidden/>
    <w:qFormat/>
    <w:rsid w:val="0091728E"/>
    <w:pPr>
      <w:numPr>
        <w:ilvl w:val="7"/>
      </w:numPr>
      <w:outlineLvl w:val="7"/>
    </w:pPr>
    <w:rPr>
      <w:b/>
    </w:rPr>
  </w:style>
  <w:style w:type="paragraph" w:styleId="Heading9">
    <w:name w:val="heading 9"/>
    <w:basedOn w:val="Heading8"/>
    <w:next w:val="Normal"/>
    <w:uiPriority w:val="3"/>
    <w:semiHidden/>
    <w:qFormat/>
    <w:rsid w:val="0091728E"/>
    <w:pPr>
      <w:numPr>
        <w:ilvl w:val="8"/>
      </w:numPr>
      <w:outlineLvl w:val="8"/>
    </w:pPr>
  </w:style>
  <w:style w:type="character" w:default="1" w:styleId="DefaultParagraphFont">
    <w:name w:val="Default Paragraph Font"/>
    <w:uiPriority w:val="1"/>
    <w:semiHidden/>
    <w:unhideWhenUsed/>
    <w:rsid w:val="000214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46B"/>
  </w:style>
  <w:style w:type="paragraph" w:styleId="BodyText">
    <w:name w:val="Body Text"/>
    <w:basedOn w:val="Normal"/>
    <w:semiHidden/>
    <w:rsid w:val="0091728E"/>
    <w:pPr>
      <w:spacing w:after="120"/>
    </w:pPr>
  </w:style>
  <w:style w:type="paragraph" w:customStyle="1" w:styleId="Bullet1">
    <w:name w:val="Bullet 1"/>
    <w:basedOn w:val="Normal"/>
    <w:uiPriority w:val="11"/>
    <w:qFormat/>
    <w:rsid w:val="0091728E"/>
    <w:pPr>
      <w:numPr>
        <w:numId w:val="16"/>
      </w:numPr>
      <w:spacing w:after="0"/>
    </w:pPr>
  </w:style>
  <w:style w:type="character" w:styleId="CommentReference">
    <w:name w:val="annotation reference"/>
    <w:uiPriority w:val="99"/>
    <w:semiHidden/>
    <w:rsid w:val="0091728E"/>
    <w:rPr>
      <w:rFonts w:ascii="Calibri" w:hAnsi="Calibri"/>
      <w:sz w:val="16"/>
    </w:rPr>
  </w:style>
  <w:style w:type="paragraph" w:styleId="CommentText">
    <w:name w:val="annotation text"/>
    <w:basedOn w:val="Normal"/>
    <w:link w:val="CommentTextChar"/>
    <w:uiPriority w:val="99"/>
    <w:rsid w:val="0091728E"/>
  </w:style>
  <w:style w:type="character" w:styleId="EndnoteReference">
    <w:name w:val="endnote reference"/>
    <w:uiPriority w:val="49"/>
    <w:semiHidden/>
    <w:rsid w:val="0091728E"/>
    <w:rPr>
      <w:vertAlign w:val="superscript"/>
    </w:rPr>
  </w:style>
  <w:style w:type="paragraph" w:styleId="EndnoteText">
    <w:name w:val="endnote text"/>
    <w:basedOn w:val="Normal"/>
    <w:uiPriority w:val="49"/>
    <w:semiHidden/>
    <w:rsid w:val="0091728E"/>
  </w:style>
  <w:style w:type="paragraph" w:styleId="Footer">
    <w:name w:val="footer"/>
    <w:link w:val="FooterChar"/>
    <w:uiPriority w:val="99"/>
    <w:rsid w:val="0091728E"/>
    <w:pPr>
      <w:tabs>
        <w:tab w:val="right" w:pos="8220"/>
      </w:tabs>
      <w:jc w:val="right"/>
    </w:pPr>
    <w:rPr>
      <w:rFonts w:ascii="Calibri" w:hAnsi="Calibri" w:cs="Calibri"/>
      <w:noProof/>
      <w:szCs w:val="22"/>
    </w:rPr>
  </w:style>
  <w:style w:type="character" w:styleId="FootnoteReference">
    <w:name w:val="footnote reference"/>
    <w:uiPriority w:val="49"/>
    <w:semiHidden/>
    <w:rsid w:val="0091728E"/>
    <w:rPr>
      <w:vertAlign w:val="superscript"/>
    </w:rPr>
  </w:style>
  <w:style w:type="paragraph" w:styleId="FootnoteText">
    <w:name w:val="footnote text"/>
    <w:basedOn w:val="Normal"/>
    <w:uiPriority w:val="49"/>
    <w:semiHidden/>
    <w:rsid w:val="0091728E"/>
  </w:style>
  <w:style w:type="character" w:styleId="Hyperlink">
    <w:name w:val="Hyperlink"/>
    <w:uiPriority w:val="99"/>
    <w:semiHidden/>
    <w:rsid w:val="0091728E"/>
    <w:rPr>
      <w:color w:val="660B68"/>
      <w:u w:val="none"/>
    </w:rPr>
  </w:style>
  <w:style w:type="character" w:styleId="LineNumber">
    <w:name w:val="line number"/>
    <w:basedOn w:val="DefaultParagraphFont"/>
    <w:uiPriority w:val="49"/>
    <w:semiHidden/>
    <w:rsid w:val="0091728E"/>
  </w:style>
  <w:style w:type="paragraph" w:styleId="MacroText">
    <w:name w:val="macro"/>
    <w:uiPriority w:val="49"/>
    <w:semiHidden/>
    <w:rsid w:val="0091728E"/>
    <w:rPr>
      <w:rFonts w:ascii="Calibri" w:hAnsi="Calibri" w:cs="Calibri"/>
      <w:sz w:val="22"/>
      <w:szCs w:val="22"/>
    </w:rPr>
  </w:style>
  <w:style w:type="character" w:styleId="PageNumber">
    <w:name w:val="page number"/>
    <w:uiPriority w:val="49"/>
    <w:semiHidden/>
    <w:rsid w:val="0091728E"/>
    <w:rPr>
      <w:b/>
      <w:color w:val="4C4C4C"/>
      <w:sz w:val="28"/>
    </w:rPr>
  </w:style>
  <w:style w:type="paragraph" w:customStyle="1" w:styleId="NormalIndentItalics">
    <w:name w:val="Normal Indent Italics"/>
    <w:basedOn w:val="NormalIndent"/>
    <w:uiPriority w:val="13"/>
    <w:semiHidden/>
    <w:qFormat/>
    <w:rsid w:val="0091728E"/>
    <w:rPr>
      <w:i/>
    </w:rPr>
  </w:style>
  <w:style w:type="paragraph" w:styleId="TableofAuthorities">
    <w:name w:val="table of authorities"/>
    <w:basedOn w:val="Normal"/>
    <w:next w:val="Normal"/>
    <w:uiPriority w:val="39"/>
    <w:semiHidden/>
    <w:rsid w:val="0091728E"/>
    <w:pPr>
      <w:tabs>
        <w:tab w:val="right" w:pos="9072"/>
      </w:tabs>
      <w:ind w:left="200" w:hanging="200"/>
    </w:pPr>
  </w:style>
  <w:style w:type="table" w:styleId="TableGrid">
    <w:name w:val="Table Grid"/>
    <w:basedOn w:val="TableNormal"/>
    <w:semiHidden/>
    <w:rsid w:val="0091728E"/>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1728E"/>
    <w:pPr>
      <w:spacing w:after="120" w:line="240" w:lineRule="auto"/>
    </w:pPr>
    <w:rPr>
      <w:b/>
      <w:color w:val="660B68"/>
      <w:sz w:val="40"/>
    </w:rPr>
  </w:style>
  <w:style w:type="paragraph" w:styleId="TOC1">
    <w:name w:val="toc 1"/>
    <w:basedOn w:val="Normal"/>
    <w:next w:val="Normal"/>
    <w:uiPriority w:val="39"/>
    <w:semiHidden/>
    <w:rsid w:val="0091728E"/>
    <w:pPr>
      <w:tabs>
        <w:tab w:val="right" w:leader="dot" w:pos="9639"/>
      </w:tabs>
      <w:spacing w:line="240" w:lineRule="auto"/>
      <w:ind w:left="792" w:right="734" w:hanging="792"/>
    </w:pPr>
    <w:rPr>
      <w:color w:val="4C4C4C"/>
      <w:sz w:val="24"/>
      <w:szCs w:val="28"/>
    </w:rPr>
  </w:style>
  <w:style w:type="paragraph" w:styleId="TOC2">
    <w:name w:val="toc 2"/>
    <w:next w:val="Normal"/>
    <w:uiPriority w:val="39"/>
    <w:semiHidden/>
    <w:rsid w:val="0091728E"/>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91728E"/>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91728E"/>
    <w:pPr>
      <w:tabs>
        <w:tab w:val="left" w:pos="1701"/>
      </w:tabs>
      <w:spacing w:before="0"/>
      <w:ind w:left="0" w:right="-7" w:firstLine="0"/>
    </w:pPr>
    <w:rPr>
      <w:caps/>
      <w:color w:val="800000"/>
    </w:rPr>
  </w:style>
  <w:style w:type="paragraph" w:styleId="Date">
    <w:name w:val="Date"/>
    <w:basedOn w:val="Normal"/>
    <w:next w:val="Normal"/>
    <w:uiPriority w:val="49"/>
    <w:semiHidden/>
    <w:rsid w:val="0091728E"/>
    <w:pPr>
      <w:ind w:left="1411"/>
    </w:pPr>
  </w:style>
  <w:style w:type="paragraph" w:customStyle="1" w:styleId="Quotation">
    <w:name w:val="Quotation"/>
    <w:basedOn w:val="Normal"/>
    <w:next w:val="Normal"/>
    <w:uiPriority w:val="49"/>
    <w:semiHidden/>
    <w:rsid w:val="0091728E"/>
    <w:pPr>
      <w:keepLines/>
      <w:spacing w:before="40"/>
      <w:jc w:val="center"/>
    </w:pPr>
    <w:rPr>
      <w:i/>
      <w:iCs/>
      <w:color w:val="003399"/>
      <w:sz w:val="18"/>
    </w:rPr>
  </w:style>
  <w:style w:type="paragraph" w:styleId="TOC6">
    <w:name w:val="toc 6"/>
    <w:basedOn w:val="Normal"/>
    <w:next w:val="Normal"/>
    <w:autoRedefine/>
    <w:uiPriority w:val="49"/>
    <w:semiHidden/>
    <w:rsid w:val="0091728E"/>
    <w:pPr>
      <w:spacing w:before="40" w:after="20"/>
      <w:ind w:left="1418" w:hanging="1418"/>
    </w:pPr>
    <w:rPr>
      <w:b/>
      <w:sz w:val="16"/>
    </w:rPr>
  </w:style>
  <w:style w:type="paragraph" w:styleId="TOC7">
    <w:name w:val="toc 7"/>
    <w:basedOn w:val="Normal"/>
    <w:next w:val="Normal"/>
    <w:autoRedefine/>
    <w:uiPriority w:val="49"/>
    <w:semiHidden/>
    <w:rsid w:val="0091728E"/>
    <w:pPr>
      <w:ind w:left="1440"/>
    </w:pPr>
  </w:style>
  <w:style w:type="paragraph" w:styleId="TOC8">
    <w:name w:val="toc 8"/>
    <w:basedOn w:val="Normal"/>
    <w:next w:val="Normal"/>
    <w:autoRedefine/>
    <w:uiPriority w:val="49"/>
    <w:semiHidden/>
    <w:rsid w:val="0091728E"/>
    <w:pPr>
      <w:ind w:left="1680"/>
    </w:pPr>
  </w:style>
  <w:style w:type="paragraph" w:styleId="TOC9">
    <w:name w:val="toc 9"/>
    <w:basedOn w:val="Normal"/>
    <w:next w:val="Normal"/>
    <w:autoRedefine/>
    <w:uiPriority w:val="49"/>
    <w:semiHidden/>
    <w:rsid w:val="0091728E"/>
    <w:pPr>
      <w:ind w:left="2835" w:right="2835"/>
    </w:pPr>
  </w:style>
  <w:style w:type="numbering" w:styleId="111111">
    <w:name w:val="Outline List 2"/>
    <w:basedOn w:val="NoList"/>
    <w:uiPriority w:val="99"/>
    <w:semiHidden/>
    <w:unhideWhenUsed/>
    <w:rsid w:val="0091728E"/>
    <w:pPr>
      <w:numPr>
        <w:numId w:val="13"/>
      </w:numPr>
    </w:pPr>
  </w:style>
  <w:style w:type="paragraph" w:styleId="BodyText2">
    <w:name w:val="Body Text 2"/>
    <w:basedOn w:val="Normal"/>
    <w:semiHidden/>
    <w:rsid w:val="0091728E"/>
    <w:pPr>
      <w:spacing w:after="120" w:line="480" w:lineRule="auto"/>
    </w:pPr>
  </w:style>
  <w:style w:type="numbering" w:styleId="1ai">
    <w:name w:val="Outline List 1"/>
    <w:basedOn w:val="NoList"/>
    <w:uiPriority w:val="99"/>
    <w:semiHidden/>
    <w:unhideWhenUsed/>
    <w:rsid w:val="0091728E"/>
    <w:pPr>
      <w:numPr>
        <w:numId w:val="14"/>
      </w:numPr>
    </w:pPr>
  </w:style>
  <w:style w:type="paragraph" w:customStyle="1" w:styleId="ListBulletBold">
    <w:name w:val="List Bullet Bold"/>
    <w:basedOn w:val="Normal"/>
    <w:next w:val="Normal"/>
    <w:uiPriority w:val="49"/>
    <w:semiHidden/>
    <w:rsid w:val="0091728E"/>
    <w:rPr>
      <w:b/>
    </w:rPr>
  </w:style>
  <w:style w:type="paragraph" w:styleId="BalloonText">
    <w:name w:val="Balloon Text"/>
    <w:basedOn w:val="Normal"/>
    <w:uiPriority w:val="49"/>
    <w:semiHidden/>
    <w:rsid w:val="0091728E"/>
    <w:rPr>
      <w:sz w:val="16"/>
      <w:szCs w:val="16"/>
    </w:rPr>
  </w:style>
  <w:style w:type="paragraph" w:styleId="BlockText">
    <w:name w:val="Block Text"/>
    <w:basedOn w:val="Normal"/>
    <w:uiPriority w:val="49"/>
    <w:semiHidden/>
    <w:rsid w:val="0091728E"/>
    <w:pPr>
      <w:spacing w:after="120"/>
      <w:ind w:left="1440" w:right="1440"/>
    </w:pPr>
  </w:style>
  <w:style w:type="paragraph" w:styleId="BodyText3">
    <w:name w:val="Body Text 3"/>
    <w:basedOn w:val="Normal"/>
    <w:semiHidden/>
    <w:rsid w:val="0091728E"/>
    <w:pPr>
      <w:spacing w:after="120"/>
    </w:pPr>
    <w:rPr>
      <w:sz w:val="16"/>
      <w:szCs w:val="16"/>
    </w:rPr>
  </w:style>
  <w:style w:type="paragraph" w:styleId="BodyTextFirstIndent">
    <w:name w:val="Body Text First Indent"/>
    <w:basedOn w:val="BodyText"/>
    <w:semiHidden/>
    <w:rsid w:val="0091728E"/>
    <w:pPr>
      <w:ind w:firstLine="210"/>
    </w:pPr>
  </w:style>
  <w:style w:type="paragraph" w:styleId="BodyTextIndent">
    <w:name w:val="Body Text Indent"/>
    <w:basedOn w:val="Normal"/>
    <w:semiHidden/>
    <w:rsid w:val="0091728E"/>
    <w:pPr>
      <w:spacing w:after="120"/>
      <w:ind w:left="283"/>
    </w:pPr>
  </w:style>
  <w:style w:type="paragraph" w:styleId="BodyTextFirstIndent2">
    <w:name w:val="Body Text First Indent 2"/>
    <w:basedOn w:val="BodyTextIndent"/>
    <w:semiHidden/>
    <w:rsid w:val="0091728E"/>
    <w:pPr>
      <w:ind w:firstLine="210"/>
    </w:pPr>
  </w:style>
  <w:style w:type="paragraph" w:styleId="BodyTextIndent2">
    <w:name w:val="Body Text Indent 2"/>
    <w:basedOn w:val="Normal"/>
    <w:semiHidden/>
    <w:rsid w:val="0091728E"/>
    <w:pPr>
      <w:spacing w:after="120" w:line="480" w:lineRule="auto"/>
      <w:ind w:left="283"/>
    </w:pPr>
  </w:style>
  <w:style w:type="paragraph" w:styleId="BodyTextIndent3">
    <w:name w:val="Body Text Indent 3"/>
    <w:basedOn w:val="Normal"/>
    <w:semiHidden/>
    <w:rsid w:val="0091728E"/>
    <w:pPr>
      <w:spacing w:after="120"/>
      <w:ind w:left="283"/>
    </w:pPr>
    <w:rPr>
      <w:sz w:val="16"/>
      <w:szCs w:val="16"/>
    </w:rPr>
  </w:style>
  <w:style w:type="paragraph" w:styleId="NoteHeading">
    <w:name w:val="Note Heading"/>
    <w:basedOn w:val="Normal"/>
    <w:next w:val="Normal"/>
    <w:semiHidden/>
    <w:rsid w:val="0091728E"/>
  </w:style>
  <w:style w:type="paragraph" w:styleId="Closing">
    <w:name w:val="Closing"/>
    <w:basedOn w:val="Normal"/>
    <w:uiPriority w:val="49"/>
    <w:semiHidden/>
    <w:rsid w:val="0091728E"/>
    <w:pPr>
      <w:ind w:left="4252"/>
    </w:pPr>
  </w:style>
  <w:style w:type="paragraph" w:styleId="CommentSubject">
    <w:name w:val="annotation subject"/>
    <w:basedOn w:val="CommentText"/>
    <w:next w:val="CommentText"/>
    <w:uiPriority w:val="49"/>
    <w:semiHidden/>
    <w:rsid w:val="0091728E"/>
    <w:rPr>
      <w:b/>
      <w:bCs/>
    </w:rPr>
  </w:style>
  <w:style w:type="paragraph" w:styleId="DocumentMap">
    <w:name w:val="Document Map"/>
    <w:basedOn w:val="Normal"/>
    <w:uiPriority w:val="49"/>
    <w:semiHidden/>
    <w:rsid w:val="0091728E"/>
    <w:pPr>
      <w:shd w:val="clear" w:color="auto" w:fill="000080"/>
    </w:pPr>
  </w:style>
  <w:style w:type="paragraph" w:styleId="E-mailSignature">
    <w:name w:val="E-mail Signature"/>
    <w:basedOn w:val="Normal"/>
    <w:uiPriority w:val="49"/>
    <w:semiHidden/>
    <w:rsid w:val="0091728E"/>
  </w:style>
  <w:style w:type="paragraph" w:styleId="EnvelopeAddress">
    <w:name w:val="envelope address"/>
    <w:basedOn w:val="Normal"/>
    <w:uiPriority w:val="49"/>
    <w:semiHidden/>
    <w:rsid w:val="0091728E"/>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1728E"/>
  </w:style>
  <w:style w:type="paragraph" w:styleId="HTMLAddress">
    <w:name w:val="HTML Address"/>
    <w:basedOn w:val="Normal"/>
    <w:uiPriority w:val="49"/>
    <w:semiHidden/>
    <w:rsid w:val="0091728E"/>
    <w:rPr>
      <w:i/>
      <w:iCs/>
    </w:rPr>
  </w:style>
  <w:style w:type="paragraph" w:styleId="HTMLPreformatted">
    <w:name w:val="HTML Preformatted"/>
    <w:basedOn w:val="Normal"/>
    <w:uiPriority w:val="49"/>
    <w:semiHidden/>
    <w:rsid w:val="0091728E"/>
  </w:style>
  <w:style w:type="paragraph" w:styleId="Index1">
    <w:name w:val="index 1"/>
    <w:basedOn w:val="Normal"/>
    <w:next w:val="Normal"/>
    <w:autoRedefine/>
    <w:uiPriority w:val="49"/>
    <w:semiHidden/>
    <w:rsid w:val="0091728E"/>
    <w:pPr>
      <w:ind w:left="200" w:hanging="200"/>
    </w:pPr>
  </w:style>
  <w:style w:type="paragraph" w:styleId="Index2">
    <w:name w:val="index 2"/>
    <w:basedOn w:val="Normal"/>
    <w:next w:val="Normal"/>
    <w:autoRedefine/>
    <w:uiPriority w:val="49"/>
    <w:semiHidden/>
    <w:rsid w:val="0091728E"/>
    <w:pPr>
      <w:ind w:left="400" w:hanging="200"/>
    </w:pPr>
  </w:style>
  <w:style w:type="paragraph" w:styleId="Index3">
    <w:name w:val="index 3"/>
    <w:basedOn w:val="Normal"/>
    <w:next w:val="Normal"/>
    <w:autoRedefine/>
    <w:uiPriority w:val="49"/>
    <w:semiHidden/>
    <w:rsid w:val="0091728E"/>
    <w:pPr>
      <w:ind w:left="600" w:hanging="200"/>
    </w:pPr>
  </w:style>
  <w:style w:type="paragraph" w:styleId="Index4">
    <w:name w:val="index 4"/>
    <w:basedOn w:val="Normal"/>
    <w:next w:val="Normal"/>
    <w:autoRedefine/>
    <w:uiPriority w:val="49"/>
    <w:semiHidden/>
    <w:rsid w:val="0091728E"/>
    <w:pPr>
      <w:ind w:left="800" w:hanging="200"/>
    </w:pPr>
  </w:style>
  <w:style w:type="paragraph" w:styleId="Index5">
    <w:name w:val="index 5"/>
    <w:basedOn w:val="Normal"/>
    <w:next w:val="Normal"/>
    <w:autoRedefine/>
    <w:uiPriority w:val="49"/>
    <w:semiHidden/>
    <w:rsid w:val="0091728E"/>
    <w:pPr>
      <w:ind w:left="1000" w:hanging="200"/>
    </w:pPr>
  </w:style>
  <w:style w:type="paragraph" w:styleId="Index6">
    <w:name w:val="index 6"/>
    <w:basedOn w:val="Normal"/>
    <w:next w:val="Normal"/>
    <w:autoRedefine/>
    <w:uiPriority w:val="49"/>
    <w:semiHidden/>
    <w:rsid w:val="0091728E"/>
    <w:pPr>
      <w:ind w:left="1200" w:hanging="200"/>
    </w:pPr>
  </w:style>
  <w:style w:type="paragraph" w:styleId="Index7">
    <w:name w:val="index 7"/>
    <w:basedOn w:val="Normal"/>
    <w:next w:val="Normal"/>
    <w:autoRedefine/>
    <w:uiPriority w:val="49"/>
    <w:semiHidden/>
    <w:rsid w:val="0091728E"/>
    <w:pPr>
      <w:ind w:left="1400" w:hanging="200"/>
    </w:pPr>
  </w:style>
  <w:style w:type="paragraph" w:styleId="Index8">
    <w:name w:val="index 8"/>
    <w:basedOn w:val="Normal"/>
    <w:next w:val="Normal"/>
    <w:autoRedefine/>
    <w:uiPriority w:val="49"/>
    <w:semiHidden/>
    <w:rsid w:val="0091728E"/>
    <w:pPr>
      <w:ind w:left="1600" w:hanging="200"/>
    </w:pPr>
  </w:style>
  <w:style w:type="paragraph" w:styleId="Index9">
    <w:name w:val="index 9"/>
    <w:basedOn w:val="Normal"/>
    <w:next w:val="Normal"/>
    <w:autoRedefine/>
    <w:uiPriority w:val="49"/>
    <w:semiHidden/>
    <w:rsid w:val="0091728E"/>
    <w:pPr>
      <w:ind w:left="1800" w:hanging="200"/>
    </w:pPr>
  </w:style>
  <w:style w:type="paragraph" w:styleId="IndexHeading">
    <w:name w:val="index heading"/>
    <w:basedOn w:val="Normal"/>
    <w:next w:val="Index1"/>
    <w:uiPriority w:val="49"/>
    <w:semiHidden/>
    <w:rsid w:val="0091728E"/>
    <w:rPr>
      <w:b/>
      <w:bCs/>
    </w:rPr>
  </w:style>
  <w:style w:type="paragraph" w:styleId="List">
    <w:name w:val="List"/>
    <w:basedOn w:val="Normal"/>
    <w:uiPriority w:val="49"/>
    <w:semiHidden/>
    <w:rsid w:val="0091728E"/>
    <w:pPr>
      <w:ind w:left="283" w:hanging="283"/>
    </w:pPr>
  </w:style>
  <w:style w:type="paragraph" w:styleId="List2">
    <w:name w:val="List 2"/>
    <w:basedOn w:val="Normal"/>
    <w:uiPriority w:val="49"/>
    <w:semiHidden/>
    <w:rsid w:val="0091728E"/>
    <w:pPr>
      <w:ind w:left="566" w:hanging="283"/>
    </w:pPr>
  </w:style>
  <w:style w:type="paragraph" w:styleId="List3">
    <w:name w:val="List 3"/>
    <w:basedOn w:val="Normal"/>
    <w:uiPriority w:val="49"/>
    <w:semiHidden/>
    <w:rsid w:val="0091728E"/>
    <w:pPr>
      <w:ind w:left="849" w:hanging="283"/>
    </w:pPr>
  </w:style>
  <w:style w:type="paragraph" w:styleId="List4">
    <w:name w:val="List 4"/>
    <w:basedOn w:val="Normal"/>
    <w:uiPriority w:val="49"/>
    <w:semiHidden/>
    <w:rsid w:val="0091728E"/>
    <w:pPr>
      <w:ind w:left="1132" w:hanging="283"/>
    </w:pPr>
  </w:style>
  <w:style w:type="paragraph" w:styleId="List5">
    <w:name w:val="List 5"/>
    <w:basedOn w:val="Normal"/>
    <w:uiPriority w:val="49"/>
    <w:semiHidden/>
    <w:rsid w:val="0091728E"/>
    <w:pPr>
      <w:ind w:left="1415" w:hanging="283"/>
    </w:pPr>
  </w:style>
  <w:style w:type="paragraph" w:styleId="ListBullet4">
    <w:name w:val="List Bullet 4"/>
    <w:basedOn w:val="Normal"/>
    <w:uiPriority w:val="49"/>
    <w:semiHidden/>
    <w:rsid w:val="0091728E"/>
    <w:pPr>
      <w:tabs>
        <w:tab w:val="num" w:pos="1209"/>
      </w:tabs>
      <w:ind w:left="1209" w:hanging="360"/>
    </w:pPr>
  </w:style>
  <w:style w:type="paragraph" w:styleId="ListBullet5">
    <w:name w:val="List Bullet 5"/>
    <w:basedOn w:val="Normal"/>
    <w:uiPriority w:val="49"/>
    <w:semiHidden/>
    <w:rsid w:val="0091728E"/>
    <w:pPr>
      <w:tabs>
        <w:tab w:val="num" w:pos="1492"/>
      </w:tabs>
      <w:ind w:left="1492" w:hanging="360"/>
    </w:pPr>
  </w:style>
  <w:style w:type="paragraph" w:styleId="ListContinue4">
    <w:name w:val="List Continue 4"/>
    <w:basedOn w:val="Normal"/>
    <w:uiPriority w:val="49"/>
    <w:semiHidden/>
    <w:rsid w:val="0091728E"/>
    <w:pPr>
      <w:spacing w:after="120"/>
      <w:ind w:left="1132"/>
    </w:pPr>
  </w:style>
  <w:style w:type="paragraph" w:styleId="ListContinue5">
    <w:name w:val="List Continue 5"/>
    <w:basedOn w:val="Normal"/>
    <w:uiPriority w:val="49"/>
    <w:semiHidden/>
    <w:rsid w:val="0091728E"/>
    <w:pPr>
      <w:spacing w:after="120"/>
      <w:ind w:left="1415"/>
    </w:pPr>
  </w:style>
  <w:style w:type="paragraph" w:styleId="ListNumber4">
    <w:name w:val="List Number 4"/>
    <w:basedOn w:val="Normal"/>
    <w:uiPriority w:val="49"/>
    <w:semiHidden/>
    <w:rsid w:val="0091728E"/>
    <w:pPr>
      <w:tabs>
        <w:tab w:val="num" w:pos="1209"/>
      </w:tabs>
      <w:ind w:left="1209" w:hanging="360"/>
    </w:pPr>
  </w:style>
  <w:style w:type="paragraph" w:styleId="ListNumber5">
    <w:name w:val="List Number 5"/>
    <w:basedOn w:val="Normal"/>
    <w:uiPriority w:val="49"/>
    <w:semiHidden/>
    <w:rsid w:val="0091728E"/>
    <w:pPr>
      <w:tabs>
        <w:tab w:val="num" w:pos="1492"/>
      </w:tabs>
      <w:ind w:left="1492" w:hanging="360"/>
    </w:pPr>
  </w:style>
  <w:style w:type="paragraph" w:styleId="MessageHeader">
    <w:name w:val="Message Header"/>
    <w:basedOn w:val="Normal"/>
    <w:uiPriority w:val="49"/>
    <w:semiHidden/>
    <w:rsid w:val="0091728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91728E"/>
    <w:rPr>
      <w:sz w:val="24"/>
      <w:szCs w:val="24"/>
    </w:rPr>
  </w:style>
  <w:style w:type="paragraph" w:styleId="PlainText">
    <w:name w:val="Plain Text"/>
    <w:basedOn w:val="Normal"/>
    <w:uiPriority w:val="49"/>
    <w:semiHidden/>
    <w:rsid w:val="0091728E"/>
  </w:style>
  <w:style w:type="paragraph" w:styleId="Salutation">
    <w:name w:val="Salutation"/>
    <w:basedOn w:val="Normal"/>
    <w:next w:val="Normal"/>
    <w:uiPriority w:val="49"/>
    <w:semiHidden/>
    <w:rsid w:val="0091728E"/>
  </w:style>
  <w:style w:type="paragraph" w:styleId="Signature">
    <w:name w:val="Signature"/>
    <w:basedOn w:val="Normal"/>
    <w:uiPriority w:val="49"/>
    <w:semiHidden/>
    <w:rsid w:val="0091728E"/>
    <w:pPr>
      <w:ind w:left="4252"/>
    </w:pPr>
  </w:style>
  <w:style w:type="paragraph" w:styleId="Subtitle">
    <w:name w:val="Subtitle"/>
    <w:basedOn w:val="Normal"/>
    <w:link w:val="SubtitleChar"/>
    <w:uiPriority w:val="29"/>
    <w:qFormat/>
    <w:rsid w:val="0091728E"/>
    <w:pPr>
      <w:spacing w:line="240" w:lineRule="auto"/>
    </w:pPr>
    <w:rPr>
      <w:color w:val="4C4C4C"/>
      <w:sz w:val="30"/>
      <w:szCs w:val="24"/>
    </w:rPr>
  </w:style>
  <w:style w:type="paragraph" w:styleId="TOAHeading">
    <w:name w:val="toa heading"/>
    <w:basedOn w:val="Normal"/>
    <w:next w:val="Normal"/>
    <w:uiPriority w:val="39"/>
    <w:semiHidden/>
    <w:rsid w:val="0091728E"/>
    <w:pPr>
      <w:spacing w:before="120"/>
    </w:pPr>
    <w:rPr>
      <w:b/>
      <w:bCs/>
      <w:sz w:val="24"/>
      <w:szCs w:val="24"/>
    </w:rPr>
  </w:style>
  <w:style w:type="paragraph" w:styleId="TOCHeading">
    <w:name w:val="TOC Heading"/>
    <w:uiPriority w:val="29"/>
    <w:unhideWhenUsed/>
    <w:qFormat/>
    <w:rsid w:val="0091728E"/>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1728E"/>
    <w:pPr>
      <w:numPr>
        <w:numId w:val="17"/>
      </w:numPr>
      <w:spacing w:before="0" w:after="0"/>
    </w:pPr>
  </w:style>
  <w:style w:type="paragraph" w:customStyle="1" w:styleId="QuoteName">
    <w:name w:val="Quote Name"/>
    <w:basedOn w:val="Normal"/>
    <w:uiPriority w:val="49"/>
    <w:semiHidden/>
    <w:rsid w:val="0091728E"/>
    <w:pPr>
      <w:spacing w:after="0" w:line="240" w:lineRule="auto"/>
      <w:ind w:left="902" w:right="822"/>
      <w:jc w:val="right"/>
    </w:pPr>
    <w:rPr>
      <w:caps/>
      <w:color w:val="800000"/>
      <w:sz w:val="16"/>
    </w:rPr>
  </w:style>
  <w:style w:type="paragraph" w:styleId="Header">
    <w:name w:val="header"/>
    <w:basedOn w:val="Normal"/>
    <w:uiPriority w:val="24"/>
    <w:semiHidden/>
    <w:rsid w:val="0091728E"/>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91728E"/>
    <w:pPr>
      <w:keepNext/>
      <w:keepLines/>
      <w:tabs>
        <w:tab w:val="left" w:pos="851"/>
      </w:tabs>
      <w:spacing w:before="240" w:after="120" w:line="240" w:lineRule="auto"/>
    </w:pPr>
    <w:rPr>
      <w:b/>
    </w:rPr>
  </w:style>
  <w:style w:type="paragraph" w:customStyle="1" w:styleId="TableDash">
    <w:name w:val="Table Dash"/>
    <w:basedOn w:val="Normal"/>
    <w:uiPriority w:val="10"/>
    <w:rsid w:val="0091728E"/>
    <w:pPr>
      <w:numPr>
        <w:ilvl w:val="1"/>
        <w:numId w:val="17"/>
      </w:numPr>
      <w:spacing w:after="0"/>
    </w:pPr>
    <w:rPr>
      <w:sz w:val="20"/>
    </w:rPr>
  </w:style>
  <w:style w:type="paragraph" w:styleId="ListBullet">
    <w:name w:val="List Bullet"/>
    <w:basedOn w:val="Normal"/>
    <w:uiPriority w:val="99"/>
    <w:semiHidden/>
    <w:rsid w:val="0091728E"/>
    <w:pPr>
      <w:numPr>
        <w:numId w:val="5"/>
      </w:numPr>
      <w:contextualSpacing/>
    </w:pPr>
  </w:style>
  <w:style w:type="paragraph" w:styleId="ListBullet2">
    <w:name w:val="List Bullet 2"/>
    <w:basedOn w:val="Normal"/>
    <w:uiPriority w:val="99"/>
    <w:semiHidden/>
    <w:rsid w:val="0091728E"/>
    <w:pPr>
      <w:numPr>
        <w:numId w:val="6"/>
      </w:numPr>
      <w:contextualSpacing/>
    </w:pPr>
  </w:style>
  <w:style w:type="paragraph" w:styleId="ListContinue">
    <w:name w:val="List Continue"/>
    <w:basedOn w:val="Normal"/>
    <w:uiPriority w:val="8"/>
    <w:semiHidden/>
    <w:qFormat/>
    <w:rsid w:val="0091728E"/>
    <w:pPr>
      <w:spacing w:after="0"/>
      <w:ind w:left="1077"/>
    </w:pPr>
  </w:style>
  <w:style w:type="paragraph" w:styleId="ListContinue2">
    <w:name w:val="List Continue 2"/>
    <w:basedOn w:val="Normal"/>
    <w:uiPriority w:val="8"/>
    <w:semiHidden/>
    <w:rsid w:val="0091728E"/>
    <w:pPr>
      <w:spacing w:after="0"/>
      <w:ind w:left="1361"/>
    </w:pPr>
  </w:style>
  <w:style w:type="paragraph" w:customStyle="1" w:styleId="Spacer">
    <w:name w:val="Spacer"/>
    <w:basedOn w:val="Normal"/>
    <w:uiPriority w:val="13"/>
    <w:qFormat/>
    <w:rsid w:val="0091728E"/>
    <w:pPr>
      <w:spacing w:after="0" w:line="120" w:lineRule="atLeast"/>
    </w:pPr>
    <w:rPr>
      <w:sz w:val="12"/>
    </w:rPr>
  </w:style>
  <w:style w:type="paragraph" w:customStyle="1" w:styleId="Pictwide">
    <w:name w:val="Pict wide"/>
    <w:basedOn w:val="Normal"/>
    <w:next w:val="Normal"/>
    <w:uiPriority w:val="13"/>
    <w:semiHidden/>
    <w:qFormat/>
    <w:rsid w:val="0091728E"/>
    <w:pPr>
      <w:widowControl w:val="0"/>
      <w:spacing w:before="160" w:after="320" w:line="240" w:lineRule="auto"/>
    </w:pPr>
    <w:rPr>
      <w:sz w:val="24"/>
    </w:rPr>
  </w:style>
  <w:style w:type="paragraph" w:styleId="TOC4">
    <w:name w:val="toc 4"/>
    <w:basedOn w:val="Normal"/>
    <w:next w:val="Normal"/>
    <w:autoRedefine/>
    <w:uiPriority w:val="39"/>
    <w:semiHidden/>
    <w:unhideWhenUsed/>
    <w:rsid w:val="0091728E"/>
    <w:pPr>
      <w:tabs>
        <w:tab w:val="right" w:leader="dot" w:pos="9639"/>
      </w:tabs>
      <w:spacing w:after="0" w:line="240" w:lineRule="auto"/>
      <w:ind w:left="1985" w:right="567" w:hanging="567"/>
    </w:pPr>
    <w:rPr>
      <w:color w:val="4C4C4C"/>
      <w:sz w:val="18"/>
    </w:rPr>
  </w:style>
  <w:style w:type="paragraph" w:styleId="ListContinue3">
    <w:name w:val="List Continue 3"/>
    <w:basedOn w:val="Normal"/>
    <w:uiPriority w:val="8"/>
    <w:semiHidden/>
    <w:rsid w:val="0091728E"/>
    <w:pPr>
      <w:spacing w:after="0"/>
      <w:ind w:left="1644"/>
    </w:pPr>
  </w:style>
  <w:style w:type="paragraph" w:styleId="ListBullet3">
    <w:name w:val="List Bullet 3"/>
    <w:basedOn w:val="Normal"/>
    <w:uiPriority w:val="99"/>
    <w:semiHidden/>
    <w:unhideWhenUsed/>
    <w:rsid w:val="0091728E"/>
    <w:pPr>
      <w:numPr>
        <w:numId w:val="7"/>
      </w:numPr>
      <w:contextualSpacing/>
    </w:pPr>
  </w:style>
  <w:style w:type="paragraph" w:customStyle="1" w:styleId="TableText">
    <w:name w:val="Table Text"/>
    <w:basedOn w:val="Normal"/>
    <w:uiPriority w:val="15"/>
    <w:qFormat/>
    <w:rsid w:val="0091728E"/>
    <w:pPr>
      <w:spacing w:before="60" w:after="60" w:line="240" w:lineRule="auto"/>
    </w:pPr>
    <w:rPr>
      <w:sz w:val="20"/>
    </w:rPr>
  </w:style>
  <w:style w:type="numbering" w:styleId="ArticleSection">
    <w:name w:val="Outline List 3"/>
    <w:basedOn w:val="NoList"/>
    <w:uiPriority w:val="99"/>
    <w:semiHidden/>
    <w:unhideWhenUsed/>
    <w:rsid w:val="0091728E"/>
    <w:pPr>
      <w:numPr>
        <w:numId w:val="15"/>
      </w:numPr>
    </w:pPr>
  </w:style>
  <w:style w:type="paragraph" w:styleId="ListNumber">
    <w:name w:val="List Number"/>
    <w:basedOn w:val="Normal"/>
    <w:uiPriority w:val="7"/>
    <w:semiHidden/>
    <w:qFormat/>
    <w:rsid w:val="0091728E"/>
    <w:pPr>
      <w:numPr>
        <w:numId w:val="18"/>
      </w:numPr>
      <w:contextualSpacing/>
    </w:pPr>
  </w:style>
  <w:style w:type="table" w:styleId="ColorfulGrid">
    <w:name w:val="Colorful Grid"/>
    <w:basedOn w:val="TableNormal"/>
    <w:uiPriority w:val="73"/>
    <w:semiHidden/>
    <w:rsid w:val="0091728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1728E"/>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1728E"/>
    <w:pPr>
      <w:keepNext/>
      <w:spacing w:before="40" w:after="40"/>
    </w:pPr>
    <w:rPr>
      <w:color w:val="FFFFFF" w:themeColor="background1"/>
      <w:sz w:val="24"/>
    </w:rPr>
  </w:style>
  <w:style w:type="paragraph" w:customStyle="1" w:styleId="CaptionTable">
    <w:name w:val="Caption Table"/>
    <w:basedOn w:val="Normal"/>
    <w:uiPriority w:val="14"/>
    <w:semiHidden/>
    <w:rsid w:val="0091728E"/>
    <w:rPr>
      <w:b/>
    </w:rPr>
  </w:style>
  <w:style w:type="paragraph" w:styleId="ListNumber2">
    <w:name w:val="List Number 2"/>
    <w:basedOn w:val="Normal"/>
    <w:uiPriority w:val="7"/>
    <w:semiHidden/>
    <w:rsid w:val="0091728E"/>
    <w:pPr>
      <w:numPr>
        <w:ilvl w:val="1"/>
        <w:numId w:val="18"/>
      </w:numPr>
      <w:contextualSpacing/>
    </w:pPr>
  </w:style>
  <w:style w:type="table" w:styleId="ColorfulGrid-Accent2">
    <w:name w:val="Colorful Grid Accent 2"/>
    <w:basedOn w:val="TableNormal"/>
    <w:uiPriority w:val="73"/>
    <w:semiHidden/>
    <w:rsid w:val="0091728E"/>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91728E"/>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728E"/>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91728E"/>
    <w:pPr>
      <w:numPr>
        <w:ilvl w:val="1"/>
      </w:numPr>
    </w:pPr>
  </w:style>
  <w:style w:type="paragraph" w:customStyle="1" w:styleId="Bullet3">
    <w:name w:val="Bullet 3"/>
    <w:basedOn w:val="Bullet2"/>
    <w:uiPriority w:val="11"/>
    <w:qFormat/>
    <w:rsid w:val="0091728E"/>
    <w:pPr>
      <w:numPr>
        <w:ilvl w:val="2"/>
      </w:numPr>
    </w:pPr>
  </w:style>
  <w:style w:type="paragraph" w:styleId="TableofFigures">
    <w:name w:val="table of figures"/>
    <w:basedOn w:val="TOCHeading"/>
    <w:next w:val="Normal"/>
    <w:uiPriority w:val="99"/>
    <w:semiHidden/>
    <w:unhideWhenUsed/>
    <w:rsid w:val="0091728E"/>
    <w:pPr>
      <w:spacing w:after="0"/>
      <w:ind w:left="0"/>
    </w:pPr>
  </w:style>
  <w:style w:type="paragraph" w:styleId="ListNumber3">
    <w:name w:val="List Number 3"/>
    <w:basedOn w:val="Normal"/>
    <w:uiPriority w:val="7"/>
    <w:semiHidden/>
    <w:rsid w:val="0091728E"/>
    <w:pPr>
      <w:numPr>
        <w:ilvl w:val="2"/>
        <w:numId w:val="18"/>
      </w:numPr>
      <w:contextualSpacing/>
    </w:pPr>
  </w:style>
  <w:style w:type="table" w:styleId="LightShading-Accent1">
    <w:name w:val="Light Shading Accent 1"/>
    <w:basedOn w:val="TableNormal"/>
    <w:uiPriority w:val="60"/>
    <w:semiHidden/>
    <w:rsid w:val="0091728E"/>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91728E"/>
    <w:pPr>
      <w:spacing w:after="120" w:line="240" w:lineRule="auto"/>
    </w:pPr>
    <w:rPr>
      <w:i/>
      <w:sz w:val="18"/>
    </w:rPr>
  </w:style>
  <w:style w:type="paragraph" w:customStyle="1" w:styleId="FrontPagesLeft">
    <w:name w:val="Front Pages Left"/>
    <w:basedOn w:val="Normal"/>
    <w:uiPriority w:val="31"/>
    <w:semiHidden/>
    <w:qFormat/>
    <w:rsid w:val="0091728E"/>
    <w:pPr>
      <w:spacing w:after="0" w:line="200" w:lineRule="atLeast"/>
      <w:ind w:right="6237"/>
    </w:pPr>
    <w:rPr>
      <w:color w:val="000000"/>
      <w:sz w:val="18"/>
    </w:rPr>
  </w:style>
  <w:style w:type="paragraph" w:styleId="ListParagraph">
    <w:name w:val="List Paragraph"/>
    <w:basedOn w:val="Normal"/>
    <w:uiPriority w:val="34"/>
    <w:qFormat/>
    <w:rsid w:val="0091728E"/>
    <w:pPr>
      <w:ind w:left="720"/>
      <w:contextualSpacing/>
    </w:pPr>
  </w:style>
  <w:style w:type="paragraph" w:styleId="NormalIndent">
    <w:name w:val="Normal Indent"/>
    <w:basedOn w:val="Normal"/>
    <w:semiHidden/>
    <w:rsid w:val="0091728E"/>
    <w:pPr>
      <w:spacing w:line="240" w:lineRule="exact"/>
      <w:ind w:left="1077" w:right="284"/>
    </w:pPr>
  </w:style>
  <w:style w:type="table" w:styleId="ColorfulGrid-Accent3">
    <w:name w:val="Colorful Grid Accent 3"/>
    <w:basedOn w:val="TableNormal"/>
    <w:uiPriority w:val="73"/>
    <w:semiHidden/>
    <w:rsid w:val="0091728E"/>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172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91728E"/>
    <w:rPr>
      <w:rFonts w:ascii="Calibri" w:hAnsi="Calibri"/>
      <w:b/>
      <w:bCs/>
      <w:smallCaps/>
      <w:spacing w:val="5"/>
    </w:rPr>
  </w:style>
  <w:style w:type="character" w:styleId="Emphasis">
    <w:name w:val="Emphasis"/>
    <w:uiPriority w:val="20"/>
    <w:semiHidden/>
    <w:qFormat/>
    <w:rsid w:val="0091728E"/>
    <w:rPr>
      <w:i/>
      <w:iCs/>
    </w:rPr>
  </w:style>
  <w:style w:type="character" w:styleId="FollowedHyperlink">
    <w:name w:val="FollowedHyperlink"/>
    <w:uiPriority w:val="99"/>
    <w:semiHidden/>
    <w:unhideWhenUsed/>
    <w:rsid w:val="0091728E"/>
    <w:rPr>
      <w:color w:val="800080"/>
      <w:u w:val="single"/>
    </w:rPr>
  </w:style>
  <w:style w:type="character" w:styleId="HTMLAcronym">
    <w:name w:val="HTML Acronym"/>
    <w:basedOn w:val="DefaultParagraphFont"/>
    <w:uiPriority w:val="99"/>
    <w:semiHidden/>
    <w:rsid w:val="0091728E"/>
  </w:style>
  <w:style w:type="character" w:styleId="HTMLCite">
    <w:name w:val="HTML Cite"/>
    <w:uiPriority w:val="99"/>
    <w:semiHidden/>
    <w:rsid w:val="0091728E"/>
    <w:rPr>
      <w:i/>
      <w:iCs/>
    </w:rPr>
  </w:style>
  <w:style w:type="character" w:styleId="HTMLCode">
    <w:name w:val="HTML Code"/>
    <w:uiPriority w:val="99"/>
    <w:semiHidden/>
    <w:rsid w:val="0091728E"/>
    <w:rPr>
      <w:sz w:val="20"/>
      <w:szCs w:val="20"/>
    </w:rPr>
  </w:style>
  <w:style w:type="character" w:styleId="HTMLDefinition">
    <w:name w:val="HTML Definition"/>
    <w:uiPriority w:val="99"/>
    <w:semiHidden/>
    <w:rsid w:val="0091728E"/>
    <w:rPr>
      <w:i/>
      <w:iCs/>
    </w:rPr>
  </w:style>
  <w:style w:type="character" w:styleId="HTMLKeyboard">
    <w:name w:val="HTML Keyboard"/>
    <w:uiPriority w:val="99"/>
    <w:semiHidden/>
    <w:rsid w:val="0091728E"/>
    <w:rPr>
      <w:sz w:val="20"/>
      <w:szCs w:val="20"/>
    </w:rPr>
  </w:style>
  <w:style w:type="character" w:styleId="HTMLSample">
    <w:name w:val="HTML Sample"/>
    <w:uiPriority w:val="99"/>
    <w:semiHidden/>
    <w:rsid w:val="0091728E"/>
    <w:rPr>
      <w:sz w:val="24"/>
      <w:szCs w:val="24"/>
    </w:rPr>
  </w:style>
  <w:style w:type="character" w:styleId="HTMLTypewriter">
    <w:name w:val="HTML Typewriter"/>
    <w:uiPriority w:val="99"/>
    <w:semiHidden/>
    <w:rsid w:val="0091728E"/>
    <w:rPr>
      <w:sz w:val="20"/>
      <w:szCs w:val="20"/>
    </w:rPr>
  </w:style>
  <w:style w:type="character" w:styleId="HTMLVariable">
    <w:name w:val="HTML Variable"/>
    <w:uiPriority w:val="99"/>
    <w:semiHidden/>
    <w:rsid w:val="0091728E"/>
    <w:rPr>
      <w:i/>
      <w:iCs/>
    </w:rPr>
  </w:style>
  <w:style w:type="character" w:styleId="PlaceholderText">
    <w:name w:val="Placeholder Text"/>
    <w:uiPriority w:val="99"/>
    <w:semiHidden/>
    <w:rsid w:val="0091728E"/>
    <w:rPr>
      <w:color w:val="808080"/>
    </w:rPr>
  </w:style>
  <w:style w:type="paragraph" w:customStyle="1" w:styleId="Attachment1">
    <w:name w:val="Attachment 1"/>
    <w:next w:val="Normal"/>
    <w:uiPriority w:val="19"/>
    <w:semiHidden/>
    <w:qFormat/>
    <w:rsid w:val="0091728E"/>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91728E"/>
    <w:pPr>
      <w:spacing w:line="228" w:lineRule="auto"/>
      <w:ind w:right="4536"/>
    </w:pPr>
    <w:rPr>
      <w:b/>
      <w:sz w:val="60"/>
      <w:szCs w:val="60"/>
    </w:rPr>
  </w:style>
  <w:style w:type="paragraph" w:customStyle="1" w:styleId="CoverSubtitle">
    <w:name w:val="Cover Subtitle"/>
    <w:basedOn w:val="CoverTitle"/>
    <w:uiPriority w:val="31"/>
    <w:semiHidden/>
    <w:rsid w:val="0091728E"/>
    <w:pPr>
      <w:spacing w:line="240" w:lineRule="auto"/>
      <w:contextualSpacing/>
    </w:pPr>
    <w:rPr>
      <w:b w:val="0"/>
      <w:sz w:val="40"/>
      <w:szCs w:val="40"/>
    </w:rPr>
  </w:style>
  <w:style w:type="paragraph" w:customStyle="1" w:styleId="NoteNormal">
    <w:name w:val="Note Normal"/>
    <w:basedOn w:val="Normal"/>
    <w:next w:val="Normal"/>
    <w:uiPriority w:val="49"/>
    <w:rsid w:val="0091728E"/>
    <w:pPr>
      <w:keepNext/>
      <w:keepLines/>
      <w:spacing w:before="80" w:after="80" w:line="240" w:lineRule="auto"/>
    </w:pPr>
    <w:rPr>
      <w:color w:val="000000"/>
      <w:sz w:val="18"/>
    </w:rPr>
  </w:style>
  <w:style w:type="table" w:styleId="ColorfulGrid-Accent4">
    <w:name w:val="Colorful Grid Accent 4"/>
    <w:basedOn w:val="TableNormal"/>
    <w:uiPriority w:val="73"/>
    <w:semiHidden/>
    <w:rsid w:val="0091728E"/>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91728E"/>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91728E"/>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91728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91728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91728E"/>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91728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91728E"/>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91728E"/>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91728E"/>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91728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1728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1728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1728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91728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1728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1728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91728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1728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91728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91728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91728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91728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91728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91728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1728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1728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1728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1728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1728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1728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1728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1728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1728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1728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1728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1728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1728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1728E"/>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91728E"/>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91728E"/>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1728E"/>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1728E"/>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91728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1728E"/>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91728E"/>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91728E"/>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1728E"/>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91728E"/>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91728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9172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1728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91728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91728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1728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91728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91728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91728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91728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91728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91728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91728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1728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1728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9172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1728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1728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1728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1728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1728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1728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1728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1728E"/>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1728E"/>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1728E"/>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1728E"/>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1728E"/>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1728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1728E"/>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728E"/>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728E"/>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728E"/>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728E"/>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728E"/>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728E"/>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728E"/>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728E"/>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728E"/>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728E"/>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728E"/>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728E"/>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728E"/>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728E"/>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728E"/>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728E"/>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728E"/>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728E"/>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728E"/>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728E"/>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1728E"/>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728E"/>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728E"/>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728E"/>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728E"/>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728E"/>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728E"/>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1728E"/>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728E"/>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728E"/>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728E"/>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728E"/>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728E"/>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728E"/>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728E"/>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728E"/>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91728E"/>
    <w:pPr>
      <w:numPr>
        <w:ilvl w:val="0"/>
      </w:numPr>
    </w:pPr>
  </w:style>
  <w:style w:type="paragraph" w:customStyle="1" w:styleId="Num1">
    <w:name w:val="Num1"/>
    <w:basedOn w:val="Normal"/>
    <w:rsid w:val="0091728E"/>
    <w:pPr>
      <w:numPr>
        <w:numId w:val="28"/>
      </w:numPr>
    </w:pPr>
  </w:style>
  <w:style w:type="character" w:customStyle="1" w:styleId="FooterChar">
    <w:name w:val="Footer Char"/>
    <w:basedOn w:val="DefaultParagraphFont"/>
    <w:link w:val="Footer"/>
    <w:uiPriority w:val="99"/>
    <w:rsid w:val="0091728E"/>
    <w:rPr>
      <w:rFonts w:ascii="Calibri" w:hAnsi="Calibri" w:cs="Calibri"/>
      <w:noProof/>
      <w:szCs w:val="22"/>
    </w:rPr>
  </w:style>
  <w:style w:type="paragraph" w:customStyle="1" w:styleId="Num2">
    <w:name w:val="Num2"/>
    <w:basedOn w:val="Normal"/>
    <w:rsid w:val="0091728E"/>
    <w:pPr>
      <w:numPr>
        <w:ilvl w:val="1"/>
        <w:numId w:val="28"/>
      </w:numPr>
    </w:pPr>
  </w:style>
  <w:style w:type="paragraph" w:customStyle="1" w:styleId="Num3">
    <w:name w:val="Num3"/>
    <w:basedOn w:val="Normal"/>
    <w:rsid w:val="0091728E"/>
    <w:pPr>
      <w:numPr>
        <w:ilvl w:val="2"/>
        <w:numId w:val="28"/>
      </w:numPr>
    </w:pPr>
  </w:style>
  <w:style w:type="character" w:customStyle="1" w:styleId="SubtitleChar">
    <w:name w:val="Subtitle Char"/>
    <w:basedOn w:val="DefaultParagraphFont"/>
    <w:link w:val="Subtitle"/>
    <w:uiPriority w:val="29"/>
    <w:rsid w:val="00CB4E50"/>
    <w:rPr>
      <w:rFonts w:ascii="Calibri" w:hAnsi="Calibri" w:cs="Calibri"/>
      <w:color w:val="4C4C4C"/>
      <w:sz w:val="30"/>
      <w:szCs w:val="24"/>
      <w:lang w:eastAsia="en-US"/>
    </w:rPr>
  </w:style>
  <w:style w:type="paragraph" w:customStyle="1" w:styleId="TableBulletDash">
    <w:name w:val="Table Bullet Dash"/>
    <w:basedOn w:val="Normal"/>
    <w:uiPriority w:val="10"/>
    <w:rsid w:val="00304E7F"/>
    <w:pPr>
      <w:tabs>
        <w:tab w:val="num" w:pos="454"/>
      </w:tabs>
      <w:spacing w:after="0" w:line="240" w:lineRule="auto"/>
      <w:ind w:left="454" w:hanging="227"/>
    </w:pPr>
    <w:rPr>
      <w:sz w:val="20"/>
    </w:rPr>
  </w:style>
  <w:style w:type="paragraph" w:customStyle="1" w:styleId="NoteNormalshaded">
    <w:name w:val="Note Normal shaded"/>
    <w:basedOn w:val="NoteNormal"/>
    <w:qFormat/>
    <w:rsid w:val="0091728E"/>
    <w:pPr>
      <w:shd w:val="clear" w:color="auto" w:fill="D9D9D9" w:themeFill="background1" w:themeFillShade="D9"/>
    </w:pPr>
    <w:rPr>
      <w:sz w:val="20"/>
    </w:rPr>
  </w:style>
  <w:style w:type="paragraph" w:customStyle="1" w:styleId="NoteNormalshadedbullet">
    <w:name w:val="Note Normal shaded bullet"/>
    <w:basedOn w:val="NoteNormalshaded"/>
    <w:qFormat/>
    <w:rsid w:val="0091728E"/>
    <w:pPr>
      <w:numPr>
        <w:numId w:val="44"/>
      </w:numPr>
      <w:ind w:left="360"/>
    </w:pPr>
  </w:style>
  <w:style w:type="character" w:customStyle="1" w:styleId="CommentTextChar">
    <w:name w:val="Comment Text Char"/>
    <w:basedOn w:val="DefaultParagraphFont"/>
    <w:link w:val="CommentText"/>
    <w:uiPriority w:val="99"/>
    <w:rsid w:val="001D47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2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contract-management-and-contract-disclosure-goods-and-services-policy"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buyingfor.vic.gov.au/goods-services-supply-polici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abs.gov.au" TargetMode="External"/><Relationship Id="rId14" Type="http://schemas.openxmlformats.org/officeDocument/2006/relationships/hyperlink" Target="http://creativecommons.org/licenses/by/3.0/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F5D4-B5B4-428F-AEAA-DAF4DDE958E9}">
  <ds:schemaRefs>
    <ds:schemaRef ds:uri="http://www.w3.org/2001/XMLSchema"/>
  </ds:schemaRefs>
</ds:datastoreItem>
</file>

<file path=customXml/itemProps2.xml><?xml version="1.0" encoding="utf-8"?>
<ds:datastoreItem xmlns:ds="http://schemas.openxmlformats.org/officeDocument/2006/customXml" ds:itemID="{C1B29AB4-E1BD-44B8-A2E2-D043051A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9</cp:revision>
  <cp:lastPrinted>2014-10-09T05:06:00Z</cp:lastPrinted>
  <dcterms:created xsi:type="dcterms:W3CDTF">2019-09-01T07:29:00Z</dcterms:created>
  <dcterms:modified xsi:type="dcterms:W3CDTF">2019-11-24T23:56:00Z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2019-09-01T08:06:16.3683394Z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