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284C8C" w14:textId="77777777" w:rsidR="00CB4E50" w:rsidRPr="00CE528A" w:rsidRDefault="00CE528A" w:rsidP="00CE528A">
      <w:pPr>
        <w:pStyle w:val="Heading1"/>
        <w:rPr>
          <w:b/>
          <w:color w:val="7030A0"/>
          <w:sz w:val="36"/>
          <w:szCs w:val="36"/>
        </w:rPr>
      </w:pPr>
      <w:r w:rsidRPr="00CE528A">
        <w:rPr>
          <w:b/>
          <w:color w:val="7030A0"/>
          <w:sz w:val="36"/>
          <w:szCs w:val="36"/>
        </w:rPr>
        <w:t>P</w:t>
      </w:r>
      <w:r w:rsidR="00D465CB" w:rsidRPr="00CE528A">
        <w:rPr>
          <w:b/>
          <w:color w:val="7030A0"/>
          <w:sz w:val="36"/>
          <w:szCs w:val="36"/>
        </w:rPr>
        <w:t>re-</w:t>
      </w:r>
      <w:r w:rsidR="00F41687" w:rsidRPr="00CE528A">
        <w:rPr>
          <w:b/>
          <w:color w:val="7030A0"/>
          <w:sz w:val="36"/>
          <w:szCs w:val="36"/>
        </w:rPr>
        <w:t>qualified supplier arrangement</w:t>
      </w:r>
      <w:r w:rsidR="008908BA" w:rsidRPr="00CE528A">
        <w:rPr>
          <w:b/>
          <w:color w:val="7030A0"/>
          <w:sz w:val="36"/>
          <w:szCs w:val="36"/>
        </w:rPr>
        <w:t>s</w:t>
      </w:r>
      <w:r w:rsidRPr="00CE528A">
        <w:rPr>
          <w:b/>
          <w:color w:val="7030A0"/>
          <w:sz w:val="36"/>
          <w:szCs w:val="36"/>
        </w:rPr>
        <w:t xml:space="preserve"> – </w:t>
      </w:r>
      <w:r w:rsidRPr="00CE528A">
        <w:rPr>
          <w:b/>
          <w:color w:val="7030A0"/>
          <w:sz w:val="36"/>
          <w:szCs w:val="36"/>
        </w:rPr>
        <w:br/>
        <w:t>Goods and services procurement guide</w:t>
      </w:r>
    </w:p>
    <w:p w14:paraId="7E0D5426" w14:textId="77777777" w:rsidR="00D465CB" w:rsidRPr="00CE528A" w:rsidRDefault="00D465CB" w:rsidP="00CE528A">
      <w:pPr>
        <w:pStyle w:val="Heading2"/>
        <w:rPr>
          <w:color w:val="7030A0"/>
        </w:rPr>
      </w:pPr>
      <w:r w:rsidRPr="00CE528A">
        <w:rPr>
          <w:color w:val="7030A0"/>
        </w:rPr>
        <w:t>About pre-qualified supplier arrangements</w:t>
      </w:r>
    </w:p>
    <w:p w14:paraId="606225F8" w14:textId="77777777" w:rsidR="00D465CB" w:rsidRDefault="00D465CB" w:rsidP="00D465CB">
      <w:r w:rsidRPr="008B4950">
        <w:t xml:space="preserve">Pre-qualification </w:t>
      </w:r>
      <w:r>
        <w:t xml:space="preserve">arrangements </w:t>
      </w:r>
      <w:r w:rsidRPr="008B4950">
        <w:t>p</w:t>
      </w:r>
      <w:r>
        <w:t>rovide a list of suppliers who</w:t>
      </w:r>
      <w:r w:rsidRPr="008B4950">
        <w:t xml:space="preserve"> meet certain criteria</w:t>
      </w:r>
      <w:r w:rsidR="003C4879">
        <w:t xml:space="preserve">. </w:t>
      </w:r>
      <w:r>
        <w:t>A procurement process needs to be undertaken by the buyer to determine which supplier offers best value for money.</w:t>
      </w:r>
    </w:p>
    <w:p w14:paraId="30579826" w14:textId="30318BC5" w:rsidR="00D465CB" w:rsidRDefault="00D465CB" w:rsidP="00D465CB">
      <w:r>
        <w:t>Pre-qualification is often referred to as a multi-use list (under the various free trade agreements) or a register of suppliers</w:t>
      </w:r>
      <w:r w:rsidR="003C4879">
        <w:t>.</w:t>
      </w:r>
    </w:p>
    <w:p w14:paraId="2B74C9B7" w14:textId="77CBE479" w:rsidR="00D465CB" w:rsidRDefault="00D465CB" w:rsidP="00D465CB">
      <w:r>
        <w:t xml:space="preserve">Essentially, it’s a ‘list’ of suppliers who satisfy certain key selection criteria relating to their interest and capability in supplying </w:t>
      </w:r>
      <w:r w:rsidR="008358EE">
        <w:t>goods</w:t>
      </w:r>
      <w:r>
        <w:t xml:space="preserve"> and/or services</w:t>
      </w:r>
      <w:r w:rsidR="003C4879">
        <w:t>.</w:t>
      </w:r>
    </w:p>
    <w:p w14:paraId="3A6B3823" w14:textId="77777777" w:rsidR="00D465CB" w:rsidRDefault="00D465CB" w:rsidP="00D465CB">
      <w:r>
        <w:t>Successful suppliers are added to a list from which a buyer can invite an offer(s) using the rules of use adopted for the arrangement.</w:t>
      </w:r>
    </w:p>
    <w:p w14:paraId="3E557B92" w14:textId="77777777" w:rsidR="00CE528A" w:rsidRDefault="00CE528A" w:rsidP="00CE528A">
      <w:pPr>
        <w:spacing w:line="240" w:lineRule="atLeast"/>
      </w:pPr>
      <w:r w:rsidRPr="004E7214">
        <w:rPr>
          <w:color w:val="4C4C4C"/>
          <w:sz w:val="24"/>
          <w:szCs w:val="24"/>
        </w:rPr>
        <w:t xml:space="preserve">Aggregated </w:t>
      </w:r>
      <w:r>
        <w:rPr>
          <w:color w:val="4C4C4C"/>
          <w:sz w:val="24"/>
          <w:szCs w:val="24"/>
        </w:rPr>
        <w:t xml:space="preserve">purchasing - </w:t>
      </w:r>
      <w:r w:rsidRPr="004E7214">
        <w:t xml:space="preserve">Pre-qualified supplier arrangements </w:t>
      </w:r>
      <w:r>
        <w:t>provide administrative efficiencies and can also provide benefits from aggregated purchasing.</w:t>
      </w:r>
      <w:r w:rsidRPr="004E7214">
        <w:t xml:space="preserve"> For more information about aggregated </w:t>
      </w:r>
      <w:r>
        <w:t>purchasing</w:t>
      </w:r>
      <w:r w:rsidRPr="004E7214">
        <w:t xml:space="preserve"> refer to the</w:t>
      </w:r>
      <w:r>
        <w:t>:</w:t>
      </w:r>
    </w:p>
    <w:p w14:paraId="7072563F" w14:textId="77777777" w:rsidR="00CE528A" w:rsidRDefault="0B07BC16" w:rsidP="00AE74DD">
      <w:pPr>
        <w:pStyle w:val="ListParagraph"/>
        <w:numPr>
          <w:ilvl w:val="0"/>
          <w:numId w:val="13"/>
        </w:numPr>
        <w:spacing w:line="240" w:lineRule="atLeast"/>
      </w:pPr>
      <w:r>
        <w:t xml:space="preserve">Market analysis and review - Goods and services policy and </w:t>
      </w:r>
    </w:p>
    <w:p w14:paraId="6D63904B" w14:textId="77777777" w:rsidR="00CE528A" w:rsidRDefault="0B07BC16" w:rsidP="00AE74DD">
      <w:pPr>
        <w:pStyle w:val="ListParagraph"/>
        <w:numPr>
          <w:ilvl w:val="0"/>
          <w:numId w:val="13"/>
        </w:numPr>
        <w:spacing w:line="240" w:lineRule="atLeast"/>
      </w:pPr>
      <w:r>
        <w:t>Aggregated purchasing – Goods and services procurement guide.</w:t>
      </w:r>
    </w:p>
    <w:p w14:paraId="1FA36C2F" w14:textId="77777777" w:rsidR="00D465CB" w:rsidRDefault="00D465CB" w:rsidP="00D465CB">
      <w:r>
        <w:t xml:space="preserve">When selecting a supplier(s) from the pre-qualified </w:t>
      </w:r>
      <w:r w:rsidR="008908BA">
        <w:t>arrangement</w:t>
      </w:r>
      <w:r>
        <w:t>, buyers access information ranging from basic business details to more comprehensive details including:</w:t>
      </w:r>
    </w:p>
    <w:p w14:paraId="5B79FFF2" w14:textId="77777777" w:rsidR="00D465CB" w:rsidRDefault="00D465CB" w:rsidP="00D465CB">
      <w:pPr>
        <w:pStyle w:val="Bullet1"/>
      </w:pPr>
      <w:r>
        <w:t>the capability of the supplier</w:t>
      </w:r>
      <w:r w:rsidR="00A04A05">
        <w:t>;</w:t>
      </w:r>
    </w:p>
    <w:p w14:paraId="725CBB95" w14:textId="77777777" w:rsidR="00D465CB" w:rsidRDefault="00D465CB" w:rsidP="00D465CB">
      <w:pPr>
        <w:pStyle w:val="Bullet1"/>
      </w:pPr>
      <w:r>
        <w:t>management and operating systems used by the supplier</w:t>
      </w:r>
      <w:r w:rsidR="00A04A05">
        <w:t>;</w:t>
      </w:r>
    </w:p>
    <w:p w14:paraId="6A9526B5" w14:textId="77777777" w:rsidR="00D465CB" w:rsidRDefault="00D465CB" w:rsidP="00D465CB">
      <w:pPr>
        <w:pStyle w:val="Bullet1"/>
      </w:pPr>
      <w:r>
        <w:t>financial capacity</w:t>
      </w:r>
      <w:r w:rsidR="00A04A05">
        <w:t>;</w:t>
      </w:r>
    </w:p>
    <w:p w14:paraId="76FAD706" w14:textId="77777777" w:rsidR="00F749E4" w:rsidRDefault="00D465CB" w:rsidP="00D465CB">
      <w:pPr>
        <w:pStyle w:val="Bullet1"/>
      </w:pPr>
      <w:r>
        <w:t>areas of expertise/skills/resources</w:t>
      </w:r>
      <w:r w:rsidR="00A04A05">
        <w:t>;</w:t>
      </w:r>
    </w:p>
    <w:p w14:paraId="10180941" w14:textId="38B61CCD" w:rsidR="00D465CB" w:rsidRDefault="00F749E4" w:rsidP="00D465CB">
      <w:pPr>
        <w:pStyle w:val="Bullet1"/>
      </w:pPr>
      <w:r>
        <w:t xml:space="preserve">compliance with the </w:t>
      </w:r>
      <w:hyperlink r:id="rId9" w:history="1">
        <w:r w:rsidRPr="00C7050D">
          <w:rPr>
            <w:rStyle w:val="Hyperlink"/>
          </w:rPr>
          <w:t>Supplier Code of Conduct</w:t>
        </w:r>
      </w:hyperlink>
      <w:r w:rsidR="0065408E">
        <w:t>;</w:t>
      </w:r>
      <w:r w:rsidR="00D465CB">
        <w:t xml:space="preserve"> and</w:t>
      </w:r>
    </w:p>
    <w:p w14:paraId="0527B0B3" w14:textId="77777777" w:rsidR="00D465CB" w:rsidRDefault="00D465CB" w:rsidP="00D465CB">
      <w:pPr>
        <w:pStyle w:val="Bullet1"/>
      </w:pPr>
      <w:r>
        <w:t>past performance.</w:t>
      </w:r>
    </w:p>
    <w:p w14:paraId="5EB26B56" w14:textId="77777777" w:rsidR="00444034" w:rsidRDefault="00D465CB" w:rsidP="00D465CB">
      <w:r>
        <w:t>The extent of information available to buyers depends on what was requested from suppliers when establishing the arrangement.</w:t>
      </w:r>
      <w:r w:rsidR="00444034">
        <w:t xml:space="preserve">  The information requested will depend on the market analysis and where efficiency can be gathered through the capture of information.  Criteria must be established for inclusion on the prequalified supplier arrangement.</w:t>
      </w:r>
    </w:p>
    <w:p w14:paraId="7DCCB7CD" w14:textId="77777777" w:rsidR="00D465CB" w:rsidRDefault="00D465CB" w:rsidP="007A1B25">
      <w:r>
        <w:t>Conversely, suppliers have an indication of:</w:t>
      </w:r>
    </w:p>
    <w:p w14:paraId="31B43374" w14:textId="77777777" w:rsidR="00D465CB" w:rsidRDefault="00D465CB" w:rsidP="007A1B25">
      <w:pPr>
        <w:pStyle w:val="Bullet1"/>
        <w:spacing w:before="100" w:after="100"/>
        <w:ind w:left="714" w:hanging="357"/>
        <w:contextualSpacing/>
      </w:pPr>
      <w:r>
        <w:t>the organisations that may use the arrangement</w:t>
      </w:r>
      <w:r w:rsidR="00A04A05">
        <w:t>;</w:t>
      </w:r>
    </w:p>
    <w:p w14:paraId="6926A5E8" w14:textId="77777777" w:rsidR="00D465CB" w:rsidRDefault="00D465CB" w:rsidP="007A1B25">
      <w:pPr>
        <w:pStyle w:val="Bullet1"/>
        <w:spacing w:before="100" w:after="100"/>
        <w:ind w:left="714" w:hanging="357"/>
        <w:contextualSpacing/>
      </w:pPr>
      <w:r>
        <w:t>the rules of use applied by an organisation in selecting a supplier</w:t>
      </w:r>
      <w:r w:rsidR="00A04A05">
        <w:t>;</w:t>
      </w:r>
    </w:p>
    <w:p w14:paraId="0AB79B0A" w14:textId="77777777" w:rsidR="00D465CB" w:rsidRDefault="00D465CB" w:rsidP="007A1B25">
      <w:pPr>
        <w:pStyle w:val="Bullet1"/>
        <w:spacing w:before="100" w:after="100"/>
        <w:ind w:left="714" w:hanging="357"/>
        <w:contextualSpacing/>
      </w:pPr>
      <w:r>
        <w:t>other processes associated with the operation of the arrangement (e.g. performance reporting, management issues, changed requirements, etc.)</w:t>
      </w:r>
      <w:r w:rsidR="00A04A05">
        <w:t>;</w:t>
      </w:r>
      <w:r>
        <w:t xml:space="preserve"> and</w:t>
      </w:r>
    </w:p>
    <w:p w14:paraId="40C3755F" w14:textId="77777777" w:rsidR="00D465CB" w:rsidRDefault="00D465CB" w:rsidP="007A1B25">
      <w:pPr>
        <w:pStyle w:val="Bullet1"/>
        <w:spacing w:before="100" w:after="100"/>
      </w:pPr>
      <w:r>
        <w:t xml:space="preserve">in some </w:t>
      </w:r>
      <w:r w:rsidR="008358EE">
        <w:t>instances,</w:t>
      </w:r>
      <w:r>
        <w:t xml:space="preserve"> </w:t>
      </w:r>
      <w:r w:rsidR="004B1011">
        <w:t xml:space="preserve">an </w:t>
      </w:r>
      <w:r>
        <w:t>indicat</w:t>
      </w:r>
      <w:r w:rsidR="004B1011">
        <w:t>ion of</w:t>
      </w:r>
      <w:r>
        <w:t xml:space="preserve"> the scope of potential business.</w:t>
      </w:r>
    </w:p>
    <w:p w14:paraId="257A93D5" w14:textId="41500E8C" w:rsidR="00D465CB" w:rsidRDefault="00D465CB" w:rsidP="007A1B25">
      <w:r>
        <w:t xml:space="preserve">Suppliers are therefore </w:t>
      </w:r>
      <w:r w:rsidR="008358EE">
        <w:t>able</w:t>
      </w:r>
      <w:r>
        <w:t xml:space="preserve"> to target their services to potential buyers and better prepare a submission to supply.</w:t>
      </w:r>
    </w:p>
    <w:p w14:paraId="340B63AE" w14:textId="77777777" w:rsidR="00D465CB" w:rsidRDefault="00D465CB" w:rsidP="007A1B25">
      <w:r w:rsidRPr="007A1B25">
        <w:t>Note:</w:t>
      </w:r>
      <w:r>
        <w:t xml:space="preserve"> the term pre-qualification register should not be confused with the activity of shortlisting suppliers assessed as ‘qualified’ to proc</w:t>
      </w:r>
      <w:r w:rsidR="00F41687">
        <w:t>eed to the next step of a procurement</w:t>
      </w:r>
      <w:r>
        <w:t xml:space="preserve"> process.</w:t>
      </w:r>
    </w:p>
    <w:p w14:paraId="7B13B386" w14:textId="77777777" w:rsidR="00D465CB" w:rsidRDefault="00D465CB" w:rsidP="007A1B25">
      <w:r>
        <w:t>Note that:</w:t>
      </w:r>
    </w:p>
    <w:p w14:paraId="3DDB2147" w14:textId="77777777" w:rsidR="00D465CB" w:rsidRDefault="00D465CB" w:rsidP="007A1B25">
      <w:pPr>
        <w:pStyle w:val="Bullet1"/>
        <w:spacing w:before="100" w:after="100"/>
        <w:ind w:left="714" w:hanging="357"/>
        <w:contextualSpacing/>
      </w:pPr>
      <w:r>
        <w:t>the criteria for pre-qualification should align with the scope of goods and services sought;</w:t>
      </w:r>
    </w:p>
    <w:p w14:paraId="1A98758A" w14:textId="77777777" w:rsidR="00D465CB" w:rsidRDefault="00D465CB" w:rsidP="007A1B25">
      <w:pPr>
        <w:pStyle w:val="Bullet1"/>
        <w:spacing w:before="100" w:after="100"/>
        <w:ind w:left="714" w:hanging="357"/>
      </w:pPr>
      <w:r>
        <w:t>being pre-qualified does not guarantee a level of business</w:t>
      </w:r>
      <w:r w:rsidR="00F41687">
        <w:t>.</w:t>
      </w:r>
    </w:p>
    <w:p w14:paraId="28404F81" w14:textId="77777777" w:rsidR="00D465CB" w:rsidRDefault="00F41687" w:rsidP="007A1B25">
      <w:pPr>
        <w:pStyle w:val="Bullet1"/>
        <w:numPr>
          <w:ilvl w:val="0"/>
          <w:numId w:val="0"/>
        </w:numPr>
        <w:spacing w:before="100" w:after="100"/>
      </w:pPr>
      <w:r>
        <w:t>A</w:t>
      </w:r>
      <w:r w:rsidR="00D465CB">
        <w:t xml:space="preserve"> binding arrangement only exists once a supplier has been formally engaged and a formal contract has been executed.</w:t>
      </w:r>
    </w:p>
    <w:p w14:paraId="4636E2FA" w14:textId="77777777" w:rsidR="00D465CB" w:rsidRPr="007A1B25" w:rsidRDefault="00D465CB" w:rsidP="007A1B25">
      <w:pPr>
        <w:pStyle w:val="Heading2"/>
        <w:rPr>
          <w:color w:val="7030A0"/>
        </w:rPr>
      </w:pPr>
      <w:r w:rsidRPr="007A1B25">
        <w:rPr>
          <w:color w:val="7030A0"/>
        </w:rPr>
        <w:lastRenderedPageBreak/>
        <w:t>When to consider setting up a pre-qualified arrangement</w:t>
      </w:r>
    </w:p>
    <w:p w14:paraId="42AE65DD" w14:textId="1788EAEF" w:rsidR="00D465CB" w:rsidRDefault="00D465CB" w:rsidP="00D465CB">
      <w:r>
        <w:t>The market analysis for each procurement category and the level of complexity will identify opportunities for establis</w:t>
      </w:r>
      <w:r w:rsidR="00F41687">
        <w:t>hing pre-qualification arrangements</w:t>
      </w:r>
      <w:r>
        <w:t>.</w:t>
      </w:r>
    </w:p>
    <w:p w14:paraId="3786AF58" w14:textId="1D4C555C" w:rsidR="00D465CB" w:rsidRDefault="00D465CB" w:rsidP="00D465CB">
      <w:r>
        <w:t>Details of pre-qualification arrangement processes, management and operation are considered further during the sourcing stages when approach to market is being determined</w:t>
      </w:r>
      <w:r w:rsidR="003C4879">
        <w:t>.</w:t>
      </w:r>
    </w:p>
    <w:p w14:paraId="147369D0" w14:textId="7AA97E81" w:rsidR="00AE74DD" w:rsidRDefault="00AE74DD" w:rsidP="00D465CB">
      <w:r w:rsidRPr="004E7214">
        <w:t>Pre-qualification arrangements provide a list of suppliers who meet certain criteria.  A procurement process needs to be undertaken by the buyer to determine which supplier offers best value for money</w:t>
      </w:r>
      <w:r>
        <w:t>.</w:t>
      </w:r>
    </w:p>
    <w:p w14:paraId="45019790" w14:textId="4D6F8433" w:rsidR="00D465CB" w:rsidRDefault="00AE74DD" w:rsidP="00D465CB">
      <w:r>
        <w:t>S</w:t>
      </w:r>
      <w:r w:rsidR="00D465CB">
        <w:t>uggested minimum key selection criteria for suppliers based on the level of complexity of the procurement</w:t>
      </w:r>
      <w:r>
        <w:t xml:space="preserve"> are shown in the following table:</w:t>
      </w:r>
    </w:p>
    <w:tbl>
      <w:tblPr>
        <w:tblStyle w:val="TableGrid"/>
        <w:tblW w:w="0" w:type="auto"/>
        <w:tblLook w:val="04A0" w:firstRow="1" w:lastRow="0" w:firstColumn="1" w:lastColumn="0" w:noHBand="0" w:noVBand="1"/>
      </w:tblPr>
      <w:tblGrid>
        <w:gridCol w:w="1724"/>
        <w:gridCol w:w="1890"/>
        <w:gridCol w:w="2614"/>
        <w:gridCol w:w="3570"/>
      </w:tblGrid>
      <w:tr w:rsidR="00AE74DD" w:rsidRPr="00D465CB" w14:paraId="1C4E61BD" w14:textId="77777777" w:rsidTr="0033513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4" w:type="dxa"/>
          </w:tcPr>
          <w:p w14:paraId="2FAFE5D8" w14:textId="77777777" w:rsidR="00AE74DD" w:rsidRPr="00D465CB" w:rsidRDefault="00AE74DD" w:rsidP="00335134">
            <w:pPr>
              <w:pStyle w:val="TableHeader"/>
              <w:rPr>
                <w:color w:val="auto"/>
                <w:sz w:val="22"/>
                <w:lang w:eastAsia="en-US"/>
              </w:rPr>
            </w:pPr>
          </w:p>
        </w:tc>
        <w:tc>
          <w:tcPr>
            <w:tcW w:w="1890" w:type="dxa"/>
          </w:tcPr>
          <w:p w14:paraId="0A116929" w14:textId="77777777" w:rsidR="00AE74DD" w:rsidRPr="00D465CB" w:rsidRDefault="00AE74DD" w:rsidP="00335134">
            <w:pPr>
              <w:pStyle w:val="TableHeader"/>
              <w:cnfStyle w:val="100000000000" w:firstRow="1" w:lastRow="0" w:firstColumn="0" w:lastColumn="0" w:oddVBand="0" w:evenVBand="0" w:oddHBand="0" w:evenHBand="0" w:firstRowFirstColumn="0" w:firstRowLastColumn="0" w:lastRowFirstColumn="0" w:lastRowLastColumn="0"/>
              <w:rPr>
                <w:color w:val="auto"/>
                <w:sz w:val="22"/>
                <w:lang w:eastAsia="en-US"/>
              </w:rPr>
            </w:pPr>
            <w:r w:rsidRPr="00D465CB">
              <w:rPr>
                <w:color w:val="auto"/>
                <w:sz w:val="22"/>
                <w:lang w:eastAsia="en-US"/>
              </w:rPr>
              <w:t>Transactional complexity (low risk)</w:t>
            </w:r>
          </w:p>
        </w:tc>
        <w:tc>
          <w:tcPr>
            <w:tcW w:w="2614" w:type="dxa"/>
          </w:tcPr>
          <w:p w14:paraId="58FC0DA1" w14:textId="77777777" w:rsidR="00AE74DD" w:rsidRPr="00D465CB" w:rsidRDefault="00AE74DD" w:rsidP="00335134">
            <w:pPr>
              <w:pStyle w:val="TableHeader"/>
              <w:cnfStyle w:val="100000000000" w:firstRow="1" w:lastRow="0" w:firstColumn="0" w:lastColumn="0" w:oddVBand="0" w:evenVBand="0" w:oddHBand="0" w:evenHBand="0" w:firstRowFirstColumn="0" w:firstRowLastColumn="0" w:lastRowFirstColumn="0" w:lastRowLastColumn="0"/>
              <w:rPr>
                <w:color w:val="auto"/>
                <w:sz w:val="22"/>
                <w:lang w:eastAsia="en-US"/>
              </w:rPr>
            </w:pPr>
            <w:r w:rsidRPr="00D465CB">
              <w:rPr>
                <w:color w:val="auto"/>
                <w:sz w:val="22"/>
                <w:lang w:eastAsia="en-US"/>
              </w:rPr>
              <w:t xml:space="preserve">Transactional/Leveraged complexity </w:t>
            </w:r>
          </w:p>
        </w:tc>
        <w:tc>
          <w:tcPr>
            <w:tcW w:w="3570" w:type="dxa"/>
          </w:tcPr>
          <w:p w14:paraId="58A3BB1E" w14:textId="77777777" w:rsidR="00AE74DD" w:rsidRPr="00D465CB" w:rsidRDefault="00AE74DD" w:rsidP="00335134">
            <w:pPr>
              <w:pStyle w:val="TableHeader"/>
              <w:cnfStyle w:val="100000000000" w:firstRow="1" w:lastRow="0" w:firstColumn="0" w:lastColumn="0" w:oddVBand="0" w:evenVBand="0" w:oddHBand="0" w:evenHBand="0" w:firstRowFirstColumn="0" w:firstRowLastColumn="0" w:lastRowFirstColumn="0" w:lastRowLastColumn="0"/>
              <w:rPr>
                <w:color w:val="auto"/>
                <w:sz w:val="22"/>
                <w:lang w:eastAsia="en-US"/>
              </w:rPr>
            </w:pPr>
            <w:r w:rsidRPr="00D465CB">
              <w:rPr>
                <w:color w:val="auto"/>
                <w:sz w:val="22"/>
                <w:lang w:eastAsia="en-US"/>
              </w:rPr>
              <w:t>Focused/Strategic complexity</w:t>
            </w:r>
          </w:p>
        </w:tc>
      </w:tr>
      <w:tr w:rsidR="00AE74DD" w:rsidRPr="00D465CB" w14:paraId="210B1995" w14:textId="77777777" w:rsidTr="00335134">
        <w:tc>
          <w:tcPr>
            <w:cnfStyle w:val="001000000000" w:firstRow="0" w:lastRow="0" w:firstColumn="1" w:lastColumn="0" w:oddVBand="0" w:evenVBand="0" w:oddHBand="0" w:evenHBand="0" w:firstRowFirstColumn="0" w:firstRowLastColumn="0" w:lastRowFirstColumn="0" w:lastRowLastColumn="0"/>
            <w:tcW w:w="1724" w:type="dxa"/>
          </w:tcPr>
          <w:p w14:paraId="06086276" w14:textId="77777777" w:rsidR="00AE74DD" w:rsidRPr="00D465CB" w:rsidRDefault="00AE74DD" w:rsidP="00335134">
            <w:pPr>
              <w:pStyle w:val="TableText"/>
              <w:rPr>
                <w:color w:val="auto"/>
                <w:lang w:eastAsia="en-US"/>
              </w:rPr>
            </w:pPr>
            <w:r w:rsidRPr="00D465CB">
              <w:rPr>
                <w:color w:val="auto"/>
                <w:lang w:eastAsia="en-US"/>
              </w:rPr>
              <w:t xml:space="preserve">Company details </w:t>
            </w:r>
          </w:p>
        </w:tc>
        <w:tc>
          <w:tcPr>
            <w:tcW w:w="1890" w:type="dxa"/>
          </w:tcPr>
          <w:p w14:paraId="0AB5F155" w14:textId="77777777" w:rsidR="00AE74DD" w:rsidRPr="00D465CB" w:rsidRDefault="00AE74DD" w:rsidP="00AE74DD">
            <w:pPr>
              <w:pStyle w:val="TableBullet"/>
              <w:spacing w:before="60" w:after="60"/>
              <w:ind w:left="0" w:firstLine="0"/>
              <w:cnfStyle w:val="000000000000" w:firstRow="0" w:lastRow="0" w:firstColumn="0" w:lastColumn="0" w:oddVBand="0" w:evenVBand="0" w:oddHBand="0" w:evenHBand="0" w:firstRowFirstColumn="0" w:firstRowLastColumn="0" w:lastRowFirstColumn="0" w:lastRowLastColumn="0"/>
            </w:pPr>
            <w:r w:rsidRPr="00D465CB">
              <w:t xml:space="preserve">Business name </w:t>
            </w:r>
          </w:p>
          <w:p w14:paraId="00F800A8" w14:textId="77777777" w:rsidR="00AE74DD" w:rsidRPr="00D465CB" w:rsidRDefault="00AE74DD" w:rsidP="00335134">
            <w:pPr>
              <w:pStyle w:val="TableBullet"/>
              <w:cnfStyle w:val="000000000000" w:firstRow="0" w:lastRow="0" w:firstColumn="0" w:lastColumn="0" w:oddVBand="0" w:evenVBand="0" w:oddHBand="0" w:evenHBand="0" w:firstRowFirstColumn="0" w:firstRowLastColumn="0" w:lastRowFirstColumn="0" w:lastRowLastColumn="0"/>
            </w:pPr>
            <w:r w:rsidRPr="00D465CB">
              <w:t>Address</w:t>
            </w:r>
          </w:p>
          <w:p w14:paraId="453DD80A" w14:textId="77777777" w:rsidR="00AE74DD" w:rsidRPr="00D465CB" w:rsidRDefault="00AE74DD" w:rsidP="00335134">
            <w:pPr>
              <w:pStyle w:val="TableBullet"/>
              <w:cnfStyle w:val="000000000000" w:firstRow="0" w:lastRow="0" w:firstColumn="0" w:lastColumn="0" w:oddVBand="0" w:evenVBand="0" w:oddHBand="0" w:evenHBand="0" w:firstRowFirstColumn="0" w:firstRowLastColumn="0" w:lastRowFirstColumn="0" w:lastRowLastColumn="0"/>
            </w:pPr>
            <w:r w:rsidRPr="00D465CB">
              <w:t>Contact person</w:t>
            </w:r>
          </w:p>
          <w:p w14:paraId="7095DB83" w14:textId="77777777" w:rsidR="00AE74DD" w:rsidRPr="00D465CB" w:rsidRDefault="00AE74DD" w:rsidP="00335134">
            <w:pPr>
              <w:pStyle w:val="TableBullet"/>
              <w:cnfStyle w:val="000000000000" w:firstRow="0" w:lastRow="0" w:firstColumn="0" w:lastColumn="0" w:oddVBand="0" w:evenVBand="0" w:oddHBand="0" w:evenHBand="0" w:firstRowFirstColumn="0" w:firstRowLastColumn="0" w:lastRowFirstColumn="0" w:lastRowLastColumn="0"/>
              <w:rPr>
                <w:lang w:eastAsia="en-US"/>
              </w:rPr>
            </w:pPr>
            <w:r w:rsidRPr="00D465CB">
              <w:t>ABN/ACN</w:t>
            </w:r>
          </w:p>
        </w:tc>
        <w:tc>
          <w:tcPr>
            <w:tcW w:w="2614" w:type="dxa"/>
          </w:tcPr>
          <w:p w14:paraId="40131AC3" w14:textId="77777777" w:rsidR="00AE74DD" w:rsidRPr="00D465CB" w:rsidRDefault="00AE74DD" w:rsidP="00AE74DD">
            <w:pPr>
              <w:pStyle w:val="TableBullet"/>
              <w:spacing w:before="60" w:after="60"/>
              <w:ind w:left="0" w:firstLine="0"/>
              <w:cnfStyle w:val="000000000000" w:firstRow="0" w:lastRow="0" w:firstColumn="0" w:lastColumn="0" w:oddVBand="0" w:evenVBand="0" w:oddHBand="0" w:evenHBand="0" w:firstRowFirstColumn="0" w:firstRowLastColumn="0" w:lastRowFirstColumn="0" w:lastRowLastColumn="0"/>
            </w:pPr>
            <w:r w:rsidRPr="00D465CB">
              <w:t>Business name</w:t>
            </w:r>
          </w:p>
          <w:p w14:paraId="37F69384" w14:textId="77777777" w:rsidR="00AE74DD" w:rsidRPr="00D465CB" w:rsidRDefault="00AE74DD" w:rsidP="00335134">
            <w:pPr>
              <w:pStyle w:val="TableBullet"/>
              <w:cnfStyle w:val="000000000000" w:firstRow="0" w:lastRow="0" w:firstColumn="0" w:lastColumn="0" w:oddVBand="0" w:evenVBand="0" w:oddHBand="0" w:evenHBand="0" w:firstRowFirstColumn="0" w:firstRowLastColumn="0" w:lastRowFirstColumn="0" w:lastRowLastColumn="0"/>
            </w:pPr>
            <w:r w:rsidRPr="00D465CB">
              <w:t>Address and office location(s)</w:t>
            </w:r>
          </w:p>
          <w:p w14:paraId="0985FF48" w14:textId="77777777" w:rsidR="00AE74DD" w:rsidRPr="00D465CB" w:rsidRDefault="00AE74DD" w:rsidP="00335134">
            <w:pPr>
              <w:pStyle w:val="TableBullet"/>
              <w:cnfStyle w:val="000000000000" w:firstRow="0" w:lastRow="0" w:firstColumn="0" w:lastColumn="0" w:oddVBand="0" w:evenVBand="0" w:oddHBand="0" w:evenHBand="0" w:firstRowFirstColumn="0" w:firstRowLastColumn="0" w:lastRowFirstColumn="0" w:lastRowLastColumn="0"/>
            </w:pPr>
            <w:r w:rsidRPr="00D465CB">
              <w:t>Contact person and contact details</w:t>
            </w:r>
          </w:p>
          <w:p w14:paraId="749F15D7" w14:textId="77777777" w:rsidR="00AE74DD" w:rsidRPr="00D465CB" w:rsidRDefault="00AE74DD" w:rsidP="00335134">
            <w:pPr>
              <w:pStyle w:val="TableBullet"/>
              <w:cnfStyle w:val="000000000000" w:firstRow="0" w:lastRow="0" w:firstColumn="0" w:lastColumn="0" w:oddVBand="0" w:evenVBand="0" w:oddHBand="0" w:evenHBand="0" w:firstRowFirstColumn="0" w:firstRowLastColumn="0" w:lastRowFirstColumn="0" w:lastRowLastColumn="0"/>
            </w:pPr>
            <w:r w:rsidRPr="00D465CB">
              <w:t>ABN/ACN</w:t>
            </w:r>
          </w:p>
        </w:tc>
        <w:tc>
          <w:tcPr>
            <w:tcW w:w="3570" w:type="dxa"/>
          </w:tcPr>
          <w:p w14:paraId="1615CB26" w14:textId="464859F3" w:rsidR="00AE74DD" w:rsidRPr="00AE74DD" w:rsidRDefault="00AE74DD" w:rsidP="00AE74DD">
            <w:pPr>
              <w:pStyle w:val="TableTextBold"/>
              <w:spacing w:before="60" w:after="60"/>
              <w:cnfStyle w:val="000000000000" w:firstRow="0" w:lastRow="0" w:firstColumn="0" w:lastColumn="0" w:oddVBand="0" w:evenVBand="0" w:oddHBand="0" w:evenHBand="0" w:firstRowFirstColumn="0" w:firstRowLastColumn="0" w:lastRowFirstColumn="0" w:lastRowLastColumn="0"/>
              <w:rPr>
                <w:b w:val="0"/>
                <w:sz w:val="20"/>
                <w:szCs w:val="20"/>
              </w:rPr>
            </w:pPr>
            <w:r w:rsidRPr="00AE74DD">
              <w:rPr>
                <w:b w:val="0"/>
                <w:sz w:val="20"/>
                <w:szCs w:val="20"/>
              </w:rPr>
              <w:t>As per leveraged, plus:</w:t>
            </w:r>
          </w:p>
          <w:p w14:paraId="5D1F35F6" w14:textId="77777777" w:rsidR="00AE74DD" w:rsidRPr="00D465CB" w:rsidRDefault="00AE74DD" w:rsidP="00335134">
            <w:pPr>
              <w:pStyle w:val="TableBullet"/>
              <w:cnfStyle w:val="000000000000" w:firstRow="0" w:lastRow="0" w:firstColumn="0" w:lastColumn="0" w:oddVBand="0" w:evenVBand="0" w:oddHBand="0" w:evenHBand="0" w:firstRowFirstColumn="0" w:firstRowLastColumn="0" w:lastRowFirstColumn="0" w:lastRowLastColumn="0"/>
            </w:pPr>
            <w:r w:rsidRPr="00D465CB">
              <w:t>Relationship between parent and local company (legal/operational)</w:t>
            </w:r>
          </w:p>
          <w:p w14:paraId="1166114F" w14:textId="77777777" w:rsidR="00AE74DD" w:rsidRPr="00D465CB" w:rsidRDefault="00AE74DD" w:rsidP="00335134">
            <w:pPr>
              <w:pStyle w:val="TableBullet"/>
              <w:cnfStyle w:val="000000000000" w:firstRow="0" w:lastRow="0" w:firstColumn="0" w:lastColumn="0" w:oddVBand="0" w:evenVBand="0" w:oddHBand="0" w:evenHBand="0" w:firstRowFirstColumn="0" w:firstRowLastColumn="0" w:lastRowFirstColumn="0" w:lastRowLastColumn="0"/>
            </w:pPr>
            <w:r w:rsidRPr="00D465CB">
              <w:t>Subsidiary business relationships/trust arrangements</w:t>
            </w:r>
          </w:p>
          <w:p w14:paraId="13B2CF9B" w14:textId="77777777" w:rsidR="00AE74DD" w:rsidRPr="00D465CB" w:rsidRDefault="00AE74DD" w:rsidP="00335134">
            <w:pPr>
              <w:pStyle w:val="TableBullet"/>
              <w:cnfStyle w:val="000000000000" w:firstRow="0" w:lastRow="0" w:firstColumn="0" w:lastColumn="0" w:oddVBand="0" w:evenVBand="0" w:oddHBand="0" w:evenHBand="0" w:firstRowFirstColumn="0" w:firstRowLastColumn="0" w:lastRowFirstColumn="0" w:lastRowLastColumn="0"/>
            </w:pPr>
            <w:r w:rsidRPr="00D465CB">
              <w:t>Legal entity references</w:t>
            </w:r>
          </w:p>
          <w:p w14:paraId="4DD320DC" w14:textId="77777777" w:rsidR="00AE74DD" w:rsidRPr="00D465CB" w:rsidRDefault="00AE74DD" w:rsidP="00335134">
            <w:pPr>
              <w:pStyle w:val="TableBullet"/>
              <w:cnfStyle w:val="000000000000" w:firstRow="0" w:lastRow="0" w:firstColumn="0" w:lastColumn="0" w:oddVBand="0" w:evenVBand="0" w:oddHBand="0" w:evenHBand="0" w:firstRowFirstColumn="0" w:firstRowLastColumn="0" w:lastRowFirstColumn="0" w:lastRowLastColumn="0"/>
            </w:pPr>
            <w:r w:rsidRPr="00D465CB">
              <w:t>Company philosophy/objectives/mission statement</w:t>
            </w:r>
          </w:p>
          <w:p w14:paraId="37A07090" w14:textId="77777777" w:rsidR="00AE74DD" w:rsidRPr="00D465CB" w:rsidRDefault="00AE74DD" w:rsidP="00AE74DD">
            <w:pPr>
              <w:pStyle w:val="TableBullet"/>
              <w:spacing w:after="60"/>
              <w:cnfStyle w:val="000000000000" w:firstRow="0" w:lastRow="0" w:firstColumn="0" w:lastColumn="0" w:oddVBand="0" w:evenVBand="0" w:oddHBand="0" w:evenHBand="0" w:firstRowFirstColumn="0" w:firstRowLastColumn="0" w:lastRowFirstColumn="0" w:lastRowLastColumn="0"/>
            </w:pPr>
            <w:r w:rsidRPr="00D465CB">
              <w:t>Annual reports (min. two years)</w:t>
            </w:r>
          </w:p>
        </w:tc>
      </w:tr>
      <w:tr w:rsidR="00AE74DD" w:rsidRPr="00D465CB" w14:paraId="713D8B3D" w14:textId="77777777" w:rsidTr="0033513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4" w:type="dxa"/>
          </w:tcPr>
          <w:p w14:paraId="41E137BB" w14:textId="77777777" w:rsidR="00AE74DD" w:rsidRPr="00D465CB" w:rsidRDefault="00AE74DD" w:rsidP="00335134">
            <w:pPr>
              <w:pStyle w:val="TableText"/>
              <w:rPr>
                <w:color w:val="auto"/>
                <w:lang w:eastAsia="en-US"/>
              </w:rPr>
            </w:pPr>
            <w:r w:rsidRPr="00D465CB">
              <w:rPr>
                <w:color w:val="auto"/>
                <w:lang w:eastAsia="en-US"/>
              </w:rPr>
              <w:t>Technical Capability</w:t>
            </w:r>
          </w:p>
        </w:tc>
        <w:tc>
          <w:tcPr>
            <w:tcW w:w="1890" w:type="dxa"/>
          </w:tcPr>
          <w:p w14:paraId="7823C929" w14:textId="77777777" w:rsidR="00AE74DD" w:rsidRPr="00D465CB" w:rsidRDefault="00AE74DD" w:rsidP="00AE74DD">
            <w:pPr>
              <w:pStyle w:val="TableBullet"/>
              <w:spacing w:before="60" w:after="60"/>
              <w:ind w:left="0" w:firstLine="0"/>
              <w:cnfStyle w:val="000000010000" w:firstRow="0" w:lastRow="0" w:firstColumn="0" w:lastColumn="0" w:oddVBand="0" w:evenVBand="0" w:oddHBand="0" w:evenHBand="1" w:firstRowFirstColumn="0" w:firstRowLastColumn="0" w:lastRowFirstColumn="0" w:lastRowLastColumn="0"/>
              <w:rPr>
                <w:lang w:eastAsia="en-US"/>
              </w:rPr>
            </w:pPr>
            <w:r w:rsidRPr="00D465CB">
              <w:t>Market sector(s) ability to supply</w:t>
            </w:r>
          </w:p>
        </w:tc>
        <w:tc>
          <w:tcPr>
            <w:tcW w:w="2614" w:type="dxa"/>
          </w:tcPr>
          <w:p w14:paraId="0FE92DFF" w14:textId="77777777" w:rsidR="00AE74DD" w:rsidRPr="00D465CB" w:rsidRDefault="00AE74DD" w:rsidP="00AE74DD">
            <w:pPr>
              <w:pStyle w:val="TableBullet"/>
              <w:spacing w:before="60" w:after="60"/>
              <w:ind w:left="0" w:firstLine="0"/>
              <w:cnfStyle w:val="000000010000" w:firstRow="0" w:lastRow="0" w:firstColumn="0" w:lastColumn="0" w:oddVBand="0" w:evenVBand="0" w:oddHBand="0" w:evenHBand="1" w:firstRowFirstColumn="0" w:firstRowLastColumn="0" w:lastRowFirstColumn="0" w:lastRowLastColumn="0"/>
            </w:pPr>
            <w:r w:rsidRPr="00D465CB">
              <w:t>Market sector(s) ability to supply</w:t>
            </w:r>
          </w:p>
          <w:p w14:paraId="7F964C1A" w14:textId="77777777" w:rsidR="00AE74DD" w:rsidRPr="00D465CB" w:rsidRDefault="00AE74DD" w:rsidP="00335134">
            <w:pPr>
              <w:pStyle w:val="TableBullet"/>
              <w:cnfStyle w:val="000000010000" w:firstRow="0" w:lastRow="0" w:firstColumn="0" w:lastColumn="0" w:oddVBand="0" w:evenVBand="0" w:oddHBand="0" w:evenHBand="1" w:firstRowFirstColumn="0" w:firstRowLastColumn="0" w:lastRowFirstColumn="0" w:lastRowLastColumn="0"/>
            </w:pPr>
            <w:r w:rsidRPr="00D465CB">
              <w:t>Past experience of relevance</w:t>
            </w:r>
          </w:p>
        </w:tc>
        <w:tc>
          <w:tcPr>
            <w:tcW w:w="3570" w:type="dxa"/>
          </w:tcPr>
          <w:p w14:paraId="43F271B0" w14:textId="60AF9358" w:rsidR="00AE74DD" w:rsidRPr="00D465CB" w:rsidRDefault="00AE74DD" w:rsidP="00335134">
            <w:pPr>
              <w:pStyle w:val="TableText"/>
              <w:cnfStyle w:val="000000010000" w:firstRow="0" w:lastRow="0" w:firstColumn="0" w:lastColumn="0" w:oddVBand="0" w:evenVBand="0" w:oddHBand="0" w:evenHBand="1" w:firstRowFirstColumn="0" w:firstRowLastColumn="0" w:lastRowFirstColumn="0" w:lastRowLastColumn="0"/>
            </w:pPr>
            <w:r w:rsidRPr="00D465CB">
              <w:t>As per leveraged, plus:</w:t>
            </w:r>
          </w:p>
          <w:p w14:paraId="47004AAC" w14:textId="77777777" w:rsidR="00AE74DD" w:rsidRPr="00D465CB" w:rsidRDefault="00AE74DD" w:rsidP="00335134">
            <w:pPr>
              <w:pStyle w:val="TableBullet"/>
              <w:cnfStyle w:val="000000010000" w:firstRow="0" w:lastRow="0" w:firstColumn="0" w:lastColumn="0" w:oddVBand="0" w:evenVBand="0" w:oddHBand="0" w:evenHBand="1" w:firstRowFirstColumn="0" w:firstRowLastColumn="0" w:lastRowFirstColumn="0" w:lastRowLastColumn="0"/>
            </w:pPr>
            <w:r w:rsidRPr="00D465CB">
              <w:t>Performance/deliverables associated with relevant experience</w:t>
            </w:r>
          </w:p>
        </w:tc>
      </w:tr>
      <w:tr w:rsidR="00AE74DD" w:rsidRPr="00D465CB" w14:paraId="017C1052" w14:textId="77777777" w:rsidTr="00335134">
        <w:tc>
          <w:tcPr>
            <w:cnfStyle w:val="001000000000" w:firstRow="0" w:lastRow="0" w:firstColumn="1" w:lastColumn="0" w:oddVBand="0" w:evenVBand="0" w:oddHBand="0" w:evenHBand="0" w:firstRowFirstColumn="0" w:firstRowLastColumn="0" w:lastRowFirstColumn="0" w:lastRowLastColumn="0"/>
            <w:tcW w:w="1724" w:type="dxa"/>
          </w:tcPr>
          <w:p w14:paraId="61138C6F" w14:textId="77777777" w:rsidR="00AE74DD" w:rsidRPr="00D465CB" w:rsidRDefault="00AE74DD" w:rsidP="00335134">
            <w:pPr>
              <w:pStyle w:val="TableText"/>
              <w:rPr>
                <w:color w:val="auto"/>
                <w:lang w:eastAsia="en-US"/>
              </w:rPr>
            </w:pPr>
            <w:r w:rsidRPr="00D465CB">
              <w:rPr>
                <w:color w:val="auto"/>
                <w:lang w:eastAsia="en-US"/>
              </w:rPr>
              <w:t>Financial capability</w:t>
            </w:r>
          </w:p>
        </w:tc>
        <w:tc>
          <w:tcPr>
            <w:tcW w:w="1890" w:type="dxa"/>
          </w:tcPr>
          <w:p w14:paraId="45FF601B" w14:textId="77777777" w:rsidR="00AE74DD" w:rsidRPr="00D465CB" w:rsidRDefault="00AE74DD" w:rsidP="00335134">
            <w:pPr>
              <w:cnfStyle w:val="000000000000" w:firstRow="0" w:lastRow="0" w:firstColumn="0" w:lastColumn="0" w:oddVBand="0" w:evenVBand="0" w:oddHBand="0" w:evenHBand="0" w:firstRowFirstColumn="0" w:firstRowLastColumn="0" w:lastRowFirstColumn="0" w:lastRowLastColumn="0"/>
              <w:rPr>
                <w:sz w:val="18"/>
                <w:szCs w:val="18"/>
                <w:lang w:eastAsia="en-US"/>
              </w:rPr>
            </w:pPr>
          </w:p>
        </w:tc>
        <w:tc>
          <w:tcPr>
            <w:tcW w:w="2614" w:type="dxa"/>
          </w:tcPr>
          <w:p w14:paraId="7116C738" w14:textId="77777777" w:rsidR="00AE74DD" w:rsidRPr="00D465CB" w:rsidRDefault="00AE74DD" w:rsidP="00AE74DD">
            <w:pPr>
              <w:pStyle w:val="TableBullet"/>
              <w:spacing w:before="60" w:after="60"/>
              <w:ind w:left="0" w:firstLine="0"/>
              <w:cnfStyle w:val="000000000000" w:firstRow="0" w:lastRow="0" w:firstColumn="0" w:lastColumn="0" w:oddVBand="0" w:evenVBand="0" w:oddHBand="0" w:evenHBand="0" w:firstRowFirstColumn="0" w:firstRowLastColumn="0" w:lastRowFirstColumn="0" w:lastRowLastColumn="0"/>
            </w:pPr>
            <w:r w:rsidRPr="00D465CB">
              <w:t>Insurances</w:t>
            </w:r>
          </w:p>
          <w:p w14:paraId="11E5A044" w14:textId="77777777" w:rsidR="00AE74DD" w:rsidRPr="00D465CB" w:rsidRDefault="00AE74DD" w:rsidP="00335134">
            <w:pPr>
              <w:pStyle w:val="TableBullet"/>
              <w:cnfStyle w:val="000000000000" w:firstRow="0" w:lastRow="0" w:firstColumn="0" w:lastColumn="0" w:oddVBand="0" w:evenVBand="0" w:oddHBand="0" w:evenHBand="0" w:firstRowFirstColumn="0" w:firstRowLastColumn="0" w:lastRowFirstColumn="0" w:lastRowLastColumn="0"/>
            </w:pPr>
            <w:r w:rsidRPr="00D465CB">
              <w:t>Financial viability</w:t>
            </w:r>
          </w:p>
        </w:tc>
        <w:tc>
          <w:tcPr>
            <w:tcW w:w="3570" w:type="dxa"/>
          </w:tcPr>
          <w:p w14:paraId="3141F9FD" w14:textId="77777777" w:rsidR="00AE74DD" w:rsidRPr="00D465CB" w:rsidRDefault="00AE74DD" w:rsidP="00335134">
            <w:pPr>
              <w:pStyle w:val="TableText"/>
              <w:cnfStyle w:val="000000000000" w:firstRow="0" w:lastRow="0" w:firstColumn="0" w:lastColumn="0" w:oddVBand="0" w:evenVBand="0" w:oddHBand="0" w:evenHBand="0" w:firstRowFirstColumn="0" w:firstRowLastColumn="0" w:lastRowFirstColumn="0" w:lastRowLastColumn="0"/>
            </w:pPr>
            <w:r w:rsidRPr="00D465CB">
              <w:t xml:space="preserve">As per leveraged, plus: </w:t>
            </w:r>
          </w:p>
          <w:p w14:paraId="4B203BF9" w14:textId="77777777" w:rsidR="00AE74DD" w:rsidRPr="00D465CB" w:rsidRDefault="00AE74DD" w:rsidP="00335134">
            <w:pPr>
              <w:pStyle w:val="TableBullet"/>
              <w:cnfStyle w:val="000000000000" w:firstRow="0" w:lastRow="0" w:firstColumn="0" w:lastColumn="0" w:oddVBand="0" w:evenVBand="0" w:oddHBand="0" w:evenHBand="0" w:firstRowFirstColumn="0" w:firstRowLastColumn="0" w:lastRowFirstColumn="0" w:lastRowLastColumn="0"/>
            </w:pPr>
            <w:r w:rsidRPr="00D465CB">
              <w:t>Financial health-check information, financial details, financial viability/status reports by external services, audit reports, liabilities, funding facilities (borrowing capacity), trading performance</w:t>
            </w:r>
          </w:p>
          <w:p w14:paraId="2EA989DD" w14:textId="77777777" w:rsidR="00AE74DD" w:rsidRPr="00D465CB" w:rsidRDefault="00AE74DD" w:rsidP="00335134">
            <w:pPr>
              <w:pStyle w:val="TableBullet"/>
              <w:cnfStyle w:val="000000000000" w:firstRow="0" w:lastRow="0" w:firstColumn="0" w:lastColumn="0" w:oddVBand="0" w:evenVBand="0" w:oddHBand="0" w:evenHBand="0" w:firstRowFirstColumn="0" w:firstRowLastColumn="0" w:lastRowFirstColumn="0" w:lastRowLastColumn="0"/>
            </w:pPr>
            <w:r w:rsidRPr="00D465CB">
              <w:t xml:space="preserve">Insurance details </w:t>
            </w:r>
          </w:p>
          <w:p w14:paraId="391AA4EC" w14:textId="77777777" w:rsidR="00AE74DD" w:rsidRPr="00D465CB" w:rsidRDefault="00AE74DD" w:rsidP="00335134">
            <w:pPr>
              <w:pStyle w:val="TableBullet"/>
              <w:cnfStyle w:val="000000000000" w:firstRow="0" w:lastRow="0" w:firstColumn="0" w:lastColumn="0" w:oddVBand="0" w:evenVBand="0" w:oddHBand="0" w:evenHBand="0" w:firstRowFirstColumn="0" w:firstRowLastColumn="0" w:lastRowFirstColumn="0" w:lastRowLastColumn="0"/>
            </w:pPr>
            <w:r w:rsidRPr="00D465CB">
              <w:t>Operating details for three-year period</w:t>
            </w:r>
          </w:p>
          <w:p w14:paraId="4E35D012" w14:textId="77777777" w:rsidR="00AE74DD" w:rsidRPr="00D465CB" w:rsidRDefault="00AE74DD" w:rsidP="00AE74DD">
            <w:pPr>
              <w:pStyle w:val="TableBullet"/>
              <w:spacing w:after="60"/>
              <w:cnfStyle w:val="000000000000" w:firstRow="0" w:lastRow="0" w:firstColumn="0" w:lastColumn="0" w:oddVBand="0" w:evenVBand="0" w:oddHBand="0" w:evenHBand="0" w:firstRowFirstColumn="0" w:firstRowLastColumn="0" w:lastRowFirstColumn="0" w:lastRowLastColumn="0"/>
            </w:pPr>
            <w:r w:rsidRPr="00D465CB">
              <w:t>Any legal action/liquidation/</w:t>
            </w:r>
            <w:r>
              <w:t xml:space="preserve"> </w:t>
            </w:r>
            <w:r w:rsidRPr="00D465CB">
              <w:t>administration/disputes</w:t>
            </w:r>
          </w:p>
        </w:tc>
      </w:tr>
      <w:tr w:rsidR="00AE74DD" w:rsidRPr="00D465CB" w14:paraId="1707C8A7" w14:textId="77777777" w:rsidTr="0033513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4" w:type="dxa"/>
          </w:tcPr>
          <w:p w14:paraId="0F8ABBBC" w14:textId="77777777" w:rsidR="00AE74DD" w:rsidRPr="00D465CB" w:rsidRDefault="00AE74DD" w:rsidP="00335134">
            <w:pPr>
              <w:pStyle w:val="TableText"/>
              <w:rPr>
                <w:color w:val="auto"/>
                <w:lang w:eastAsia="en-US"/>
              </w:rPr>
            </w:pPr>
            <w:r w:rsidRPr="00D465CB">
              <w:rPr>
                <w:color w:val="auto"/>
                <w:lang w:eastAsia="en-US"/>
              </w:rPr>
              <w:t>Management and staff capability</w:t>
            </w:r>
          </w:p>
        </w:tc>
        <w:tc>
          <w:tcPr>
            <w:tcW w:w="1890" w:type="dxa"/>
          </w:tcPr>
          <w:p w14:paraId="5850D9A3" w14:textId="77777777" w:rsidR="00AE74DD" w:rsidRPr="00D465CB" w:rsidRDefault="00AE74DD" w:rsidP="00335134">
            <w:pPr>
              <w:cnfStyle w:val="000000010000" w:firstRow="0" w:lastRow="0" w:firstColumn="0" w:lastColumn="0" w:oddVBand="0" w:evenVBand="0" w:oddHBand="0" w:evenHBand="1" w:firstRowFirstColumn="0" w:firstRowLastColumn="0" w:lastRowFirstColumn="0" w:lastRowLastColumn="0"/>
              <w:rPr>
                <w:sz w:val="18"/>
                <w:szCs w:val="18"/>
                <w:lang w:eastAsia="en-US"/>
              </w:rPr>
            </w:pPr>
          </w:p>
        </w:tc>
        <w:tc>
          <w:tcPr>
            <w:tcW w:w="2614" w:type="dxa"/>
          </w:tcPr>
          <w:p w14:paraId="30BA2C5A" w14:textId="77777777" w:rsidR="00AE74DD" w:rsidRPr="00D465CB" w:rsidRDefault="00AE74DD" w:rsidP="00AE74DD">
            <w:pPr>
              <w:pStyle w:val="TableBullet"/>
              <w:spacing w:before="60" w:after="60"/>
              <w:ind w:left="0" w:firstLine="0"/>
              <w:cnfStyle w:val="000000010000" w:firstRow="0" w:lastRow="0" w:firstColumn="0" w:lastColumn="0" w:oddVBand="0" w:evenVBand="0" w:oddHBand="0" w:evenHBand="1" w:firstRowFirstColumn="0" w:firstRowLastColumn="0" w:lastRowFirstColumn="0" w:lastRowLastColumn="0"/>
            </w:pPr>
            <w:r w:rsidRPr="00D465CB">
              <w:t>Management structure</w:t>
            </w:r>
          </w:p>
          <w:p w14:paraId="71444AAA" w14:textId="77777777" w:rsidR="00AE74DD" w:rsidRPr="00D465CB" w:rsidRDefault="00AE74DD" w:rsidP="00335134">
            <w:pPr>
              <w:pStyle w:val="TableBullet"/>
              <w:cnfStyle w:val="000000010000" w:firstRow="0" w:lastRow="0" w:firstColumn="0" w:lastColumn="0" w:oddVBand="0" w:evenVBand="0" w:oddHBand="0" w:evenHBand="1" w:firstRowFirstColumn="0" w:firstRowLastColumn="0" w:lastRowFirstColumn="0" w:lastRowLastColumn="0"/>
            </w:pPr>
            <w:r w:rsidRPr="00D465CB">
              <w:t>Key personnel and roles</w:t>
            </w:r>
          </w:p>
          <w:p w14:paraId="63F15105" w14:textId="77777777" w:rsidR="00AE74DD" w:rsidRPr="00D465CB" w:rsidRDefault="00AE74DD" w:rsidP="00335134">
            <w:pPr>
              <w:pStyle w:val="TableBullet"/>
              <w:cnfStyle w:val="000000010000" w:firstRow="0" w:lastRow="0" w:firstColumn="0" w:lastColumn="0" w:oddVBand="0" w:evenVBand="0" w:oddHBand="0" w:evenHBand="1" w:firstRowFirstColumn="0" w:firstRowLastColumn="0" w:lastRowFirstColumn="0" w:lastRowLastColumn="0"/>
            </w:pPr>
            <w:r w:rsidRPr="00D465CB">
              <w:t>Workplace stability</w:t>
            </w:r>
          </w:p>
          <w:p w14:paraId="3BBE10FF" w14:textId="77777777" w:rsidR="00AE74DD" w:rsidRPr="00D465CB" w:rsidRDefault="00AE74DD" w:rsidP="00335134">
            <w:pPr>
              <w:pStyle w:val="TableBullet"/>
              <w:cnfStyle w:val="000000010000" w:firstRow="0" w:lastRow="0" w:firstColumn="0" w:lastColumn="0" w:oddVBand="0" w:evenVBand="0" w:oddHBand="0" w:evenHBand="1" w:firstRowFirstColumn="0" w:firstRowLastColumn="0" w:lastRowFirstColumn="0" w:lastRowLastColumn="0"/>
            </w:pPr>
            <w:r w:rsidRPr="00D465CB">
              <w:t>Business directions</w:t>
            </w:r>
          </w:p>
        </w:tc>
        <w:tc>
          <w:tcPr>
            <w:tcW w:w="3570" w:type="dxa"/>
          </w:tcPr>
          <w:p w14:paraId="059EDADC" w14:textId="4AB48F87" w:rsidR="00AE74DD" w:rsidRPr="00D465CB" w:rsidRDefault="00AE74DD" w:rsidP="00335134">
            <w:pPr>
              <w:pStyle w:val="TableText"/>
              <w:cnfStyle w:val="000000010000" w:firstRow="0" w:lastRow="0" w:firstColumn="0" w:lastColumn="0" w:oddVBand="0" w:evenVBand="0" w:oddHBand="0" w:evenHBand="1" w:firstRowFirstColumn="0" w:firstRowLastColumn="0" w:lastRowFirstColumn="0" w:lastRowLastColumn="0"/>
            </w:pPr>
            <w:r w:rsidRPr="00D465CB">
              <w:t>As per leveraged, plus:</w:t>
            </w:r>
          </w:p>
          <w:p w14:paraId="3A3EE3B1" w14:textId="77777777" w:rsidR="00AE74DD" w:rsidRPr="00D465CB" w:rsidRDefault="00AE74DD" w:rsidP="00335134">
            <w:pPr>
              <w:pStyle w:val="TableBullet"/>
              <w:cnfStyle w:val="000000010000" w:firstRow="0" w:lastRow="0" w:firstColumn="0" w:lastColumn="0" w:oddVBand="0" w:evenVBand="0" w:oddHBand="0" w:evenHBand="1" w:firstRowFirstColumn="0" w:firstRowLastColumn="0" w:lastRowFirstColumn="0" w:lastRowLastColumn="0"/>
            </w:pPr>
            <w:r w:rsidRPr="00D465CB">
              <w:t>Management structure/systems</w:t>
            </w:r>
          </w:p>
          <w:p w14:paraId="19B1D8DE" w14:textId="77777777" w:rsidR="00AE74DD" w:rsidRPr="00D465CB" w:rsidRDefault="00AE74DD" w:rsidP="00335134">
            <w:pPr>
              <w:pStyle w:val="TableBullet"/>
              <w:cnfStyle w:val="000000010000" w:firstRow="0" w:lastRow="0" w:firstColumn="0" w:lastColumn="0" w:oddVBand="0" w:evenVBand="0" w:oddHBand="0" w:evenHBand="1" w:firstRowFirstColumn="0" w:firstRowLastColumn="0" w:lastRowFirstColumn="0" w:lastRowLastColumn="0"/>
            </w:pPr>
            <w:r w:rsidRPr="00D465CB">
              <w:t>Key personnel qualifications/experience</w:t>
            </w:r>
          </w:p>
          <w:p w14:paraId="56D96EC6" w14:textId="77777777" w:rsidR="00AE74DD" w:rsidRPr="00D465CB" w:rsidRDefault="00AE74DD" w:rsidP="00335134">
            <w:pPr>
              <w:pStyle w:val="TableBullet"/>
              <w:cnfStyle w:val="000000010000" w:firstRow="0" w:lastRow="0" w:firstColumn="0" w:lastColumn="0" w:oddVBand="0" w:evenVBand="0" w:oddHBand="0" w:evenHBand="1" w:firstRowFirstColumn="0" w:firstRowLastColumn="0" w:lastRowFirstColumn="0" w:lastRowLastColumn="0"/>
            </w:pPr>
            <w:r w:rsidRPr="00D465CB">
              <w:t>Professional development programs</w:t>
            </w:r>
          </w:p>
          <w:p w14:paraId="6E7B8F9F" w14:textId="77777777" w:rsidR="00AE74DD" w:rsidRPr="00D465CB" w:rsidRDefault="00AE74DD" w:rsidP="00335134">
            <w:pPr>
              <w:pStyle w:val="TableBullet"/>
              <w:cnfStyle w:val="000000010000" w:firstRow="0" w:lastRow="0" w:firstColumn="0" w:lastColumn="0" w:oddVBand="0" w:evenVBand="0" w:oddHBand="0" w:evenHBand="1" w:firstRowFirstColumn="0" w:firstRowLastColumn="0" w:lastRowFirstColumn="0" w:lastRowLastColumn="0"/>
            </w:pPr>
            <w:r w:rsidRPr="00D465CB">
              <w:t>Workload information</w:t>
            </w:r>
          </w:p>
          <w:p w14:paraId="1541C3F8" w14:textId="77777777" w:rsidR="00AE74DD" w:rsidRPr="00D465CB" w:rsidRDefault="00AE74DD" w:rsidP="00AE74DD">
            <w:pPr>
              <w:pStyle w:val="TableBullet"/>
              <w:spacing w:after="60"/>
              <w:cnfStyle w:val="000000010000" w:firstRow="0" w:lastRow="0" w:firstColumn="0" w:lastColumn="0" w:oddVBand="0" w:evenVBand="0" w:oddHBand="0" w:evenHBand="1" w:firstRowFirstColumn="0" w:firstRowLastColumn="0" w:lastRowFirstColumn="0" w:lastRowLastColumn="0"/>
            </w:pPr>
            <w:r w:rsidRPr="00D465CB">
              <w:t>Stakeholder management systems</w:t>
            </w:r>
          </w:p>
        </w:tc>
      </w:tr>
      <w:tr w:rsidR="00AE74DD" w:rsidRPr="00D465CB" w14:paraId="50C5A16F" w14:textId="77777777" w:rsidTr="00335134">
        <w:tc>
          <w:tcPr>
            <w:cnfStyle w:val="001000000000" w:firstRow="0" w:lastRow="0" w:firstColumn="1" w:lastColumn="0" w:oddVBand="0" w:evenVBand="0" w:oddHBand="0" w:evenHBand="0" w:firstRowFirstColumn="0" w:firstRowLastColumn="0" w:lastRowFirstColumn="0" w:lastRowLastColumn="0"/>
            <w:tcW w:w="1724" w:type="dxa"/>
          </w:tcPr>
          <w:p w14:paraId="20A9740E" w14:textId="77777777" w:rsidR="00AE74DD" w:rsidRPr="00C47EEE" w:rsidRDefault="00AE74DD" w:rsidP="00335134">
            <w:pPr>
              <w:pStyle w:val="TableText"/>
              <w:rPr>
                <w:szCs w:val="20"/>
                <w:lang w:eastAsia="en-US"/>
              </w:rPr>
            </w:pPr>
            <w:r w:rsidRPr="00F749E4">
              <w:rPr>
                <w:szCs w:val="20"/>
                <w:lang w:eastAsia="en-US"/>
              </w:rPr>
              <w:lastRenderedPageBreak/>
              <w:t>Compliance with the Supplier Code of Conduct</w:t>
            </w:r>
          </w:p>
        </w:tc>
        <w:tc>
          <w:tcPr>
            <w:tcW w:w="1890" w:type="dxa"/>
          </w:tcPr>
          <w:p w14:paraId="1FD5F835" w14:textId="77777777" w:rsidR="00AE74DD" w:rsidRPr="00197283" w:rsidRDefault="00AE74DD" w:rsidP="00AE74DD">
            <w:pPr>
              <w:spacing w:before="60" w:after="60" w:line="240" w:lineRule="auto"/>
              <w:cnfStyle w:val="000000000000" w:firstRow="0" w:lastRow="0" w:firstColumn="0" w:lastColumn="0" w:oddVBand="0" w:evenVBand="0" w:oddHBand="0" w:evenHBand="0" w:firstRowFirstColumn="0" w:firstRowLastColumn="0" w:lastRowFirstColumn="0" w:lastRowLastColumn="0"/>
              <w:rPr>
                <w:sz w:val="20"/>
                <w:szCs w:val="20"/>
                <w:lang w:eastAsia="en-US"/>
              </w:rPr>
            </w:pPr>
            <w:r w:rsidRPr="00197283">
              <w:rPr>
                <w:sz w:val="20"/>
                <w:szCs w:val="20"/>
                <w:lang w:eastAsia="en-US"/>
              </w:rPr>
              <w:t>Meeting minimum ethical standards in</w:t>
            </w:r>
          </w:p>
          <w:p w14:paraId="6E9FC8CA" w14:textId="77777777" w:rsidR="00AE74DD" w:rsidRPr="00197283" w:rsidRDefault="00AE74DD" w:rsidP="00335134">
            <w:pPr>
              <w:pStyle w:val="TableBullet"/>
              <w:cnfStyle w:val="000000000000" w:firstRow="0" w:lastRow="0" w:firstColumn="0" w:lastColumn="0" w:oddVBand="0" w:evenVBand="0" w:oddHBand="0" w:evenHBand="0" w:firstRowFirstColumn="0" w:firstRowLastColumn="0" w:lastRowFirstColumn="0" w:lastRowLastColumn="0"/>
              <w:rPr>
                <w:b/>
                <w:szCs w:val="20"/>
              </w:rPr>
            </w:pPr>
            <w:r w:rsidRPr="00197283">
              <w:rPr>
                <w:szCs w:val="20"/>
              </w:rPr>
              <w:t>Integrity, ethics and conduct</w:t>
            </w:r>
          </w:p>
          <w:p w14:paraId="02E6EECA" w14:textId="77777777" w:rsidR="00AE74DD" w:rsidRPr="00197283" w:rsidRDefault="00AE74DD" w:rsidP="00335134">
            <w:pPr>
              <w:pStyle w:val="TableBullet"/>
              <w:cnfStyle w:val="000000000000" w:firstRow="0" w:lastRow="0" w:firstColumn="0" w:lastColumn="0" w:oddVBand="0" w:evenVBand="0" w:oddHBand="0" w:evenHBand="0" w:firstRowFirstColumn="0" w:firstRowLastColumn="0" w:lastRowFirstColumn="0" w:lastRowLastColumn="0"/>
              <w:rPr>
                <w:b/>
                <w:szCs w:val="20"/>
              </w:rPr>
            </w:pPr>
            <w:r w:rsidRPr="00197283">
              <w:rPr>
                <w:szCs w:val="20"/>
              </w:rPr>
              <w:t>Conflict of interest; gifts, benefits and hospitality</w:t>
            </w:r>
          </w:p>
          <w:p w14:paraId="7063632B" w14:textId="77777777" w:rsidR="00AE74DD" w:rsidRPr="00197283" w:rsidRDefault="00AE74DD" w:rsidP="00335134">
            <w:pPr>
              <w:pStyle w:val="TableBullet"/>
              <w:cnfStyle w:val="000000000000" w:firstRow="0" w:lastRow="0" w:firstColumn="0" w:lastColumn="0" w:oddVBand="0" w:evenVBand="0" w:oddHBand="0" w:evenHBand="0" w:firstRowFirstColumn="0" w:firstRowLastColumn="0" w:lastRowFirstColumn="0" w:lastRowLastColumn="0"/>
              <w:rPr>
                <w:b/>
                <w:szCs w:val="20"/>
              </w:rPr>
            </w:pPr>
            <w:r w:rsidRPr="00197283">
              <w:rPr>
                <w:szCs w:val="20"/>
              </w:rPr>
              <w:t>Corporate governance</w:t>
            </w:r>
          </w:p>
          <w:p w14:paraId="2FE053C6" w14:textId="77777777" w:rsidR="00AE74DD" w:rsidRPr="00197283" w:rsidRDefault="00AE74DD" w:rsidP="00335134">
            <w:pPr>
              <w:pStyle w:val="TableBullet"/>
              <w:cnfStyle w:val="000000000000" w:firstRow="0" w:lastRow="0" w:firstColumn="0" w:lastColumn="0" w:oddVBand="0" w:evenVBand="0" w:oddHBand="0" w:evenHBand="0" w:firstRowFirstColumn="0" w:firstRowLastColumn="0" w:lastRowFirstColumn="0" w:lastRowLastColumn="0"/>
              <w:rPr>
                <w:b/>
                <w:szCs w:val="20"/>
              </w:rPr>
            </w:pPr>
            <w:r w:rsidRPr="00197283">
              <w:rPr>
                <w:szCs w:val="20"/>
              </w:rPr>
              <w:t>Labour and human rights</w:t>
            </w:r>
          </w:p>
          <w:p w14:paraId="4BFA93BE" w14:textId="77777777" w:rsidR="00AE74DD" w:rsidRPr="00197283" w:rsidRDefault="00AE74DD" w:rsidP="00335134">
            <w:pPr>
              <w:pStyle w:val="TableBullet"/>
              <w:cnfStyle w:val="000000000000" w:firstRow="0" w:lastRow="0" w:firstColumn="0" w:lastColumn="0" w:oddVBand="0" w:evenVBand="0" w:oddHBand="0" w:evenHBand="0" w:firstRowFirstColumn="0" w:firstRowLastColumn="0" w:lastRowFirstColumn="0" w:lastRowLastColumn="0"/>
              <w:rPr>
                <w:b/>
                <w:szCs w:val="20"/>
              </w:rPr>
            </w:pPr>
            <w:r w:rsidRPr="00197283">
              <w:rPr>
                <w:szCs w:val="20"/>
              </w:rPr>
              <w:t>Health and safety</w:t>
            </w:r>
          </w:p>
          <w:p w14:paraId="6702BE6E" w14:textId="77777777" w:rsidR="00AE74DD" w:rsidRPr="00197283" w:rsidRDefault="00AE74DD" w:rsidP="00AE74DD">
            <w:pPr>
              <w:pStyle w:val="TableBullet"/>
              <w:spacing w:after="6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Cs/>
                <w:iCs/>
                <w:szCs w:val="20"/>
                <w:lang w:eastAsia="en-US"/>
              </w:rPr>
            </w:pPr>
            <w:r w:rsidRPr="00197283">
              <w:rPr>
                <w:szCs w:val="20"/>
              </w:rPr>
              <w:t>Environmental management</w:t>
            </w:r>
          </w:p>
        </w:tc>
        <w:tc>
          <w:tcPr>
            <w:tcW w:w="2614" w:type="dxa"/>
          </w:tcPr>
          <w:p w14:paraId="6F507D11" w14:textId="77777777" w:rsidR="00AE74DD" w:rsidRPr="00D465CB" w:rsidRDefault="00AE74DD" w:rsidP="00335134">
            <w:pPr>
              <w:pStyle w:val="TableText"/>
              <w:cnfStyle w:val="000000000000" w:firstRow="0" w:lastRow="0" w:firstColumn="0" w:lastColumn="0" w:oddVBand="0" w:evenVBand="0" w:oddHBand="0" w:evenHBand="0" w:firstRowFirstColumn="0" w:firstRowLastColumn="0" w:lastRowFirstColumn="0" w:lastRowLastColumn="0"/>
            </w:pPr>
          </w:p>
        </w:tc>
        <w:tc>
          <w:tcPr>
            <w:tcW w:w="3570" w:type="dxa"/>
          </w:tcPr>
          <w:p w14:paraId="7DDADFB8" w14:textId="77777777" w:rsidR="00AE74DD" w:rsidRPr="00D465CB" w:rsidRDefault="00AE74DD" w:rsidP="00AE74DD">
            <w:pPr>
              <w:pStyle w:val="TableBullet"/>
              <w:spacing w:before="60" w:after="60"/>
              <w:ind w:left="0" w:firstLine="0"/>
              <w:cnfStyle w:val="000000000000" w:firstRow="0" w:lastRow="0" w:firstColumn="0" w:lastColumn="0" w:oddVBand="0" w:evenVBand="0" w:oddHBand="0" w:evenHBand="0" w:firstRowFirstColumn="0" w:firstRowLastColumn="0" w:lastRowFirstColumn="0" w:lastRowLastColumn="0"/>
            </w:pPr>
            <w:r w:rsidRPr="00BE0C7C">
              <w:t>As from 1 July 2017, all new suppliers</w:t>
            </w:r>
            <w:r w:rsidRPr="00DC39C2">
              <w:rPr>
                <w:b/>
              </w:rPr>
              <w:t xml:space="preserve"> </w:t>
            </w:r>
            <w:r w:rsidRPr="00BE0C7C">
              <w:t>are</w:t>
            </w:r>
            <w:r>
              <w:t xml:space="preserve"> expected to commit to comply with the Code.</w:t>
            </w:r>
          </w:p>
        </w:tc>
      </w:tr>
      <w:tr w:rsidR="00AE74DD" w:rsidRPr="00D465CB" w14:paraId="54523860" w14:textId="77777777" w:rsidTr="0033513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4" w:type="dxa"/>
          </w:tcPr>
          <w:p w14:paraId="48CF0873" w14:textId="14032C24" w:rsidR="00AE74DD" w:rsidRPr="00D465CB" w:rsidRDefault="00AE74DD" w:rsidP="00AE74DD">
            <w:pPr>
              <w:pStyle w:val="TableText"/>
              <w:rPr>
                <w:color w:val="auto"/>
                <w:lang w:eastAsia="en-US"/>
              </w:rPr>
            </w:pPr>
            <w:r w:rsidRPr="00D465CB">
              <w:rPr>
                <w:color w:val="auto"/>
                <w:lang w:eastAsia="en-US"/>
              </w:rPr>
              <w:t>Other</w:t>
            </w:r>
          </w:p>
        </w:tc>
        <w:tc>
          <w:tcPr>
            <w:tcW w:w="1890" w:type="dxa"/>
          </w:tcPr>
          <w:p w14:paraId="4983F78C" w14:textId="77777777" w:rsidR="00AE74DD" w:rsidRPr="00D465CB" w:rsidRDefault="00AE74DD" w:rsidP="00335134">
            <w:pPr>
              <w:cnfStyle w:val="000000010000" w:firstRow="0" w:lastRow="0" w:firstColumn="0" w:lastColumn="0" w:oddVBand="0" w:evenVBand="0" w:oddHBand="0" w:evenHBand="1" w:firstRowFirstColumn="0" w:firstRowLastColumn="0" w:lastRowFirstColumn="0" w:lastRowLastColumn="0"/>
              <w:rPr>
                <w:sz w:val="18"/>
                <w:szCs w:val="18"/>
                <w:lang w:eastAsia="en-US"/>
              </w:rPr>
            </w:pPr>
          </w:p>
        </w:tc>
        <w:tc>
          <w:tcPr>
            <w:tcW w:w="2614" w:type="dxa"/>
          </w:tcPr>
          <w:p w14:paraId="66BC928B" w14:textId="77777777" w:rsidR="00AE74DD" w:rsidRPr="00D465CB" w:rsidRDefault="00AE74DD" w:rsidP="00AE74DD">
            <w:pPr>
              <w:pStyle w:val="TableBullet"/>
              <w:spacing w:before="60" w:after="60"/>
              <w:ind w:left="0" w:firstLine="0"/>
              <w:cnfStyle w:val="000000010000" w:firstRow="0" w:lastRow="0" w:firstColumn="0" w:lastColumn="0" w:oddVBand="0" w:evenVBand="0" w:oddHBand="0" w:evenHBand="1" w:firstRowFirstColumn="0" w:firstRowLastColumn="0" w:lastRowFirstColumn="0" w:lastRowLastColumn="0"/>
            </w:pPr>
            <w:r w:rsidRPr="00D465CB">
              <w:t xml:space="preserve">Professional/industry certification </w:t>
            </w:r>
          </w:p>
          <w:p w14:paraId="6B4ED2C8" w14:textId="77777777" w:rsidR="00AE74DD" w:rsidRPr="00D465CB" w:rsidRDefault="00AE74DD" w:rsidP="00335134">
            <w:pPr>
              <w:pStyle w:val="TableBullet"/>
              <w:cnfStyle w:val="000000010000" w:firstRow="0" w:lastRow="0" w:firstColumn="0" w:lastColumn="0" w:oddVBand="0" w:evenVBand="0" w:oddHBand="0" w:evenHBand="1" w:firstRowFirstColumn="0" w:firstRowLastColumn="0" w:lastRowFirstColumn="0" w:lastRowLastColumn="0"/>
            </w:pPr>
            <w:r w:rsidRPr="00D465CB">
              <w:t>Business-related legal claims (past 24 months)</w:t>
            </w:r>
          </w:p>
          <w:p w14:paraId="49F93F43" w14:textId="77777777" w:rsidR="00AE74DD" w:rsidRPr="00D465CB" w:rsidRDefault="00AE74DD" w:rsidP="00335134">
            <w:pPr>
              <w:pStyle w:val="TableBullet"/>
              <w:cnfStyle w:val="000000010000" w:firstRow="0" w:lastRow="0" w:firstColumn="0" w:lastColumn="0" w:oddVBand="0" w:evenVBand="0" w:oddHBand="0" w:evenHBand="1" w:firstRowFirstColumn="0" w:firstRowLastColumn="0" w:lastRowFirstColumn="0" w:lastRowLastColumn="0"/>
            </w:pPr>
            <w:r w:rsidRPr="00D465CB">
              <w:t>Referees</w:t>
            </w:r>
          </w:p>
          <w:p w14:paraId="79FCC9E0" w14:textId="77777777" w:rsidR="00AE74DD" w:rsidRPr="00D465CB" w:rsidRDefault="00AE74DD" w:rsidP="00335134">
            <w:pPr>
              <w:pStyle w:val="TableBullet"/>
              <w:cnfStyle w:val="000000010000" w:firstRow="0" w:lastRow="0" w:firstColumn="0" w:lastColumn="0" w:oddVBand="0" w:evenVBand="0" w:oddHBand="0" w:evenHBand="1" w:firstRowFirstColumn="0" w:firstRowLastColumn="0" w:lastRowFirstColumn="0" w:lastRowLastColumn="0"/>
            </w:pPr>
            <w:r w:rsidRPr="00D465CB">
              <w:t xml:space="preserve">Systems </w:t>
            </w:r>
          </w:p>
          <w:p w14:paraId="71D97CB9" w14:textId="77777777" w:rsidR="00AE74DD" w:rsidRPr="00D465CB" w:rsidRDefault="00AE74DD" w:rsidP="00335134">
            <w:pPr>
              <w:pStyle w:val="TableBullet"/>
              <w:cnfStyle w:val="000000010000" w:firstRow="0" w:lastRow="0" w:firstColumn="0" w:lastColumn="0" w:oddVBand="0" w:evenVBand="0" w:oddHBand="0" w:evenHBand="1" w:firstRowFirstColumn="0" w:firstRowLastColumn="0" w:lastRowFirstColumn="0" w:lastRowLastColumn="0"/>
            </w:pPr>
            <w:r w:rsidRPr="00D465CB">
              <w:t>Acceptance of standard contract terms and conditions</w:t>
            </w:r>
          </w:p>
        </w:tc>
        <w:tc>
          <w:tcPr>
            <w:tcW w:w="3570" w:type="dxa"/>
          </w:tcPr>
          <w:p w14:paraId="3F92CA35" w14:textId="53CCB36F" w:rsidR="00AE74DD" w:rsidRPr="00AE74DD" w:rsidRDefault="00AE74DD" w:rsidP="00AE74DD">
            <w:pPr>
              <w:pStyle w:val="TableTextBold"/>
              <w:spacing w:before="60" w:after="60"/>
              <w:cnfStyle w:val="000000010000" w:firstRow="0" w:lastRow="0" w:firstColumn="0" w:lastColumn="0" w:oddVBand="0" w:evenVBand="0" w:oddHBand="0" w:evenHBand="1" w:firstRowFirstColumn="0" w:firstRowLastColumn="0" w:lastRowFirstColumn="0" w:lastRowLastColumn="0"/>
              <w:rPr>
                <w:b w:val="0"/>
                <w:sz w:val="20"/>
                <w:szCs w:val="20"/>
              </w:rPr>
            </w:pPr>
            <w:r w:rsidRPr="00AE74DD">
              <w:rPr>
                <w:b w:val="0"/>
                <w:sz w:val="20"/>
                <w:szCs w:val="20"/>
              </w:rPr>
              <w:t>As per leveraged, plus:</w:t>
            </w:r>
          </w:p>
          <w:p w14:paraId="7D64169C" w14:textId="77777777" w:rsidR="00AE74DD" w:rsidRPr="00D465CB" w:rsidRDefault="00AE74DD" w:rsidP="00335134">
            <w:pPr>
              <w:pStyle w:val="TableBullet"/>
              <w:cnfStyle w:val="000000010000" w:firstRow="0" w:lastRow="0" w:firstColumn="0" w:lastColumn="0" w:oddVBand="0" w:evenVBand="0" w:oddHBand="0" w:evenHBand="1" w:firstRowFirstColumn="0" w:firstRowLastColumn="0" w:lastRowFirstColumn="0" w:lastRowLastColumn="0"/>
            </w:pPr>
            <w:r w:rsidRPr="00D465CB">
              <w:t>Certification under legislative/regulatory requirements, QA systems, employee relations history, ancillary interests/involvements in industry or service delivery development/environmental performance</w:t>
            </w:r>
          </w:p>
          <w:p w14:paraId="03C46A31" w14:textId="77777777" w:rsidR="00AE74DD" w:rsidRPr="00D465CB" w:rsidRDefault="00AE74DD" w:rsidP="00335134">
            <w:pPr>
              <w:pStyle w:val="TableBullet"/>
              <w:cnfStyle w:val="000000010000" w:firstRow="0" w:lastRow="0" w:firstColumn="0" w:lastColumn="0" w:oddVBand="0" w:evenVBand="0" w:oddHBand="0" w:evenHBand="1" w:firstRowFirstColumn="0" w:firstRowLastColumn="0" w:lastRowFirstColumn="0" w:lastRowLastColumn="0"/>
            </w:pPr>
            <w:r w:rsidRPr="00D465CB">
              <w:t>Documented past performance feedback</w:t>
            </w:r>
          </w:p>
          <w:p w14:paraId="212A95AC" w14:textId="77777777" w:rsidR="00AE74DD" w:rsidRPr="00D465CB" w:rsidRDefault="00AE74DD" w:rsidP="00335134">
            <w:pPr>
              <w:pStyle w:val="TableBullet"/>
              <w:cnfStyle w:val="000000010000" w:firstRow="0" w:lastRow="0" w:firstColumn="0" w:lastColumn="0" w:oddVBand="0" w:evenVBand="0" w:oddHBand="0" w:evenHBand="1" w:firstRowFirstColumn="0" w:firstRowLastColumn="0" w:lastRowFirstColumn="0" w:lastRowLastColumn="0"/>
            </w:pPr>
            <w:r w:rsidRPr="00D465CB">
              <w:t xml:space="preserve">Systems for performance management </w:t>
            </w:r>
          </w:p>
          <w:p w14:paraId="79BC9FFA" w14:textId="0BF311DA" w:rsidR="00AE74DD" w:rsidRPr="00D465CB" w:rsidRDefault="00AE74DD" w:rsidP="00AE74DD">
            <w:pPr>
              <w:pStyle w:val="TableBullet"/>
              <w:spacing w:after="60"/>
              <w:cnfStyle w:val="000000010000" w:firstRow="0" w:lastRow="0" w:firstColumn="0" w:lastColumn="0" w:oddVBand="0" w:evenVBand="0" w:oddHBand="0" w:evenHBand="1" w:firstRowFirstColumn="0" w:firstRowLastColumn="0" w:lastRowFirstColumn="0" w:lastRowLastColumn="0"/>
            </w:pPr>
            <w:r w:rsidRPr="00D465CB">
              <w:t>Business/association memberships/</w:t>
            </w:r>
            <w:r>
              <w:t xml:space="preserve"> </w:t>
            </w:r>
            <w:r w:rsidRPr="00D465CB">
              <w:t>monitoring/reporting</w:t>
            </w:r>
          </w:p>
        </w:tc>
      </w:tr>
    </w:tbl>
    <w:p w14:paraId="7D761572" w14:textId="7678DFF9" w:rsidR="00D465CB" w:rsidRPr="00AE74DD" w:rsidRDefault="00D465CB" w:rsidP="00AE74DD">
      <w:pPr>
        <w:pStyle w:val="Heading2"/>
        <w:rPr>
          <w:color w:val="7030A0"/>
        </w:rPr>
      </w:pPr>
      <w:r w:rsidRPr="00AE74DD">
        <w:rPr>
          <w:color w:val="7030A0"/>
        </w:rPr>
        <w:t>Key factors supporting pre-qualification</w:t>
      </w:r>
    </w:p>
    <w:p w14:paraId="3621B8DD" w14:textId="374AF99C" w:rsidR="004E7214" w:rsidRDefault="00D465CB" w:rsidP="004E7214">
      <w:pPr>
        <w:tabs>
          <w:tab w:val="left" w:pos="7575"/>
        </w:tabs>
      </w:pPr>
      <w:r>
        <w:t>Pre-qualification is relevant where most of the following factors apply:</w:t>
      </w:r>
    </w:p>
    <w:p w14:paraId="46BDD944" w14:textId="77777777" w:rsidR="00EE3331" w:rsidRDefault="00D465CB" w:rsidP="00D465CB">
      <w:pPr>
        <w:pStyle w:val="Bullet1"/>
      </w:pPr>
      <w:r>
        <w:t>the procurement activity relates to a range of goods and services that a</w:t>
      </w:r>
      <w:r w:rsidR="00EE3331">
        <w:t>re purchased on a regular basis</w:t>
      </w:r>
      <w:r w:rsidR="00A04A05">
        <w:t>;</w:t>
      </w:r>
    </w:p>
    <w:p w14:paraId="7C44DD84" w14:textId="77777777" w:rsidR="00D465CB" w:rsidRDefault="00D465CB" w:rsidP="00D465CB">
      <w:pPr>
        <w:pStyle w:val="Bullet1"/>
      </w:pPr>
      <w:r>
        <w:t xml:space="preserve">the exact scope and nature of individual procurements in a category of goods and services may not be fully defined but there is an indicative program (generally over a 3+ year period) of future </w:t>
      </w:r>
      <w:r w:rsidR="00EE3331">
        <w:t>requirements of a common nature</w:t>
      </w:r>
      <w:r w:rsidR="00A04A05">
        <w:t>;</w:t>
      </w:r>
    </w:p>
    <w:p w14:paraId="78F30CA8" w14:textId="77777777" w:rsidR="00D465CB" w:rsidRDefault="00D465CB" w:rsidP="00D465CB">
      <w:pPr>
        <w:pStyle w:val="Bullet1"/>
      </w:pPr>
      <w:r>
        <w:t xml:space="preserve">there are numerous ‘credentialed’ players in the </w:t>
      </w:r>
      <w:r w:rsidR="00A04A05">
        <w:t xml:space="preserve">related </w:t>
      </w:r>
      <w:r>
        <w:t xml:space="preserve">market sector(s) that satisfy </w:t>
      </w:r>
      <w:r w:rsidR="00EE3331">
        <w:t>the test of financial diligence</w:t>
      </w:r>
      <w:r w:rsidR="00A04A05">
        <w:t>;</w:t>
      </w:r>
    </w:p>
    <w:p w14:paraId="1F39850A" w14:textId="77777777" w:rsidR="00D465CB" w:rsidRDefault="00D465CB" w:rsidP="00D465CB">
      <w:pPr>
        <w:pStyle w:val="Bullet1"/>
      </w:pPr>
      <w:r>
        <w:t>the register will s</w:t>
      </w:r>
      <w:r w:rsidR="00EE3331">
        <w:t>treamline procurement processes</w:t>
      </w:r>
      <w:r w:rsidR="00A04A05">
        <w:t>;</w:t>
      </w:r>
      <w:r>
        <w:t xml:space="preserve"> and</w:t>
      </w:r>
    </w:p>
    <w:p w14:paraId="7CB19BC8" w14:textId="77777777" w:rsidR="00D465CB" w:rsidRDefault="00D465CB" w:rsidP="00D465CB">
      <w:pPr>
        <w:pStyle w:val="Bullet1"/>
      </w:pPr>
      <w:r>
        <w:t>the organisation has the capability to establish</w:t>
      </w:r>
      <w:r w:rsidR="00A04A05">
        <w:t xml:space="preserve"> the prequalification arrangement</w:t>
      </w:r>
      <w:r>
        <w:t xml:space="preserve">, manage the risks and achieve the benefits expected. </w:t>
      </w:r>
    </w:p>
    <w:p w14:paraId="078CA876" w14:textId="77777777" w:rsidR="00D465CB" w:rsidRDefault="00D465CB" w:rsidP="00D465CB">
      <w:r>
        <w:t>Pre-qualification arrangements may not be appropriate in all situations</w:t>
      </w:r>
      <w:r w:rsidR="00A04A05">
        <w:t>.</w:t>
      </w:r>
    </w:p>
    <w:p w14:paraId="3A276FF7" w14:textId="77777777" w:rsidR="00D465CB" w:rsidRDefault="00D465CB" w:rsidP="00D465CB">
      <w:r>
        <w:t>There may be no benefit in proceeding with pre-qualification where:</w:t>
      </w:r>
    </w:p>
    <w:p w14:paraId="15FF19F2" w14:textId="77777777" w:rsidR="00D465CB" w:rsidRDefault="00D465CB" w:rsidP="00D465CB">
      <w:pPr>
        <w:pStyle w:val="Bullet1"/>
      </w:pPr>
      <w:r>
        <w:t>there is a single or very infrequent procurement requirement</w:t>
      </w:r>
      <w:r w:rsidR="00A04A05">
        <w:t>;</w:t>
      </w:r>
    </w:p>
    <w:p w14:paraId="769309C4" w14:textId="77777777" w:rsidR="00D465CB" w:rsidRDefault="00D465CB" w:rsidP="00D465CB">
      <w:pPr>
        <w:pStyle w:val="Bullet1"/>
      </w:pPr>
      <w:r>
        <w:t>a very limited supply market exists due to the level of specialised knowledge required to deliver the procurement</w:t>
      </w:r>
      <w:r w:rsidR="00A04A05">
        <w:t>;</w:t>
      </w:r>
    </w:p>
    <w:p w14:paraId="01EA8E88" w14:textId="77777777" w:rsidR="00D465CB" w:rsidRDefault="00D465CB" w:rsidP="00D465CB">
      <w:pPr>
        <w:pStyle w:val="Bullet1"/>
      </w:pPr>
      <w:r>
        <w:t>the procurement requirement is for the supply of standard ‘off-the shelf’ products or services with little opportunity to drive performance improvements, better pricing or deliverables</w:t>
      </w:r>
      <w:r w:rsidR="00A04A05">
        <w:t>; and</w:t>
      </w:r>
    </w:p>
    <w:p w14:paraId="1E6AA14B" w14:textId="77777777" w:rsidR="00D465CB" w:rsidRDefault="00D465CB" w:rsidP="00D465CB">
      <w:pPr>
        <w:pStyle w:val="Bullet1"/>
      </w:pPr>
      <w:r>
        <w:t>the cost in establishing and maintaining a pre-qualification register exceeds the benefits of directly approaching the market using standard supplier engagement processes.</w:t>
      </w:r>
    </w:p>
    <w:p w14:paraId="3D26B751" w14:textId="6DEBA172" w:rsidR="00D465CB" w:rsidRPr="00AE74DD" w:rsidRDefault="00D465CB" w:rsidP="00AE74DD">
      <w:pPr>
        <w:pStyle w:val="Heading2"/>
        <w:keepNext/>
        <w:rPr>
          <w:color w:val="7030A0"/>
        </w:rPr>
      </w:pPr>
      <w:r w:rsidRPr="00AE74DD">
        <w:rPr>
          <w:color w:val="7030A0"/>
        </w:rPr>
        <w:lastRenderedPageBreak/>
        <w:t>Benefits of pre-qualification</w:t>
      </w:r>
    </w:p>
    <w:p w14:paraId="1153805C" w14:textId="77777777" w:rsidR="00D465CB" w:rsidRDefault="00D465CB" w:rsidP="00D465CB">
      <w:r>
        <w:t>The intent of pre-qualification is to give your organisation confidence that suppliers invited to bid have some relevant capability. It reduces the risk for buyers carrying out procurement activity and minimises the administrative burden of repeatedly approaching the open market for each individual procurement requirement.</w:t>
      </w:r>
    </w:p>
    <w:p w14:paraId="4B700C68" w14:textId="77777777" w:rsidR="00D465CB" w:rsidRDefault="00D465CB" w:rsidP="00D465CB">
      <w:r>
        <w:t>A pre-qualification can:</w:t>
      </w:r>
    </w:p>
    <w:p w14:paraId="2498DA75" w14:textId="77777777" w:rsidR="00D465CB" w:rsidRDefault="00D465CB" w:rsidP="00D465CB">
      <w:pPr>
        <w:pStyle w:val="Bullet1"/>
      </w:pPr>
      <w:r>
        <w:t>provide an early indication of players in the market with the potential capability and capacity to satisfy the requirements of a ca</w:t>
      </w:r>
      <w:r w:rsidR="00EE3331">
        <w:t>tegory of procurement activity</w:t>
      </w:r>
      <w:r w:rsidR="00A04A05">
        <w:t>;</w:t>
      </w:r>
    </w:p>
    <w:p w14:paraId="17018AD4" w14:textId="77777777" w:rsidR="00D465CB" w:rsidRDefault="00D465CB" w:rsidP="00D465CB">
      <w:pPr>
        <w:pStyle w:val="Bullet1"/>
      </w:pPr>
      <w:r>
        <w:t>streamline supplier selection processes by applying consistent repeatable processes (forms,</w:t>
      </w:r>
      <w:r w:rsidR="00EE3331">
        <w:t xml:space="preserve"> templates, notification, etc.)</w:t>
      </w:r>
      <w:r w:rsidR="00A04A05">
        <w:t>;</w:t>
      </w:r>
    </w:p>
    <w:p w14:paraId="3137B611" w14:textId="77777777" w:rsidR="00D465CB" w:rsidRDefault="00D465CB" w:rsidP="00D465CB">
      <w:pPr>
        <w:pStyle w:val="Bullet1"/>
      </w:pPr>
      <w:r>
        <w:t>better manage risks for buyers who have background information on potential suppliers;</w:t>
      </w:r>
    </w:p>
    <w:p w14:paraId="415075DB" w14:textId="77777777" w:rsidR="00D465CB" w:rsidRDefault="00D465CB" w:rsidP="00D465CB">
      <w:pPr>
        <w:pStyle w:val="Bullet1"/>
      </w:pPr>
      <w:r>
        <w:t>reduce costs for suppliers by not having to prepare a detailed capability and capacity submission for each an</w:t>
      </w:r>
      <w:r w:rsidR="00EE3331">
        <w:t>d every procurement opportunity</w:t>
      </w:r>
      <w:r w:rsidR="00A04A05">
        <w:t>;</w:t>
      </w:r>
    </w:p>
    <w:p w14:paraId="46C61791" w14:textId="77777777" w:rsidR="00D465CB" w:rsidRDefault="00D465CB" w:rsidP="00D465CB">
      <w:pPr>
        <w:pStyle w:val="Bullet1"/>
      </w:pPr>
      <w:r>
        <w:t>inform suppliers of</w:t>
      </w:r>
      <w:r w:rsidR="00EE3331">
        <w:t xml:space="preserve"> potential supply opportunities</w:t>
      </w:r>
      <w:r w:rsidR="00A04A05">
        <w:t>;</w:t>
      </w:r>
      <w:r>
        <w:t xml:space="preserve"> and </w:t>
      </w:r>
    </w:p>
    <w:p w14:paraId="3882FAAE" w14:textId="77777777" w:rsidR="00D465CB" w:rsidRDefault="00D465CB" w:rsidP="00D465CB">
      <w:pPr>
        <w:pStyle w:val="Bullet1"/>
      </w:pPr>
      <w:r>
        <w:t>drive continuous improvement by refreshing the pre-qualification criteria and pool of suppliers</w:t>
      </w:r>
      <w:r w:rsidR="00EE3331">
        <w:t>.</w:t>
      </w:r>
    </w:p>
    <w:p w14:paraId="13D7B95C" w14:textId="23777FF4" w:rsidR="00D465CB" w:rsidRPr="00AE74DD" w:rsidRDefault="00D465CB" w:rsidP="00AE74DD">
      <w:pPr>
        <w:pStyle w:val="Heading2"/>
        <w:keepNext/>
        <w:rPr>
          <w:color w:val="7030A0"/>
        </w:rPr>
      </w:pPr>
      <w:r w:rsidRPr="00AE74DD">
        <w:rPr>
          <w:color w:val="7030A0"/>
        </w:rPr>
        <w:t>Open and closed pre-qualification registers</w:t>
      </w:r>
    </w:p>
    <w:p w14:paraId="55EEB139" w14:textId="77777777" w:rsidR="00D465CB" w:rsidRDefault="00D465CB" w:rsidP="00D465CB">
      <w:r>
        <w:t xml:space="preserve">An open register allows new suppliers to join at any time during the period of the arrangement. </w:t>
      </w:r>
    </w:p>
    <w:p w14:paraId="4111B764" w14:textId="77777777" w:rsidR="00D465CB" w:rsidRDefault="00AD5321" w:rsidP="00D465CB">
      <w:r>
        <w:t>Non</w:t>
      </w:r>
      <w:r w:rsidR="0009069D">
        <w:t>-</w:t>
      </w:r>
      <w:r>
        <w:t xml:space="preserve">covered </w:t>
      </w:r>
      <w:r w:rsidR="0009069D">
        <w:t>organisations</w:t>
      </w:r>
      <w:r>
        <w:t xml:space="preserve"> may consider the use of closed registers.</w:t>
      </w:r>
      <w:r w:rsidR="00D465CB">
        <w:t xml:space="preserve"> </w:t>
      </w:r>
    </w:p>
    <w:p w14:paraId="5FB54F71" w14:textId="77777777" w:rsidR="00D465CB" w:rsidRDefault="00D465CB" w:rsidP="00AE74DD">
      <w:r>
        <w:t>Open registers are suited where:</w:t>
      </w:r>
    </w:p>
    <w:p w14:paraId="49B59344" w14:textId="77777777" w:rsidR="00DA6AF3" w:rsidRDefault="00DA6AF3" w:rsidP="00AE74DD">
      <w:pPr>
        <w:pStyle w:val="Bullet1"/>
        <w:spacing w:before="100" w:after="100"/>
        <w:ind w:left="714" w:hanging="357"/>
        <w:contextualSpacing/>
      </w:pPr>
      <w:r>
        <w:t>prices and rates in the market may be variable;</w:t>
      </w:r>
    </w:p>
    <w:p w14:paraId="55DF8326" w14:textId="77777777" w:rsidR="00D465CB" w:rsidRDefault="00D465CB" w:rsidP="00AE74DD">
      <w:pPr>
        <w:pStyle w:val="Bullet1"/>
        <w:spacing w:before="100" w:after="100"/>
        <w:ind w:left="714" w:hanging="357"/>
        <w:contextualSpacing/>
      </w:pPr>
      <w:r>
        <w:t>the procurement requirements are broad</w:t>
      </w:r>
      <w:r w:rsidR="00A04A05">
        <w:t>;</w:t>
      </w:r>
    </w:p>
    <w:p w14:paraId="7AB734C6" w14:textId="77777777" w:rsidR="00D465CB" w:rsidRDefault="00D465CB" w:rsidP="00AE74DD">
      <w:pPr>
        <w:pStyle w:val="Bullet1"/>
        <w:spacing w:before="100" w:after="100"/>
        <w:ind w:left="714" w:hanging="357"/>
        <w:contextualSpacing/>
      </w:pPr>
      <w:r>
        <w:t>there is diverse expertise in the marketplace or there is significant movement of expertise in the marketplace</w:t>
      </w:r>
      <w:r w:rsidR="00A04A05">
        <w:t>;</w:t>
      </w:r>
    </w:p>
    <w:p w14:paraId="61708651" w14:textId="77777777" w:rsidR="00D465CB" w:rsidRDefault="00D465CB" w:rsidP="00AE74DD">
      <w:pPr>
        <w:pStyle w:val="Bullet1"/>
        <w:spacing w:before="100" w:after="100"/>
        <w:ind w:left="714" w:hanging="357"/>
        <w:contextualSpacing/>
      </w:pPr>
      <w:r>
        <w:t>there are a large number of suppliers in the marketplace</w:t>
      </w:r>
      <w:r w:rsidR="00A04A05">
        <w:t>;</w:t>
      </w:r>
    </w:p>
    <w:p w14:paraId="34DDAAF7" w14:textId="77777777" w:rsidR="00D465CB" w:rsidRDefault="00D465CB" w:rsidP="00AE74DD">
      <w:pPr>
        <w:pStyle w:val="Bullet1"/>
        <w:spacing w:before="100" w:after="100"/>
        <w:ind w:left="714" w:hanging="357"/>
        <w:contextualSpacing/>
      </w:pPr>
      <w:r>
        <w:t>the market is immature with the likelihood of new players emerging over time</w:t>
      </w:r>
      <w:r w:rsidR="00A04A05">
        <w:t>;</w:t>
      </w:r>
      <w:r>
        <w:t xml:space="preserve"> and</w:t>
      </w:r>
    </w:p>
    <w:p w14:paraId="36F4A1E5" w14:textId="77777777" w:rsidR="00D465CB" w:rsidRDefault="00D465CB" w:rsidP="00AE74DD">
      <w:pPr>
        <w:pStyle w:val="Bullet1"/>
        <w:spacing w:before="100" w:after="100"/>
        <w:ind w:left="714" w:hanging="357"/>
      </w:pPr>
      <w:r>
        <w:t>there is potential for government purchasing power to influence the market, which would be restricted if the arrangement was closed to new entrants.</w:t>
      </w:r>
    </w:p>
    <w:p w14:paraId="5829731E" w14:textId="77777777" w:rsidR="00D465CB" w:rsidRDefault="00D465CB" w:rsidP="00AE74DD">
      <w:pPr>
        <w:pStyle w:val="Bullet1"/>
        <w:numPr>
          <w:ilvl w:val="0"/>
          <w:numId w:val="0"/>
        </w:numPr>
        <w:spacing w:before="100" w:after="100"/>
      </w:pPr>
      <w:r>
        <w:t>Closed registers are generally suited where:</w:t>
      </w:r>
    </w:p>
    <w:p w14:paraId="49321FBD" w14:textId="77777777" w:rsidR="00D465CB" w:rsidRDefault="00D465CB" w:rsidP="00AE74DD">
      <w:pPr>
        <w:pStyle w:val="Bullet1"/>
        <w:spacing w:before="100" w:after="100"/>
        <w:ind w:left="714" w:hanging="357"/>
        <w:contextualSpacing/>
      </w:pPr>
      <w:r>
        <w:t>there is a requirement for specialist expertise/skills/knowledge relevant to a particular</w:t>
      </w:r>
      <w:r w:rsidR="00A04A05">
        <w:t xml:space="preserve"> supply</w:t>
      </w:r>
      <w:r>
        <w:t xml:space="preserve"> </w:t>
      </w:r>
      <w:r w:rsidR="00A04A05">
        <w:t>market;</w:t>
      </w:r>
      <w:r>
        <w:t xml:space="preserve"> and</w:t>
      </w:r>
    </w:p>
    <w:p w14:paraId="22F86756" w14:textId="77777777" w:rsidR="00D465CB" w:rsidRDefault="00D465CB" w:rsidP="00AE74DD">
      <w:pPr>
        <w:pStyle w:val="Bullet1"/>
        <w:spacing w:before="100" w:after="100"/>
      </w:pPr>
      <w:r>
        <w:t>a more stable pool of suppliers facilitates innovation from partnerships, risk sha</w:t>
      </w:r>
      <w:r w:rsidR="00EE3331">
        <w:t>ring and continuous improvement</w:t>
      </w:r>
      <w:r w:rsidR="00A04A05">
        <w:t>.</w:t>
      </w:r>
    </w:p>
    <w:p w14:paraId="71BA824A" w14:textId="77777777" w:rsidR="00D465CB" w:rsidRDefault="00A04A05" w:rsidP="00AE74DD">
      <w:pPr>
        <w:pStyle w:val="Bullet1"/>
        <w:numPr>
          <w:ilvl w:val="0"/>
          <w:numId w:val="0"/>
        </w:numPr>
        <w:spacing w:before="100" w:after="100"/>
      </w:pPr>
      <w:r>
        <w:t>D</w:t>
      </w:r>
      <w:r w:rsidR="00D465CB">
        <w:t>eciding on the number of suppliers on a closed register is a balanced judgement between:</w:t>
      </w:r>
    </w:p>
    <w:p w14:paraId="1B254300" w14:textId="77777777" w:rsidR="00D465CB" w:rsidRDefault="00D465CB" w:rsidP="00AE74DD">
      <w:pPr>
        <w:pStyle w:val="Bullet1"/>
        <w:spacing w:before="100" w:after="100"/>
        <w:ind w:left="714" w:hanging="357"/>
        <w:contextualSpacing/>
      </w:pPr>
      <w:r>
        <w:t>optimal number of suppliers who can satisfy the requirements of the procurement and the scope of potential work</w:t>
      </w:r>
    </w:p>
    <w:p w14:paraId="7F88230C" w14:textId="77777777" w:rsidR="00D465CB" w:rsidRDefault="00D465CB" w:rsidP="00AE74DD">
      <w:pPr>
        <w:pStyle w:val="Bullet1"/>
        <w:spacing w:before="100" w:after="100"/>
        <w:ind w:left="714" w:hanging="357"/>
        <w:contextualSpacing/>
      </w:pPr>
      <w:r>
        <w:t>generating a level of contestability and competition between suppliers</w:t>
      </w:r>
      <w:r w:rsidR="008908BA">
        <w:t>,</w:t>
      </w:r>
      <w:r>
        <w:t xml:space="preserve"> and </w:t>
      </w:r>
    </w:p>
    <w:p w14:paraId="24B59193" w14:textId="77777777" w:rsidR="001F4FAB" w:rsidRDefault="00D465CB" w:rsidP="00AE74DD">
      <w:pPr>
        <w:pStyle w:val="Bullet1"/>
        <w:spacing w:before="100" w:after="100"/>
        <w:ind w:left="714" w:hanging="357"/>
      </w:pPr>
      <w:r>
        <w:t>the cost to the organisation in maintaining and refreshing the database in relation to the value derived from the procurement.</w:t>
      </w:r>
    </w:p>
    <w:p w14:paraId="649E84F3" w14:textId="0B8F133F" w:rsidR="001F4FAB" w:rsidRPr="00AE74DD" w:rsidRDefault="001F4FAB" w:rsidP="00AE74DD">
      <w:pPr>
        <w:pStyle w:val="Bullet1"/>
        <w:numPr>
          <w:ilvl w:val="0"/>
          <w:numId w:val="0"/>
        </w:numPr>
        <w:spacing w:before="100" w:after="100"/>
      </w:pPr>
      <w:r w:rsidRPr="00AE74DD">
        <w:t>Note: For the purpose of this guide, International Agreement means any international agreements entered into by the State or the Commonwealth that applies to procurement undertaken by an organisation</w:t>
      </w:r>
      <w:r w:rsidR="00CB3DC0" w:rsidRPr="00AE74DD">
        <w:t xml:space="preserve"> - </w:t>
      </w:r>
      <w:r w:rsidR="00AD5321" w:rsidRPr="00AE74DD">
        <w:t xml:space="preserve">Refer to the </w:t>
      </w:r>
      <w:hyperlink r:id="rId10" w:history="1">
        <w:r w:rsidR="00AD5321" w:rsidRPr="00C7050D">
          <w:rPr>
            <w:rStyle w:val="Hyperlink"/>
          </w:rPr>
          <w:t>Government procurement under International Agreements – procurement guide</w:t>
        </w:r>
      </w:hyperlink>
      <w:r w:rsidR="00CB3DC0" w:rsidRPr="00AE74DD">
        <w:t>.</w:t>
      </w:r>
    </w:p>
    <w:p w14:paraId="305F423C" w14:textId="77777777" w:rsidR="00D465CB" w:rsidRPr="00AE74DD" w:rsidRDefault="00D465CB" w:rsidP="00AE74DD">
      <w:pPr>
        <w:pStyle w:val="Heading3"/>
        <w:rPr>
          <w:color w:val="7030A0"/>
        </w:rPr>
      </w:pPr>
      <w:r w:rsidRPr="00AE74DD">
        <w:rPr>
          <w:color w:val="7030A0"/>
        </w:rPr>
        <w:t>Informing the market</w:t>
      </w:r>
    </w:p>
    <w:p w14:paraId="517CB71C" w14:textId="77777777" w:rsidR="00D465CB" w:rsidRDefault="00D465CB" w:rsidP="00D465CB">
      <w:r>
        <w:t>When establishing a pre-qualification register, inform the market of:</w:t>
      </w:r>
    </w:p>
    <w:p w14:paraId="388999AB" w14:textId="77777777" w:rsidR="00D465CB" w:rsidRDefault="00D465CB" w:rsidP="00D465CB">
      <w:pPr>
        <w:pStyle w:val="Bullet1"/>
      </w:pPr>
      <w:r>
        <w:t>the categori</w:t>
      </w:r>
      <w:r w:rsidR="00EE3331">
        <w:t>es of goods and services sought</w:t>
      </w:r>
      <w:r w:rsidR="00A04A05">
        <w:t>;</w:t>
      </w:r>
    </w:p>
    <w:p w14:paraId="11D90F90" w14:textId="77777777" w:rsidR="00D465CB" w:rsidRDefault="00EE3331" w:rsidP="00D465CB">
      <w:pPr>
        <w:pStyle w:val="Bullet1"/>
      </w:pPr>
      <w:r>
        <w:lastRenderedPageBreak/>
        <w:t>application requirements</w:t>
      </w:r>
      <w:r w:rsidR="00A04A05">
        <w:t>;</w:t>
      </w:r>
      <w:r>
        <w:t xml:space="preserve"> </w:t>
      </w:r>
    </w:p>
    <w:p w14:paraId="4F36C401" w14:textId="77777777" w:rsidR="00D465CB" w:rsidRDefault="00A04A05" w:rsidP="00D465CB">
      <w:pPr>
        <w:pStyle w:val="Bullet1"/>
      </w:pPr>
      <w:r>
        <w:t xml:space="preserve">the </w:t>
      </w:r>
      <w:r w:rsidR="00D465CB">
        <w:t>selection crit</w:t>
      </w:r>
      <w:r w:rsidR="00EE3331">
        <w:t xml:space="preserve">eria </w:t>
      </w:r>
      <w:r>
        <w:t>(specify the criteria and weightings to be used);</w:t>
      </w:r>
    </w:p>
    <w:p w14:paraId="030A3927" w14:textId="77777777" w:rsidR="00D465CB" w:rsidRDefault="00EE3331" w:rsidP="00D465CB">
      <w:pPr>
        <w:pStyle w:val="Bullet1"/>
      </w:pPr>
      <w:r>
        <w:t>management arrangements</w:t>
      </w:r>
      <w:r w:rsidR="00A04A05">
        <w:t>;</w:t>
      </w:r>
    </w:p>
    <w:p w14:paraId="3A3F3807" w14:textId="77777777" w:rsidR="008908BA" w:rsidRDefault="008908BA">
      <w:pPr>
        <w:pStyle w:val="Bullet1"/>
      </w:pPr>
      <w:r>
        <w:t xml:space="preserve">profile of buyers and </w:t>
      </w:r>
      <w:r w:rsidR="00444034">
        <w:t>the sco</w:t>
      </w:r>
      <w:r w:rsidR="00A04A05">
        <w:t>pe of potential business (</w:t>
      </w:r>
      <w:r w:rsidR="00444034">
        <w:t>where applicable)</w:t>
      </w:r>
      <w:r w:rsidR="00A04A05">
        <w:t>;</w:t>
      </w:r>
    </w:p>
    <w:p w14:paraId="26553A7D" w14:textId="77777777" w:rsidR="00D465CB" w:rsidRDefault="00D465CB" w:rsidP="00D465CB">
      <w:pPr>
        <w:pStyle w:val="Bullet1"/>
      </w:pPr>
      <w:r>
        <w:t xml:space="preserve">an indication of the rules of use applied by buyers in </w:t>
      </w:r>
      <w:r w:rsidR="00A04A05">
        <w:t>selecting a supplier;</w:t>
      </w:r>
      <w:r>
        <w:t xml:space="preserve"> and</w:t>
      </w:r>
    </w:p>
    <w:p w14:paraId="2EB1A501" w14:textId="77777777" w:rsidR="00D465CB" w:rsidRDefault="00D465CB" w:rsidP="00D465CB">
      <w:pPr>
        <w:pStyle w:val="Bullet1"/>
      </w:pPr>
      <w:r>
        <w:t xml:space="preserve">review and refresh processes relating to the </w:t>
      </w:r>
      <w:r w:rsidR="00A04A05">
        <w:t>prequalification arrangement</w:t>
      </w:r>
      <w:r>
        <w:t>.</w:t>
      </w:r>
    </w:p>
    <w:p w14:paraId="35FB4BCB" w14:textId="6EF7716D" w:rsidR="009451FB" w:rsidRPr="009451FB" w:rsidRDefault="009451FB" w:rsidP="009451FB">
      <w:pPr>
        <w:pStyle w:val="Heading2"/>
        <w:rPr>
          <w:color w:val="7030A0"/>
        </w:rPr>
      </w:pPr>
      <w:r w:rsidRPr="009451FB">
        <w:rPr>
          <w:color w:val="7030A0"/>
        </w:rPr>
        <w:t>Using this guide</w:t>
      </w:r>
    </w:p>
    <w:p w14:paraId="35D2FA77" w14:textId="77777777" w:rsidR="00D709E8" w:rsidRPr="00D709E8" w:rsidRDefault="00D709E8" w:rsidP="00D709E8">
      <w:pPr>
        <w:spacing w:after="120" w:line="240" w:lineRule="auto"/>
        <w:rPr>
          <w:rFonts w:cstheme="minorHAnsi"/>
        </w:rPr>
      </w:pPr>
      <w:r w:rsidRPr="00D709E8">
        <w:rPr>
          <w:rFonts w:cstheme="minorHAnsi"/>
        </w:rPr>
        <w:t>This guide accompanies the goods and services supply policies. There are 5 supply policies:</w:t>
      </w:r>
    </w:p>
    <w:p w14:paraId="64FC48C3" w14:textId="77777777" w:rsidR="009451FB" w:rsidRDefault="009451FB" w:rsidP="009451FB">
      <w:pPr>
        <w:pStyle w:val="ListParagraph"/>
        <w:numPr>
          <w:ilvl w:val="0"/>
          <w:numId w:val="14"/>
        </w:numPr>
        <w:spacing w:before="0" w:after="120" w:line="240" w:lineRule="auto"/>
        <w:rPr>
          <w:rFonts w:cstheme="minorHAnsi"/>
        </w:rPr>
      </w:pPr>
      <w:r>
        <w:rPr>
          <w:rFonts w:cstheme="minorHAnsi"/>
        </w:rPr>
        <w:t>Governance policy</w:t>
      </w:r>
    </w:p>
    <w:p w14:paraId="55B26072" w14:textId="77777777" w:rsidR="00056E90" w:rsidRPr="00D879F1" w:rsidRDefault="00056E90" w:rsidP="00056E90">
      <w:pPr>
        <w:pStyle w:val="ListParagraph"/>
        <w:numPr>
          <w:ilvl w:val="0"/>
          <w:numId w:val="14"/>
        </w:numPr>
      </w:pPr>
      <w:r w:rsidRPr="00D879F1">
        <w:t xml:space="preserve">Complexity and capability </w:t>
      </w:r>
      <w:r>
        <w:t xml:space="preserve">assessment </w:t>
      </w:r>
      <w:r w:rsidRPr="00D879F1">
        <w:t>policy</w:t>
      </w:r>
    </w:p>
    <w:p w14:paraId="00851B45" w14:textId="77777777" w:rsidR="009451FB" w:rsidRDefault="009451FB" w:rsidP="009451FB">
      <w:pPr>
        <w:pStyle w:val="ListParagraph"/>
        <w:numPr>
          <w:ilvl w:val="0"/>
          <w:numId w:val="14"/>
        </w:numPr>
        <w:spacing w:before="0" w:after="120" w:line="240" w:lineRule="auto"/>
        <w:rPr>
          <w:rFonts w:cstheme="minorHAnsi"/>
        </w:rPr>
      </w:pPr>
      <w:r>
        <w:rPr>
          <w:rFonts w:cstheme="minorHAnsi"/>
        </w:rPr>
        <w:t>Market analysis and review policy</w:t>
      </w:r>
    </w:p>
    <w:p w14:paraId="0D73C517" w14:textId="77777777" w:rsidR="009451FB" w:rsidRDefault="009451FB" w:rsidP="009451FB">
      <w:pPr>
        <w:pStyle w:val="ListParagraph"/>
        <w:numPr>
          <w:ilvl w:val="0"/>
          <w:numId w:val="14"/>
        </w:numPr>
        <w:spacing w:before="0" w:after="120" w:line="240" w:lineRule="auto"/>
        <w:rPr>
          <w:rFonts w:cstheme="minorHAnsi"/>
        </w:rPr>
      </w:pPr>
      <w:r>
        <w:rPr>
          <w:rFonts w:cstheme="minorHAnsi"/>
        </w:rPr>
        <w:t>Market approach policy</w:t>
      </w:r>
    </w:p>
    <w:p w14:paraId="2D5CBE7A" w14:textId="77777777" w:rsidR="009451FB" w:rsidRDefault="009451FB" w:rsidP="009451FB">
      <w:pPr>
        <w:pStyle w:val="ListParagraph"/>
        <w:numPr>
          <w:ilvl w:val="0"/>
          <w:numId w:val="14"/>
        </w:numPr>
        <w:spacing w:before="0" w:after="120" w:line="240" w:lineRule="auto"/>
        <w:rPr>
          <w:rFonts w:cstheme="minorHAnsi"/>
        </w:rPr>
      </w:pPr>
      <w:r>
        <w:rPr>
          <w:rFonts w:cstheme="minorHAnsi"/>
        </w:rPr>
        <w:t>Contract management and disclosure policy</w:t>
      </w:r>
    </w:p>
    <w:p w14:paraId="4039C853" w14:textId="7E972B41" w:rsidR="00D709E8" w:rsidRPr="00401617" w:rsidRDefault="00D709E8" w:rsidP="00D709E8">
      <w:pPr>
        <w:spacing w:after="120" w:line="240" w:lineRule="auto"/>
        <w:rPr>
          <w:rFonts w:cstheme="minorHAnsi"/>
        </w:rPr>
      </w:pPr>
      <w:r>
        <w:rPr>
          <w:rFonts w:cstheme="minorHAnsi"/>
        </w:rPr>
        <w:t xml:space="preserve">This guide supports the </w:t>
      </w:r>
      <w:hyperlink r:id="rId11" w:history="1">
        <w:r w:rsidRPr="00C7050D">
          <w:rPr>
            <w:rStyle w:val="Hyperlink"/>
            <w:rFonts w:cstheme="minorHAnsi"/>
          </w:rPr>
          <w:t>Governance policy</w:t>
        </w:r>
      </w:hyperlink>
      <w:r>
        <w:rPr>
          <w:rFonts w:cstheme="minorHAnsi"/>
        </w:rPr>
        <w:t>.</w:t>
      </w:r>
    </w:p>
    <w:p w14:paraId="2FD290EF" w14:textId="03C1B202" w:rsidR="00E1405D" w:rsidRDefault="00D709E8" w:rsidP="00E1405D">
      <w:pPr>
        <w:spacing w:before="0" w:after="0" w:line="240" w:lineRule="auto"/>
        <w:rPr>
          <w:lang w:eastAsia="en-US"/>
        </w:rPr>
      </w:pPr>
      <w:r>
        <w:rPr>
          <w:lang w:eastAsia="en-US"/>
        </w:rPr>
        <w:t xml:space="preserve">Refer to </w:t>
      </w:r>
      <w:hyperlink r:id="rId12" w:history="1">
        <w:r w:rsidRPr="00C7050D">
          <w:rPr>
            <w:rStyle w:val="Hyperlink"/>
            <w:lang w:eastAsia="en-US"/>
          </w:rPr>
          <w:t>Aggregated purchasing – Goods and services procurement guide</w:t>
        </w:r>
      </w:hyperlink>
      <w:r>
        <w:rPr>
          <w:lang w:eastAsia="en-US"/>
        </w:rPr>
        <w:t xml:space="preserve"> for more information about aggregated arrangements.</w:t>
      </w:r>
    </w:p>
    <w:p w14:paraId="3C0EF75E" w14:textId="77777777" w:rsidR="00E1405D" w:rsidRDefault="00E1405D" w:rsidP="00E1405D">
      <w:pPr>
        <w:spacing w:before="0" w:after="0" w:line="240" w:lineRule="auto"/>
        <w:rPr>
          <w:lang w:eastAsia="en-US"/>
        </w:rPr>
      </w:pPr>
    </w:p>
    <w:p w14:paraId="2534A31F" w14:textId="77777777" w:rsidR="00E1405D" w:rsidRDefault="00E1405D" w:rsidP="00E1405D">
      <w:pPr>
        <w:spacing w:before="0" w:after="0" w:line="240" w:lineRule="auto"/>
        <w:rPr>
          <w:lang w:eastAsia="en-US"/>
        </w:rPr>
      </w:pPr>
    </w:p>
    <w:p w14:paraId="6F62AB29" w14:textId="77777777" w:rsidR="00E1405D" w:rsidRDefault="00E1405D" w:rsidP="00E1405D">
      <w:pPr>
        <w:spacing w:before="0" w:after="0" w:line="240" w:lineRule="auto"/>
        <w:rPr>
          <w:lang w:eastAsia="en-US"/>
        </w:rPr>
      </w:pPr>
    </w:p>
    <w:p w14:paraId="374D2800" w14:textId="77777777" w:rsidR="00E1405D" w:rsidRDefault="00E1405D" w:rsidP="00E1405D">
      <w:pPr>
        <w:spacing w:before="0" w:after="0" w:line="240" w:lineRule="auto"/>
        <w:rPr>
          <w:lang w:eastAsia="en-US"/>
        </w:rPr>
      </w:pPr>
    </w:p>
    <w:p w14:paraId="26045541" w14:textId="77777777" w:rsidR="00E1405D" w:rsidRDefault="00E1405D" w:rsidP="00E1405D">
      <w:pPr>
        <w:spacing w:before="0" w:after="0" w:line="240" w:lineRule="auto"/>
        <w:rPr>
          <w:lang w:eastAsia="en-US"/>
        </w:rPr>
      </w:pPr>
    </w:p>
    <w:p w14:paraId="0F475C82" w14:textId="34D74082" w:rsidR="00E1405D" w:rsidRDefault="00E1405D" w:rsidP="00E1405D">
      <w:pPr>
        <w:spacing w:before="0" w:after="0" w:line="240" w:lineRule="auto"/>
        <w:rPr>
          <w:lang w:eastAsia="en-US"/>
        </w:rPr>
      </w:pPr>
      <w:bookmarkStart w:id="0" w:name="_GoBack"/>
      <w:bookmarkEnd w:id="0"/>
    </w:p>
    <w:p w14:paraId="40D2973D" w14:textId="6A00DB18" w:rsidR="00AE74DD" w:rsidRDefault="00AE74DD" w:rsidP="00E1405D">
      <w:pPr>
        <w:spacing w:before="0" w:after="0" w:line="240" w:lineRule="auto"/>
        <w:rPr>
          <w:lang w:eastAsia="en-US"/>
        </w:rPr>
      </w:pPr>
    </w:p>
    <w:p w14:paraId="3DE2230D" w14:textId="276782D0" w:rsidR="00AE74DD" w:rsidRDefault="00AE74DD" w:rsidP="00E1405D">
      <w:pPr>
        <w:spacing w:before="0" w:after="0" w:line="240" w:lineRule="auto"/>
        <w:rPr>
          <w:lang w:eastAsia="en-US"/>
        </w:rPr>
      </w:pPr>
    </w:p>
    <w:p w14:paraId="49123E47" w14:textId="5BEC0607" w:rsidR="00AE74DD" w:rsidRDefault="00AE74DD" w:rsidP="00E1405D">
      <w:pPr>
        <w:spacing w:before="0" w:after="0" w:line="240" w:lineRule="auto"/>
        <w:rPr>
          <w:lang w:eastAsia="en-US"/>
        </w:rPr>
      </w:pPr>
    </w:p>
    <w:p w14:paraId="43D4F21D" w14:textId="5B592B82" w:rsidR="00AE74DD" w:rsidRDefault="00AE74DD" w:rsidP="00E1405D">
      <w:pPr>
        <w:spacing w:before="0" w:after="0" w:line="240" w:lineRule="auto"/>
        <w:rPr>
          <w:lang w:eastAsia="en-US"/>
        </w:rPr>
      </w:pPr>
    </w:p>
    <w:p w14:paraId="06E7066D" w14:textId="67EE4229" w:rsidR="00AE74DD" w:rsidRDefault="00AE74DD" w:rsidP="00E1405D">
      <w:pPr>
        <w:spacing w:before="0" w:after="0" w:line="240" w:lineRule="auto"/>
        <w:rPr>
          <w:lang w:eastAsia="en-US"/>
        </w:rPr>
      </w:pPr>
    </w:p>
    <w:p w14:paraId="3A6D126F" w14:textId="0569099D" w:rsidR="00AE74DD" w:rsidRDefault="00AE74DD" w:rsidP="00E1405D">
      <w:pPr>
        <w:spacing w:before="0" w:after="0" w:line="240" w:lineRule="auto"/>
        <w:rPr>
          <w:lang w:eastAsia="en-US"/>
        </w:rPr>
      </w:pPr>
    </w:p>
    <w:p w14:paraId="29A284FB" w14:textId="5AD46CD2" w:rsidR="00AE74DD" w:rsidRDefault="00AE74DD" w:rsidP="00E1405D">
      <w:pPr>
        <w:spacing w:before="0" w:after="0" w:line="240" w:lineRule="auto"/>
        <w:rPr>
          <w:lang w:eastAsia="en-US"/>
        </w:rPr>
      </w:pPr>
    </w:p>
    <w:p w14:paraId="225F93C0" w14:textId="47B3EFF6" w:rsidR="00AE74DD" w:rsidRDefault="00AE74DD" w:rsidP="00E1405D">
      <w:pPr>
        <w:spacing w:before="0" w:after="0" w:line="240" w:lineRule="auto"/>
        <w:rPr>
          <w:lang w:eastAsia="en-US"/>
        </w:rPr>
      </w:pPr>
    </w:p>
    <w:p w14:paraId="5D098795" w14:textId="51A34974" w:rsidR="00AE74DD" w:rsidRDefault="00AE74DD" w:rsidP="00E1405D">
      <w:pPr>
        <w:spacing w:before="0" w:after="0" w:line="240" w:lineRule="auto"/>
        <w:rPr>
          <w:lang w:eastAsia="en-US"/>
        </w:rPr>
      </w:pPr>
    </w:p>
    <w:p w14:paraId="0045B751" w14:textId="0D965F8B" w:rsidR="00AE74DD" w:rsidRDefault="00AE74DD" w:rsidP="00E1405D">
      <w:pPr>
        <w:spacing w:before="0" w:after="0" w:line="240" w:lineRule="auto"/>
        <w:rPr>
          <w:lang w:eastAsia="en-US"/>
        </w:rPr>
      </w:pPr>
    </w:p>
    <w:p w14:paraId="5CDC050D" w14:textId="7FBABCB6" w:rsidR="00AE74DD" w:rsidRDefault="00AE74DD" w:rsidP="00E1405D">
      <w:pPr>
        <w:spacing w:before="0" w:after="0" w:line="240" w:lineRule="auto"/>
        <w:rPr>
          <w:lang w:eastAsia="en-US"/>
        </w:rPr>
      </w:pPr>
    </w:p>
    <w:p w14:paraId="39E6813D" w14:textId="5AF8C305" w:rsidR="00AE74DD" w:rsidRDefault="00AE74DD" w:rsidP="00E1405D">
      <w:pPr>
        <w:spacing w:before="0" w:after="0" w:line="240" w:lineRule="auto"/>
        <w:rPr>
          <w:lang w:eastAsia="en-US"/>
        </w:rPr>
      </w:pPr>
    </w:p>
    <w:p w14:paraId="145E8A0F" w14:textId="09E322DE" w:rsidR="00AE74DD" w:rsidRDefault="00AE74DD" w:rsidP="00E1405D">
      <w:pPr>
        <w:spacing w:before="0" w:after="0" w:line="240" w:lineRule="auto"/>
        <w:rPr>
          <w:lang w:eastAsia="en-US"/>
        </w:rPr>
      </w:pPr>
    </w:p>
    <w:p w14:paraId="69BD41B6" w14:textId="3D1DFCC6" w:rsidR="00AE74DD" w:rsidRDefault="00AE74DD" w:rsidP="00AE74DD">
      <w:pPr>
        <w:tabs>
          <w:tab w:val="left" w:pos="3465"/>
        </w:tabs>
        <w:spacing w:before="0" w:after="0" w:line="240" w:lineRule="auto"/>
        <w:rPr>
          <w:lang w:eastAsia="en-US"/>
        </w:rPr>
      </w:pPr>
    </w:p>
    <w:p w14:paraId="30BF11F2" w14:textId="2D2039D2" w:rsidR="00AE74DD" w:rsidRDefault="00AE74DD" w:rsidP="00E1405D">
      <w:pPr>
        <w:spacing w:before="0" w:after="0" w:line="240" w:lineRule="auto"/>
        <w:rPr>
          <w:lang w:eastAsia="en-US"/>
        </w:rPr>
      </w:pPr>
    </w:p>
    <w:p w14:paraId="3FB49C0D" w14:textId="77777777" w:rsidR="00E1405D" w:rsidRDefault="00E1405D" w:rsidP="00E1405D">
      <w:pPr>
        <w:spacing w:before="0" w:after="0" w:line="240" w:lineRule="auto"/>
        <w:rPr>
          <w:lang w:eastAsia="en-US"/>
        </w:rPr>
      </w:pPr>
    </w:p>
    <w:p w14:paraId="0ED37ABD" w14:textId="523C7854" w:rsidR="00D64319" w:rsidRPr="006828FC" w:rsidRDefault="00853D8D" w:rsidP="00D64319">
      <w:r>
        <w:t xml:space="preserve">© </w:t>
      </w:r>
      <w:r w:rsidR="00A72B15">
        <w:t>State of Victoria 201</w:t>
      </w:r>
      <w:r>
        <w:t>9 (Victorian Government Purchasing Board)</w:t>
      </w:r>
    </w:p>
    <w:p w14:paraId="62185A3B" w14:textId="77777777" w:rsidR="00D64319" w:rsidRPr="006828FC" w:rsidRDefault="00D64319" w:rsidP="00D64319">
      <w:r w:rsidRPr="006828FC">
        <w:rPr>
          <w:noProof/>
        </w:rPr>
        <w:drawing>
          <wp:inline distT="0" distB="0" distL="0" distR="0" wp14:anchorId="1921E69B" wp14:editId="449892CA">
            <wp:extent cx="1117460" cy="393651"/>
            <wp:effectExtent l="0" t="0" r="6985" b="6985"/>
            <wp:docPr id="2" name="Picture 2">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8x31.png"/>
                    <pic:cNvPicPr/>
                  </pic:nvPicPr>
                  <pic:blipFill>
                    <a:blip r:embed="rId14">
                      <a:extLst>
                        <a:ext uri="{28A0092B-C50C-407E-A947-70E740481C1C}">
                          <a14:useLocalDpi xmlns:a14="http://schemas.microsoft.com/office/drawing/2010/main" val="0"/>
                        </a:ext>
                      </a:extLst>
                    </a:blip>
                    <a:stretch>
                      <a:fillRect/>
                    </a:stretch>
                  </pic:blipFill>
                  <pic:spPr>
                    <a:xfrm>
                      <a:off x="0" y="0"/>
                      <a:ext cx="1117460" cy="393651"/>
                    </a:xfrm>
                    <a:prstGeom prst="rect">
                      <a:avLst/>
                    </a:prstGeom>
                  </pic:spPr>
                </pic:pic>
              </a:graphicData>
            </a:graphic>
          </wp:inline>
        </w:drawing>
      </w:r>
      <w:r w:rsidRPr="006828FC">
        <w:t xml:space="preserve"> </w:t>
      </w:r>
    </w:p>
    <w:p w14:paraId="5B4A84C4" w14:textId="77777777" w:rsidR="00D64319" w:rsidRPr="006828FC" w:rsidRDefault="00D64319" w:rsidP="00D64319">
      <w:r w:rsidRPr="006828FC">
        <w:t xml:space="preserve">This work is licensed under a </w:t>
      </w:r>
      <w:hyperlink r:id="rId15" w:history="1">
        <w:r w:rsidRPr="00C92338">
          <w:rPr>
            <w:rStyle w:val="Hyperlink"/>
          </w:rPr>
          <w:t>Creative Commons Attribution 4.0 licence</w:t>
        </w:r>
      </w:hyperlink>
      <w:r w:rsidRPr="00C92338">
        <w:rPr>
          <w:rStyle w:val="Hyperlink"/>
        </w:rPr>
        <w:t>,</w:t>
      </w:r>
      <w:r w:rsidRPr="006828FC">
        <w:t>. You are free to re-use the work under that licence, on the condition that you credit the State of Victoria as author. The licence does not apply to any images, photographs or branding, including the Victorian Coat of Arms, the Victorian Government logo and the Department of Treasury and Finance logo.</w:t>
      </w:r>
    </w:p>
    <w:p w14:paraId="54D42C4B" w14:textId="77777777" w:rsidR="00D64319" w:rsidRDefault="00D64319" w:rsidP="00D64319">
      <w:r w:rsidRPr="006828FC">
        <w:t xml:space="preserve">Copyright queries may be directed to </w:t>
      </w:r>
      <w:hyperlink r:id="rId16" w:history="1">
        <w:r w:rsidRPr="006828FC">
          <w:rPr>
            <w:rStyle w:val="Hyperlink"/>
          </w:rPr>
          <w:t>IPpolicy@dtf.vic.gov.au</w:t>
        </w:r>
      </w:hyperlink>
    </w:p>
    <w:p w14:paraId="6AB411F5" w14:textId="77777777" w:rsidR="00D465CB" w:rsidRDefault="00D465CB" w:rsidP="00D465CB"/>
    <w:sectPr w:rsidR="00D465CB" w:rsidSect="00AE74DD">
      <w:headerReference w:type="default" r:id="rId17"/>
      <w:footerReference w:type="default" r:id="rId18"/>
      <w:headerReference w:type="first" r:id="rId19"/>
      <w:footerReference w:type="first" r:id="rId20"/>
      <w:pgSz w:w="11901" w:h="16840" w:code="9"/>
      <w:pgMar w:top="1418" w:right="1008" w:bottom="1418" w:left="1152" w:header="568" w:footer="615"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699035" w14:textId="77777777" w:rsidR="00560416" w:rsidRDefault="00560416">
      <w:r>
        <w:separator/>
      </w:r>
    </w:p>
    <w:p w14:paraId="59CE1852" w14:textId="77777777" w:rsidR="00560416" w:rsidRDefault="00560416"/>
  </w:endnote>
  <w:endnote w:type="continuationSeparator" w:id="0">
    <w:p w14:paraId="41633CC3" w14:textId="77777777" w:rsidR="00560416" w:rsidRDefault="00560416">
      <w:r>
        <w:continuationSeparator/>
      </w:r>
    </w:p>
    <w:p w14:paraId="171EEB92" w14:textId="77777777" w:rsidR="00560416" w:rsidRDefault="005604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AEA177" w14:textId="3004FECD" w:rsidR="00853D8D" w:rsidRDefault="00853D8D" w:rsidP="00E17BF2">
    <w:pPr>
      <w:pStyle w:val="Footer"/>
      <w:tabs>
        <w:tab w:val="clear" w:pos="8220"/>
        <w:tab w:val="right" w:pos="9639"/>
      </w:tabs>
      <w:jc w:val="left"/>
    </w:pPr>
    <w:r>
      <w:t>Victorian Government Purchasing Board</w:t>
    </w:r>
  </w:p>
  <w:p w14:paraId="7E041DE6" w14:textId="3ACBEF78" w:rsidR="00304E7F" w:rsidRDefault="00056E90" w:rsidP="00E17BF2">
    <w:pPr>
      <w:pStyle w:val="Footer"/>
      <w:tabs>
        <w:tab w:val="clear" w:pos="8220"/>
        <w:tab w:val="right" w:pos="9639"/>
      </w:tabs>
      <w:jc w:val="left"/>
    </w:pPr>
    <w:r>
      <mc:AlternateContent>
        <mc:Choice Requires="wps">
          <w:drawing>
            <wp:anchor distT="0" distB="0" distL="114300" distR="114300" simplePos="0" relativeHeight="251684864" behindDoc="0" locked="0" layoutInCell="0" allowOverlap="1" wp14:anchorId="1D6F6DCA" wp14:editId="44E5D452">
              <wp:simplePos x="0" y="0"/>
              <wp:positionH relativeFrom="page">
                <wp:posOffset>0</wp:posOffset>
              </wp:positionH>
              <wp:positionV relativeFrom="page">
                <wp:posOffset>10236200</wp:posOffset>
              </wp:positionV>
              <wp:extent cx="7557135" cy="266700"/>
              <wp:effectExtent l="0" t="0" r="0" b="0"/>
              <wp:wrapNone/>
              <wp:docPr id="1" name="MSIPCM67ab44439cf07fc19253dc3f" descr="{&quot;HashCode&quot;:-1267603503,&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713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D7540E2" w14:textId="0C6BA9BB" w:rsidR="00056E90" w:rsidRPr="00056E90" w:rsidRDefault="00056E90" w:rsidP="00056E90">
                          <w:pPr>
                            <w:spacing w:before="0" w:after="0"/>
                            <w:rPr>
                              <w:color w:val="000000"/>
                            </w:rPr>
                          </w:pPr>
                          <w:r w:rsidRPr="00056E90">
                            <w:rPr>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D6F6DCA" id="_x0000_t202" coordsize="21600,21600" o:spt="202" path="m,l,21600r21600,l21600,xe">
              <v:stroke joinstyle="miter"/>
              <v:path gradientshapeok="t" o:connecttype="rect"/>
            </v:shapetype>
            <v:shape id="MSIPCM67ab44439cf07fc19253dc3f" o:spid="_x0000_s1026" type="#_x0000_t202" alt="{&quot;HashCode&quot;:-1267603503,&quot;Height&quot;:842.0,&quot;Width&quot;:595.0,&quot;Placement&quot;:&quot;Footer&quot;,&quot;Index&quot;:&quot;Primary&quot;,&quot;Section&quot;:1,&quot;Top&quot;:0.0,&quot;Left&quot;:0.0}" style="position:absolute;margin-left:0;margin-top:806pt;width:595.05pt;height:21pt;z-index:2516848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" o:allowincell="f" filled="f" stroked="f" strokeweight=".5pt">
              <v:textbox inset="20pt,0,,0">
                <w:txbxContent>
                  <w:p w14:paraId="4D7540E2" w14:textId="0C6BA9BB" w:rsidR="00056E90" w:rsidRPr="00056E90" w:rsidRDefault="00056E90" w:rsidP="00056E90">
                    <w:pPr>
                      <w:spacing w:before="0" w:after="0"/>
                      <w:rPr>
                        <w:color w:val="000000"/>
                      </w:rPr>
                    </w:pPr>
                    <w:r w:rsidRPr="00056E90">
                      <w:rPr>
                        <w:color w:val="000000"/>
                      </w:rPr>
                      <w:t>OFFICIAL</w:t>
                    </w:r>
                  </w:p>
                </w:txbxContent>
              </v:textbox>
              <w10:wrap anchorx="page" anchory="page"/>
            </v:shape>
          </w:pict>
        </mc:Fallback>
      </mc:AlternateContent>
    </w:r>
    <w:r w:rsidR="00CE528A">
      <w:t>Pre-qualified supplier arrangements 0 Goods and services procurement guide</w:t>
    </w:r>
    <w:r w:rsidR="00CE528A">
      <w:br/>
      <w:t>May 2019</w:t>
    </w:r>
    <w:r w:rsidR="00CE528A">
      <w:tab/>
    </w:r>
    <w:sdt>
      <w:sdtPr>
        <w:id w:val="2036529355"/>
        <w:docPartObj>
          <w:docPartGallery w:val="Page Numbers (Bottom of Page)"/>
          <w:docPartUnique/>
        </w:docPartObj>
      </w:sdtPr>
      <w:sdtEndPr/>
      <w:sdtContent>
        <w:sdt>
          <w:sdtPr>
            <w:id w:val="-277111547"/>
            <w:docPartObj>
              <w:docPartGallery w:val="Page Numbers (Top of Page)"/>
              <w:docPartUnique/>
            </w:docPartObj>
          </w:sdtPr>
          <w:sdtEndPr/>
          <w:sdtContent>
            <w:r w:rsidR="00CE528A">
              <w:t xml:space="preserve">Page </w:t>
            </w:r>
            <w:r w:rsidR="00CE528A">
              <w:rPr>
                <w:b/>
                <w:bCs/>
                <w:sz w:val="24"/>
                <w:szCs w:val="24"/>
              </w:rPr>
              <w:fldChar w:fldCharType="begin"/>
            </w:r>
            <w:r w:rsidR="00CE528A">
              <w:rPr>
                <w:b/>
                <w:bCs/>
              </w:rPr>
              <w:instrText xml:space="preserve"> PAGE </w:instrText>
            </w:r>
            <w:r w:rsidR="00CE528A">
              <w:rPr>
                <w:b/>
                <w:bCs/>
                <w:sz w:val="24"/>
                <w:szCs w:val="24"/>
              </w:rPr>
              <w:fldChar w:fldCharType="separate"/>
            </w:r>
            <w:r w:rsidR="00CE528A">
              <w:rPr>
                <w:b/>
                <w:bCs/>
              </w:rPr>
              <w:t>2</w:t>
            </w:r>
            <w:r w:rsidR="00CE528A">
              <w:rPr>
                <w:b/>
                <w:bCs/>
                <w:sz w:val="24"/>
                <w:szCs w:val="24"/>
              </w:rPr>
              <w:fldChar w:fldCharType="end"/>
            </w:r>
            <w:r w:rsidR="00CE528A">
              <w:t xml:space="preserve"> of </w:t>
            </w:r>
            <w:r w:rsidR="00CE528A">
              <w:rPr>
                <w:b/>
                <w:bCs/>
                <w:sz w:val="24"/>
                <w:szCs w:val="24"/>
              </w:rPr>
              <w:fldChar w:fldCharType="begin"/>
            </w:r>
            <w:r w:rsidR="00CE528A">
              <w:rPr>
                <w:b/>
                <w:bCs/>
              </w:rPr>
              <w:instrText xml:space="preserve"> NUMPAGES  </w:instrText>
            </w:r>
            <w:r w:rsidR="00CE528A">
              <w:rPr>
                <w:b/>
                <w:bCs/>
                <w:sz w:val="24"/>
                <w:szCs w:val="24"/>
              </w:rPr>
              <w:fldChar w:fldCharType="separate"/>
            </w:r>
            <w:r w:rsidR="00CE528A">
              <w:rPr>
                <w:b/>
                <w:bCs/>
              </w:rPr>
              <w:t>2</w:t>
            </w:r>
            <w:r w:rsidR="00CE528A">
              <w:rPr>
                <w:b/>
                <w:bCs/>
                <w:sz w:val="24"/>
                <w:szCs w:val="24"/>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99A130" w14:textId="77777777" w:rsidR="00304E7F" w:rsidRDefault="001F7EBD" w:rsidP="00F23BE7">
    <w:pPr>
      <w:pStyle w:val="Footer"/>
      <w:jc w:val="left"/>
    </w:pPr>
    <w:r>
      <mc:AlternateContent>
        <mc:Choice Requires="wps">
          <w:drawing>
            <wp:anchor distT="0" distB="0" distL="114300" distR="114300" simplePos="0" relativeHeight="251663360" behindDoc="0" locked="0" layoutInCell="0" allowOverlap="1" wp14:anchorId="30A1E529" wp14:editId="4DE1210C">
              <wp:simplePos x="0" y="0"/>
              <wp:positionH relativeFrom="page">
                <wp:posOffset>0</wp:posOffset>
              </wp:positionH>
              <wp:positionV relativeFrom="page">
                <wp:posOffset>10236200</wp:posOffset>
              </wp:positionV>
              <wp:extent cx="7557135" cy="266700"/>
              <wp:effectExtent l="0" t="0" r="0" b="0"/>
              <wp:wrapNone/>
              <wp:docPr id="8" name="MSIPCMc2314f16b75ab4f824d2ff4c" descr="{&quot;HashCode&quot;:-1267603503,&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713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A04D318" w14:textId="77777777" w:rsidR="001F7EBD" w:rsidRPr="001F7EBD" w:rsidRDefault="001F7EBD" w:rsidP="001F7EBD">
                          <w:pPr>
                            <w:spacing w:before="0" w:after="0"/>
                            <w:rPr>
                              <w:color w:val="000000"/>
                            </w:rPr>
                          </w:pPr>
                          <w:r w:rsidRPr="001F7EBD">
                            <w:rPr>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0A1E529" id="_x0000_t202" coordsize="21600,21600" o:spt="202" path="m,l,21600r21600,l21600,xe">
              <v:stroke joinstyle="miter"/>
              <v:path gradientshapeok="t" o:connecttype="rect"/>
            </v:shapetype>
            <v:shape id="MSIPCMc2314f16b75ab4f824d2ff4c" o:spid="_x0000_s1027" type="#_x0000_t202" alt="{&quot;HashCode&quot;:-1267603503,&quot;Height&quot;:842.0,&quot;Width&quot;:595.0,&quot;Placement&quot;:&quot;Footer&quot;,&quot;Index&quot;:&quot;FirstPage&quot;,&quot;Section&quot;:1,&quot;Top&quot;:0.0,&quot;Left&quot;:0.0}" style="position:absolute;margin-left:0;margin-top:806pt;width:595.05pt;height:21pt;z-index:2516633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" o:allowincell="f" filled="f" stroked="f" strokeweight=".5pt">
              <v:textbox inset="20pt,0,,0">
                <w:txbxContent>
                  <w:p w14:paraId="1A04D318" w14:textId="77777777" w:rsidR="001F7EBD" w:rsidRPr="001F7EBD" w:rsidRDefault="001F7EBD" w:rsidP="001F7EBD">
                    <w:pPr>
                      <w:spacing w:before="0" w:after="0"/>
                      <w:rPr>
                        <w:color w:val="000000"/>
                      </w:rPr>
                    </w:pPr>
                    <w:r w:rsidRPr="001F7EBD">
                      <w:rPr>
                        <w:color w:val="000000"/>
                      </w:rPr>
                      <w:t>OFFICIAL</w:t>
                    </w:r>
                  </w:p>
                </w:txbxContent>
              </v:textbox>
              <w10:wrap anchorx="page" anchory="page"/>
            </v:shape>
          </w:pict>
        </mc:Fallback>
      </mc:AlternateContent>
    </w:r>
    <w:r w:rsidR="00026D4F">
      <w:t>5/5/2019</w:t>
    </w:r>
    <w:r w:rsidR="00F23BE7">
      <w:tab/>
    </w:r>
    <w:r w:rsidR="00F23BE7">
      <w:tab/>
    </w:r>
    <w:r w:rsidR="00A04A05">
      <w:drawing>
        <wp:inline distT="0" distB="0" distL="0" distR="0" wp14:anchorId="50BDAA51" wp14:editId="173BC0EB">
          <wp:extent cx="682351" cy="390525"/>
          <wp:effectExtent l="0" t="0" r="381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toria State Gov logo black rgb (.jp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90060" cy="394937"/>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3A0AC5" w14:textId="77777777" w:rsidR="00560416" w:rsidRDefault="00560416">
      <w:r>
        <w:separator/>
      </w:r>
    </w:p>
    <w:p w14:paraId="59BC15C9" w14:textId="77777777" w:rsidR="00560416" w:rsidRDefault="00560416"/>
  </w:footnote>
  <w:footnote w:type="continuationSeparator" w:id="0">
    <w:p w14:paraId="56E6D1A9" w14:textId="77777777" w:rsidR="00560416" w:rsidRDefault="00560416">
      <w:r>
        <w:continuationSeparator/>
      </w:r>
    </w:p>
    <w:p w14:paraId="700623AC" w14:textId="77777777" w:rsidR="00560416" w:rsidRDefault="0056041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2B9C11" w14:textId="77777777" w:rsidR="00304E7F" w:rsidRPr="00CE528A" w:rsidRDefault="00CE528A" w:rsidP="00CE528A">
    <w:pPr>
      <w:pStyle w:val="Header"/>
      <w:tabs>
        <w:tab w:val="clear" w:pos="10350"/>
        <w:tab w:val="right" w:pos="9781"/>
      </w:tabs>
      <w:spacing w:before="240"/>
      <w:ind w:right="-40"/>
      <w:rPr>
        <w:sz w:val="20"/>
        <w:szCs w:val="20"/>
      </w:rPr>
    </w:pPr>
    <w:r>
      <w:rPr>
        <w:sz w:val="20"/>
        <w:szCs w:val="20"/>
      </w:rPr>
      <w:t>Department of Treasury and Finance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9C87EB" w14:textId="77777777" w:rsidR="00304E7F" w:rsidRPr="007602D7" w:rsidRDefault="00304E7F" w:rsidP="00B54F88">
    <w:pPr>
      <w:pStyle w:val="Header"/>
      <w:spacing w:before="240"/>
      <w:ind w:right="-461"/>
    </w:pPr>
    <w:r w:rsidRPr="000E286D">
      <w:drawing>
        <wp:anchor distT="0" distB="0" distL="114300" distR="114300" simplePos="0" relativeHeight="251655168" behindDoc="1" locked="0" layoutInCell="1" allowOverlap="1" wp14:anchorId="3B519057" wp14:editId="431B3C70">
          <wp:simplePos x="0" y="0"/>
          <wp:positionH relativeFrom="column">
            <wp:posOffset>-731520</wp:posOffset>
          </wp:positionH>
          <wp:positionV relativeFrom="paragraph">
            <wp:posOffset>-200133</wp:posOffset>
          </wp:positionV>
          <wp:extent cx="560717" cy="10717356"/>
          <wp:effectExtent l="0" t="0" r="0" b="8255"/>
          <wp:wrapNone/>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cstate="print">
                    <a:extLst>
                      <a:ext uri="{BEBA8EAE-BF5A-486C-A8C5-ECC9F3942E4B}">
                        <a14:imgProps xmlns:a14="http://schemas.microsoft.com/office/drawing/2010/main">
                          <a14:imgLayer r:embed="rId2">
                            <a14:imgEffect>
                              <a14:sharpenSoften amount="35000"/>
                            </a14:imgEffect>
                            <a14:imgEffect>
                              <a14:brightnessContrast bright="5000"/>
                            </a14:imgEffect>
                          </a14:imgLayer>
                        </a14:imgProps>
                      </a:ext>
                      <a:ext uri="{28A0092B-C50C-407E-A947-70E740481C1C}">
                        <a14:useLocalDpi xmlns:a14="http://schemas.microsoft.com/office/drawing/2010/main" val="0"/>
                      </a:ext>
                    </a:extLst>
                  </a:blip>
                  <a:srcRect/>
                  <a:stretch/>
                </pic:blipFill>
                <pic:spPr bwMode="auto">
                  <a:xfrm flipV="1">
                    <a:off x="0" y="0"/>
                    <a:ext cx="567559" cy="1084813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drawing>
        <wp:inline distT="0" distB="0" distL="0" distR="0" wp14:anchorId="06EA5E92" wp14:editId="683ABE42">
          <wp:extent cx="2162175" cy="133350"/>
          <wp:effectExtent l="0" t="0" r="0" b="0"/>
          <wp:docPr id="6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162175" cy="1333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37D8E1F8"/>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43707814"/>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9B208E02"/>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66C01DE"/>
    <w:multiLevelType w:val="multilevel"/>
    <w:tmpl w:val="F79258D2"/>
    <w:name w:val="Headings8"/>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4" w15:restartNumberingAfterBreak="0">
    <w:nsid w:val="0CBF2FEF"/>
    <w:multiLevelType w:val="multilevel"/>
    <w:tmpl w:val="15141950"/>
    <w:lvl w:ilvl="0">
      <w:start w:val="1"/>
      <w:numFmt w:val="decimal"/>
      <w:pStyle w:val="Num1"/>
      <w:lvlText w:val="%1."/>
      <w:lvlJc w:val="left"/>
      <w:pPr>
        <w:ind w:left="360" w:hanging="360"/>
      </w:pPr>
      <w:rPr>
        <w:rFonts w:hint="default"/>
      </w:rPr>
    </w:lvl>
    <w:lvl w:ilvl="1">
      <w:start w:val="1"/>
      <w:numFmt w:val="lowerLetter"/>
      <w:pStyle w:val="Num2"/>
      <w:lvlText w:val="(%2)"/>
      <w:lvlJc w:val="left"/>
      <w:pPr>
        <w:ind w:left="720" w:hanging="360"/>
      </w:pPr>
      <w:rPr>
        <w:rFonts w:hint="default"/>
      </w:rPr>
    </w:lvl>
    <w:lvl w:ilvl="2">
      <w:start w:val="1"/>
      <w:numFmt w:val="lowerRoman"/>
      <w:pStyle w:val="Num3"/>
      <w:lvlText w:val="(%3)"/>
      <w:lvlJc w:val="left"/>
      <w:pPr>
        <w:ind w:left="1224" w:hanging="50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DA107FF"/>
    <w:multiLevelType w:val="multilevel"/>
    <w:tmpl w:val="AFA60A0C"/>
    <w:name w:val="Headings"/>
    <w:lvl w:ilvl="0">
      <w:start w:val="2"/>
      <w:numFmt w:val="decimal"/>
      <w:lvlText w:val="%1."/>
      <w:lvlJc w:val="left"/>
      <w:pPr>
        <w:tabs>
          <w:tab w:val="num" w:pos="1134"/>
        </w:tabs>
        <w:ind w:left="1134" w:hanging="1134"/>
      </w:pPr>
      <w:rPr>
        <w:rFonts w:ascii="Arial" w:hAnsi="Arial" w:hint="default"/>
        <w:b/>
        <w:i w:val="0"/>
        <w:color w:val="000000"/>
        <w:sz w:val="24"/>
      </w:rPr>
    </w:lvl>
    <w:lvl w:ilvl="1">
      <w:start w:val="3"/>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6" w15:restartNumberingAfterBreak="0">
    <w:nsid w:val="141F1E3C"/>
    <w:multiLevelType w:val="multilevel"/>
    <w:tmpl w:val="62829894"/>
    <w:name w:val="Headings12"/>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7" w15:restartNumberingAfterBreak="0">
    <w:nsid w:val="161C752B"/>
    <w:multiLevelType w:val="multilevel"/>
    <w:tmpl w:val="C076253E"/>
    <w:name w:val="Headings5"/>
    <w:lvl w:ilvl="0">
      <w:start w:val="1"/>
      <w:numFmt w:val="decimal"/>
      <w:lvlText w:val="%1."/>
      <w:lvlJc w:val="left"/>
      <w:pPr>
        <w:tabs>
          <w:tab w:val="num" w:pos="794"/>
        </w:tabs>
        <w:ind w:left="794" w:hanging="794"/>
      </w:pPr>
      <w:rPr>
        <w:rFonts w:ascii="Calibri" w:hAnsi="Calibri" w:cs="Calibri" w:hint="default"/>
        <w:b w:val="0"/>
        <w:i w:val="0"/>
        <w:vanish w:val="0"/>
        <w:color w:val="404040"/>
        <w:sz w:val="40"/>
      </w:rPr>
    </w:lvl>
    <w:lvl w:ilvl="1">
      <w:start w:val="1"/>
      <w:numFmt w:val="decimal"/>
      <w:lvlText w:val="%1.%2"/>
      <w:lvlJc w:val="left"/>
      <w:pPr>
        <w:tabs>
          <w:tab w:val="num" w:pos="794"/>
        </w:tabs>
        <w:ind w:left="794" w:hanging="794"/>
      </w:pPr>
      <w:rPr>
        <w:rFonts w:ascii="Calibri" w:hAnsi="Calibri" w:cs="Calibri" w:hint="default"/>
        <w:b w:val="0"/>
        <w:i w:val="0"/>
        <w:vanish w:val="0"/>
        <w:color w:val="404040"/>
        <w:sz w:val="28"/>
      </w:rPr>
    </w:lvl>
    <w:lvl w:ilvl="2">
      <w:start w:val="1"/>
      <w:numFmt w:val="decimal"/>
      <w:lvlText w:val="%1.%2.%3"/>
      <w:lvlJc w:val="left"/>
      <w:pPr>
        <w:tabs>
          <w:tab w:val="num" w:pos="794"/>
        </w:tabs>
        <w:ind w:left="794" w:hanging="794"/>
      </w:pPr>
      <w:rPr>
        <w:rFonts w:ascii="Calibri" w:hAnsi="Calibri" w:cs="Calibri" w:hint="default"/>
        <w:b w:val="0"/>
        <w:i w:val="0"/>
        <w:vanish w:val="0"/>
        <w:color w:val="4D4D4D"/>
        <w:sz w:val="24"/>
      </w:rPr>
    </w:lvl>
    <w:lvl w:ilvl="3">
      <w:start w:val="1"/>
      <w:numFmt w:val="decimal"/>
      <w:lvlText w:val="%1.%2.%3.%4"/>
      <w:lvlJc w:val="left"/>
      <w:pPr>
        <w:tabs>
          <w:tab w:val="num" w:pos="794"/>
        </w:tabs>
        <w:ind w:left="794" w:hanging="794"/>
      </w:pPr>
      <w:rPr>
        <w:rFonts w:ascii="Calibri" w:hAnsi="Calibri" w:cs="Calibri" w:hint="default"/>
        <w:b w:val="0"/>
        <w:i w:val="0"/>
        <w:vanish w:val="0"/>
        <w:color w:val="4D4D4D"/>
        <w:sz w:val="22"/>
      </w:rPr>
    </w:lvl>
    <w:lvl w:ilvl="4">
      <w:start w:val="1"/>
      <w:numFmt w:val="decimal"/>
      <w:suff w:val="nothing"/>
      <w:lvlText w:val=""/>
      <w:lvlJc w:val="left"/>
      <w:pPr>
        <w:ind w:left="794" w:hanging="794"/>
      </w:pPr>
      <w:rPr>
        <w:rFonts w:ascii="Calibri" w:hAnsi="Calibri" w:cs="Calibri" w:hint="default"/>
        <w:b/>
        <w:i w:val="0"/>
        <w:vanish w:val="0"/>
        <w:color w:val="404040"/>
        <w:sz w:val="22"/>
      </w:rPr>
    </w:lvl>
    <w:lvl w:ilvl="5">
      <w:start w:val="1"/>
      <w:numFmt w:val="decimal"/>
      <w:suff w:val="nothing"/>
      <w:lvlText w:val=""/>
      <w:lvlJc w:val="left"/>
      <w:pPr>
        <w:ind w:left="794" w:hanging="794"/>
      </w:pPr>
      <w:rPr>
        <w:rFonts w:ascii="Calibri" w:hAnsi="Calibri" w:cs="Calibri" w:hint="default"/>
        <w:b/>
        <w:i w:val="0"/>
        <w:vanish w:val="0"/>
        <w:color w:val="404040"/>
        <w:sz w:val="22"/>
      </w:rPr>
    </w:lvl>
    <w:lvl w:ilvl="6">
      <w:start w:val="1"/>
      <w:numFmt w:val="decimal"/>
      <w:suff w:val="nothing"/>
      <w:lvlText w:val=""/>
      <w:lvlJc w:val="left"/>
      <w:pPr>
        <w:ind w:left="794" w:hanging="794"/>
      </w:pPr>
      <w:rPr>
        <w:rFonts w:ascii="Calibri" w:hAnsi="Calibri" w:cs="Calibri" w:hint="default"/>
        <w:b/>
        <w:i/>
        <w:vanish w:val="0"/>
        <w:color w:val="404040"/>
        <w:sz w:val="22"/>
      </w:rPr>
    </w:lvl>
    <w:lvl w:ilvl="7">
      <w:start w:val="1"/>
      <w:numFmt w:val="decimal"/>
      <w:suff w:val="nothing"/>
      <w:lvlText w:val=""/>
      <w:lvlJc w:val="left"/>
      <w:pPr>
        <w:ind w:left="794" w:hanging="794"/>
      </w:pPr>
      <w:rPr>
        <w:rFonts w:ascii="Calibri" w:hAnsi="Calibri" w:cs="Calibri" w:hint="default"/>
        <w:b w:val="0"/>
        <w:i/>
        <w:vanish w:val="0"/>
        <w:color w:val="404040"/>
        <w:sz w:val="22"/>
      </w:rPr>
    </w:lvl>
    <w:lvl w:ilvl="8">
      <w:start w:val="1"/>
      <w:numFmt w:val="decimal"/>
      <w:suff w:val="nothing"/>
      <w:lvlText w:val=""/>
      <w:lvlJc w:val="left"/>
      <w:pPr>
        <w:ind w:left="794" w:hanging="794"/>
      </w:pPr>
      <w:rPr>
        <w:rFonts w:ascii="Calibri" w:hAnsi="Calibri" w:cs="Calibri" w:hint="default"/>
        <w:b w:val="0"/>
        <w:i/>
        <w:vanish w:val="0"/>
        <w:color w:val="404040"/>
        <w:sz w:val="22"/>
      </w:rPr>
    </w:lvl>
  </w:abstractNum>
  <w:abstractNum w:abstractNumId="8" w15:restartNumberingAfterBreak="0">
    <w:nsid w:val="1FCB7787"/>
    <w:multiLevelType w:val="multilevel"/>
    <w:tmpl w:val="414098FC"/>
    <w:lvl w:ilvl="0">
      <w:start w:val="1"/>
      <w:numFmt w:val="decimal"/>
      <w:pStyle w:val="ListNumber"/>
      <w:lvlText w:val="%1."/>
      <w:lvlJc w:val="left"/>
      <w:pPr>
        <w:tabs>
          <w:tab w:val="num" w:pos="1077"/>
        </w:tabs>
        <w:ind w:left="1077" w:hanging="283"/>
      </w:pPr>
      <w:rPr>
        <w:rFonts w:ascii="Calibri" w:hAnsi="Calibri" w:cs="Calibri"/>
        <w:b w:val="0"/>
        <w:i w:val="0"/>
        <w:sz w:val="20"/>
      </w:rPr>
    </w:lvl>
    <w:lvl w:ilvl="1">
      <w:start w:val="1"/>
      <w:numFmt w:val="lowerLetter"/>
      <w:pStyle w:val="ListNumber2"/>
      <w:lvlText w:val="%2)"/>
      <w:lvlJc w:val="left"/>
      <w:pPr>
        <w:tabs>
          <w:tab w:val="num" w:pos="1361"/>
        </w:tabs>
        <w:ind w:left="1361" w:hanging="284"/>
      </w:pPr>
      <w:rPr>
        <w:rFonts w:ascii="Calibri" w:hAnsi="Calibri" w:cs="Calibri"/>
        <w:b w:val="0"/>
        <w:i w:val="0"/>
        <w:sz w:val="20"/>
      </w:rPr>
    </w:lvl>
    <w:lvl w:ilvl="2">
      <w:start w:val="1"/>
      <w:numFmt w:val="lowerRoman"/>
      <w:pStyle w:val="ListNumber3"/>
      <w:lvlText w:val="%3."/>
      <w:lvlJc w:val="left"/>
      <w:pPr>
        <w:tabs>
          <w:tab w:val="num" w:pos="1644"/>
        </w:tabs>
        <w:ind w:left="1644" w:hanging="283"/>
      </w:pPr>
      <w:rPr>
        <w:rFonts w:ascii="Calibri" w:hAnsi="Calibri" w:cs="Calibri"/>
        <w:b w:val="0"/>
        <w:i w:val="0"/>
        <w:sz w:val="20"/>
      </w:rPr>
    </w:lvl>
    <w:lvl w:ilvl="3">
      <w:start w:val="1"/>
      <w:numFmt w:val="decimal"/>
      <w:lvlText w:val="–"/>
      <w:lvlJc w:val="left"/>
      <w:pPr>
        <w:tabs>
          <w:tab w:val="num" w:pos="1928"/>
        </w:tabs>
        <w:ind w:left="1928" w:hanging="284"/>
      </w:pPr>
      <w:rPr>
        <w:rFonts w:ascii="Calibri" w:hAnsi="Calibri" w:cs="Calibri"/>
        <w:b w:val="0"/>
        <w:i w:val="0"/>
        <w:sz w:val="20"/>
      </w:rPr>
    </w:lvl>
    <w:lvl w:ilvl="4">
      <w:start w:val="1"/>
      <w:numFmt w:val="decimal"/>
      <w:lvlText w:val="–"/>
      <w:lvlJc w:val="left"/>
      <w:pPr>
        <w:tabs>
          <w:tab w:val="num" w:pos="2211"/>
        </w:tabs>
        <w:ind w:left="2211" w:hanging="283"/>
      </w:pPr>
      <w:rPr>
        <w:rFonts w:ascii="Calibri" w:hAnsi="Calibri" w:cs="Calibri"/>
        <w:b w:val="0"/>
        <w:i w:val="0"/>
        <w:sz w:val="20"/>
      </w:rPr>
    </w:lvl>
    <w:lvl w:ilvl="5">
      <w:start w:val="1"/>
      <w:numFmt w:val="decimal"/>
      <w:lvlText w:val="–"/>
      <w:lvlJc w:val="left"/>
      <w:pPr>
        <w:tabs>
          <w:tab w:val="num" w:pos="2495"/>
        </w:tabs>
        <w:ind w:left="2495" w:hanging="284"/>
      </w:pPr>
      <w:rPr>
        <w:rFonts w:ascii="Calibri" w:hAnsi="Calibri" w:cs="Calibri"/>
        <w:b w:val="0"/>
        <w:i w:val="0"/>
        <w:sz w:val="20"/>
      </w:rPr>
    </w:lvl>
    <w:lvl w:ilvl="6">
      <w:start w:val="1"/>
      <w:numFmt w:val="decimal"/>
      <w:lvlText w:val="–"/>
      <w:lvlJc w:val="left"/>
      <w:pPr>
        <w:tabs>
          <w:tab w:val="num" w:pos="2778"/>
        </w:tabs>
        <w:ind w:left="2778" w:hanging="283"/>
      </w:pPr>
      <w:rPr>
        <w:rFonts w:ascii="Calibri" w:hAnsi="Calibri" w:cs="Calibri"/>
        <w:b w:val="0"/>
        <w:i w:val="0"/>
        <w:sz w:val="20"/>
      </w:rPr>
    </w:lvl>
    <w:lvl w:ilvl="7">
      <w:start w:val="1"/>
      <w:numFmt w:val="decimal"/>
      <w:lvlText w:val="–"/>
      <w:lvlJc w:val="left"/>
      <w:pPr>
        <w:tabs>
          <w:tab w:val="num" w:pos="3062"/>
        </w:tabs>
        <w:ind w:left="3062" w:hanging="284"/>
      </w:pPr>
      <w:rPr>
        <w:rFonts w:ascii="Calibri" w:hAnsi="Calibri" w:cs="Calibri"/>
        <w:b w:val="0"/>
        <w:i w:val="0"/>
        <w:sz w:val="20"/>
      </w:rPr>
    </w:lvl>
    <w:lvl w:ilvl="8">
      <w:start w:val="1"/>
      <w:numFmt w:val="decimal"/>
      <w:lvlText w:val="–"/>
      <w:lvlJc w:val="left"/>
      <w:pPr>
        <w:tabs>
          <w:tab w:val="num" w:pos="3345"/>
        </w:tabs>
        <w:ind w:left="3345" w:hanging="283"/>
      </w:pPr>
      <w:rPr>
        <w:rFonts w:ascii="Calibri" w:hAnsi="Calibri" w:cs="Calibri"/>
        <w:b w:val="0"/>
        <w:i w:val="0"/>
        <w:sz w:val="20"/>
      </w:rPr>
    </w:lvl>
  </w:abstractNum>
  <w:abstractNum w:abstractNumId="9" w15:restartNumberingAfterBreak="0">
    <w:nsid w:val="27785FCD"/>
    <w:multiLevelType w:val="multilevel"/>
    <w:tmpl w:val="0268CF42"/>
    <w:lvl w:ilvl="0">
      <w:start w:val="1"/>
      <w:numFmt w:val="decimal"/>
      <w:pStyle w:val="Attachment1"/>
      <w:lvlText w:val="Attachment %1."/>
      <w:lvlJc w:val="left"/>
      <w:pPr>
        <w:tabs>
          <w:tab w:val="num" w:pos="2268"/>
        </w:tabs>
        <w:ind w:left="2268" w:hanging="2268"/>
      </w:pPr>
      <w:rPr>
        <w:rFonts w:ascii="Calibri" w:hAnsi="Calibri" w:cs="Calibri" w:hint="default"/>
        <w:b w:val="0"/>
        <w:i w:val="0"/>
        <w:color w:val="404040"/>
        <w:sz w:val="40"/>
      </w:rPr>
    </w:lvl>
    <w:lvl w:ilvl="1">
      <w:start w:val="1"/>
      <w:numFmt w:val="decimal"/>
      <w:lvlText w:val="%1.%2"/>
      <w:lvlJc w:val="left"/>
      <w:pPr>
        <w:tabs>
          <w:tab w:val="num" w:pos="794"/>
        </w:tabs>
        <w:ind w:left="794" w:hanging="794"/>
      </w:pPr>
      <w:rPr>
        <w:rFonts w:ascii="Arial" w:hAnsi="Arial" w:cs="Arial" w:hint="default"/>
        <w:b w:val="0"/>
        <w:i w:val="0"/>
        <w:color w:val="87746A"/>
        <w:sz w:val="24"/>
      </w:rPr>
    </w:lvl>
    <w:lvl w:ilvl="2">
      <w:start w:val="1"/>
      <w:numFmt w:val="decimal"/>
      <w:lvlText w:val="%1.%2.%3"/>
      <w:lvlJc w:val="left"/>
      <w:pPr>
        <w:tabs>
          <w:tab w:val="num" w:pos="794"/>
        </w:tabs>
        <w:ind w:left="794" w:hanging="794"/>
      </w:pPr>
      <w:rPr>
        <w:rFonts w:ascii="Arial" w:hAnsi="Arial" w:cs="Arial" w:hint="default"/>
        <w:b w:val="0"/>
        <w:i w:val="0"/>
        <w:color w:val="B20838"/>
        <w:sz w:val="22"/>
      </w:rPr>
    </w:lvl>
    <w:lvl w:ilvl="3">
      <w:start w:val="1"/>
      <w:numFmt w:val="decimal"/>
      <w:lvlText w:val="%1.%2.%3.%4"/>
      <w:lvlJc w:val="left"/>
      <w:pPr>
        <w:tabs>
          <w:tab w:val="num" w:pos="794"/>
        </w:tabs>
        <w:ind w:left="794" w:hanging="794"/>
      </w:pPr>
      <w:rPr>
        <w:rFonts w:ascii="Arial" w:hAnsi="Arial" w:cs="Arial" w:hint="default"/>
        <w:b/>
        <w:i w:val="0"/>
        <w:color w:val="093A80"/>
        <w:sz w:val="20"/>
      </w:rPr>
    </w:lvl>
    <w:lvl w:ilvl="4">
      <w:start w:val="1"/>
      <w:numFmt w:val="decimal"/>
      <w:lvlText w:val="%1.%2.%3.%4.%5"/>
      <w:lvlJc w:val="left"/>
      <w:pPr>
        <w:tabs>
          <w:tab w:val="num" w:pos="794"/>
        </w:tabs>
        <w:ind w:left="794" w:hanging="794"/>
      </w:pPr>
      <w:rPr>
        <w:rFonts w:ascii="Arial" w:hAnsi="Arial" w:cs="Arial" w:hint="default"/>
        <w:b w:val="0"/>
        <w:i w:val="0"/>
        <w:color w:val="093A80"/>
        <w:sz w:val="20"/>
      </w:rPr>
    </w:lvl>
    <w:lvl w:ilvl="5">
      <w:start w:val="1"/>
      <w:numFmt w:val="decimal"/>
      <w:lvlText w:val="%1.%2.%3.%4.%5.%6"/>
      <w:lvlJc w:val="left"/>
      <w:pPr>
        <w:tabs>
          <w:tab w:val="num" w:pos="794"/>
        </w:tabs>
        <w:ind w:left="794" w:hanging="794"/>
      </w:pPr>
      <w:rPr>
        <w:rFonts w:ascii="Arial" w:hAnsi="Arial" w:cs="Arial" w:hint="default"/>
        <w:b w:val="0"/>
        <w:i w:val="0"/>
        <w:color w:val="093A80"/>
        <w:sz w:val="20"/>
      </w:rPr>
    </w:lvl>
    <w:lvl w:ilvl="6">
      <w:start w:val="1"/>
      <w:numFmt w:val="decimal"/>
      <w:lvlText w:val="%1.%2.%3.%4.%5.%6.%7"/>
      <w:lvlJc w:val="left"/>
      <w:pPr>
        <w:tabs>
          <w:tab w:val="num" w:pos="794"/>
        </w:tabs>
        <w:ind w:left="794" w:hanging="794"/>
      </w:pPr>
      <w:rPr>
        <w:rFonts w:ascii="Arial" w:hAnsi="Arial" w:cs="Arial" w:hint="default"/>
        <w:b w:val="0"/>
        <w:i w:val="0"/>
        <w:color w:val="093A80"/>
        <w:sz w:val="20"/>
      </w:rPr>
    </w:lvl>
    <w:lvl w:ilvl="7">
      <w:start w:val="1"/>
      <w:numFmt w:val="decimal"/>
      <w:lvlText w:val="%1.%2.%3.%4.%5.%6.%7.%8"/>
      <w:lvlJc w:val="left"/>
      <w:pPr>
        <w:tabs>
          <w:tab w:val="num" w:pos="794"/>
        </w:tabs>
        <w:ind w:left="794" w:hanging="794"/>
      </w:pPr>
      <w:rPr>
        <w:rFonts w:ascii="Arial" w:hAnsi="Arial" w:cs="Arial" w:hint="default"/>
        <w:b w:val="0"/>
        <w:i w:val="0"/>
        <w:color w:val="093A80"/>
        <w:sz w:val="20"/>
      </w:rPr>
    </w:lvl>
    <w:lvl w:ilvl="8">
      <w:start w:val="1"/>
      <w:numFmt w:val="decimal"/>
      <w:lvlText w:val="%1.%2.%3.%4.%5.%6.%7.%8.%9"/>
      <w:lvlJc w:val="left"/>
      <w:pPr>
        <w:tabs>
          <w:tab w:val="num" w:pos="794"/>
        </w:tabs>
        <w:ind w:left="794" w:hanging="794"/>
      </w:pPr>
      <w:rPr>
        <w:rFonts w:ascii="Arial" w:hAnsi="Arial" w:cs="Arial" w:hint="default"/>
        <w:b w:val="0"/>
        <w:i w:val="0"/>
        <w:color w:val="093A80"/>
        <w:sz w:val="20"/>
      </w:rPr>
    </w:lvl>
  </w:abstractNum>
  <w:abstractNum w:abstractNumId="10" w15:restartNumberingAfterBreak="0">
    <w:nsid w:val="2E040AB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DE247B4"/>
    <w:multiLevelType w:val="multilevel"/>
    <w:tmpl w:val="0409001F"/>
    <w:name w:val="Headings3"/>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12" w15:restartNumberingAfterBreak="0">
    <w:nsid w:val="3ED35860"/>
    <w:multiLevelType w:val="multilevel"/>
    <w:tmpl w:val="B10467E6"/>
    <w:name w:val="Headings14"/>
    <w:lvl w:ilvl="0">
      <w:start w:val="1"/>
      <w:numFmt w:val="decimal"/>
      <w:lvlText w:val="%1."/>
      <w:lvlJc w:val="left"/>
      <w:pPr>
        <w:tabs>
          <w:tab w:val="num" w:pos="1134"/>
        </w:tabs>
        <w:ind w:left="1134" w:hanging="1134"/>
      </w:pPr>
      <w:rPr>
        <w:rFonts w:ascii="Arial" w:hAnsi="Arial" w:cs="Arial"/>
        <w:b w:val="0"/>
        <w:i w:val="0"/>
        <w:color w:val="093A80"/>
        <w:sz w:val="36"/>
      </w:rPr>
    </w:lvl>
    <w:lvl w:ilvl="1">
      <w:start w:val="1"/>
      <w:numFmt w:val="decimal"/>
      <w:lvlText w:val="%1.%2"/>
      <w:lvlJc w:val="left"/>
      <w:pPr>
        <w:tabs>
          <w:tab w:val="num" w:pos="1134"/>
        </w:tabs>
        <w:ind w:left="1134" w:hanging="1134"/>
      </w:pPr>
      <w:rPr>
        <w:rFonts w:ascii="Arial" w:hAnsi="Arial" w:cs="Arial"/>
        <w:b w:val="0"/>
        <w:i w:val="0"/>
        <w:color w:val="87746A"/>
        <w:sz w:val="24"/>
      </w:rPr>
    </w:lvl>
    <w:lvl w:ilvl="2">
      <w:start w:val="1"/>
      <w:numFmt w:val="decimal"/>
      <w:lvlText w:val="%1.%2.%3"/>
      <w:lvlJc w:val="left"/>
      <w:pPr>
        <w:tabs>
          <w:tab w:val="num" w:pos="1134"/>
        </w:tabs>
        <w:ind w:left="1134" w:hanging="1134"/>
      </w:pPr>
      <w:rPr>
        <w:rFonts w:ascii="Arial" w:hAnsi="Arial" w:cs="Arial"/>
        <w:b w:val="0"/>
        <w:i w:val="0"/>
        <w:color w:val="B20838"/>
        <w:sz w:val="22"/>
      </w:rPr>
    </w:lvl>
    <w:lvl w:ilvl="3">
      <w:start w:val="1"/>
      <w:numFmt w:val="none"/>
      <w:lvlText w:val=""/>
      <w:lvlJc w:val="left"/>
      <w:pPr>
        <w:tabs>
          <w:tab w:val="num" w:pos="1701"/>
        </w:tabs>
        <w:ind w:left="1701" w:hanging="1701"/>
      </w:pPr>
      <w:rPr>
        <w:rFonts w:ascii="Arial" w:hAnsi="Arial" w:cs="Arial"/>
        <w:b/>
        <w:i w:val="0"/>
        <w:color w:val="093A80"/>
        <w:sz w:val="20"/>
      </w:rPr>
    </w:lvl>
    <w:lvl w:ilvl="4">
      <w:start w:val="1"/>
      <w:numFmt w:val="none"/>
      <w:lvlText w:val=""/>
      <w:lvlJc w:val="left"/>
      <w:pPr>
        <w:tabs>
          <w:tab w:val="num" w:pos="1701"/>
        </w:tabs>
        <w:ind w:left="1701" w:hanging="1701"/>
      </w:pPr>
      <w:rPr>
        <w:rFonts w:ascii="Arial" w:hAnsi="Arial" w:cs="Arial"/>
        <w:b w:val="0"/>
        <w:i w:val="0"/>
        <w:color w:val="093A80"/>
        <w:sz w:val="20"/>
      </w:rPr>
    </w:lvl>
    <w:lvl w:ilvl="5">
      <w:start w:val="1"/>
      <w:numFmt w:val="none"/>
      <w:lvlText w:val=""/>
      <w:lvlJc w:val="left"/>
      <w:pPr>
        <w:tabs>
          <w:tab w:val="num" w:pos="1701"/>
        </w:tabs>
        <w:ind w:left="1701" w:hanging="1701"/>
      </w:pPr>
      <w:rPr>
        <w:rFonts w:ascii="Arial" w:hAnsi="Arial" w:cs="Arial"/>
        <w:b w:val="0"/>
        <w:i w:val="0"/>
        <w:color w:val="093A80"/>
        <w:sz w:val="20"/>
      </w:rPr>
    </w:lvl>
    <w:lvl w:ilvl="6">
      <w:start w:val="1"/>
      <w:numFmt w:val="none"/>
      <w:lvlText w:val=""/>
      <w:lvlJc w:val="left"/>
      <w:pPr>
        <w:tabs>
          <w:tab w:val="num" w:pos="1701"/>
        </w:tabs>
        <w:ind w:left="1701" w:hanging="1701"/>
      </w:pPr>
      <w:rPr>
        <w:rFonts w:ascii="Arial" w:hAnsi="Arial" w:cs="Arial"/>
        <w:b w:val="0"/>
        <w:i w:val="0"/>
        <w:color w:val="093A80"/>
        <w:sz w:val="20"/>
      </w:rPr>
    </w:lvl>
    <w:lvl w:ilvl="7">
      <w:start w:val="1"/>
      <w:numFmt w:val="none"/>
      <w:lvlText w:val=""/>
      <w:lvlJc w:val="left"/>
      <w:pPr>
        <w:tabs>
          <w:tab w:val="num" w:pos="1701"/>
        </w:tabs>
        <w:ind w:left="1701" w:hanging="1701"/>
      </w:pPr>
      <w:rPr>
        <w:rFonts w:ascii="Arial" w:hAnsi="Arial" w:cs="Arial"/>
        <w:b w:val="0"/>
        <w:i w:val="0"/>
        <w:color w:val="093A80"/>
        <w:sz w:val="20"/>
      </w:rPr>
    </w:lvl>
    <w:lvl w:ilvl="8">
      <w:start w:val="1"/>
      <w:numFmt w:val="none"/>
      <w:lvlText w:val=""/>
      <w:lvlJc w:val="left"/>
      <w:pPr>
        <w:tabs>
          <w:tab w:val="num" w:pos="1701"/>
        </w:tabs>
        <w:ind w:left="1701" w:hanging="1701"/>
      </w:pPr>
      <w:rPr>
        <w:rFonts w:ascii="Arial" w:hAnsi="Arial" w:cs="Arial"/>
        <w:b w:val="0"/>
        <w:i w:val="0"/>
        <w:color w:val="093A80"/>
        <w:sz w:val="20"/>
      </w:rPr>
    </w:lvl>
  </w:abstractNum>
  <w:abstractNum w:abstractNumId="13" w15:restartNumberingAfterBreak="0">
    <w:nsid w:val="422A7CA7"/>
    <w:multiLevelType w:val="multilevel"/>
    <w:tmpl w:val="3754DF02"/>
    <w:name w:val="Headings142"/>
    <w:lvl w:ilvl="0">
      <w:start w:val="1"/>
      <w:numFmt w:val="bullet"/>
      <w:lvlRestart w:val="0"/>
      <w:lvlText w:val="–"/>
      <w:lvlJc w:val="left"/>
      <w:pPr>
        <w:tabs>
          <w:tab w:val="num" w:pos="284"/>
        </w:tabs>
        <w:ind w:left="284" w:hanging="284"/>
      </w:pPr>
      <w:rPr>
        <w:rFonts w:ascii="Times New Roman" w:hAnsi="Times New Roman" w:cs="Times New Roman" w:hint="default"/>
        <w:b w:val="0"/>
        <w:i w:val="0"/>
        <w:color w:val="333399"/>
        <w:sz w:val="16"/>
        <w:szCs w:val="16"/>
      </w:rPr>
    </w:lvl>
    <w:lvl w:ilvl="1">
      <w:start w:val="1"/>
      <w:numFmt w:val="bullet"/>
      <w:lvlText w:val="o"/>
      <w:lvlJc w:val="left"/>
      <w:pPr>
        <w:tabs>
          <w:tab w:val="num" w:pos="1440"/>
        </w:tabs>
        <w:ind w:left="1440" w:hanging="360"/>
      </w:pPr>
      <w:rPr>
        <w:rFonts w:ascii="Courier New" w:hAnsi="Courier New" w:cs="Arial Narro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Narro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Narro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46D3A6A"/>
    <w:multiLevelType w:val="multilevel"/>
    <w:tmpl w:val="10BE8B78"/>
    <w:lvl w:ilvl="0">
      <w:start w:val="1"/>
      <w:numFmt w:val="bullet"/>
      <w:pStyle w:val="Bullet1"/>
      <w:lvlText w:val=""/>
      <w:lvlJc w:val="left"/>
      <w:pPr>
        <w:tabs>
          <w:tab w:val="num" w:pos="720"/>
        </w:tabs>
        <w:ind w:left="720" w:hanging="360"/>
      </w:pPr>
      <w:rPr>
        <w:rFonts w:ascii="Symbol" w:hAnsi="Symbol" w:hint="default"/>
        <w:b w:val="0"/>
        <w:i w:val="0"/>
        <w:vanish w:val="0"/>
        <w:color w:val="auto"/>
        <w:sz w:val="20"/>
      </w:rPr>
    </w:lvl>
    <w:lvl w:ilvl="1">
      <w:start w:val="1"/>
      <w:numFmt w:val="bullet"/>
      <w:pStyle w:val="Bullet2"/>
      <w:lvlText w:val="–"/>
      <w:lvlJc w:val="left"/>
      <w:pPr>
        <w:tabs>
          <w:tab w:val="num" w:pos="1080"/>
        </w:tabs>
        <w:ind w:left="1080" w:hanging="360"/>
      </w:pPr>
      <w:rPr>
        <w:rFonts w:ascii="Calibri" w:hAnsi="Calibri" w:hint="default"/>
        <w:b w:val="0"/>
        <w:i w:val="0"/>
        <w:vanish w:val="0"/>
        <w:color w:val="auto"/>
        <w:sz w:val="20"/>
      </w:rPr>
    </w:lvl>
    <w:lvl w:ilvl="2">
      <w:start w:val="1"/>
      <w:numFmt w:val="bullet"/>
      <w:pStyle w:val="Bullet3"/>
      <w:lvlText w:val=""/>
      <w:lvlJc w:val="left"/>
      <w:pPr>
        <w:tabs>
          <w:tab w:val="num" w:pos="1440"/>
        </w:tabs>
        <w:ind w:left="1440" w:hanging="360"/>
      </w:pPr>
      <w:rPr>
        <w:rFonts w:ascii="Symbol" w:hAnsi="Symbol" w:hint="default"/>
        <w:b w:val="0"/>
        <w:i w:val="0"/>
        <w:vanish w:val="0"/>
        <w:color w:val="auto"/>
        <w:sz w:val="20"/>
      </w:rPr>
    </w:lvl>
    <w:lvl w:ilvl="3">
      <w:start w:val="1"/>
      <w:numFmt w:val="bullet"/>
      <w:lvlText w:val=""/>
      <w:lvlJc w:val="left"/>
      <w:pPr>
        <w:tabs>
          <w:tab w:val="num" w:pos="2288"/>
        </w:tabs>
        <w:ind w:left="2288" w:hanging="284"/>
      </w:pPr>
      <w:rPr>
        <w:rFonts w:ascii="Symbol" w:hAnsi="Symbol" w:hint="default"/>
        <w:b w:val="0"/>
        <w:i w:val="0"/>
        <w:vanish w:val="0"/>
        <w:color w:val="auto"/>
        <w:sz w:val="20"/>
      </w:rPr>
    </w:lvl>
    <w:lvl w:ilvl="4">
      <w:start w:val="1"/>
      <w:numFmt w:val="bullet"/>
      <w:lvlText w:val=""/>
      <w:lvlJc w:val="left"/>
      <w:pPr>
        <w:tabs>
          <w:tab w:val="num" w:pos="2571"/>
        </w:tabs>
        <w:ind w:left="2571" w:hanging="283"/>
      </w:pPr>
      <w:rPr>
        <w:rFonts w:ascii="Symbol" w:hAnsi="Symbol" w:hint="default"/>
        <w:b w:val="0"/>
        <w:i w:val="0"/>
        <w:vanish w:val="0"/>
        <w:color w:val="auto"/>
        <w:sz w:val="20"/>
      </w:rPr>
    </w:lvl>
    <w:lvl w:ilvl="5">
      <w:start w:val="1"/>
      <w:numFmt w:val="bullet"/>
      <w:lvlText w:val=""/>
      <w:lvlJc w:val="left"/>
      <w:pPr>
        <w:tabs>
          <w:tab w:val="num" w:pos="2855"/>
        </w:tabs>
        <w:ind w:left="2855" w:hanging="284"/>
      </w:pPr>
      <w:rPr>
        <w:rFonts w:ascii="Symbol" w:hAnsi="Symbol" w:hint="default"/>
        <w:b w:val="0"/>
        <w:i w:val="0"/>
        <w:vanish w:val="0"/>
        <w:color w:val="auto"/>
        <w:sz w:val="20"/>
      </w:rPr>
    </w:lvl>
    <w:lvl w:ilvl="6">
      <w:start w:val="1"/>
      <w:numFmt w:val="bullet"/>
      <w:lvlText w:val=""/>
      <w:lvlJc w:val="left"/>
      <w:pPr>
        <w:tabs>
          <w:tab w:val="num" w:pos="3138"/>
        </w:tabs>
        <w:ind w:left="3138" w:hanging="283"/>
      </w:pPr>
      <w:rPr>
        <w:rFonts w:ascii="Symbol" w:hAnsi="Symbol" w:hint="default"/>
        <w:b w:val="0"/>
        <w:i w:val="0"/>
        <w:vanish w:val="0"/>
        <w:color w:val="auto"/>
        <w:sz w:val="20"/>
      </w:rPr>
    </w:lvl>
    <w:lvl w:ilvl="7">
      <w:start w:val="1"/>
      <w:numFmt w:val="bullet"/>
      <w:lvlText w:val=""/>
      <w:lvlJc w:val="left"/>
      <w:pPr>
        <w:tabs>
          <w:tab w:val="num" w:pos="3422"/>
        </w:tabs>
        <w:ind w:left="3422" w:hanging="284"/>
      </w:pPr>
      <w:rPr>
        <w:rFonts w:ascii="Symbol" w:hAnsi="Symbol" w:hint="default"/>
        <w:b w:val="0"/>
        <w:i w:val="0"/>
        <w:vanish w:val="0"/>
        <w:color w:val="auto"/>
        <w:sz w:val="20"/>
      </w:rPr>
    </w:lvl>
    <w:lvl w:ilvl="8">
      <w:start w:val="1"/>
      <w:numFmt w:val="bullet"/>
      <w:lvlText w:val=""/>
      <w:lvlJc w:val="left"/>
      <w:pPr>
        <w:tabs>
          <w:tab w:val="num" w:pos="3705"/>
        </w:tabs>
        <w:ind w:left="3705" w:hanging="283"/>
      </w:pPr>
      <w:rPr>
        <w:rFonts w:ascii="Symbol" w:hAnsi="Symbol" w:hint="default"/>
        <w:b w:val="0"/>
        <w:i w:val="0"/>
        <w:vanish w:val="0"/>
        <w:color w:val="auto"/>
        <w:sz w:val="20"/>
      </w:rPr>
    </w:lvl>
  </w:abstractNum>
  <w:abstractNum w:abstractNumId="15" w15:restartNumberingAfterBreak="0">
    <w:nsid w:val="47DA3F2A"/>
    <w:multiLevelType w:val="multilevel"/>
    <w:tmpl w:val="DC4CC9B6"/>
    <w:name w:val="Headings9"/>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16" w15:restartNumberingAfterBreak="0">
    <w:nsid w:val="4E030488"/>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538D0CF6"/>
    <w:multiLevelType w:val="multilevel"/>
    <w:tmpl w:val="FC804A88"/>
    <w:name w:val="TD_Heads"/>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18" w15:restartNumberingAfterBreak="0">
    <w:nsid w:val="5A360FC9"/>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5C80544F"/>
    <w:multiLevelType w:val="multilevel"/>
    <w:tmpl w:val="E5ACA910"/>
    <w:name w:val="Headings13"/>
    <w:lvl w:ilvl="0">
      <w:start w:val="1"/>
      <w:numFmt w:val="decimal"/>
      <w:lvlText w:val="%1."/>
      <w:lvlJc w:val="left"/>
      <w:pPr>
        <w:tabs>
          <w:tab w:val="num" w:pos="-567"/>
        </w:tabs>
        <w:ind w:left="-567" w:hanging="1134"/>
      </w:pPr>
      <w:rPr>
        <w:rFonts w:ascii="Trebuchet MS" w:hAnsi="Trebuchet MS" w:hint="default"/>
        <w:b/>
        <w:i w:val="0"/>
        <w:sz w:val="36"/>
      </w:rPr>
    </w:lvl>
    <w:lvl w:ilvl="1">
      <w:start w:val="1"/>
      <w:numFmt w:val="decimal"/>
      <w:lvlText w:val="%1.%2"/>
      <w:lvlJc w:val="left"/>
      <w:pPr>
        <w:tabs>
          <w:tab w:val="num" w:pos="-850"/>
        </w:tabs>
        <w:ind w:left="-850" w:hanging="1418"/>
      </w:pPr>
      <w:rPr>
        <w:rFonts w:ascii="Trebuchet MS" w:hAnsi="Trebuchet MS" w:hint="default"/>
        <w:sz w:val="26"/>
      </w:rPr>
    </w:lvl>
    <w:lvl w:ilvl="2">
      <w:start w:val="1"/>
      <w:numFmt w:val="decimal"/>
      <w:lvlText w:val="%1.%2.%3"/>
      <w:lvlJc w:val="left"/>
      <w:pPr>
        <w:tabs>
          <w:tab w:val="num" w:pos="-850"/>
        </w:tabs>
        <w:ind w:left="-850" w:hanging="1418"/>
      </w:pPr>
      <w:rPr>
        <w:rFonts w:hint="default"/>
      </w:rPr>
    </w:lvl>
    <w:lvl w:ilvl="3">
      <w:start w:val="1"/>
      <w:numFmt w:val="decimal"/>
      <w:lvlText w:val="%1.%2.%3.%4"/>
      <w:lvlJc w:val="left"/>
      <w:pPr>
        <w:tabs>
          <w:tab w:val="num" w:pos="3448"/>
        </w:tabs>
        <w:ind w:left="3066" w:hanging="1418"/>
      </w:pPr>
      <w:rPr>
        <w:rFonts w:hint="default"/>
      </w:rPr>
    </w:lvl>
    <w:lvl w:ilvl="4">
      <w:start w:val="1"/>
      <w:numFmt w:val="none"/>
      <w:suff w:val="nothing"/>
      <w:lvlText w:val=""/>
      <w:lvlJc w:val="left"/>
      <w:pPr>
        <w:ind w:left="3066" w:firstLine="0"/>
      </w:pPr>
      <w:rPr>
        <w:rFonts w:hint="default"/>
      </w:rPr>
    </w:lvl>
    <w:lvl w:ilvl="5">
      <w:start w:val="1"/>
      <w:numFmt w:val="none"/>
      <w:suff w:val="nothing"/>
      <w:lvlText w:val=""/>
      <w:lvlJc w:val="left"/>
      <w:pPr>
        <w:ind w:left="3066" w:firstLine="0"/>
      </w:pPr>
      <w:rPr>
        <w:rFonts w:hint="default"/>
      </w:rPr>
    </w:lvl>
    <w:lvl w:ilvl="6">
      <w:start w:val="1"/>
      <w:numFmt w:val="none"/>
      <w:suff w:val="nothing"/>
      <w:lvlText w:val=""/>
      <w:lvlJc w:val="left"/>
      <w:pPr>
        <w:ind w:left="3066" w:firstLine="0"/>
      </w:pPr>
      <w:rPr>
        <w:rFonts w:hint="default"/>
      </w:rPr>
    </w:lvl>
    <w:lvl w:ilvl="7">
      <w:start w:val="1"/>
      <w:numFmt w:val="none"/>
      <w:lvlText w:val=""/>
      <w:lvlJc w:val="left"/>
      <w:pPr>
        <w:tabs>
          <w:tab w:val="num" w:pos="3426"/>
        </w:tabs>
        <w:ind w:left="3066" w:firstLine="0"/>
      </w:pPr>
      <w:rPr>
        <w:rFonts w:hint="default"/>
      </w:rPr>
    </w:lvl>
    <w:lvl w:ilvl="8">
      <w:start w:val="1"/>
      <w:numFmt w:val="none"/>
      <w:lvlText w:val=""/>
      <w:lvlJc w:val="left"/>
      <w:pPr>
        <w:tabs>
          <w:tab w:val="num" w:pos="3426"/>
        </w:tabs>
        <w:ind w:left="3066" w:firstLine="0"/>
      </w:pPr>
      <w:rPr>
        <w:rFonts w:hint="default"/>
      </w:rPr>
    </w:lvl>
  </w:abstractNum>
  <w:abstractNum w:abstractNumId="20" w15:restartNumberingAfterBreak="0">
    <w:nsid w:val="60171092"/>
    <w:multiLevelType w:val="hybridMultilevel"/>
    <w:tmpl w:val="57F61150"/>
    <w:lvl w:ilvl="0" w:tplc="9D88FBC2">
      <w:start w:val="1"/>
      <w:numFmt w:val="bullet"/>
      <w:pStyle w:val="NoteNormalshad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6551A1C"/>
    <w:multiLevelType w:val="multilevel"/>
    <w:tmpl w:val="8F9AA32A"/>
    <w:name w:val="Table Bullet"/>
    <w:lvl w:ilvl="0">
      <w:start w:val="1"/>
      <w:numFmt w:val="bullet"/>
      <w:pStyle w:val="TableBullet"/>
      <w:lvlText w:val=""/>
      <w:lvlJc w:val="left"/>
      <w:pPr>
        <w:tabs>
          <w:tab w:val="num" w:pos="227"/>
        </w:tabs>
        <w:ind w:left="227" w:hanging="227"/>
      </w:pPr>
      <w:rPr>
        <w:rFonts w:ascii="Symbol" w:hAnsi="Symbol" w:cs="Calibri" w:hint="default"/>
        <w:b w:val="0"/>
        <w:i w:val="0"/>
        <w:sz w:val="18"/>
      </w:rPr>
    </w:lvl>
    <w:lvl w:ilvl="1">
      <w:start w:val="1"/>
      <w:numFmt w:val="bullet"/>
      <w:pStyle w:val="TableDash"/>
      <w:lvlText w:val="–"/>
      <w:lvlJc w:val="left"/>
      <w:pPr>
        <w:tabs>
          <w:tab w:val="num" w:pos="454"/>
        </w:tabs>
        <w:ind w:left="454" w:hanging="227"/>
      </w:pPr>
      <w:rPr>
        <w:rFonts w:ascii="Calibri" w:hAnsi="Calibri" w:cs="Calibri" w:hint="default"/>
        <w:b w:val="0"/>
        <w:i w:val="0"/>
        <w:sz w:val="18"/>
      </w:rPr>
    </w:lvl>
    <w:lvl w:ilvl="2">
      <w:start w:val="1"/>
      <w:numFmt w:val="bullet"/>
      <w:lvlText w:val=""/>
      <w:lvlJc w:val="left"/>
      <w:pPr>
        <w:tabs>
          <w:tab w:val="num" w:pos="680"/>
        </w:tabs>
        <w:ind w:left="680" w:hanging="226"/>
      </w:pPr>
      <w:rPr>
        <w:rFonts w:ascii="Symbol" w:hAnsi="Symbol" w:cs="Calibri" w:hint="default"/>
        <w:b w:val="0"/>
        <w:i w:val="0"/>
        <w:sz w:val="18"/>
      </w:rPr>
    </w:lvl>
    <w:lvl w:ilvl="3">
      <w:start w:val="1"/>
      <w:numFmt w:val="bullet"/>
      <w:lvlText w:val=""/>
      <w:lvlJc w:val="left"/>
      <w:pPr>
        <w:tabs>
          <w:tab w:val="num" w:pos="907"/>
        </w:tabs>
        <w:ind w:left="907" w:hanging="227"/>
      </w:pPr>
      <w:rPr>
        <w:rFonts w:ascii="Symbol" w:hAnsi="Symbol" w:cs="Calibri" w:hint="default"/>
        <w:b w:val="0"/>
        <w:i w:val="0"/>
        <w:sz w:val="18"/>
      </w:rPr>
    </w:lvl>
    <w:lvl w:ilvl="4">
      <w:start w:val="1"/>
      <w:numFmt w:val="bullet"/>
      <w:lvlText w:val=""/>
      <w:lvlJc w:val="left"/>
      <w:pPr>
        <w:tabs>
          <w:tab w:val="num" w:pos="1134"/>
        </w:tabs>
        <w:ind w:left="1134" w:hanging="227"/>
      </w:pPr>
      <w:rPr>
        <w:rFonts w:ascii="Symbol" w:hAnsi="Symbol" w:cs="Calibri" w:hint="default"/>
        <w:b w:val="0"/>
        <w:i w:val="0"/>
        <w:sz w:val="18"/>
      </w:rPr>
    </w:lvl>
    <w:lvl w:ilvl="5">
      <w:start w:val="1"/>
      <w:numFmt w:val="bullet"/>
      <w:lvlText w:val=""/>
      <w:lvlJc w:val="left"/>
      <w:pPr>
        <w:tabs>
          <w:tab w:val="num" w:pos="1361"/>
        </w:tabs>
        <w:ind w:left="1361" w:hanging="227"/>
      </w:pPr>
      <w:rPr>
        <w:rFonts w:ascii="Symbol" w:hAnsi="Symbol" w:cs="Calibri" w:hint="default"/>
        <w:b w:val="0"/>
        <w:i w:val="0"/>
        <w:sz w:val="18"/>
      </w:rPr>
    </w:lvl>
    <w:lvl w:ilvl="6">
      <w:start w:val="1"/>
      <w:numFmt w:val="bullet"/>
      <w:lvlText w:val=""/>
      <w:lvlJc w:val="left"/>
      <w:pPr>
        <w:tabs>
          <w:tab w:val="num" w:pos="1587"/>
        </w:tabs>
        <w:ind w:left="1587" w:hanging="226"/>
      </w:pPr>
      <w:rPr>
        <w:rFonts w:ascii="Symbol" w:hAnsi="Symbol" w:cs="Calibri" w:hint="default"/>
        <w:b w:val="0"/>
        <w:i w:val="0"/>
        <w:sz w:val="18"/>
      </w:rPr>
    </w:lvl>
    <w:lvl w:ilvl="7">
      <w:start w:val="1"/>
      <w:numFmt w:val="bullet"/>
      <w:lvlText w:val=""/>
      <w:lvlJc w:val="left"/>
      <w:pPr>
        <w:tabs>
          <w:tab w:val="num" w:pos="1814"/>
        </w:tabs>
        <w:ind w:left="1814" w:hanging="227"/>
      </w:pPr>
      <w:rPr>
        <w:rFonts w:ascii="Symbol" w:hAnsi="Symbol" w:cs="Calibri" w:hint="default"/>
        <w:b w:val="0"/>
        <w:i w:val="0"/>
        <w:sz w:val="18"/>
      </w:rPr>
    </w:lvl>
    <w:lvl w:ilvl="8">
      <w:start w:val="1"/>
      <w:numFmt w:val="bullet"/>
      <w:lvlText w:val=""/>
      <w:lvlJc w:val="left"/>
      <w:pPr>
        <w:tabs>
          <w:tab w:val="num" w:pos="2041"/>
        </w:tabs>
        <w:ind w:left="2041" w:hanging="227"/>
      </w:pPr>
      <w:rPr>
        <w:rFonts w:ascii="Symbol" w:hAnsi="Symbol" w:cs="Calibri" w:hint="default"/>
        <w:b w:val="0"/>
        <w:i w:val="0"/>
        <w:sz w:val="18"/>
      </w:rPr>
    </w:lvl>
  </w:abstractNum>
  <w:abstractNum w:abstractNumId="22" w15:restartNumberingAfterBreak="0">
    <w:nsid w:val="66E8156E"/>
    <w:multiLevelType w:val="multilevel"/>
    <w:tmpl w:val="CE9CC26A"/>
    <w:name w:val="Headings15"/>
    <w:lvl w:ilvl="0">
      <w:start w:val="1"/>
      <w:numFmt w:val="decimal"/>
      <w:lvlText w:val="%1."/>
      <w:lvlJc w:val="left"/>
      <w:pPr>
        <w:tabs>
          <w:tab w:val="num" w:pos="1134"/>
        </w:tabs>
        <w:ind w:left="1134" w:hanging="1134"/>
      </w:pPr>
      <w:rPr>
        <w:rFonts w:ascii="Arial" w:hAnsi="Arial" w:cs="Arial"/>
        <w:b w:val="0"/>
        <w:i w:val="0"/>
        <w:color w:val="093A80"/>
        <w:sz w:val="36"/>
      </w:rPr>
    </w:lvl>
    <w:lvl w:ilvl="1">
      <w:start w:val="1"/>
      <w:numFmt w:val="decimal"/>
      <w:lvlText w:val="%1.%2"/>
      <w:lvlJc w:val="left"/>
      <w:pPr>
        <w:tabs>
          <w:tab w:val="num" w:pos="1134"/>
        </w:tabs>
        <w:ind w:left="1134" w:hanging="1134"/>
      </w:pPr>
      <w:rPr>
        <w:rFonts w:ascii="Arial" w:hAnsi="Arial" w:cs="Arial"/>
        <w:b w:val="0"/>
        <w:i w:val="0"/>
        <w:color w:val="87746A"/>
        <w:sz w:val="24"/>
      </w:rPr>
    </w:lvl>
    <w:lvl w:ilvl="2">
      <w:start w:val="1"/>
      <w:numFmt w:val="decimal"/>
      <w:lvlText w:val="%1.%2.%3"/>
      <w:lvlJc w:val="left"/>
      <w:pPr>
        <w:tabs>
          <w:tab w:val="num" w:pos="1134"/>
        </w:tabs>
        <w:ind w:left="1134" w:hanging="1134"/>
      </w:pPr>
      <w:rPr>
        <w:rFonts w:ascii="Arial" w:hAnsi="Arial" w:cs="Arial"/>
        <w:b w:val="0"/>
        <w:i w:val="0"/>
        <w:color w:val="B20838"/>
        <w:sz w:val="22"/>
      </w:rPr>
    </w:lvl>
    <w:lvl w:ilvl="3">
      <w:start w:val="1"/>
      <w:numFmt w:val="none"/>
      <w:lvlText w:val=""/>
      <w:lvlJc w:val="left"/>
      <w:pPr>
        <w:tabs>
          <w:tab w:val="num" w:pos="850"/>
        </w:tabs>
        <w:ind w:left="850" w:hanging="850"/>
      </w:pPr>
      <w:rPr>
        <w:rFonts w:ascii="Arial" w:hAnsi="Arial" w:cs="Arial"/>
        <w:b/>
        <w:i w:val="0"/>
        <w:color w:val="093A80"/>
        <w:sz w:val="20"/>
      </w:rPr>
    </w:lvl>
    <w:lvl w:ilvl="4">
      <w:start w:val="1"/>
      <w:numFmt w:val="none"/>
      <w:lvlText w:val=""/>
      <w:lvlJc w:val="left"/>
      <w:pPr>
        <w:tabs>
          <w:tab w:val="num" w:pos="850"/>
        </w:tabs>
        <w:ind w:left="850" w:hanging="850"/>
      </w:pPr>
      <w:rPr>
        <w:rFonts w:ascii="Arial" w:hAnsi="Arial" w:cs="Arial"/>
        <w:b w:val="0"/>
        <w:i w:val="0"/>
        <w:color w:val="093A80"/>
        <w:sz w:val="20"/>
      </w:rPr>
    </w:lvl>
    <w:lvl w:ilvl="5">
      <w:start w:val="1"/>
      <w:numFmt w:val="none"/>
      <w:lvlText w:val=""/>
      <w:lvlJc w:val="left"/>
      <w:pPr>
        <w:tabs>
          <w:tab w:val="num" w:pos="850"/>
        </w:tabs>
        <w:ind w:left="850" w:hanging="850"/>
      </w:pPr>
      <w:rPr>
        <w:rFonts w:ascii="Arial" w:hAnsi="Arial" w:cs="Arial"/>
        <w:b w:val="0"/>
        <w:i w:val="0"/>
        <w:color w:val="093A80"/>
        <w:sz w:val="20"/>
      </w:rPr>
    </w:lvl>
    <w:lvl w:ilvl="6">
      <w:start w:val="1"/>
      <w:numFmt w:val="none"/>
      <w:lvlText w:val=""/>
      <w:lvlJc w:val="left"/>
      <w:pPr>
        <w:tabs>
          <w:tab w:val="num" w:pos="850"/>
        </w:tabs>
        <w:ind w:left="850" w:hanging="850"/>
      </w:pPr>
      <w:rPr>
        <w:rFonts w:ascii="Arial" w:hAnsi="Arial" w:cs="Arial"/>
        <w:b w:val="0"/>
        <w:i w:val="0"/>
        <w:color w:val="093A80"/>
        <w:sz w:val="20"/>
      </w:rPr>
    </w:lvl>
    <w:lvl w:ilvl="7">
      <w:start w:val="1"/>
      <w:numFmt w:val="none"/>
      <w:lvlText w:val=""/>
      <w:lvlJc w:val="left"/>
      <w:pPr>
        <w:tabs>
          <w:tab w:val="num" w:pos="850"/>
        </w:tabs>
        <w:ind w:left="850" w:hanging="850"/>
      </w:pPr>
      <w:rPr>
        <w:rFonts w:ascii="Arial" w:hAnsi="Arial" w:cs="Arial"/>
        <w:b w:val="0"/>
        <w:i w:val="0"/>
        <w:color w:val="093A80"/>
        <w:sz w:val="20"/>
      </w:rPr>
    </w:lvl>
    <w:lvl w:ilvl="8">
      <w:start w:val="1"/>
      <w:numFmt w:val="none"/>
      <w:lvlText w:val=""/>
      <w:lvlJc w:val="left"/>
      <w:pPr>
        <w:tabs>
          <w:tab w:val="num" w:pos="850"/>
        </w:tabs>
        <w:ind w:left="850" w:hanging="850"/>
      </w:pPr>
      <w:rPr>
        <w:rFonts w:ascii="Arial" w:hAnsi="Arial" w:cs="Arial"/>
        <w:b w:val="0"/>
        <w:i w:val="0"/>
        <w:color w:val="093A80"/>
        <w:sz w:val="20"/>
      </w:rPr>
    </w:lvl>
  </w:abstractNum>
  <w:abstractNum w:abstractNumId="23" w15:restartNumberingAfterBreak="0">
    <w:nsid w:val="671A1A9F"/>
    <w:multiLevelType w:val="hybridMultilevel"/>
    <w:tmpl w:val="A8462A4C"/>
    <w:name w:val="Headings6"/>
    <w:lvl w:ilvl="0" w:tplc="737269C2">
      <w:start w:val="1"/>
      <w:numFmt w:val="bullet"/>
      <w:lvlRestart w:val="0"/>
      <w:lvlText w:val=""/>
      <w:lvlJc w:val="left"/>
      <w:pPr>
        <w:tabs>
          <w:tab w:val="num" w:pos="283"/>
        </w:tabs>
        <w:ind w:left="283" w:hanging="283"/>
      </w:pPr>
      <w:rPr>
        <w:rFonts w:ascii="Symbol" w:hAnsi="Symbol" w:hint="default"/>
        <w:color w:val="093A80"/>
      </w:rPr>
    </w:lvl>
    <w:lvl w:ilvl="1" w:tplc="ACFA922A" w:tentative="1">
      <w:start w:val="1"/>
      <w:numFmt w:val="bullet"/>
      <w:lvlText w:val="o"/>
      <w:lvlJc w:val="left"/>
      <w:pPr>
        <w:tabs>
          <w:tab w:val="num" w:pos="1440"/>
        </w:tabs>
        <w:ind w:left="1440" w:hanging="360"/>
      </w:pPr>
      <w:rPr>
        <w:rFonts w:ascii="Courier New" w:hAnsi="Courier New" w:cs="Arial Narrow" w:hint="default"/>
      </w:rPr>
    </w:lvl>
    <w:lvl w:ilvl="2" w:tplc="EE9209A8" w:tentative="1">
      <w:start w:val="1"/>
      <w:numFmt w:val="bullet"/>
      <w:lvlText w:val=""/>
      <w:lvlJc w:val="left"/>
      <w:pPr>
        <w:tabs>
          <w:tab w:val="num" w:pos="2160"/>
        </w:tabs>
        <w:ind w:left="2160" w:hanging="360"/>
      </w:pPr>
      <w:rPr>
        <w:rFonts w:ascii="Wingdings" w:hAnsi="Wingdings" w:hint="default"/>
      </w:rPr>
    </w:lvl>
    <w:lvl w:ilvl="3" w:tplc="D9C87392" w:tentative="1">
      <w:start w:val="1"/>
      <w:numFmt w:val="bullet"/>
      <w:lvlText w:val=""/>
      <w:lvlJc w:val="left"/>
      <w:pPr>
        <w:tabs>
          <w:tab w:val="num" w:pos="2880"/>
        </w:tabs>
        <w:ind w:left="2880" w:hanging="360"/>
      </w:pPr>
      <w:rPr>
        <w:rFonts w:ascii="Symbol" w:hAnsi="Symbol" w:hint="default"/>
      </w:rPr>
    </w:lvl>
    <w:lvl w:ilvl="4" w:tplc="4956BB9A" w:tentative="1">
      <w:start w:val="1"/>
      <w:numFmt w:val="bullet"/>
      <w:lvlText w:val="o"/>
      <w:lvlJc w:val="left"/>
      <w:pPr>
        <w:tabs>
          <w:tab w:val="num" w:pos="3600"/>
        </w:tabs>
        <w:ind w:left="3600" w:hanging="360"/>
      </w:pPr>
      <w:rPr>
        <w:rFonts w:ascii="Courier New" w:hAnsi="Courier New" w:cs="Arial Narrow" w:hint="default"/>
      </w:rPr>
    </w:lvl>
    <w:lvl w:ilvl="5" w:tplc="9E883EE6" w:tentative="1">
      <w:start w:val="1"/>
      <w:numFmt w:val="bullet"/>
      <w:lvlText w:val=""/>
      <w:lvlJc w:val="left"/>
      <w:pPr>
        <w:tabs>
          <w:tab w:val="num" w:pos="4320"/>
        </w:tabs>
        <w:ind w:left="4320" w:hanging="360"/>
      </w:pPr>
      <w:rPr>
        <w:rFonts w:ascii="Wingdings" w:hAnsi="Wingdings" w:hint="default"/>
      </w:rPr>
    </w:lvl>
    <w:lvl w:ilvl="6" w:tplc="7D82405A" w:tentative="1">
      <w:start w:val="1"/>
      <w:numFmt w:val="bullet"/>
      <w:lvlText w:val=""/>
      <w:lvlJc w:val="left"/>
      <w:pPr>
        <w:tabs>
          <w:tab w:val="num" w:pos="5040"/>
        </w:tabs>
        <w:ind w:left="5040" w:hanging="360"/>
      </w:pPr>
      <w:rPr>
        <w:rFonts w:ascii="Symbol" w:hAnsi="Symbol" w:hint="default"/>
      </w:rPr>
    </w:lvl>
    <w:lvl w:ilvl="7" w:tplc="4CD633DE" w:tentative="1">
      <w:start w:val="1"/>
      <w:numFmt w:val="bullet"/>
      <w:lvlText w:val="o"/>
      <w:lvlJc w:val="left"/>
      <w:pPr>
        <w:tabs>
          <w:tab w:val="num" w:pos="5760"/>
        </w:tabs>
        <w:ind w:left="5760" w:hanging="360"/>
      </w:pPr>
      <w:rPr>
        <w:rFonts w:ascii="Courier New" w:hAnsi="Courier New" w:cs="Arial Narrow" w:hint="default"/>
      </w:rPr>
    </w:lvl>
    <w:lvl w:ilvl="8" w:tplc="38BA9E14"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21B3BA5"/>
    <w:multiLevelType w:val="multilevel"/>
    <w:tmpl w:val="B436069C"/>
    <w:name w:val="List Multi"/>
    <w:lvl w:ilvl="0">
      <w:start w:val="1"/>
      <w:numFmt w:val="lowerLetter"/>
      <w:lvlText w:val="%1."/>
      <w:lvlJc w:val="left"/>
      <w:pPr>
        <w:tabs>
          <w:tab w:val="num" w:pos="454"/>
        </w:tabs>
        <w:ind w:left="454" w:hanging="454"/>
      </w:pPr>
      <w:rPr>
        <w:rFonts w:ascii="Calibri" w:hAnsi="Calibri" w:cs="Calibri"/>
        <w:b w:val="0"/>
        <w:i w:val="0"/>
        <w:color w:val="auto"/>
        <w:sz w:val="22"/>
      </w:rPr>
    </w:lvl>
    <w:lvl w:ilvl="1">
      <w:start w:val="1"/>
      <w:numFmt w:val="lowerRoman"/>
      <w:lvlText w:val="%2."/>
      <w:lvlJc w:val="left"/>
      <w:pPr>
        <w:tabs>
          <w:tab w:val="num" w:pos="908"/>
        </w:tabs>
        <w:ind w:left="908" w:hanging="454"/>
      </w:pPr>
      <w:rPr>
        <w:rFonts w:ascii="Calibri" w:hAnsi="Calibri" w:cs="Calibri"/>
        <w:b w:val="0"/>
        <w:i w:val="0"/>
        <w:color w:val="auto"/>
        <w:sz w:val="22"/>
      </w:rPr>
    </w:lvl>
    <w:lvl w:ilvl="2">
      <w:start w:val="1"/>
      <w:numFmt w:val="decimal"/>
      <w:lvlText w:val="%3."/>
      <w:lvlJc w:val="left"/>
      <w:pPr>
        <w:tabs>
          <w:tab w:val="num" w:pos="1362"/>
        </w:tabs>
        <w:ind w:left="1362" w:hanging="454"/>
      </w:pPr>
      <w:rPr>
        <w:rFonts w:ascii="Calibri" w:hAnsi="Calibri" w:cs="Calibri"/>
        <w:b w:val="0"/>
        <w:i w:val="0"/>
        <w:color w:val="auto"/>
        <w:sz w:val="22"/>
      </w:rPr>
    </w:lvl>
    <w:lvl w:ilvl="3">
      <w:start w:val="1"/>
      <w:numFmt w:val="lowerLetter"/>
      <w:lvlText w:val="%4)"/>
      <w:lvlJc w:val="left"/>
      <w:pPr>
        <w:tabs>
          <w:tab w:val="num" w:pos="1816"/>
        </w:tabs>
        <w:ind w:left="1816" w:hanging="454"/>
      </w:pPr>
      <w:rPr>
        <w:rFonts w:ascii="Calibri" w:hAnsi="Calibri" w:cs="Calibri"/>
        <w:b w:val="0"/>
        <w:i w:val="0"/>
        <w:color w:val="auto"/>
        <w:sz w:val="22"/>
      </w:rPr>
    </w:lvl>
    <w:lvl w:ilvl="4">
      <w:start w:val="1"/>
      <w:numFmt w:val="lowerRoman"/>
      <w:lvlText w:val="%5)"/>
      <w:lvlJc w:val="left"/>
      <w:pPr>
        <w:tabs>
          <w:tab w:val="num" w:pos="2270"/>
        </w:tabs>
        <w:ind w:left="2270" w:hanging="454"/>
      </w:pPr>
      <w:rPr>
        <w:rFonts w:ascii="Calibri" w:hAnsi="Calibri" w:cs="Calibri"/>
        <w:b w:val="0"/>
        <w:i w:val="0"/>
        <w:color w:val="auto"/>
        <w:sz w:val="22"/>
      </w:rPr>
    </w:lvl>
    <w:lvl w:ilvl="5">
      <w:start w:val="1"/>
      <w:numFmt w:val="decimal"/>
      <w:lvlText w:val="%6)"/>
      <w:lvlJc w:val="left"/>
      <w:pPr>
        <w:tabs>
          <w:tab w:val="num" w:pos="2724"/>
        </w:tabs>
        <w:ind w:left="2724" w:hanging="454"/>
      </w:pPr>
      <w:rPr>
        <w:rFonts w:ascii="Calibri" w:hAnsi="Calibri" w:cs="Calibri"/>
        <w:b w:val="0"/>
        <w:i w:val="0"/>
        <w:color w:val="auto"/>
        <w:sz w:val="22"/>
      </w:rPr>
    </w:lvl>
    <w:lvl w:ilvl="6">
      <w:start w:val="1"/>
      <w:numFmt w:val="lowerLetter"/>
      <w:lvlText w:val="%6.%7)"/>
      <w:lvlJc w:val="left"/>
      <w:pPr>
        <w:tabs>
          <w:tab w:val="num" w:pos="3178"/>
        </w:tabs>
        <w:ind w:left="3178" w:hanging="454"/>
      </w:pPr>
      <w:rPr>
        <w:rFonts w:ascii="Calibri" w:hAnsi="Calibri" w:cs="Calibri"/>
        <w:b w:val="0"/>
        <w:i w:val="0"/>
        <w:color w:val="auto"/>
        <w:sz w:val="22"/>
      </w:rPr>
    </w:lvl>
    <w:lvl w:ilvl="7">
      <w:start w:val="1"/>
      <w:numFmt w:val="lowerLetter"/>
      <w:lvlText w:val="%6.%7.%8)"/>
      <w:lvlJc w:val="left"/>
      <w:pPr>
        <w:tabs>
          <w:tab w:val="num" w:pos="3632"/>
        </w:tabs>
        <w:ind w:left="3632" w:hanging="454"/>
      </w:pPr>
      <w:rPr>
        <w:rFonts w:ascii="Calibri" w:hAnsi="Calibri" w:cs="Calibri"/>
        <w:b w:val="0"/>
        <w:i w:val="0"/>
        <w:color w:val="auto"/>
        <w:sz w:val="22"/>
      </w:rPr>
    </w:lvl>
    <w:lvl w:ilvl="8">
      <w:start w:val="1"/>
      <w:numFmt w:val="lowerLetter"/>
      <w:lvlText w:val="%6.%7.%8.%9)"/>
      <w:lvlJc w:val="left"/>
      <w:pPr>
        <w:tabs>
          <w:tab w:val="num" w:pos="4086"/>
        </w:tabs>
        <w:ind w:left="4086" w:hanging="454"/>
      </w:pPr>
      <w:rPr>
        <w:rFonts w:ascii="Calibri" w:hAnsi="Calibri" w:cs="Calibri"/>
        <w:b w:val="0"/>
        <w:i w:val="0"/>
        <w:color w:val="auto"/>
        <w:sz w:val="22"/>
      </w:rPr>
    </w:lvl>
  </w:abstractNum>
  <w:abstractNum w:abstractNumId="25" w15:restartNumberingAfterBreak="0">
    <w:nsid w:val="74732030"/>
    <w:multiLevelType w:val="multilevel"/>
    <w:tmpl w:val="42260CD0"/>
    <w:name w:val="Headings4"/>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26" w15:restartNumberingAfterBreak="0">
    <w:nsid w:val="75AC0AD4"/>
    <w:multiLevelType w:val="hybridMultilevel"/>
    <w:tmpl w:val="3E3A968A"/>
    <w:lvl w:ilvl="0" w:tplc="0C090001">
      <w:start w:val="1"/>
      <w:numFmt w:val="bullet"/>
      <w:lvlText w:val=""/>
      <w:lvlJc w:val="left"/>
      <w:pPr>
        <w:ind w:left="773" w:hanging="360"/>
      </w:pPr>
      <w:rPr>
        <w:rFonts w:ascii="Symbol" w:hAnsi="Symbol" w:hint="default"/>
      </w:rPr>
    </w:lvl>
    <w:lvl w:ilvl="1" w:tplc="0C090003" w:tentative="1">
      <w:start w:val="1"/>
      <w:numFmt w:val="bullet"/>
      <w:lvlText w:val="o"/>
      <w:lvlJc w:val="left"/>
      <w:pPr>
        <w:ind w:left="1493" w:hanging="360"/>
      </w:pPr>
      <w:rPr>
        <w:rFonts w:ascii="Courier New" w:hAnsi="Courier New" w:cs="Courier New" w:hint="default"/>
      </w:rPr>
    </w:lvl>
    <w:lvl w:ilvl="2" w:tplc="0C090005" w:tentative="1">
      <w:start w:val="1"/>
      <w:numFmt w:val="bullet"/>
      <w:lvlText w:val=""/>
      <w:lvlJc w:val="left"/>
      <w:pPr>
        <w:ind w:left="2213" w:hanging="360"/>
      </w:pPr>
      <w:rPr>
        <w:rFonts w:ascii="Wingdings" w:hAnsi="Wingdings" w:hint="default"/>
      </w:rPr>
    </w:lvl>
    <w:lvl w:ilvl="3" w:tplc="0C090001" w:tentative="1">
      <w:start w:val="1"/>
      <w:numFmt w:val="bullet"/>
      <w:lvlText w:val=""/>
      <w:lvlJc w:val="left"/>
      <w:pPr>
        <w:ind w:left="2933" w:hanging="360"/>
      </w:pPr>
      <w:rPr>
        <w:rFonts w:ascii="Symbol" w:hAnsi="Symbol" w:hint="default"/>
      </w:rPr>
    </w:lvl>
    <w:lvl w:ilvl="4" w:tplc="0C090003" w:tentative="1">
      <w:start w:val="1"/>
      <w:numFmt w:val="bullet"/>
      <w:lvlText w:val="o"/>
      <w:lvlJc w:val="left"/>
      <w:pPr>
        <w:ind w:left="3653" w:hanging="360"/>
      </w:pPr>
      <w:rPr>
        <w:rFonts w:ascii="Courier New" w:hAnsi="Courier New" w:cs="Courier New" w:hint="default"/>
      </w:rPr>
    </w:lvl>
    <w:lvl w:ilvl="5" w:tplc="0C090005" w:tentative="1">
      <w:start w:val="1"/>
      <w:numFmt w:val="bullet"/>
      <w:lvlText w:val=""/>
      <w:lvlJc w:val="left"/>
      <w:pPr>
        <w:ind w:left="4373" w:hanging="360"/>
      </w:pPr>
      <w:rPr>
        <w:rFonts w:ascii="Wingdings" w:hAnsi="Wingdings" w:hint="default"/>
      </w:rPr>
    </w:lvl>
    <w:lvl w:ilvl="6" w:tplc="0C090001" w:tentative="1">
      <w:start w:val="1"/>
      <w:numFmt w:val="bullet"/>
      <w:lvlText w:val=""/>
      <w:lvlJc w:val="left"/>
      <w:pPr>
        <w:ind w:left="5093" w:hanging="360"/>
      </w:pPr>
      <w:rPr>
        <w:rFonts w:ascii="Symbol" w:hAnsi="Symbol" w:hint="default"/>
      </w:rPr>
    </w:lvl>
    <w:lvl w:ilvl="7" w:tplc="0C090003" w:tentative="1">
      <w:start w:val="1"/>
      <w:numFmt w:val="bullet"/>
      <w:lvlText w:val="o"/>
      <w:lvlJc w:val="left"/>
      <w:pPr>
        <w:ind w:left="5813" w:hanging="360"/>
      </w:pPr>
      <w:rPr>
        <w:rFonts w:ascii="Courier New" w:hAnsi="Courier New" w:cs="Courier New" w:hint="default"/>
      </w:rPr>
    </w:lvl>
    <w:lvl w:ilvl="8" w:tplc="0C090005" w:tentative="1">
      <w:start w:val="1"/>
      <w:numFmt w:val="bullet"/>
      <w:lvlText w:val=""/>
      <w:lvlJc w:val="left"/>
      <w:pPr>
        <w:ind w:left="6533" w:hanging="360"/>
      </w:pPr>
      <w:rPr>
        <w:rFonts w:ascii="Wingdings" w:hAnsi="Wingdings" w:hint="default"/>
      </w:rPr>
    </w:lvl>
  </w:abstractNum>
  <w:abstractNum w:abstractNumId="27" w15:restartNumberingAfterBreak="0">
    <w:nsid w:val="7729338D"/>
    <w:multiLevelType w:val="multilevel"/>
    <w:tmpl w:val="8A8A4084"/>
    <w:name w:val="Headings7"/>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28" w15:restartNumberingAfterBreak="0">
    <w:nsid w:val="78093728"/>
    <w:multiLevelType w:val="multilevel"/>
    <w:tmpl w:val="6FE4E70A"/>
    <w:name w:val="Headings10"/>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29" w15:restartNumberingAfterBreak="0">
    <w:nsid w:val="7C0D5244"/>
    <w:multiLevelType w:val="multilevel"/>
    <w:tmpl w:val="697636F2"/>
    <w:name w:val="Headings2"/>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30" w15:restartNumberingAfterBreak="0">
    <w:nsid w:val="7CF91D46"/>
    <w:multiLevelType w:val="multilevel"/>
    <w:tmpl w:val="255A4504"/>
    <w:name w:val="Headings11"/>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31" w15:restartNumberingAfterBreak="0">
    <w:nsid w:val="7FA64C76"/>
    <w:multiLevelType w:val="hybridMultilevel"/>
    <w:tmpl w:val="2E46BE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4"/>
  </w:num>
  <w:num w:numId="2">
    <w:abstractNumId w:val="2"/>
  </w:num>
  <w:num w:numId="3">
    <w:abstractNumId w:val="1"/>
  </w:num>
  <w:num w:numId="4">
    <w:abstractNumId w:val="0"/>
  </w:num>
  <w:num w:numId="5">
    <w:abstractNumId w:val="9"/>
  </w:num>
  <w:num w:numId="6">
    <w:abstractNumId w:val="10"/>
  </w:num>
  <w:num w:numId="7">
    <w:abstractNumId w:val="18"/>
  </w:num>
  <w:num w:numId="8">
    <w:abstractNumId w:val="16"/>
  </w:num>
  <w:num w:numId="9">
    <w:abstractNumId w:val="21"/>
  </w:num>
  <w:num w:numId="10">
    <w:abstractNumId w:val="8"/>
  </w:num>
  <w:num w:numId="11">
    <w:abstractNumId w:val="4"/>
  </w:num>
  <w:num w:numId="12">
    <w:abstractNumId w:val="20"/>
  </w:num>
  <w:num w:numId="13">
    <w:abstractNumId w:val="26"/>
  </w:num>
  <w:num w:numId="14">
    <w:abstractNumId w:val="3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stylePaneFormatFilter w:val="0008" w:allStyles="0" w:customStyles="0" w:latentStyles="0" w:stylesInUse="1"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20"/>
  <w:drawingGridHorizontalSpacing w:val="227"/>
  <w:drawingGridVerticalSpacing w:val="227"/>
  <w:displayVerticalDrawingGridEvery w:val="2"/>
  <w:noPunctuationKerning/>
  <w:characterSpacingControl w:val="doNotCompress"/>
  <w:hdrShapeDefaults>
    <o:shapedefaults v:ext="edit" spidmax="2049">
      <o:colormru v:ext="edit" colors="#039,#4d4d4d,maroon"/>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25E99"/>
    <w:rsid w:val="00006544"/>
    <w:rsid w:val="00010BD3"/>
    <w:rsid w:val="0001144C"/>
    <w:rsid w:val="00016492"/>
    <w:rsid w:val="00026C82"/>
    <w:rsid w:val="00026D4F"/>
    <w:rsid w:val="0003561B"/>
    <w:rsid w:val="0004698A"/>
    <w:rsid w:val="00046BB6"/>
    <w:rsid w:val="00050C47"/>
    <w:rsid w:val="00053858"/>
    <w:rsid w:val="00056E90"/>
    <w:rsid w:val="00063BFD"/>
    <w:rsid w:val="00086691"/>
    <w:rsid w:val="00086AD6"/>
    <w:rsid w:val="0009069D"/>
    <w:rsid w:val="000949CB"/>
    <w:rsid w:val="000C141A"/>
    <w:rsid w:val="000C1C01"/>
    <w:rsid w:val="000C3368"/>
    <w:rsid w:val="000C3814"/>
    <w:rsid w:val="000E40A1"/>
    <w:rsid w:val="000E4881"/>
    <w:rsid w:val="000E5B4E"/>
    <w:rsid w:val="000F54E7"/>
    <w:rsid w:val="00102BFC"/>
    <w:rsid w:val="00104077"/>
    <w:rsid w:val="001213BE"/>
    <w:rsid w:val="00122EAB"/>
    <w:rsid w:val="001251C4"/>
    <w:rsid w:val="00126C86"/>
    <w:rsid w:val="00135230"/>
    <w:rsid w:val="00142DD9"/>
    <w:rsid w:val="00143A23"/>
    <w:rsid w:val="0015674B"/>
    <w:rsid w:val="00157448"/>
    <w:rsid w:val="00164424"/>
    <w:rsid w:val="00181844"/>
    <w:rsid w:val="00184E1A"/>
    <w:rsid w:val="0018749C"/>
    <w:rsid w:val="00197283"/>
    <w:rsid w:val="001A7B19"/>
    <w:rsid w:val="001B0B3F"/>
    <w:rsid w:val="001C0319"/>
    <w:rsid w:val="001C351D"/>
    <w:rsid w:val="001C6970"/>
    <w:rsid w:val="001D0547"/>
    <w:rsid w:val="001D5E05"/>
    <w:rsid w:val="001D60E6"/>
    <w:rsid w:val="001E0A43"/>
    <w:rsid w:val="001E67A9"/>
    <w:rsid w:val="001F4FAB"/>
    <w:rsid w:val="001F7EBD"/>
    <w:rsid w:val="00205B35"/>
    <w:rsid w:val="002063AC"/>
    <w:rsid w:val="00217487"/>
    <w:rsid w:val="00225175"/>
    <w:rsid w:val="002344F7"/>
    <w:rsid w:val="0024583D"/>
    <w:rsid w:val="00252F44"/>
    <w:rsid w:val="002578C1"/>
    <w:rsid w:val="00260106"/>
    <w:rsid w:val="00267317"/>
    <w:rsid w:val="00267638"/>
    <w:rsid w:val="0027169F"/>
    <w:rsid w:val="00283A24"/>
    <w:rsid w:val="002A18C2"/>
    <w:rsid w:val="002A4C3E"/>
    <w:rsid w:val="002C4EC9"/>
    <w:rsid w:val="002C6424"/>
    <w:rsid w:val="002D3826"/>
    <w:rsid w:val="002E1673"/>
    <w:rsid w:val="002E7EFC"/>
    <w:rsid w:val="002F2549"/>
    <w:rsid w:val="002F64DF"/>
    <w:rsid w:val="002F7AEB"/>
    <w:rsid w:val="00304E7F"/>
    <w:rsid w:val="00306CBA"/>
    <w:rsid w:val="00307CC0"/>
    <w:rsid w:val="00322500"/>
    <w:rsid w:val="00351035"/>
    <w:rsid w:val="0035331C"/>
    <w:rsid w:val="00370867"/>
    <w:rsid w:val="003738EE"/>
    <w:rsid w:val="00386859"/>
    <w:rsid w:val="00391977"/>
    <w:rsid w:val="00392E0C"/>
    <w:rsid w:val="00394D1C"/>
    <w:rsid w:val="00394EA9"/>
    <w:rsid w:val="003969A2"/>
    <w:rsid w:val="003A32E0"/>
    <w:rsid w:val="003A4A87"/>
    <w:rsid w:val="003B0731"/>
    <w:rsid w:val="003B401C"/>
    <w:rsid w:val="003B49AE"/>
    <w:rsid w:val="003B5700"/>
    <w:rsid w:val="003B5EDB"/>
    <w:rsid w:val="003B6A2C"/>
    <w:rsid w:val="003C0F49"/>
    <w:rsid w:val="003C2275"/>
    <w:rsid w:val="003C4879"/>
    <w:rsid w:val="003D01BD"/>
    <w:rsid w:val="003E230C"/>
    <w:rsid w:val="003E66B9"/>
    <w:rsid w:val="003F016E"/>
    <w:rsid w:val="003F45D9"/>
    <w:rsid w:val="003F4E27"/>
    <w:rsid w:val="003F56E1"/>
    <w:rsid w:val="004113E1"/>
    <w:rsid w:val="00422FAB"/>
    <w:rsid w:val="00427659"/>
    <w:rsid w:val="00430A03"/>
    <w:rsid w:val="00444034"/>
    <w:rsid w:val="004455A7"/>
    <w:rsid w:val="00451758"/>
    <w:rsid w:val="00456B6B"/>
    <w:rsid w:val="00460D89"/>
    <w:rsid w:val="00462DB3"/>
    <w:rsid w:val="004651D8"/>
    <w:rsid w:val="00466D77"/>
    <w:rsid w:val="00467979"/>
    <w:rsid w:val="00474471"/>
    <w:rsid w:val="00475FC8"/>
    <w:rsid w:val="00480708"/>
    <w:rsid w:val="004907E5"/>
    <w:rsid w:val="004A2DD7"/>
    <w:rsid w:val="004A460D"/>
    <w:rsid w:val="004A6A50"/>
    <w:rsid w:val="004B0978"/>
    <w:rsid w:val="004B1011"/>
    <w:rsid w:val="004B534D"/>
    <w:rsid w:val="004C7E27"/>
    <w:rsid w:val="004D7D40"/>
    <w:rsid w:val="004E7214"/>
    <w:rsid w:val="004F1A9B"/>
    <w:rsid w:val="005013B3"/>
    <w:rsid w:val="00505FD8"/>
    <w:rsid w:val="00506E38"/>
    <w:rsid w:val="00507B27"/>
    <w:rsid w:val="0051295C"/>
    <w:rsid w:val="005155EC"/>
    <w:rsid w:val="0053456F"/>
    <w:rsid w:val="00535B0C"/>
    <w:rsid w:val="00536699"/>
    <w:rsid w:val="0054032A"/>
    <w:rsid w:val="00542A7C"/>
    <w:rsid w:val="005530CD"/>
    <w:rsid w:val="00560416"/>
    <w:rsid w:val="00562809"/>
    <w:rsid w:val="005637F1"/>
    <w:rsid w:val="0056430C"/>
    <w:rsid w:val="00564D54"/>
    <w:rsid w:val="005733B2"/>
    <w:rsid w:val="00573DFF"/>
    <w:rsid w:val="00574189"/>
    <w:rsid w:val="00577C5A"/>
    <w:rsid w:val="00583851"/>
    <w:rsid w:val="005867F0"/>
    <w:rsid w:val="0059414E"/>
    <w:rsid w:val="005A2294"/>
    <w:rsid w:val="005A51DC"/>
    <w:rsid w:val="005B7317"/>
    <w:rsid w:val="005C69CC"/>
    <w:rsid w:val="005D3801"/>
    <w:rsid w:val="005D502E"/>
    <w:rsid w:val="005E006C"/>
    <w:rsid w:val="005E32AE"/>
    <w:rsid w:val="005F0BBF"/>
    <w:rsid w:val="005F6958"/>
    <w:rsid w:val="00610AFF"/>
    <w:rsid w:val="00641C01"/>
    <w:rsid w:val="00645ADA"/>
    <w:rsid w:val="00647E27"/>
    <w:rsid w:val="0065408E"/>
    <w:rsid w:val="0066028E"/>
    <w:rsid w:val="00662658"/>
    <w:rsid w:val="00662F3F"/>
    <w:rsid w:val="006666E4"/>
    <w:rsid w:val="0066682B"/>
    <w:rsid w:val="00670B66"/>
    <w:rsid w:val="00677AD1"/>
    <w:rsid w:val="0068495A"/>
    <w:rsid w:val="006866A7"/>
    <w:rsid w:val="006913E2"/>
    <w:rsid w:val="00692CFF"/>
    <w:rsid w:val="00694E47"/>
    <w:rsid w:val="00696C5D"/>
    <w:rsid w:val="006A627F"/>
    <w:rsid w:val="006A7D93"/>
    <w:rsid w:val="006A7ED6"/>
    <w:rsid w:val="006B074A"/>
    <w:rsid w:val="006B11CE"/>
    <w:rsid w:val="006B7B88"/>
    <w:rsid w:val="006C22E5"/>
    <w:rsid w:val="006C23AC"/>
    <w:rsid w:val="006D53EF"/>
    <w:rsid w:val="006D5BDC"/>
    <w:rsid w:val="006E376A"/>
    <w:rsid w:val="006E6398"/>
    <w:rsid w:val="006E6C70"/>
    <w:rsid w:val="006F26D4"/>
    <w:rsid w:val="007003BC"/>
    <w:rsid w:val="00704015"/>
    <w:rsid w:val="0070452F"/>
    <w:rsid w:val="00706BFC"/>
    <w:rsid w:val="00715221"/>
    <w:rsid w:val="0071554E"/>
    <w:rsid w:val="00721AE2"/>
    <w:rsid w:val="0072437E"/>
    <w:rsid w:val="00724EA7"/>
    <w:rsid w:val="007254AC"/>
    <w:rsid w:val="00731D56"/>
    <w:rsid w:val="00734ABA"/>
    <w:rsid w:val="0073778D"/>
    <w:rsid w:val="00745F07"/>
    <w:rsid w:val="00747EAA"/>
    <w:rsid w:val="00752AD5"/>
    <w:rsid w:val="0075637D"/>
    <w:rsid w:val="007602D7"/>
    <w:rsid w:val="00771EC3"/>
    <w:rsid w:val="0077373E"/>
    <w:rsid w:val="00773ACE"/>
    <w:rsid w:val="0077512D"/>
    <w:rsid w:val="007809B7"/>
    <w:rsid w:val="00782E8F"/>
    <w:rsid w:val="00782F61"/>
    <w:rsid w:val="00784401"/>
    <w:rsid w:val="00785F89"/>
    <w:rsid w:val="0078774E"/>
    <w:rsid w:val="007A1B25"/>
    <w:rsid w:val="007A6388"/>
    <w:rsid w:val="007B0E7B"/>
    <w:rsid w:val="007B4F5D"/>
    <w:rsid w:val="007B511D"/>
    <w:rsid w:val="007B546A"/>
    <w:rsid w:val="007C0F87"/>
    <w:rsid w:val="007C35C1"/>
    <w:rsid w:val="007C7C80"/>
    <w:rsid w:val="007D6194"/>
    <w:rsid w:val="007F1D17"/>
    <w:rsid w:val="00803B4C"/>
    <w:rsid w:val="00810AB4"/>
    <w:rsid w:val="00813444"/>
    <w:rsid w:val="00813D23"/>
    <w:rsid w:val="00820D82"/>
    <w:rsid w:val="00821B10"/>
    <w:rsid w:val="0082304B"/>
    <w:rsid w:val="0082311D"/>
    <w:rsid w:val="008358EE"/>
    <w:rsid w:val="00840293"/>
    <w:rsid w:val="008410D5"/>
    <w:rsid w:val="008433CF"/>
    <w:rsid w:val="00846677"/>
    <w:rsid w:val="00847915"/>
    <w:rsid w:val="00853D8D"/>
    <w:rsid w:val="008645CD"/>
    <w:rsid w:val="0087108A"/>
    <w:rsid w:val="00872CD7"/>
    <w:rsid w:val="00886A1C"/>
    <w:rsid w:val="008908BA"/>
    <w:rsid w:val="00895439"/>
    <w:rsid w:val="008A3BC9"/>
    <w:rsid w:val="008A3BE3"/>
    <w:rsid w:val="008B00A2"/>
    <w:rsid w:val="008B2BD7"/>
    <w:rsid w:val="008B7C35"/>
    <w:rsid w:val="008C5DD9"/>
    <w:rsid w:val="008C62BB"/>
    <w:rsid w:val="008D2825"/>
    <w:rsid w:val="008D74B1"/>
    <w:rsid w:val="008E5070"/>
    <w:rsid w:val="008E7403"/>
    <w:rsid w:val="008F1C0C"/>
    <w:rsid w:val="00900A09"/>
    <w:rsid w:val="009074D9"/>
    <w:rsid w:val="00915450"/>
    <w:rsid w:val="0091711E"/>
    <w:rsid w:val="0092029B"/>
    <w:rsid w:val="00925CAA"/>
    <w:rsid w:val="00925F83"/>
    <w:rsid w:val="00933996"/>
    <w:rsid w:val="009342B3"/>
    <w:rsid w:val="009451FB"/>
    <w:rsid w:val="00951F3D"/>
    <w:rsid w:val="00956416"/>
    <w:rsid w:val="009572B6"/>
    <w:rsid w:val="009647C8"/>
    <w:rsid w:val="00967F9A"/>
    <w:rsid w:val="0098017E"/>
    <w:rsid w:val="00980547"/>
    <w:rsid w:val="0098787E"/>
    <w:rsid w:val="00993D1E"/>
    <w:rsid w:val="009A419F"/>
    <w:rsid w:val="009A6A13"/>
    <w:rsid w:val="009C0EC9"/>
    <w:rsid w:val="009C2652"/>
    <w:rsid w:val="009C2923"/>
    <w:rsid w:val="009C3719"/>
    <w:rsid w:val="009C51C5"/>
    <w:rsid w:val="009C759C"/>
    <w:rsid w:val="009D19FA"/>
    <w:rsid w:val="009D34EB"/>
    <w:rsid w:val="009D5606"/>
    <w:rsid w:val="009E5467"/>
    <w:rsid w:val="009E5F72"/>
    <w:rsid w:val="00A04A05"/>
    <w:rsid w:val="00A135CF"/>
    <w:rsid w:val="00A170DF"/>
    <w:rsid w:val="00A2269A"/>
    <w:rsid w:val="00A23384"/>
    <w:rsid w:val="00A24D39"/>
    <w:rsid w:val="00A26015"/>
    <w:rsid w:val="00A37A4F"/>
    <w:rsid w:val="00A40F98"/>
    <w:rsid w:val="00A5202A"/>
    <w:rsid w:val="00A6456E"/>
    <w:rsid w:val="00A67EEB"/>
    <w:rsid w:val="00A72B15"/>
    <w:rsid w:val="00A8571E"/>
    <w:rsid w:val="00A87845"/>
    <w:rsid w:val="00A90F14"/>
    <w:rsid w:val="00AA5A6B"/>
    <w:rsid w:val="00AB2246"/>
    <w:rsid w:val="00AC01ED"/>
    <w:rsid w:val="00AC27DA"/>
    <w:rsid w:val="00AC476E"/>
    <w:rsid w:val="00AC776B"/>
    <w:rsid w:val="00AC7B86"/>
    <w:rsid w:val="00AD2349"/>
    <w:rsid w:val="00AD5321"/>
    <w:rsid w:val="00AE6C2E"/>
    <w:rsid w:val="00AE74DD"/>
    <w:rsid w:val="00AE7BC6"/>
    <w:rsid w:val="00AF3197"/>
    <w:rsid w:val="00AF63CF"/>
    <w:rsid w:val="00AF7E39"/>
    <w:rsid w:val="00B10361"/>
    <w:rsid w:val="00B12BD8"/>
    <w:rsid w:val="00B217D9"/>
    <w:rsid w:val="00B30277"/>
    <w:rsid w:val="00B3052C"/>
    <w:rsid w:val="00B3351E"/>
    <w:rsid w:val="00B44C41"/>
    <w:rsid w:val="00B54F88"/>
    <w:rsid w:val="00B57C72"/>
    <w:rsid w:val="00B60925"/>
    <w:rsid w:val="00B71063"/>
    <w:rsid w:val="00B82136"/>
    <w:rsid w:val="00B96F20"/>
    <w:rsid w:val="00BA277B"/>
    <w:rsid w:val="00BA7830"/>
    <w:rsid w:val="00BC0888"/>
    <w:rsid w:val="00BC60A9"/>
    <w:rsid w:val="00BD45AA"/>
    <w:rsid w:val="00BE09D0"/>
    <w:rsid w:val="00BE0C7C"/>
    <w:rsid w:val="00BE1393"/>
    <w:rsid w:val="00C01977"/>
    <w:rsid w:val="00C16FF3"/>
    <w:rsid w:val="00C252AE"/>
    <w:rsid w:val="00C3191D"/>
    <w:rsid w:val="00C41C46"/>
    <w:rsid w:val="00C47EEE"/>
    <w:rsid w:val="00C7050D"/>
    <w:rsid w:val="00C71D9D"/>
    <w:rsid w:val="00C81316"/>
    <w:rsid w:val="00C850E0"/>
    <w:rsid w:val="00CA3780"/>
    <w:rsid w:val="00CA4310"/>
    <w:rsid w:val="00CB307B"/>
    <w:rsid w:val="00CB3DC0"/>
    <w:rsid w:val="00CB4E50"/>
    <w:rsid w:val="00CB72F7"/>
    <w:rsid w:val="00CB793A"/>
    <w:rsid w:val="00CD48C4"/>
    <w:rsid w:val="00CD4CC5"/>
    <w:rsid w:val="00CE1E4D"/>
    <w:rsid w:val="00CE2166"/>
    <w:rsid w:val="00CE528A"/>
    <w:rsid w:val="00D000C1"/>
    <w:rsid w:val="00D06C25"/>
    <w:rsid w:val="00D25E99"/>
    <w:rsid w:val="00D31E02"/>
    <w:rsid w:val="00D355EE"/>
    <w:rsid w:val="00D40B9E"/>
    <w:rsid w:val="00D456E5"/>
    <w:rsid w:val="00D465CB"/>
    <w:rsid w:val="00D57AA5"/>
    <w:rsid w:val="00D64319"/>
    <w:rsid w:val="00D709E8"/>
    <w:rsid w:val="00D75112"/>
    <w:rsid w:val="00D75501"/>
    <w:rsid w:val="00D80AEE"/>
    <w:rsid w:val="00D83962"/>
    <w:rsid w:val="00D90B1F"/>
    <w:rsid w:val="00D9401A"/>
    <w:rsid w:val="00D9495D"/>
    <w:rsid w:val="00DA4453"/>
    <w:rsid w:val="00DA6AF3"/>
    <w:rsid w:val="00DB07EA"/>
    <w:rsid w:val="00DB464D"/>
    <w:rsid w:val="00DB4C5B"/>
    <w:rsid w:val="00DB5A6E"/>
    <w:rsid w:val="00DB74A7"/>
    <w:rsid w:val="00DC39C2"/>
    <w:rsid w:val="00DC3EAB"/>
    <w:rsid w:val="00DD2C1F"/>
    <w:rsid w:val="00DD4AC6"/>
    <w:rsid w:val="00DD6206"/>
    <w:rsid w:val="00DE3260"/>
    <w:rsid w:val="00DE7990"/>
    <w:rsid w:val="00DF5E46"/>
    <w:rsid w:val="00DF7571"/>
    <w:rsid w:val="00E03C3C"/>
    <w:rsid w:val="00E05F22"/>
    <w:rsid w:val="00E12836"/>
    <w:rsid w:val="00E1405D"/>
    <w:rsid w:val="00E17BF2"/>
    <w:rsid w:val="00E20BB5"/>
    <w:rsid w:val="00E23EC0"/>
    <w:rsid w:val="00E3726E"/>
    <w:rsid w:val="00E46801"/>
    <w:rsid w:val="00E47A3E"/>
    <w:rsid w:val="00E500D1"/>
    <w:rsid w:val="00E5224A"/>
    <w:rsid w:val="00E54015"/>
    <w:rsid w:val="00E557E9"/>
    <w:rsid w:val="00E7585E"/>
    <w:rsid w:val="00E97E50"/>
    <w:rsid w:val="00EA07C3"/>
    <w:rsid w:val="00EB1854"/>
    <w:rsid w:val="00EB2189"/>
    <w:rsid w:val="00EC1C00"/>
    <w:rsid w:val="00EC708F"/>
    <w:rsid w:val="00ED03A1"/>
    <w:rsid w:val="00ED45BB"/>
    <w:rsid w:val="00EE3331"/>
    <w:rsid w:val="00EE7442"/>
    <w:rsid w:val="00EF03B9"/>
    <w:rsid w:val="00EF17FB"/>
    <w:rsid w:val="00EF637C"/>
    <w:rsid w:val="00F006B6"/>
    <w:rsid w:val="00F00827"/>
    <w:rsid w:val="00F031EB"/>
    <w:rsid w:val="00F15703"/>
    <w:rsid w:val="00F23055"/>
    <w:rsid w:val="00F23661"/>
    <w:rsid w:val="00F23BE7"/>
    <w:rsid w:val="00F2435D"/>
    <w:rsid w:val="00F2502B"/>
    <w:rsid w:val="00F25823"/>
    <w:rsid w:val="00F26F35"/>
    <w:rsid w:val="00F31235"/>
    <w:rsid w:val="00F3349E"/>
    <w:rsid w:val="00F355BA"/>
    <w:rsid w:val="00F41687"/>
    <w:rsid w:val="00F42424"/>
    <w:rsid w:val="00F42854"/>
    <w:rsid w:val="00F52F0F"/>
    <w:rsid w:val="00F57633"/>
    <w:rsid w:val="00F67E0A"/>
    <w:rsid w:val="00F749E4"/>
    <w:rsid w:val="00F75426"/>
    <w:rsid w:val="00F82C16"/>
    <w:rsid w:val="00F85551"/>
    <w:rsid w:val="00F85FBB"/>
    <w:rsid w:val="00FA0273"/>
    <w:rsid w:val="00FA1DF1"/>
    <w:rsid w:val="00FA7FA4"/>
    <w:rsid w:val="00FB6B27"/>
    <w:rsid w:val="00FC023A"/>
    <w:rsid w:val="00FD13C9"/>
    <w:rsid w:val="00FF4D5E"/>
    <w:rsid w:val="0B07BC1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039,#4d4d4d,maroon"/>
    </o:shapedefaults>
    <o:shapelayout v:ext="edit">
      <o:idmap v:ext="edit" data="1"/>
    </o:shapelayout>
  </w:shapeDefaults>
  <w:decimalSymbol w:val="."/>
  <w:listSeparator w:val=","/>
  <w14:docId w14:val="75B3C991"/>
  <w15:docId w15:val="{FD889E8F-5D71-4F68-A743-E76D347C9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3" w:qFormat="1"/>
    <w:lsdException w:name="heading 2" w:uiPriority="3" w:qFormat="1"/>
    <w:lsdException w:name="heading 3" w:uiPriority="3" w:qFormat="1"/>
    <w:lsdException w:name="heading 4" w:uiPriority="3" w:qFormat="1"/>
    <w:lsdException w:name="heading 5" w:uiPriority="3" w:qFormat="1"/>
    <w:lsdException w:name="heading 6" w:uiPriority="3" w:qFormat="1"/>
    <w:lsdException w:name="heading 7" w:uiPriority="3" w:qFormat="1"/>
    <w:lsdException w:name="heading 8" w:uiPriority="3" w:qFormat="1"/>
    <w:lsdException w:name="heading 9" w:uiPriority="3"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4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8"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4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1711E"/>
    <w:pPr>
      <w:spacing w:before="100" w:after="100" w:line="260" w:lineRule="atLeast"/>
    </w:pPr>
    <w:rPr>
      <w:rFonts w:ascii="Calibri" w:hAnsi="Calibri" w:cs="Calibri"/>
      <w:sz w:val="22"/>
      <w:szCs w:val="22"/>
    </w:rPr>
  </w:style>
  <w:style w:type="paragraph" w:styleId="Heading1">
    <w:name w:val="heading 1"/>
    <w:basedOn w:val="Normal"/>
    <w:next w:val="Normal"/>
    <w:uiPriority w:val="3"/>
    <w:qFormat/>
    <w:rsid w:val="004B0978"/>
    <w:pPr>
      <w:spacing w:before="200" w:after="120" w:line="240" w:lineRule="auto"/>
      <w:outlineLvl w:val="0"/>
    </w:pPr>
    <w:rPr>
      <w:color w:val="4D4D4D"/>
      <w:sz w:val="34"/>
      <w:lang w:eastAsia="en-US"/>
    </w:rPr>
  </w:style>
  <w:style w:type="paragraph" w:styleId="Heading2">
    <w:name w:val="heading 2"/>
    <w:basedOn w:val="Normal"/>
    <w:next w:val="Normal"/>
    <w:uiPriority w:val="3"/>
    <w:qFormat/>
    <w:rsid w:val="00E47A3E"/>
    <w:pPr>
      <w:spacing w:before="180" w:after="60" w:line="240" w:lineRule="auto"/>
      <w:outlineLvl w:val="1"/>
    </w:pPr>
    <w:rPr>
      <w:b/>
      <w:color w:val="4D4D4D"/>
      <w:sz w:val="28"/>
      <w:lang w:eastAsia="en-US"/>
    </w:rPr>
  </w:style>
  <w:style w:type="paragraph" w:styleId="Heading3">
    <w:name w:val="heading 3"/>
    <w:basedOn w:val="Heading2"/>
    <w:next w:val="Normal"/>
    <w:uiPriority w:val="3"/>
    <w:qFormat/>
    <w:rsid w:val="00E47A3E"/>
    <w:pPr>
      <w:keepNext/>
      <w:outlineLvl w:val="2"/>
    </w:pPr>
    <w:rPr>
      <w:sz w:val="24"/>
    </w:rPr>
  </w:style>
  <w:style w:type="paragraph" w:styleId="Heading4">
    <w:name w:val="heading 4"/>
    <w:basedOn w:val="Heading3"/>
    <w:next w:val="Normal"/>
    <w:uiPriority w:val="3"/>
    <w:semiHidden/>
    <w:qFormat/>
    <w:rsid w:val="00564D54"/>
    <w:pPr>
      <w:numPr>
        <w:ilvl w:val="3"/>
      </w:numPr>
      <w:spacing w:before="160" w:line="280" w:lineRule="atLeast"/>
      <w:outlineLvl w:val="3"/>
    </w:pPr>
    <w:rPr>
      <w:sz w:val="22"/>
    </w:rPr>
  </w:style>
  <w:style w:type="paragraph" w:styleId="Heading5">
    <w:name w:val="heading 5"/>
    <w:basedOn w:val="Heading4"/>
    <w:next w:val="Normal"/>
    <w:uiPriority w:val="3"/>
    <w:semiHidden/>
    <w:qFormat/>
    <w:rsid w:val="00803B4C"/>
    <w:pPr>
      <w:numPr>
        <w:ilvl w:val="4"/>
      </w:numPr>
      <w:outlineLvl w:val="4"/>
    </w:pPr>
    <w:rPr>
      <w:b w:val="0"/>
      <w:bCs/>
      <w:color w:val="404040"/>
    </w:rPr>
  </w:style>
  <w:style w:type="paragraph" w:styleId="Heading6">
    <w:name w:val="heading 6"/>
    <w:basedOn w:val="Heading5"/>
    <w:next w:val="Normal"/>
    <w:uiPriority w:val="3"/>
    <w:semiHidden/>
    <w:qFormat/>
    <w:rsid w:val="00E23EC0"/>
    <w:pPr>
      <w:numPr>
        <w:ilvl w:val="5"/>
      </w:numPr>
      <w:outlineLvl w:val="5"/>
    </w:pPr>
    <w:rPr>
      <w:iCs/>
    </w:rPr>
  </w:style>
  <w:style w:type="paragraph" w:styleId="Heading7">
    <w:name w:val="heading 7"/>
    <w:basedOn w:val="Heading6"/>
    <w:next w:val="Normal"/>
    <w:uiPriority w:val="3"/>
    <w:semiHidden/>
    <w:qFormat/>
    <w:rsid w:val="009E5F72"/>
    <w:pPr>
      <w:numPr>
        <w:ilvl w:val="6"/>
      </w:numPr>
      <w:outlineLvl w:val="6"/>
    </w:pPr>
    <w:rPr>
      <w:i/>
    </w:rPr>
  </w:style>
  <w:style w:type="paragraph" w:styleId="Heading8">
    <w:name w:val="heading 8"/>
    <w:basedOn w:val="Heading7"/>
    <w:next w:val="Normal"/>
    <w:uiPriority w:val="3"/>
    <w:semiHidden/>
    <w:qFormat/>
    <w:rsid w:val="00E23EC0"/>
    <w:pPr>
      <w:numPr>
        <w:ilvl w:val="7"/>
      </w:numPr>
      <w:outlineLvl w:val="7"/>
    </w:pPr>
    <w:rPr>
      <w:b/>
    </w:rPr>
  </w:style>
  <w:style w:type="paragraph" w:styleId="Heading9">
    <w:name w:val="heading 9"/>
    <w:basedOn w:val="Heading8"/>
    <w:next w:val="Normal"/>
    <w:uiPriority w:val="3"/>
    <w:semiHidden/>
    <w:qFormat/>
    <w:rsid w:val="00F2502B"/>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662658"/>
    <w:pPr>
      <w:spacing w:after="120"/>
    </w:pPr>
  </w:style>
  <w:style w:type="paragraph" w:customStyle="1" w:styleId="Bullet1">
    <w:name w:val="Bullet 1"/>
    <w:basedOn w:val="Normal"/>
    <w:uiPriority w:val="11"/>
    <w:qFormat/>
    <w:rsid w:val="00D57AA5"/>
    <w:pPr>
      <w:numPr>
        <w:numId w:val="1"/>
      </w:numPr>
      <w:spacing w:before="0" w:after="0"/>
    </w:pPr>
  </w:style>
  <w:style w:type="character" w:styleId="CommentReference">
    <w:name w:val="annotation reference"/>
    <w:uiPriority w:val="99"/>
    <w:semiHidden/>
    <w:rsid w:val="00F2502B"/>
    <w:rPr>
      <w:rFonts w:ascii="Calibri" w:hAnsi="Calibri"/>
      <w:sz w:val="16"/>
    </w:rPr>
  </w:style>
  <w:style w:type="paragraph" w:styleId="CommentText">
    <w:name w:val="annotation text"/>
    <w:basedOn w:val="Normal"/>
    <w:link w:val="CommentTextChar"/>
    <w:uiPriority w:val="99"/>
    <w:rsid w:val="00F2502B"/>
  </w:style>
  <w:style w:type="character" w:styleId="EndnoteReference">
    <w:name w:val="endnote reference"/>
    <w:uiPriority w:val="49"/>
    <w:semiHidden/>
    <w:rsid w:val="00F2502B"/>
    <w:rPr>
      <w:vertAlign w:val="superscript"/>
    </w:rPr>
  </w:style>
  <w:style w:type="paragraph" w:styleId="EndnoteText">
    <w:name w:val="endnote text"/>
    <w:basedOn w:val="Normal"/>
    <w:uiPriority w:val="49"/>
    <w:semiHidden/>
    <w:rsid w:val="00F2502B"/>
  </w:style>
  <w:style w:type="paragraph" w:styleId="Footer">
    <w:name w:val="footer"/>
    <w:link w:val="FooterChar"/>
    <w:uiPriority w:val="99"/>
    <w:rsid w:val="00B54F88"/>
    <w:pPr>
      <w:tabs>
        <w:tab w:val="right" w:pos="8220"/>
      </w:tabs>
      <w:jc w:val="right"/>
    </w:pPr>
    <w:rPr>
      <w:rFonts w:ascii="Calibri" w:hAnsi="Calibri" w:cs="Calibri"/>
      <w:noProof/>
      <w:szCs w:val="22"/>
    </w:rPr>
  </w:style>
  <w:style w:type="character" w:styleId="FootnoteReference">
    <w:name w:val="footnote reference"/>
    <w:uiPriority w:val="49"/>
    <w:semiHidden/>
    <w:rsid w:val="00F2502B"/>
    <w:rPr>
      <w:vertAlign w:val="superscript"/>
    </w:rPr>
  </w:style>
  <w:style w:type="paragraph" w:styleId="FootnoteText">
    <w:name w:val="footnote text"/>
    <w:basedOn w:val="Normal"/>
    <w:uiPriority w:val="49"/>
    <w:semiHidden/>
    <w:rsid w:val="00F2502B"/>
  </w:style>
  <w:style w:type="character" w:styleId="Hyperlink">
    <w:name w:val="Hyperlink"/>
    <w:uiPriority w:val="99"/>
    <w:semiHidden/>
    <w:rsid w:val="005867F0"/>
    <w:rPr>
      <w:color w:val="660B68"/>
      <w:u w:val="none"/>
    </w:rPr>
  </w:style>
  <w:style w:type="character" w:styleId="LineNumber">
    <w:name w:val="line number"/>
    <w:basedOn w:val="DefaultParagraphFont"/>
    <w:uiPriority w:val="49"/>
    <w:semiHidden/>
    <w:rsid w:val="00F2502B"/>
  </w:style>
  <w:style w:type="paragraph" w:styleId="MacroText">
    <w:name w:val="macro"/>
    <w:uiPriority w:val="49"/>
    <w:semiHidden/>
    <w:rsid w:val="00F2502B"/>
    <w:rPr>
      <w:rFonts w:ascii="Calibri" w:hAnsi="Calibri" w:cs="Calibri"/>
      <w:sz w:val="22"/>
      <w:szCs w:val="22"/>
    </w:rPr>
  </w:style>
  <w:style w:type="character" w:styleId="PageNumber">
    <w:name w:val="page number"/>
    <w:uiPriority w:val="49"/>
    <w:semiHidden/>
    <w:rsid w:val="00E12836"/>
    <w:rPr>
      <w:b/>
      <w:color w:val="4C4C4C"/>
      <w:sz w:val="28"/>
    </w:rPr>
  </w:style>
  <w:style w:type="paragraph" w:customStyle="1" w:styleId="NormalIndentItalics">
    <w:name w:val="Normal Indent Italics"/>
    <w:basedOn w:val="NormalIndent"/>
    <w:uiPriority w:val="13"/>
    <w:semiHidden/>
    <w:qFormat/>
    <w:rsid w:val="00ED45BB"/>
    <w:rPr>
      <w:i/>
    </w:rPr>
  </w:style>
  <w:style w:type="paragraph" w:styleId="TableofAuthorities">
    <w:name w:val="table of authorities"/>
    <w:basedOn w:val="Normal"/>
    <w:next w:val="Normal"/>
    <w:uiPriority w:val="39"/>
    <w:semiHidden/>
    <w:rsid w:val="00F2502B"/>
    <w:pPr>
      <w:tabs>
        <w:tab w:val="right" w:pos="9072"/>
      </w:tabs>
      <w:ind w:left="200" w:hanging="200"/>
    </w:pPr>
  </w:style>
  <w:style w:type="table" w:styleId="TableGrid">
    <w:name w:val="Table Grid"/>
    <w:basedOn w:val="TableNormal"/>
    <w:semiHidden/>
    <w:rsid w:val="00B12BD8"/>
    <w:rPr>
      <w:rFonts w:ascii="Calibri" w:hAnsi="Calibri"/>
    </w:rPr>
    <w:tblPr>
      <w:tblStyleRowBandSize w:val="1"/>
      <w:tblStyleColBandSize w:val="1"/>
      <w:tblInd w:w="29" w:type="dxa"/>
      <w:tblBorders>
        <w:top w:val="single" w:sz="6" w:space="0" w:color="660B68"/>
        <w:bottom w:val="single" w:sz="6" w:space="0" w:color="660B68"/>
        <w:insideH w:val="single" w:sz="6" w:space="0" w:color="660B68"/>
      </w:tblBorders>
      <w:tblCellMar>
        <w:left w:w="43" w:type="dxa"/>
        <w:right w:w="43" w:type="dxa"/>
      </w:tblCellMar>
    </w:tblPr>
    <w:trPr>
      <w:cantSplit/>
    </w:trPr>
    <w:tcPr>
      <w:shd w:val="clear" w:color="auto" w:fill="FFFFFF" w:themeFill="background1"/>
    </w:tcPr>
    <w:tblStylePr w:type="firstRow">
      <w:pPr>
        <w:wordWrap/>
        <w:spacing w:beforeLines="0" w:afterLines="0" w:line="240" w:lineRule="auto"/>
        <w:ind w:leftChars="0" w:left="0" w:rightChars="0" w:right="0" w:firstLineChars="0" w:firstLine="0"/>
        <w:jc w:val="left"/>
      </w:pPr>
      <w:rPr>
        <w:rFonts w:ascii="Calibri" w:hAnsi="Calibri"/>
        <w:b w:val="0"/>
        <w:i w:val="0"/>
        <w:caps w:val="0"/>
        <w:smallCaps w:val="0"/>
        <w:strike w:val="0"/>
        <w:dstrike w:val="0"/>
        <w:vanish w:val="0"/>
        <w:color w:val="FFFFFF" w:themeColor="background1"/>
        <w:sz w:val="24"/>
        <w:u w:val="none"/>
        <w:vertAlign w:val="baseline"/>
      </w:rPr>
      <w:tblPr/>
      <w:tcPr>
        <w:tcBorders>
          <w:top w:val="single" w:sz="6" w:space="0" w:color="660B68"/>
          <w:left w:val="single" w:sz="6" w:space="0" w:color="660B68"/>
          <w:bottom w:val="single" w:sz="6" w:space="0" w:color="660B68"/>
          <w:right w:val="single" w:sz="6" w:space="0" w:color="660B68"/>
        </w:tcBorders>
        <w:shd w:val="clear" w:color="auto" w:fill="660B68"/>
      </w:tcPr>
    </w:tblStylePr>
    <w:tblStylePr w:type="firstCol">
      <w:rPr>
        <w:color w:val="4C4C4C"/>
      </w:rPr>
      <w:tblPr/>
      <w:tcPr>
        <w:shd w:val="clear" w:color="auto" w:fill="FFFFFF" w:themeFill="background1"/>
      </w:tcPr>
    </w:tblStylePr>
    <w:tblStylePr w:type="band2Horz">
      <w:tblPr/>
      <w:tcPr>
        <w:shd w:val="clear" w:color="auto" w:fill="FFFFFF" w:themeFill="background1"/>
      </w:tcPr>
    </w:tblStylePr>
  </w:style>
  <w:style w:type="paragraph" w:styleId="Title">
    <w:name w:val="Title"/>
    <w:basedOn w:val="Normal"/>
    <w:uiPriority w:val="28"/>
    <w:qFormat/>
    <w:rsid w:val="009074D9"/>
    <w:pPr>
      <w:spacing w:before="0" w:after="120" w:line="240" w:lineRule="auto"/>
    </w:pPr>
    <w:rPr>
      <w:b/>
      <w:color w:val="660B68"/>
      <w:sz w:val="40"/>
    </w:rPr>
  </w:style>
  <w:style w:type="paragraph" w:styleId="TOC1">
    <w:name w:val="toc 1"/>
    <w:basedOn w:val="Normal"/>
    <w:next w:val="Normal"/>
    <w:uiPriority w:val="39"/>
    <w:semiHidden/>
    <w:rsid w:val="001D0547"/>
    <w:pPr>
      <w:tabs>
        <w:tab w:val="right" w:leader="dot" w:pos="9639"/>
      </w:tabs>
      <w:spacing w:line="240" w:lineRule="auto"/>
      <w:ind w:left="792" w:right="734" w:hanging="792"/>
    </w:pPr>
    <w:rPr>
      <w:color w:val="4C4C4C"/>
      <w:sz w:val="24"/>
      <w:szCs w:val="28"/>
      <w:lang w:eastAsia="en-US"/>
    </w:rPr>
  </w:style>
  <w:style w:type="paragraph" w:styleId="TOC2">
    <w:name w:val="toc 2"/>
    <w:next w:val="Normal"/>
    <w:uiPriority w:val="39"/>
    <w:semiHidden/>
    <w:rsid w:val="001D0547"/>
    <w:pPr>
      <w:tabs>
        <w:tab w:val="right" w:leader="dot" w:pos="9639"/>
      </w:tabs>
      <w:spacing w:before="20"/>
      <w:ind w:left="1174" w:right="567" w:hanging="454"/>
      <w:contextualSpacing/>
    </w:pPr>
    <w:rPr>
      <w:rFonts w:ascii="Calibri" w:hAnsi="Calibri" w:cs="Calibri"/>
      <w:color w:val="000000"/>
      <w:szCs w:val="28"/>
      <w:lang w:eastAsia="en-US"/>
    </w:rPr>
  </w:style>
  <w:style w:type="paragraph" w:styleId="TOC3">
    <w:name w:val="toc 3"/>
    <w:next w:val="Normal"/>
    <w:autoRedefine/>
    <w:uiPriority w:val="39"/>
    <w:semiHidden/>
    <w:rsid w:val="00D57AA5"/>
    <w:pPr>
      <w:tabs>
        <w:tab w:val="left" w:pos="1248"/>
        <w:tab w:val="right" w:leader="dot" w:pos="9639"/>
      </w:tabs>
      <w:spacing w:before="20"/>
      <w:ind w:left="1701" w:right="567" w:hanging="567"/>
    </w:pPr>
    <w:rPr>
      <w:rFonts w:ascii="Calibri" w:hAnsi="Calibri" w:cs="Calibri"/>
      <w:noProof/>
      <w:color w:val="4C4C4C"/>
      <w:sz w:val="18"/>
      <w:szCs w:val="22"/>
    </w:rPr>
  </w:style>
  <w:style w:type="paragraph" w:styleId="TOC5">
    <w:name w:val="toc 5"/>
    <w:basedOn w:val="TOC3"/>
    <w:next w:val="Normal"/>
    <w:autoRedefine/>
    <w:uiPriority w:val="39"/>
    <w:semiHidden/>
    <w:rsid w:val="00A8571E"/>
    <w:pPr>
      <w:tabs>
        <w:tab w:val="left" w:pos="1701"/>
      </w:tabs>
      <w:spacing w:before="0"/>
      <w:ind w:left="0" w:right="-7" w:firstLine="0"/>
    </w:pPr>
    <w:rPr>
      <w:caps/>
      <w:color w:val="800000"/>
    </w:rPr>
  </w:style>
  <w:style w:type="paragraph" w:styleId="Date">
    <w:name w:val="Date"/>
    <w:basedOn w:val="Normal"/>
    <w:next w:val="Normal"/>
    <w:uiPriority w:val="49"/>
    <w:semiHidden/>
    <w:rsid w:val="00F2502B"/>
    <w:pPr>
      <w:ind w:left="1411"/>
    </w:pPr>
  </w:style>
  <w:style w:type="paragraph" w:customStyle="1" w:styleId="Quotation">
    <w:name w:val="Quotation"/>
    <w:basedOn w:val="Normal"/>
    <w:next w:val="Normal"/>
    <w:uiPriority w:val="49"/>
    <w:semiHidden/>
    <w:rsid w:val="001C0319"/>
    <w:pPr>
      <w:keepLines/>
      <w:spacing w:before="40"/>
      <w:jc w:val="center"/>
    </w:pPr>
    <w:rPr>
      <w:i/>
      <w:iCs/>
      <w:color w:val="003399"/>
      <w:sz w:val="18"/>
      <w:lang w:eastAsia="en-US"/>
    </w:rPr>
  </w:style>
  <w:style w:type="paragraph" w:styleId="TOC6">
    <w:name w:val="toc 6"/>
    <w:basedOn w:val="Normal"/>
    <w:next w:val="Normal"/>
    <w:autoRedefine/>
    <w:uiPriority w:val="49"/>
    <w:semiHidden/>
    <w:rsid w:val="00F2502B"/>
    <w:pPr>
      <w:spacing w:before="40" w:after="20"/>
      <w:ind w:left="1418" w:hanging="1418"/>
    </w:pPr>
    <w:rPr>
      <w:b/>
      <w:sz w:val="16"/>
    </w:rPr>
  </w:style>
  <w:style w:type="paragraph" w:styleId="TOC7">
    <w:name w:val="toc 7"/>
    <w:basedOn w:val="Normal"/>
    <w:next w:val="Normal"/>
    <w:autoRedefine/>
    <w:uiPriority w:val="49"/>
    <w:semiHidden/>
    <w:rsid w:val="00F2502B"/>
    <w:pPr>
      <w:ind w:left="1440"/>
    </w:pPr>
  </w:style>
  <w:style w:type="paragraph" w:styleId="TOC8">
    <w:name w:val="toc 8"/>
    <w:basedOn w:val="Normal"/>
    <w:next w:val="Normal"/>
    <w:autoRedefine/>
    <w:uiPriority w:val="49"/>
    <w:semiHidden/>
    <w:rsid w:val="00F2502B"/>
    <w:pPr>
      <w:ind w:left="1680"/>
    </w:pPr>
  </w:style>
  <w:style w:type="paragraph" w:styleId="TOC9">
    <w:name w:val="toc 9"/>
    <w:basedOn w:val="Normal"/>
    <w:next w:val="Normal"/>
    <w:autoRedefine/>
    <w:uiPriority w:val="49"/>
    <w:semiHidden/>
    <w:rsid w:val="00F2502B"/>
    <w:pPr>
      <w:ind w:left="2835" w:right="2835"/>
    </w:pPr>
  </w:style>
  <w:style w:type="numbering" w:styleId="111111">
    <w:name w:val="Outline List 2"/>
    <w:basedOn w:val="NoList"/>
    <w:uiPriority w:val="99"/>
    <w:semiHidden/>
    <w:unhideWhenUsed/>
    <w:rsid w:val="003F45D9"/>
    <w:pPr>
      <w:numPr>
        <w:numId w:val="6"/>
      </w:numPr>
    </w:pPr>
  </w:style>
  <w:style w:type="paragraph" w:styleId="BodyText2">
    <w:name w:val="Body Text 2"/>
    <w:basedOn w:val="Normal"/>
    <w:semiHidden/>
    <w:rsid w:val="00662658"/>
    <w:pPr>
      <w:spacing w:after="120" w:line="480" w:lineRule="auto"/>
    </w:pPr>
  </w:style>
  <w:style w:type="numbering" w:styleId="1ai">
    <w:name w:val="Outline List 1"/>
    <w:basedOn w:val="NoList"/>
    <w:uiPriority w:val="99"/>
    <w:semiHidden/>
    <w:unhideWhenUsed/>
    <w:rsid w:val="003F45D9"/>
    <w:pPr>
      <w:numPr>
        <w:numId w:val="7"/>
      </w:numPr>
    </w:pPr>
  </w:style>
  <w:style w:type="paragraph" w:customStyle="1" w:styleId="ListBulletBold">
    <w:name w:val="List Bullet Bold"/>
    <w:basedOn w:val="Normal"/>
    <w:next w:val="Normal"/>
    <w:uiPriority w:val="49"/>
    <w:semiHidden/>
    <w:rsid w:val="00F2502B"/>
    <w:rPr>
      <w:b/>
    </w:rPr>
  </w:style>
  <w:style w:type="paragraph" w:styleId="BalloonText">
    <w:name w:val="Balloon Text"/>
    <w:basedOn w:val="Normal"/>
    <w:uiPriority w:val="49"/>
    <w:semiHidden/>
    <w:rsid w:val="00F2502B"/>
    <w:rPr>
      <w:sz w:val="16"/>
      <w:szCs w:val="16"/>
    </w:rPr>
  </w:style>
  <w:style w:type="paragraph" w:styleId="BlockText">
    <w:name w:val="Block Text"/>
    <w:basedOn w:val="Normal"/>
    <w:uiPriority w:val="49"/>
    <w:semiHidden/>
    <w:rsid w:val="00F2502B"/>
    <w:pPr>
      <w:spacing w:after="120"/>
      <w:ind w:left="1440" w:right="1440"/>
    </w:pPr>
  </w:style>
  <w:style w:type="paragraph" w:styleId="BodyText3">
    <w:name w:val="Body Text 3"/>
    <w:basedOn w:val="Normal"/>
    <w:semiHidden/>
    <w:rsid w:val="00662658"/>
    <w:pPr>
      <w:spacing w:after="120"/>
    </w:pPr>
    <w:rPr>
      <w:sz w:val="16"/>
      <w:szCs w:val="16"/>
    </w:rPr>
  </w:style>
  <w:style w:type="paragraph" w:styleId="BodyTextFirstIndent">
    <w:name w:val="Body Text First Indent"/>
    <w:basedOn w:val="BodyText"/>
    <w:semiHidden/>
    <w:rsid w:val="00662658"/>
    <w:pPr>
      <w:ind w:firstLine="210"/>
    </w:pPr>
  </w:style>
  <w:style w:type="paragraph" w:styleId="BodyTextIndent">
    <w:name w:val="Body Text Indent"/>
    <w:basedOn w:val="Normal"/>
    <w:semiHidden/>
    <w:rsid w:val="00662658"/>
    <w:pPr>
      <w:spacing w:after="120"/>
      <w:ind w:left="283"/>
    </w:pPr>
  </w:style>
  <w:style w:type="paragraph" w:styleId="BodyTextFirstIndent2">
    <w:name w:val="Body Text First Indent 2"/>
    <w:basedOn w:val="BodyTextIndent"/>
    <w:semiHidden/>
    <w:rsid w:val="00662658"/>
    <w:pPr>
      <w:ind w:firstLine="210"/>
    </w:pPr>
  </w:style>
  <w:style w:type="paragraph" w:styleId="BodyTextIndent2">
    <w:name w:val="Body Text Indent 2"/>
    <w:basedOn w:val="Normal"/>
    <w:semiHidden/>
    <w:rsid w:val="00662658"/>
    <w:pPr>
      <w:spacing w:after="120" w:line="480" w:lineRule="auto"/>
      <w:ind w:left="283"/>
    </w:pPr>
  </w:style>
  <w:style w:type="paragraph" w:styleId="BodyTextIndent3">
    <w:name w:val="Body Text Indent 3"/>
    <w:basedOn w:val="Normal"/>
    <w:semiHidden/>
    <w:rsid w:val="00662658"/>
    <w:pPr>
      <w:spacing w:after="120"/>
      <w:ind w:left="283"/>
    </w:pPr>
    <w:rPr>
      <w:sz w:val="16"/>
      <w:szCs w:val="16"/>
    </w:rPr>
  </w:style>
  <w:style w:type="paragraph" w:styleId="NoteHeading">
    <w:name w:val="Note Heading"/>
    <w:basedOn w:val="Normal"/>
    <w:next w:val="Normal"/>
    <w:semiHidden/>
    <w:rsid w:val="00662658"/>
  </w:style>
  <w:style w:type="paragraph" w:styleId="Closing">
    <w:name w:val="Closing"/>
    <w:basedOn w:val="Normal"/>
    <w:uiPriority w:val="49"/>
    <w:semiHidden/>
    <w:rsid w:val="00F2502B"/>
    <w:pPr>
      <w:ind w:left="4252"/>
    </w:pPr>
  </w:style>
  <w:style w:type="paragraph" w:styleId="CommentSubject">
    <w:name w:val="annotation subject"/>
    <w:basedOn w:val="CommentText"/>
    <w:next w:val="CommentText"/>
    <w:uiPriority w:val="49"/>
    <w:semiHidden/>
    <w:rsid w:val="00F2502B"/>
    <w:rPr>
      <w:b/>
      <w:bCs/>
    </w:rPr>
  </w:style>
  <w:style w:type="paragraph" w:styleId="DocumentMap">
    <w:name w:val="Document Map"/>
    <w:basedOn w:val="Normal"/>
    <w:uiPriority w:val="49"/>
    <w:semiHidden/>
    <w:rsid w:val="00F2502B"/>
    <w:pPr>
      <w:shd w:val="clear" w:color="auto" w:fill="000080"/>
    </w:pPr>
  </w:style>
  <w:style w:type="paragraph" w:styleId="E-mailSignature">
    <w:name w:val="E-mail Signature"/>
    <w:basedOn w:val="Normal"/>
    <w:uiPriority w:val="49"/>
    <w:semiHidden/>
    <w:rsid w:val="00F2502B"/>
  </w:style>
  <w:style w:type="paragraph" w:styleId="EnvelopeAddress">
    <w:name w:val="envelope address"/>
    <w:basedOn w:val="Normal"/>
    <w:uiPriority w:val="49"/>
    <w:semiHidden/>
    <w:rsid w:val="00F2502B"/>
    <w:pPr>
      <w:framePr w:w="7920" w:h="1980" w:hRule="exact" w:hSpace="180" w:wrap="auto" w:hAnchor="page" w:xAlign="center" w:yAlign="bottom"/>
      <w:ind w:left="2880"/>
    </w:pPr>
    <w:rPr>
      <w:sz w:val="24"/>
      <w:szCs w:val="24"/>
    </w:rPr>
  </w:style>
  <w:style w:type="paragraph" w:styleId="EnvelopeReturn">
    <w:name w:val="envelope return"/>
    <w:basedOn w:val="Normal"/>
    <w:uiPriority w:val="49"/>
    <w:semiHidden/>
    <w:rsid w:val="00F2502B"/>
  </w:style>
  <w:style w:type="paragraph" w:styleId="HTMLAddress">
    <w:name w:val="HTML Address"/>
    <w:basedOn w:val="Normal"/>
    <w:uiPriority w:val="49"/>
    <w:semiHidden/>
    <w:rsid w:val="00F2502B"/>
    <w:rPr>
      <w:i/>
      <w:iCs/>
    </w:rPr>
  </w:style>
  <w:style w:type="paragraph" w:styleId="HTMLPreformatted">
    <w:name w:val="HTML Preformatted"/>
    <w:basedOn w:val="Normal"/>
    <w:uiPriority w:val="49"/>
    <w:semiHidden/>
    <w:rsid w:val="00F2502B"/>
  </w:style>
  <w:style w:type="paragraph" w:styleId="Index1">
    <w:name w:val="index 1"/>
    <w:basedOn w:val="Normal"/>
    <w:next w:val="Normal"/>
    <w:autoRedefine/>
    <w:uiPriority w:val="49"/>
    <w:semiHidden/>
    <w:rsid w:val="00F2502B"/>
    <w:pPr>
      <w:ind w:left="200" w:hanging="200"/>
    </w:pPr>
  </w:style>
  <w:style w:type="paragraph" w:styleId="Index2">
    <w:name w:val="index 2"/>
    <w:basedOn w:val="Normal"/>
    <w:next w:val="Normal"/>
    <w:autoRedefine/>
    <w:uiPriority w:val="49"/>
    <w:semiHidden/>
    <w:rsid w:val="00F2502B"/>
    <w:pPr>
      <w:ind w:left="400" w:hanging="200"/>
    </w:pPr>
  </w:style>
  <w:style w:type="paragraph" w:styleId="Index3">
    <w:name w:val="index 3"/>
    <w:basedOn w:val="Normal"/>
    <w:next w:val="Normal"/>
    <w:autoRedefine/>
    <w:uiPriority w:val="49"/>
    <w:semiHidden/>
    <w:rsid w:val="00F2502B"/>
    <w:pPr>
      <w:ind w:left="600" w:hanging="200"/>
    </w:pPr>
  </w:style>
  <w:style w:type="paragraph" w:styleId="Index4">
    <w:name w:val="index 4"/>
    <w:basedOn w:val="Normal"/>
    <w:next w:val="Normal"/>
    <w:autoRedefine/>
    <w:uiPriority w:val="49"/>
    <w:semiHidden/>
    <w:rsid w:val="00F2502B"/>
    <w:pPr>
      <w:ind w:left="800" w:hanging="200"/>
    </w:pPr>
  </w:style>
  <w:style w:type="paragraph" w:styleId="Index5">
    <w:name w:val="index 5"/>
    <w:basedOn w:val="Normal"/>
    <w:next w:val="Normal"/>
    <w:autoRedefine/>
    <w:uiPriority w:val="49"/>
    <w:semiHidden/>
    <w:rsid w:val="00F2502B"/>
    <w:pPr>
      <w:ind w:left="1000" w:hanging="200"/>
    </w:pPr>
  </w:style>
  <w:style w:type="paragraph" w:styleId="Index6">
    <w:name w:val="index 6"/>
    <w:basedOn w:val="Normal"/>
    <w:next w:val="Normal"/>
    <w:autoRedefine/>
    <w:uiPriority w:val="49"/>
    <w:semiHidden/>
    <w:rsid w:val="00F2502B"/>
    <w:pPr>
      <w:ind w:left="1200" w:hanging="200"/>
    </w:pPr>
  </w:style>
  <w:style w:type="paragraph" w:styleId="Index7">
    <w:name w:val="index 7"/>
    <w:basedOn w:val="Normal"/>
    <w:next w:val="Normal"/>
    <w:autoRedefine/>
    <w:uiPriority w:val="49"/>
    <w:semiHidden/>
    <w:rsid w:val="00F2502B"/>
    <w:pPr>
      <w:ind w:left="1400" w:hanging="200"/>
    </w:pPr>
  </w:style>
  <w:style w:type="paragraph" w:styleId="Index8">
    <w:name w:val="index 8"/>
    <w:basedOn w:val="Normal"/>
    <w:next w:val="Normal"/>
    <w:autoRedefine/>
    <w:uiPriority w:val="49"/>
    <w:semiHidden/>
    <w:rsid w:val="00F2502B"/>
    <w:pPr>
      <w:ind w:left="1600" w:hanging="200"/>
    </w:pPr>
  </w:style>
  <w:style w:type="paragraph" w:styleId="Index9">
    <w:name w:val="index 9"/>
    <w:basedOn w:val="Normal"/>
    <w:next w:val="Normal"/>
    <w:autoRedefine/>
    <w:uiPriority w:val="49"/>
    <w:semiHidden/>
    <w:rsid w:val="00F2502B"/>
    <w:pPr>
      <w:ind w:left="1800" w:hanging="200"/>
    </w:pPr>
  </w:style>
  <w:style w:type="paragraph" w:styleId="IndexHeading">
    <w:name w:val="index heading"/>
    <w:basedOn w:val="Normal"/>
    <w:next w:val="Index1"/>
    <w:uiPriority w:val="49"/>
    <w:semiHidden/>
    <w:rsid w:val="00F2502B"/>
    <w:rPr>
      <w:b/>
      <w:bCs/>
    </w:rPr>
  </w:style>
  <w:style w:type="paragraph" w:styleId="List">
    <w:name w:val="List"/>
    <w:basedOn w:val="Normal"/>
    <w:uiPriority w:val="49"/>
    <w:semiHidden/>
    <w:rsid w:val="00F2502B"/>
    <w:pPr>
      <w:ind w:left="283" w:hanging="283"/>
    </w:pPr>
  </w:style>
  <w:style w:type="paragraph" w:styleId="List2">
    <w:name w:val="List 2"/>
    <w:basedOn w:val="Normal"/>
    <w:uiPriority w:val="49"/>
    <w:semiHidden/>
    <w:rsid w:val="00F2502B"/>
    <w:pPr>
      <w:ind w:left="566" w:hanging="283"/>
    </w:pPr>
  </w:style>
  <w:style w:type="paragraph" w:styleId="List3">
    <w:name w:val="List 3"/>
    <w:basedOn w:val="Normal"/>
    <w:uiPriority w:val="49"/>
    <w:semiHidden/>
    <w:rsid w:val="00F2502B"/>
    <w:pPr>
      <w:ind w:left="849" w:hanging="283"/>
    </w:pPr>
  </w:style>
  <w:style w:type="paragraph" w:styleId="List4">
    <w:name w:val="List 4"/>
    <w:basedOn w:val="Normal"/>
    <w:uiPriority w:val="49"/>
    <w:semiHidden/>
    <w:rsid w:val="00F2502B"/>
    <w:pPr>
      <w:ind w:left="1132" w:hanging="283"/>
    </w:pPr>
  </w:style>
  <w:style w:type="paragraph" w:styleId="List5">
    <w:name w:val="List 5"/>
    <w:basedOn w:val="Normal"/>
    <w:uiPriority w:val="49"/>
    <w:semiHidden/>
    <w:rsid w:val="00F2502B"/>
    <w:pPr>
      <w:ind w:left="1415" w:hanging="283"/>
    </w:pPr>
  </w:style>
  <w:style w:type="paragraph" w:styleId="ListBullet4">
    <w:name w:val="List Bullet 4"/>
    <w:basedOn w:val="Normal"/>
    <w:uiPriority w:val="49"/>
    <w:semiHidden/>
    <w:rsid w:val="00F2502B"/>
    <w:pPr>
      <w:tabs>
        <w:tab w:val="num" w:pos="1209"/>
      </w:tabs>
      <w:ind w:left="1209" w:hanging="360"/>
    </w:pPr>
  </w:style>
  <w:style w:type="paragraph" w:styleId="ListBullet5">
    <w:name w:val="List Bullet 5"/>
    <w:basedOn w:val="Normal"/>
    <w:uiPriority w:val="49"/>
    <w:semiHidden/>
    <w:rsid w:val="00F2502B"/>
    <w:pPr>
      <w:tabs>
        <w:tab w:val="num" w:pos="1492"/>
      </w:tabs>
      <w:ind w:left="1492" w:hanging="360"/>
    </w:pPr>
  </w:style>
  <w:style w:type="paragraph" w:styleId="ListContinue4">
    <w:name w:val="List Continue 4"/>
    <w:basedOn w:val="Normal"/>
    <w:uiPriority w:val="49"/>
    <w:semiHidden/>
    <w:rsid w:val="00F2502B"/>
    <w:pPr>
      <w:spacing w:after="120"/>
      <w:ind w:left="1132"/>
    </w:pPr>
  </w:style>
  <w:style w:type="paragraph" w:styleId="ListContinue5">
    <w:name w:val="List Continue 5"/>
    <w:basedOn w:val="Normal"/>
    <w:uiPriority w:val="49"/>
    <w:semiHidden/>
    <w:rsid w:val="00F2502B"/>
    <w:pPr>
      <w:spacing w:after="120"/>
      <w:ind w:left="1415"/>
    </w:pPr>
  </w:style>
  <w:style w:type="paragraph" w:styleId="ListNumber4">
    <w:name w:val="List Number 4"/>
    <w:basedOn w:val="Normal"/>
    <w:uiPriority w:val="49"/>
    <w:semiHidden/>
    <w:rsid w:val="00F2502B"/>
    <w:pPr>
      <w:tabs>
        <w:tab w:val="num" w:pos="1209"/>
      </w:tabs>
      <w:ind w:left="1209" w:hanging="360"/>
    </w:pPr>
  </w:style>
  <w:style w:type="paragraph" w:styleId="ListNumber5">
    <w:name w:val="List Number 5"/>
    <w:basedOn w:val="Normal"/>
    <w:uiPriority w:val="49"/>
    <w:semiHidden/>
    <w:rsid w:val="00F2502B"/>
    <w:pPr>
      <w:tabs>
        <w:tab w:val="num" w:pos="1492"/>
      </w:tabs>
      <w:ind w:left="1492" w:hanging="360"/>
    </w:pPr>
  </w:style>
  <w:style w:type="paragraph" w:styleId="MessageHeader">
    <w:name w:val="Message Header"/>
    <w:basedOn w:val="Normal"/>
    <w:uiPriority w:val="49"/>
    <w:semiHidden/>
    <w:rsid w:val="00F2502B"/>
    <w:pPr>
      <w:pBdr>
        <w:top w:val="single" w:sz="6" w:space="1" w:color="auto"/>
        <w:left w:val="single" w:sz="6" w:space="1" w:color="auto"/>
        <w:bottom w:val="single" w:sz="6" w:space="1" w:color="auto"/>
        <w:right w:val="single" w:sz="6" w:space="1" w:color="auto"/>
      </w:pBdr>
      <w:shd w:val="pct20" w:color="auto" w:fill="auto"/>
      <w:ind w:left="1134" w:hanging="1134"/>
    </w:pPr>
    <w:rPr>
      <w:sz w:val="24"/>
      <w:szCs w:val="24"/>
    </w:rPr>
  </w:style>
  <w:style w:type="paragraph" w:styleId="NormalWeb">
    <w:name w:val="Normal (Web)"/>
    <w:basedOn w:val="Normal"/>
    <w:uiPriority w:val="49"/>
    <w:semiHidden/>
    <w:rsid w:val="00F2502B"/>
    <w:rPr>
      <w:sz w:val="24"/>
      <w:szCs w:val="24"/>
    </w:rPr>
  </w:style>
  <w:style w:type="paragraph" w:styleId="PlainText">
    <w:name w:val="Plain Text"/>
    <w:basedOn w:val="Normal"/>
    <w:uiPriority w:val="49"/>
    <w:semiHidden/>
    <w:rsid w:val="00F2502B"/>
  </w:style>
  <w:style w:type="paragraph" w:styleId="Salutation">
    <w:name w:val="Salutation"/>
    <w:basedOn w:val="Normal"/>
    <w:next w:val="Normal"/>
    <w:uiPriority w:val="49"/>
    <w:semiHidden/>
    <w:rsid w:val="00F2502B"/>
  </w:style>
  <w:style w:type="paragraph" w:styleId="Signature">
    <w:name w:val="Signature"/>
    <w:basedOn w:val="Normal"/>
    <w:uiPriority w:val="49"/>
    <w:semiHidden/>
    <w:rsid w:val="00F2502B"/>
    <w:pPr>
      <w:ind w:left="4252"/>
    </w:pPr>
  </w:style>
  <w:style w:type="paragraph" w:styleId="Subtitle">
    <w:name w:val="Subtitle"/>
    <w:basedOn w:val="Normal"/>
    <w:link w:val="SubtitleChar"/>
    <w:uiPriority w:val="29"/>
    <w:qFormat/>
    <w:rsid w:val="007F1D17"/>
    <w:pPr>
      <w:spacing w:before="0" w:line="240" w:lineRule="auto"/>
    </w:pPr>
    <w:rPr>
      <w:noProof/>
      <w:color w:val="4C4C4C"/>
      <w:sz w:val="32"/>
      <w:szCs w:val="24"/>
    </w:rPr>
  </w:style>
  <w:style w:type="paragraph" w:styleId="TOAHeading">
    <w:name w:val="toa heading"/>
    <w:basedOn w:val="Normal"/>
    <w:next w:val="Normal"/>
    <w:uiPriority w:val="39"/>
    <w:semiHidden/>
    <w:rsid w:val="00F2502B"/>
    <w:pPr>
      <w:spacing w:before="120"/>
    </w:pPr>
    <w:rPr>
      <w:b/>
      <w:bCs/>
      <w:sz w:val="24"/>
      <w:szCs w:val="24"/>
    </w:rPr>
  </w:style>
  <w:style w:type="paragraph" w:styleId="TOCHeading">
    <w:name w:val="TOC Heading"/>
    <w:uiPriority w:val="29"/>
    <w:unhideWhenUsed/>
    <w:qFormat/>
    <w:rsid w:val="0070452F"/>
    <w:pPr>
      <w:keepNext/>
      <w:pageBreakBefore/>
      <w:spacing w:after="1200"/>
      <w:ind w:left="794"/>
    </w:pPr>
    <w:rPr>
      <w:rFonts w:ascii="Calibri" w:hAnsi="Calibri" w:cs="Calibri"/>
      <w:color w:val="4C4C4C"/>
      <w:sz w:val="40"/>
      <w:szCs w:val="22"/>
    </w:rPr>
  </w:style>
  <w:style w:type="paragraph" w:customStyle="1" w:styleId="TableBullet">
    <w:name w:val="Table Bullet"/>
    <w:basedOn w:val="TableText"/>
    <w:uiPriority w:val="10"/>
    <w:qFormat/>
    <w:rsid w:val="001D60E6"/>
    <w:pPr>
      <w:numPr>
        <w:numId w:val="9"/>
      </w:numPr>
      <w:spacing w:before="0" w:after="0"/>
    </w:pPr>
  </w:style>
  <w:style w:type="paragraph" w:customStyle="1" w:styleId="QuoteName">
    <w:name w:val="Quote Name"/>
    <w:basedOn w:val="Normal"/>
    <w:uiPriority w:val="49"/>
    <w:semiHidden/>
    <w:rsid w:val="00F2502B"/>
    <w:pPr>
      <w:spacing w:after="0" w:line="240" w:lineRule="auto"/>
      <w:ind w:left="902" w:right="822"/>
      <w:jc w:val="right"/>
    </w:pPr>
    <w:rPr>
      <w:caps/>
      <w:color w:val="800000"/>
      <w:sz w:val="16"/>
    </w:rPr>
  </w:style>
  <w:style w:type="paragraph" w:styleId="Header">
    <w:name w:val="header"/>
    <w:basedOn w:val="Normal"/>
    <w:uiPriority w:val="24"/>
    <w:semiHidden/>
    <w:rsid w:val="007602D7"/>
    <w:pPr>
      <w:tabs>
        <w:tab w:val="left" w:pos="930"/>
        <w:tab w:val="right" w:pos="10350"/>
      </w:tabs>
      <w:spacing w:before="480" w:after="200" w:line="240" w:lineRule="auto"/>
      <w:ind w:right="-465"/>
      <w:jc w:val="right"/>
    </w:pPr>
    <w:rPr>
      <w:noProof/>
      <w:sz w:val="28"/>
    </w:rPr>
  </w:style>
  <w:style w:type="paragraph" w:styleId="Caption">
    <w:name w:val="caption"/>
    <w:basedOn w:val="Normal"/>
    <w:next w:val="Pictwide"/>
    <w:uiPriority w:val="13"/>
    <w:qFormat/>
    <w:rsid w:val="00577C5A"/>
    <w:pPr>
      <w:keepNext/>
      <w:keepLines/>
      <w:tabs>
        <w:tab w:val="left" w:pos="851"/>
      </w:tabs>
      <w:spacing w:before="240" w:after="120" w:line="240" w:lineRule="auto"/>
    </w:pPr>
    <w:rPr>
      <w:b/>
    </w:rPr>
  </w:style>
  <w:style w:type="paragraph" w:customStyle="1" w:styleId="TableDash">
    <w:name w:val="Table Dash"/>
    <w:basedOn w:val="Normal"/>
    <w:uiPriority w:val="10"/>
    <w:rsid w:val="00F006B6"/>
    <w:pPr>
      <w:numPr>
        <w:ilvl w:val="1"/>
        <w:numId w:val="9"/>
      </w:numPr>
      <w:spacing w:before="0" w:after="0"/>
    </w:pPr>
    <w:rPr>
      <w:sz w:val="20"/>
    </w:rPr>
  </w:style>
  <w:style w:type="paragraph" w:styleId="ListBullet">
    <w:name w:val="List Bullet"/>
    <w:basedOn w:val="Normal"/>
    <w:uiPriority w:val="99"/>
    <w:semiHidden/>
    <w:rsid w:val="007003BC"/>
    <w:pPr>
      <w:numPr>
        <w:numId w:val="2"/>
      </w:numPr>
      <w:contextualSpacing/>
    </w:pPr>
  </w:style>
  <w:style w:type="paragraph" w:styleId="ListBullet2">
    <w:name w:val="List Bullet 2"/>
    <w:basedOn w:val="Normal"/>
    <w:uiPriority w:val="99"/>
    <w:semiHidden/>
    <w:rsid w:val="007003BC"/>
    <w:pPr>
      <w:numPr>
        <w:numId w:val="3"/>
      </w:numPr>
      <w:contextualSpacing/>
    </w:pPr>
  </w:style>
  <w:style w:type="paragraph" w:styleId="ListContinue">
    <w:name w:val="List Continue"/>
    <w:basedOn w:val="Normal"/>
    <w:uiPriority w:val="8"/>
    <w:semiHidden/>
    <w:qFormat/>
    <w:rsid w:val="001D60E6"/>
    <w:pPr>
      <w:spacing w:before="0" w:after="0"/>
      <w:ind w:left="1077"/>
    </w:pPr>
  </w:style>
  <w:style w:type="paragraph" w:styleId="ListContinue2">
    <w:name w:val="List Continue 2"/>
    <w:basedOn w:val="Normal"/>
    <w:uiPriority w:val="8"/>
    <w:semiHidden/>
    <w:rsid w:val="001D60E6"/>
    <w:pPr>
      <w:spacing w:before="0" w:after="0"/>
      <w:ind w:left="1361"/>
    </w:pPr>
  </w:style>
  <w:style w:type="paragraph" w:customStyle="1" w:styleId="Spacer">
    <w:name w:val="Spacer"/>
    <w:basedOn w:val="Normal"/>
    <w:uiPriority w:val="13"/>
    <w:qFormat/>
    <w:rsid w:val="00E12836"/>
    <w:pPr>
      <w:spacing w:before="0" w:after="0" w:line="120" w:lineRule="atLeast"/>
    </w:pPr>
    <w:rPr>
      <w:sz w:val="12"/>
    </w:rPr>
  </w:style>
  <w:style w:type="paragraph" w:customStyle="1" w:styleId="Pictwide">
    <w:name w:val="Pict wide"/>
    <w:basedOn w:val="Normal"/>
    <w:next w:val="Normal"/>
    <w:uiPriority w:val="13"/>
    <w:semiHidden/>
    <w:qFormat/>
    <w:rsid w:val="001D60E6"/>
    <w:pPr>
      <w:widowControl w:val="0"/>
      <w:spacing w:before="160" w:after="320" w:line="240" w:lineRule="auto"/>
    </w:pPr>
    <w:rPr>
      <w:sz w:val="24"/>
    </w:rPr>
  </w:style>
  <w:style w:type="paragraph" w:styleId="TOC4">
    <w:name w:val="toc 4"/>
    <w:basedOn w:val="Normal"/>
    <w:next w:val="Normal"/>
    <w:autoRedefine/>
    <w:uiPriority w:val="39"/>
    <w:semiHidden/>
    <w:unhideWhenUsed/>
    <w:rsid w:val="00D57AA5"/>
    <w:pPr>
      <w:tabs>
        <w:tab w:val="right" w:leader="dot" w:pos="9639"/>
      </w:tabs>
      <w:spacing w:before="0" w:after="0" w:line="240" w:lineRule="auto"/>
      <w:ind w:left="1985" w:right="567" w:hanging="567"/>
    </w:pPr>
    <w:rPr>
      <w:color w:val="4C4C4C"/>
      <w:sz w:val="18"/>
    </w:rPr>
  </w:style>
  <w:style w:type="paragraph" w:styleId="ListContinue3">
    <w:name w:val="List Continue 3"/>
    <w:basedOn w:val="Normal"/>
    <w:uiPriority w:val="8"/>
    <w:semiHidden/>
    <w:rsid w:val="001D60E6"/>
    <w:pPr>
      <w:spacing w:before="0" w:after="0"/>
      <w:ind w:left="1644"/>
    </w:pPr>
  </w:style>
  <w:style w:type="paragraph" w:styleId="ListBullet3">
    <w:name w:val="List Bullet 3"/>
    <w:basedOn w:val="Normal"/>
    <w:uiPriority w:val="99"/>
    <w:semiHidden/>
    <w:unhideWhenUsed/>
    <w:rsid w:val="007003BC"/>
    <w:pPr>
      <w:numPr>
        <w:numId w:val="4"/>
      </w:numPr>
      <w:contextualSpacing/>
    </w:pPr>
  </w:style>
  <w:style w:type="paragraph" w:customStyle="1" w:styleId="TableText">
    <w:name w:val="Table Text"/>
    <w:basedOn w:val="Normal"/>
    <w:uiPriority w:val="15"/>
    <w:qFormat/>
    <w:rsid w:val="00F25823"/>
    <w:pPr>
      <w:spacing w:before="60" w:after="60" w:line="240" w:lineRule="auto"/>
    </w:pPr>
    <w:rPr>
      <w:sz w:val="20"/>
    </w:rPr>
  </w:style>
  <w:style w:type="numbering" w:styleId="ArticleSection">
    <w:name w:val="Outline List 3"/>
    <w:basedOn w:val="NoList"/>
    <w:uiPriority w:val="99"/>
    <w:semiHidden/>
    <w:unhideWhenUsed/>
    <w:rsid w:val="003F45D9"/>
    <w:pPr>
      <w:numPr>
        <w:numId w:val="8"/>
      </w:numPr>
    </w:pPr>
  </w:style>
  <w:style w:type="paragraph" w:styleId="ListNumber">
    <w:name w:val="List Number"/>
    <w:basedOn w:val="Normal"/>
    <w:uiPriority w:val="7"/>
    <w:semiHidden/>
    <w:qFormat/>
    <w:rsid w:val="007003BC"/>
    <w:pPr>
      <w:numPr>
        <w:numId w:val="10"/>
      </w:numPr>
      <w:contextualSpacing/>
    </w:pPr>
  </w:style>
  <w:style w:type="table" w:styleId="ColorfulGrid">
    <w:name w:val="Colorful Grid"/>
    <w:basedOn w:val="TableNormal"/>
    <w:uiPriority w:val="73"/>
    <w:semiHidden/>
    <w:rsid w:val="003F45D9"/>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semiHidden/>
    <w:rsid w:val="003F45D9"/>
    <w:rPr>
      <w:color w:val="000000"/>
    </w:rPr>
    <w:tblPr>
      <w:tblStyleRowBandSize w:val="1"/>
      <w:tblStyleColBandSize w:val="1"/>
      <w:tblBorders>
        <w:insideH w:val="single" w:sz="4" w:space="0" w:color="FFFFFF"/>
      </w:tblBorders>
    </w:tblPr>
    <w:tcPr>
      <w:shd w:val="clear" w:color="auto" w:fill="DCE6F2"/>
    </w:tcPr>
    <w:tblStylePr w:type="firstRow">
      <w:rPr>
        <w:b/>
        <w:bCs/>
      </w:rPr>
      <w:tblPr/>
      <w:tcPr>
        <w:shd w:val="clear" w:color="auto" w:fill="B9CDE5"/>
      </w:tcPr>
    </w:tblStylePr>
    <w:tblStylePr w:type="lastRow">
      <w:rPr>
        <w:b/>
        <w:bCs/>
        <w:color w:val="000000"/>
      </w:rPr>
      <w:tblPr/>
      <w:tcPr>
        <w:shd w:val="clear" w:color="auto" w:fill="B9CDE5"/>
      </w:tcPr>
    </w:tblStylePr>
    <w:tblStylePr w:type="firstCol">
      <w:rPr>
        <w:color w:val="FFFFFF"/>
      </w:rPr>
      <w:tblPr/>
      <w:tcPr>
        <w:shd w:val="clear" w:color="auto" w:fill="376092"/>
      </w:tcPr>
    </w:tblStylePr>
    <w:tblStylePr w:type="lastCol">
      <w:rPr>
        <w:color w:val="FFFFFF"/>
      </w:rPr>
      <w:tblPr/>
      <w:tcPr>
        <w:shd w:val="clear" w:color="auto" w:fill="376092"/>
      </w:tcPr>
    </w:tblStylePr>
    <w:tblStylePr w:type="band1Vert">
      <w:tblPr/>
      <w:tcPr>
        <w:shd w:val="clear" w:color="auto" w:fill="A7C0DE"/>
      </w:tcPr>
    </w:tblStylePr>
    <w:tblStylePr w:type="band1Horz">
      <w:tblPr/>
      <w:tcPr>
        <w:shd w:val="clear" w:color="auto" w:fill="A7C0DE"/>
      </w:tcPr>
    </w:tblStylePr>
  </w:style>
  <w:style w:type="paragraph" w:customStyle="1" w:styleId="TableHeader">
    <w:name w:val="Table Header"/>
    <w:basedOn w:val="TableText"/>
    <w:uiPriority w:val="15"/>
    <w:qFormat/>
    <w:rsid w:val="00B12BD8"/>
    <w:pPr>
      <w:keepNext/>
      <w:spacing w:before="40" w:after="40"/>
    </w:pPr>
    <w:rPr>
      <w:color w:val="FFFFFF" w:themeColor="background1"/>
      <w:sz w:val="24"/>
    </w:rPr>
  </w:style>
  <w:style w:type="paragraph" w:customStyle="1" w:styleId="CaptionTable">
    <w:name w:val="Caption Table"/>
    <w:basedOn w:val="Normal"/>
    <w:uiPriority w:val="14"/>
    <w:semiHidden/>
    <w:rsid w:val="007003BC"/>
    <w:rPr>
      <w:b/>
    </w:rPr>
  </w:style>
  <w:style w:type="paragraph" w:styleId="ListNumber2">
    <w:name w:val="List Number 2"/>
    <w:basedOn w:val="Normal"/>
    <w:uiPriority w:val="7"/>
    <w:semiHidden/>
    <w:rsid w:val="007003BC"/>
    <w:pPr>
      <w:numPr>
        <w:ilvl w:val="1"/>
        <w:numId w:val="10"/>
      </w:numPr>
      <w:contextualSpacing/>
    </w:pPr>
  </w:style>
  <w:style w:type="table" w:styleId="ColorfulGrid-Accent2">
    <w:name w:val="Colorful Grid Accent 2"/>
    <w:basedOn w:val="TableNormal"/>
    <w:uiPriority w:val="73"/>
    <w:semiHidden/>
    <w:rsid w:val="003F45D9"/>
    <w:rPr>
      <w:color w:val="000000"/>
    </w:rPr>
    <w:tblPr>
      <w:tblStyleRowBandSize w:val="1"/>
      <w:tblStyleColBandSize w:val="1"/>
      <w:tblBorders>
        <w:insideH w:val="single" w:sz="4" w:space="0" w:color="FFFFFF"/>
      </w:tblBorders>
    </w:tblPr>
    <w:tcPr>
      <w:shd w:val="clear" w:color="auto" w:fill="F2DCDB"/>
    </w:tcPr>
    <w:tblStylePr w:type="firstRow">
      <w:rPr>
        <w:b/>
        <w:bCs/>
      </w:rPr>
      <w:tblPr/>
      <w:tcPr>
        <w:shd w:val="clear" w:color="auto" w:fill="E6B9B8"/>
      </w:tcPr>
    </w:tblStylePr>
    <w:tblStylePr w:type="lastRow">
      <w:rPr>
        <w:b/>
        <w:bCs/>
        <w:color w:val="000000"/>
      </w:rPr>
      <w:tblPr/>
      <w:tcPr>
        <w:shd w:val="clear" w:color="auto" w:fill="E6B9B8"/>
      </w:tcPr>
    </w:tblStylePr>
    <w:tblStylePr w:type="firstCol">
      <w:rPr>
        <w:color w:val="FFFFFF"/>
      </w:rPr>
      <w:tblPr/>
      <w:tcPr>
        <w:shd w:val="clear" w:color="auto" w:fill="953735"/>
      </w:tcPr>
    </w:tblStylePr>
    <w:tblStylePr w:type="lastCol">
      <w:rPr>
        <w:color w:val="FFFFFF"/>
      </w:rPr>
      <w:tblPr/>
      <w:tcPr>
        <w:shd w:val="clear" w:color="auto" w:fill="953735"/>
      </w:tcPr>
    </w:tblStylePr>
    <w:tblStylePr w:type="band1Vert">
      <w:tblPr/>
      <w:tcPr>
        <w:shd w:val="clear" w:color="auto" w:fill="E0A8A6"/>
      </w:tcPr>
    </w:tblStylePr>
    <w:tblStylePr w:type="band1Horz">
      <w:tblPr/>
      <w:tcPr>
        <w:shd w:val="clear" w:color="auto" w:fill="E0A8A6"/>
      </w:tcPr>
    </w:tblStylePr>
  </w:style>
  <w:style w:type="table" w:styleId="TableClassic1">
    <w:name w:val="Table Classic 1"/>
    <w:basedOn w:val="TableGrid"/>
    <w:uiPriority w:val="99"/>
    <w:semiHidden/>
    <w:unhideWhenUsed/>
    <w:rsid w:val="00F2502B"/>
    <w:pPr>
      <w:spacing w:after="120" w:line="280" w:lineRule="atLeast"/>
    </w:pPr>
    <w:tblPr>
      <w:tblBorders>
        <w:top w:val="single" w:sz="12" w:space="0" w:color="000000"/>
        <w:bottom w:val="single" w:sz="12" w:space="0" w:color="000000"/>
        <w:insideH w:val="none" w:sz="0" w:space="0" w:color="auto"/>
      </w:tblBorders>
    </w:tblPr>
    <w:tcPr>
      <w:shd w:val="clear" w:color="auto" w:fill="auto"/>
    </w:tcPr>
    <w:tblStylePr w:type="firstRow">
      <w:pPr>
        <w:wordWrap/>
        <w:spacing w:beforeLines="0" w:afterLines="0" w:line="240" w:lineRule="auto"/>
        <w:ind w:leftChars="0" w:left="0" w:rightChars="0" w:right="0" w:firstLineChars="0" w:firstLine="0"/>
        <w:jc w:val="left"/>
      </w:pPr>
      <w:rPr>
        <w:rFonts w:ascii="Helvetica" w:hAnsi="Helvetica"/>
        <w:b w:val="0"/>
        <w:i w:val="0"/>
        <w:iCs/>
        <w:caps/>
        <w:smallCaps w:val="0"/>
        <w:strike w:val="0"/>
        <w:dstrike w:val="0"/>
        <w:vanish w:val="0"/>
        <w:color w:val="365F91"/>
        <w:sz w:val="18"/>
        <w:u w:val="none"/>
        <w:vertAlign w:val="baseline"/>
      </w:rPr>
      <w:tblPr/>
      <w:trPr>
        <w:cantSplit w:val="0"/>
      </w:trPr>
      <w:tcPr>
        <w:tcBorders>
          <w:top w:val="single" w:sz="4" w:space="0" w:color="C0C0C0"/>
          <w:left w:val="single" w:sz="4" w:space="0" w:color="C0C0C0"/>
          <w:bottom w:val="single" w:sz="6" w:space="0" w:color="000000"/>
          <w:right w:val="single" w:sz="4" w:space="0" w:color="C0C0C0"/>
          <w:insideH w:val="single" w:sz="4" w:space="0" w:color="C0C0C0"/>
          <w:insideV w:val="single" w:sz="4" w:space="0" w:color="C0C0C0"/>
          <w:tl2br w:val="none" w:sz="0" w:space="0" w:color="auto"/>
          <w:tr2bl w:val="none" w:sz="0" w:space="0" w:color="auto"/>
        </w:tcBorders>
        <w:shd w:val="clear" w:color="auto" w:fill="D9D9D9"/>
      </w:tcPr>
    </w:tblStylePr>
    <w:tblStylePr w:type="lastRow">
      <w:rPr>
        <w:color w:val="auto"/>
      </w:rPr>
      <w:tblPr/>
      <w:tcPr>
        <w:tcBorders>
          <w:top w:val="single" w:sz="6" w:space="0" w:color="000000"/>
          <w:tl2br w:val="none" w:sz="0" w:space="0" w:color="auto"/>
          <w:tr2bl w:val="none" w:sz="0" w:space="0" w:color="auto"/>
        </w:tcBorders>
      </w:tcPr>
    </w:tblStylePr>
    <w:tblStylePr w:type="firstCol">
      <w:rPr>
        <w:color w:val="4C4C4C"/>
      </w:rPr>
      <w:tblPr/>
      <w:tcPr>
        <w:tcBorders>
          <w:right w:val="single" w:sz="6" w:space="0" w:color="000000"/>
          <w:tl2br w:val="none" w:sz="0" w:space="0" w:color="auto"/>
          <w:tr2bl w:val="none" w:sz="0" w:space="0" w:color="auto"/>
        </w:tcBorders>
        <w:shd w:val="clear" w:color="auto" w:fill="D9D9D9"/>
      </w:tcPr>
    </w:tblStylePr>
    <w:tblStylePr w:type="band2Horz">
      <w:tblPr/>
      <w:tcPr>
        <w:shd w:val="clear" w:color="auto" w:fill="F2F2F2"/>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7C0F87"/>
    <w:pPr>
      <w:spacing w:after="120" w:line="280" w:lineRule="atLeast"/>
    </w:pPr>
    <w:rPr>
      <w:rFonts w:ascii="Calibri" w:hAnsi="Calibri"/>
      <w:sz w:val="17"/>
    </w:rPr>
    <w:tblPr>
      <w:tblStyleRowBandSize w:val="1"/>
      <w:tblBorders>
        <w:top w:val="single" w:sz="4" w:space="0" w:color="auto"/>
        <w:bottom w:val="single" w:sz="4" w:space="0" w:color="auto"/>
        <w:insideH w:val="single" w:sz="4" w:space="0" w:color="auto"/>
        <w:insideV w:val="single" w:sz="4" w:space="0" w:color="auto"/>
      </w:tblBorders>
      <w:tblCellMar>
        <w:top w:w="85" w:type="dxa"/>
        <w:left w:w="57" w:type="dxa"/>
        <w:right w:w="57" w:type="dxa"/>
      </w:tblCellMar>
    </w:tblPr>
    <w:trPr>
      <w:cantSplit/>
    </w:trPr>
    <w:tcPr>
      <w:shd w:val="clear" w:color="auto" w:fill="auto"/>
    </w:tcPr>
    <w:tblStylePr w:type="firstRow">
      <w:rPr>
        <w:b/>
        <w:bCs/>
        <w:sz w:val="17"/>
      </w:rPr>
      <w:tblPr/>
      <w:tcPr>
        <w:tcBorders>
          <w:top w:val="single" w:sz="4" w:space="0" w:color="auto"/>
          <w:left w:val="nil"/>
          <w:bottom w:val="single" w:sz="4" w:space="0" w:color="auto"/>
          <w:right w:val="nil"/>
          <w:insideH w:val="single" w:sz="4" w:space="0" w:color="auto"/>
          <w:insideV w:val="single" w:sz="4" w:space="0" w:color="auto"/>
          <w:tl2br w:val="nil"/>
          <w:tr2bl w:val="nil"/>
        </w:tcBorders>
        <w:shd w:val="clear" w:color="auto" w:fill="C6D9F1"/>
      </w:tcPr>
    </w:tblStylePr>
    <w:tblStylePr w:type="lastRow">
      <w:rPr>
        <w:b w:val="0"/>
        <w:bCs/>
      </w:rPr>
      <w:tblPr/>
      <w:tcPr>
        <w:tcBorders>
          <w:top w:val="single" w:sz="4" w:space="0" w:color="auto"/>
          <w:left w:val="nil"/>
          <w:bottom w:val="single" w:sz="4" w:space="0" w:color="auto"/>
          <w:right w:val="nil"/>
          <w:insideH w:val="single" w:sz="4" w:space="0" w:color="auto"/>
          <w:insideV w:val="single" w:sz="4" w:space="0" w:color="auto"/>
          <w:tl2br w:val="nil"/>
          <w:tr2bl w:val="nil"/>
        </w:tcBorders>
        <w:shd w:val="clear" w:color="auto" w:fill="auto"/>
      </w:tcPr>
    </w:tblStylePr>
    <w:tblStylePr w:type="firstCol">
      <w:rPr>
        <w:bCs/>
        <w:caps w:val="0"/>
        <w:smallCaps w:val="0"/>
        <w:color w:val="auto"/>
      </w:rPr>
      <w:tblPr/>
      <w:trPr>
        <w:cantSplit w:val="0"/>
      </w:trPr>
    </w:tblStylePr>
    <w:tblStylePr w:type="lastCol">
      <w:rPr>
        <w:b w:val="0"/>
        <w:bCs/>
      </w:rPr>
      <w:tblPr/>
      <w:tcPr>
        <w:tcBorders>
          <w:tl2br w:val="none" w:sz="0" w:space="0" w:color="auto"/>
          <w:tr2bl w:val="none" w:sz="0" w:space="0" w:color="auto"/>
        </w:tcBorders>
      </w:tcPr>
    </w:tblStylePr>
    <w:tblStylePr w:type="swCell">
      <w:rPr>
        <w:color w:val="auto"/>
      </w:rPr>
    </w:tblStylePr>
  </w:style>
  <w:style w:type="paragraph" w:customStyle="1" w:styleId="Bullet2">
    <w:name w:val="Bullet 2"/>
    <w:basedOn w:val="Bullet1"/>
    <w:uiPriority w:val="11"/>
    <w:qFormat/>
    <w:rsid w:val="00E5224A"/>
    <w:pPr>
      <w:numPr>
        <w:ilvl w:val="1"/>
      </w:numPr>
    </w:pPr>
  </w:style>
  <w:style w:type="paragraph" w:customStyle="1" w:styleId="Bullet3">
    <w:name w:val="Bullet 3"/>
    <w:basedOn w:val="Bullet2"/>
    <w:uiPriority w:val="11"/>
    <w:qFormat/>
    <w:rsid w:val="00E5224A"/>
    <w:pPr>
      <w:numPr>
        <w:ilvl w:val="2"/>
      </w:numPr>
    </w:pPr>
  </w:style>
  <w:style w:type="paragraph" w:styleId="TableofFigures">
    <w:name w:val="table of figures"/>
    <w:basedOn w:val="TOCHeading"/>
    <w:next w:val="Normal"/>
    <w:uiPriority w:val="99"/>
    <w:semiHidden/>
    <w:unhideWhenUsed/>
    <w:rsid w:val="00715221"/>
    <w:pPr>
      <w:spacing w:after="0"/>
      <w:ind w:left="0"/>
    </w:pPr>
  </w:style>
  <w:style w:type="paragraph" w:styleId="ListNumber3">
    <w:name w:val="List Number 3"/>
    <w:basedOn w:val="Normal"/>
    <w:uiPriority w:val="7"/>
    <w:semiHidden/>
    <w:rsid w:val="007003BC"/>
    <w:pPr>
      <w:numPr>
        <w:ilvl w:val="2"/>
        <w:numId w:val="10"/>
      </w:numPr>
      <w:contextualSpacing/>
    </w:pPr>
  </w:style>
  <w:style w:type="table" w:styleId="LightShading-Accent1">
    <w:name w:val="Light Shading Accent 1"/>
    <w:basedOn w:val="TableNormal"/>
    <w:uiPriority w:val="60"/>
    <w:semiHidden/>
    <w:rsid w:val="009A419F"/>
    <w:rPr>
      <w:color w:val="37609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E0EF"/>
      </w:tcPr>
    </w:tblStylePr>
    <w:tblStylePr w:type="band1Horz">
      <w:tblPr/>
      <w:tcPr>
        <w:tcBorders>
          <w:left w:val="nil"/>
          <w:right w:val="nil"/>
          <w:insideH w:val="nil"/>
          <w:insideV w:val="nil"/>
        </w:tcBorders>
        <w:shd w:val="clear" w:color="auto" w:fill="D3E0EF"/>
      </w:tcPr>
    </w:tblStylePr>
  </w:style>
  <w:style w:type="paragraph" w:styleId="Bibliography">
    <w:name w:val="Bibliography"/>
    <w:basedOn w:val="Normal"/>
    <w:next w:val="Normal"/>
    <w:uiPriority w:val="37"/>
    <w:semiHidden/>
    <w:unhideWhenUsed/>
    <w:rsid w:val="00ED45BB"/>
    <w:pPr>
      <w:spacing w:after="120" w:line="240" w:lineRule="auto"/>
    </w:pPr>
    <w:rPr>
      <w:i/>
      <w:sz w:val="18"/>
    </w:rPr>
  </w:style>
  <w:style w:type="paragraph" w:customStyle="1" w:styleId="FrontPagesLeft">
    <w:name w:val="Front Pages Left"/>
    <w:basedOn w:val="Normal"/>
    <w:uiPriority w:val="31"/>
    <w:semiHidden/>
    <w:qFormat/>
    <w:rsid w:val="0051295C"/>
    <w:pPr>
      <w:spacing w:before="0" w:after="0" w:line="200" w:lineRule="atLeast"/>
      <w:ind w:right="6237"/>
    </w:pPr>
    <w:rPr>
      <w:color w:val="000000"/>
      <w:sz w:val="18"/>
      <w:lang w:eastAsia="en-US"/>
    </w:rPr>
  </w:style>
  <w:style w:type="paragraph" w:styleId="ListParagraph">
    <w:name w:val="List Paragraph"/>
    <w:basedOn w:val="Normal"/>
    <w:uiPriority w:val="34"/>
    <w:qFormat/>
    <w:rsid w:val="00010BD3"/>
    <w:pPr>
      <w:ind w:left="720"/>
      <w:contextualSpacing/>
    </w:pPr>
  </w:style>
  <w:style w:type="paragraph" w:styleId="NormalIndent">
    <w:name w:val="Normal Indent"/>
    <w:basedOn w:val="Normal"/>
    <w:semiHidden/>
    <w:rsid w:val="00ED45BB"/>
    <w:pPr>
      <w:spacing w:line="240" w:lineRule="exact"/>
      <w:ind w:left="1077" w:right="284"/>
    </w:pPr>
  </w:style>
  <w:style w:type="table" w:styleId="ColorfulGrid-Accent3">
    <w:name w:val="Colorful Grid Accent 3"/>
    <w:basedOn w:val="TableNormal"/>
    <w:uiPriority w:val="73"/>
    <w:semiHidden/>
    <w:rsid w:val="003F45D9"/>
    <w:rPr>
      <w:color w:val="000000"/>
    </w:rPr>
    <w:tblPr>
      <w:tblStyleRowBandSize w:val="1"/>
      <w:tblStyleColBandSize w:val="1"/>
      <w:tblBorders>
        <w:insideH w:val="single" w:sz="4" w:space="0" w:color="FFFFFF"/>
      </w:tblBorders>
    </w:tblPr>
    <w:tcPr>
      <w:shd w:val="clear" w:color="auto" w:fill="EBF1DE"/>
    </w:tcPr>
    <w:tblStylePr w:type="firstRow">
      <w:rPr>
        <w:b/>
        <w:bCs/>
      </w:rPr>
      <w:tblPr/>
      <w:tcPr>
        <w:shd w:val="clear" w:color="auto" w:fill="D7E4BD"/>
      </w:tcPr>
    </w:tblStylePr>
    <w:tblStylePr w:type="lastRow">
      <w:rPr>
        <w:b/>
        <w:bCs/>
        <w:color w:val="000000"/>
      </w:rPr>
      <w:tblPr/>
      <w:tcPr>
        <w:shd w:val="clear" w:color="auto" w:fill="D7E4BD"/>
      </w:tcPr>
    </w:tblStylePr>
    <w:tblStylePr w:type="firstCol">
      <w:rPr>
        <w:color w:val="FFFFFF"/>
      </w:rPr>
      <w:tblPr/>
      <w:tcPr>
        <w:shd w:val="clear" w:color="auto" w:fill="77933C"/>
      </w:tcPr>
    </w:tblStylePr>
    <w:tblStylePr w:type="lastCol">
      <w:rPr>
        <w:color w:val="FFFFFF"/>
      </w:rPr>
      <w:tblPr/>
      <w:tcPr>
        <w:shd w:val="clear" w:color="auto" w:fill="77933C"/>
      </w:tcPr>
    </w:tblStylePr>
    <w:tblStylePr w:type="band1Vert">
      <w:tblPr/>
      <w:tcPr>
        <w:shd w:val="clear" w:color="auto" w:fill="CDDDAC"/>
      </w:tcPr>
    </w:tblStylePr>
    <w:tblStylePr w:type="band1Horz">
      <w:tblPr/>
      <w:tcPr>
        <w:shd w:val="clear" w:color="auto" w:fill="CDDDAC"/>
      </w:tcPr>
    </w:tblStylePr>
  </w:style>
  <w:style w:type="table" w:styleId="LightShading">
    <w:name w:val="Light Shading"/>
    <w:basedOn w:val="TableNormal"/>
    <w:uiPriority w:val="60"/>
    <w:semiHidden/>
    <w:rsid w:val="00AE6C2E"/>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cPr>
    </w:tblStylePr>
    <w:tblStylePr w:type="band1Horz">
      <w:tblPr/>
      <w:tcPr>
        <w:tcBorders>
          <w:left w:val="nil"/>
          <w:right w:val="nil"/>
          <w:insideH w:val="nil"/>
          <w:insideV w:val="nil"/>
        </w:tcBorders>
        <w:shd w:val="clear" w:color="auto" w:fill="BFBFBF"/>
      </w:tcPr>
    </w:tblStylePr>
  </w:style>
  <w:style w:type="character" w:styleId="BookTitle">
    <w:name w:val="Book Title"/>
    <w:uiPriority w:val="33"/>
    <w:semiHidden/>
    <w:qFormat/>
    <w:rsid w:val="00670B66"/>
    <w:rPr>
      <w:rFonts w:ascii="Calibri" w:hAnsi="Calibri"/>
      <w:b/>
      <w:bCs/>
      <w:smallCaps/>
      <w:spacing w:val="5"/>
    </w:rPr>
  </w:style>
  <w:style w:type="character" w:styleId="Emphasis">
    <w:name w:val="Emphasis"/>
    <w:uiPriority w:val="20"/>
    <w:semiHidden/>
    <w:qFormat/>
    <w:rsid w:val="00670B66"/>
    <w:rPr>
      <w:i/>
      <w:iCs/>
    </w:rPr>
  </w:style>
  <w:style w:type="character" w:styleId="FollowedHyperlink">
    <w:name w:val="FollowedHyperlink"/>
    <w:uiPriority w:val="99"/>
    <w:semiHidden/>
    <w:unhideWhenUsed/>
    <w:rsid w:val="00670B66"/>
    <w:rPr>
      <w:color w:val="800080"/>
      <w:u w:val="single"/>
    </w:rPr>
  </w:style>
  <w:style w:type="character" w:styleId="HTMLAcronym">
    <w:name w:val="HTML Acronym"/>
    <w:basedOn w:val="DefaultParagraphFont"/>
    <w:uiPriority w:val="99"/>
    <w:semiHidden/>
    <w:rsid w:val="00670B66"/>
  </w:style>
  <w:style w:type="character" w:styleId="HTMLCite">
    <w:name w:val="HTML Cite"/>
    <w:uiPriority w:val="99"/>
    <w:semiHidden/>
    <w:rsid w:val="00670B66"/>
    <w:rPr>
      <w:i/>
      <w:iCs/>
    </w:rPr>
  </w:style>
  <w:style w:type="character" w:styleId="HTMLCode">
    <w:name w:val="HTML Code"/>
    <w:uiPriority w:val="99"/>
    <w:semiHidden/>
    <w:rsid w:val="00670B66"/>
    <w:rPr>
      <w:sz w:val="20"/>
      <w:szCs w:val="20"/>
    </w:rPr>
  </w:style>
  <w:style w:type="character" w:styleId="HTMLDefinition">
    <w:name w:val="HTML Definition"/>
    <w:uiPriority w:val="99"/>
    <w:semiHidden/>
    <w:rsid w:val="00670B66"/>
    <w:rPr>
      <w:i/>
      <w:iCs/>
    </w:rPr>
  </w:style>
  <w:style w:type="character" w:styleId="HTMLKeyboard">
    <w:name w:val="HTML Keyboard"/>
    <w:uiPriority w:val="99"/>
    <w:semiHidden/>
    <w:rsid w:val="00670B66"/>
    <w:rPr>
      <w:sz w:val="20"/>
      <w:szCs w:val="20"/>
    </w:rPr>
  </w:style>
  <w:style w:type="character" w:styleId="HTMLSample">
    <w:name w:val="HTML Sample"/>
    <w:uiPriority w:val="99"/>
    <w:semiHidden/>
    <w:rsid w:val="00670B66"/>
    <w:rPr>
      <w:sz w:val="24"/>
      <w:szCs w:val="24"/>
    </w:rPr>
  </w:style>
  <w:style w:type="character" w:styleId="HTMLTypewriter">
    <w:name w:val="HTML Typewriter"/>
    <w:uiPriority w:val="99"/>
    <w:semiHidden/>
    <w:rsid w:val="00670B66"/>
    <w:rPr>
      <w:sz w:val="20"/>
      <w:szCs w:val="20"/>
    </w:rPr>
  </w:style>
  <w:style w:type="character" w:styleId="HTMLVariable">
    <w:name w:val="HTML Variable"/>
    <w:uiPriority w:val="99"/>
    <w:semiHidden/>
    <w:rsid w:val="00670B66"/>
    <w:rPr>
      <w:i/>
      <w:iCs/>
    </w:rPr>
  </w:style>
  <w:style w:type="character" w:styleId="PlaceholderText">
    <w:name w:val="Placeholder Text"/>
    <w:uiPriority w:val="99"/>
    <w:semiHidden/>
    <w:rsid w:val="00670B66"/>
    <w:rPr>
      <w:color w:val="808080"/>
    </w:rPr>
  </w:style>
  <w:style w:type="paragraph" w:customStyle="1" w:styleId="Attachment1">
    <w:name w:val="Attachment 1"/>
    <w:next w:val="Normal"/>
    <w:uiPriority w:val="19"/>
    <w:semiHidden/>
    <w:qFormat/>
    <w:rsid w:val="003F45D9"/>
    <w:pPr>
      <w:pageBreakBefore/>
      <w:numPr>
        <w:numId w:val="5"/>
      </w:numPr>
      <w:pBdr>
        <w:bottom w:val="single" w:sz="4" w:space="1" w:color="404040"/>
      </w:pBdr>
      <w:spacing w:before="400" w:after="1200"/>
    </w:pPr>
    <w:rPr>
      <w:rFonts w:ascii="Calibri" w:hAnsi="Calibri" w:cs="Calibri"/>
      <w:color w:val="404040"/>
      <w:kern w:val="28"/>
      <w:sz w:val="40"/>
      <w:szCs w:val="22"/>
      <w:lang w:eastAsia="en-US"/>
    </w:rPr>
  </w:style>
  <w:style w:type="paragraph" w:customStyle="1" w:styleId="CoverTitle">
    <w:name w:val="Cover Title"/>
    <w:basedOn w:val="Normal"/>
    <w:uiPriority w:val="30"/>
    <w:semiHidden/>
    <w:rsid w:val="005E006C"/>
    <w:pPr>
      <w:spacing w:before="0" w:line="228" w:lineRule="auto"/>
      <w:ind w:right="4536"/>
    </w:pPr>
    <w:rPr>
      <w:b/>
      <w:sz w:val="60"/>
      <w:szCs w:val="60"/>
      <w:lang w:eastAsia="en-US"/>
    </w:rPr>
  </w:style>
  <w:style w:type="paragraph" w:customStyle="1" w:styleId="CoverSubtitle">
    <w:name w:val="Cover Subtitle"/>
    <w:basedOn w:val="CoverTitle"/>
    <w:uiPriority w:val="31"/>
    <w:semiHidden/>
    <w:rsid w:val="0077512D"/>
    <w:pPr>
      <w:spacing w:line="240" w:lineRule="auto"/>
      <w:contextualSpacing/>
    </w:pPr>
    <w:rPr>
      <w:b w:val="0"/>
      <w:sz w:val="40"/>
      <w:szCs w:val="40"/>
    </w:rPr>
  </w:style>
  <w:style w:type="paragraph" w:customStyle="1" w:styleId="NoteNormal">
    <w:name w:val="Note Normal"/>
    <w:basedOn w:val="Normal"/>
    <w:next w:val="Normal"/>
    <w:uiPriority w:val="49"/>
    <w:rsid w:val="002344F7"/>
    <w:pPr>
      <w:keepNext/>
      <w:keepLines/>
      <w:spacing w:before="80" w:after="80" w:line="240" w:lineRule="auto"/>
    </w:pPr>
    <w:rPr>
      <w:color w:val="000000"/>
      <w:sz w:val="18"/>
      <w:lang w:eastAsia="en-US"/>
    </w:rPr>
  </w:style>
  <w:style w:type="table" w:styleId="ColorfulGrid-Accent4">
    <w:name w:val="Colorful Grid Accent 4"/>
    <w:basedOn w:val="TableNormal"/>
    <w:uiPriority w:val="73"/>
    <w:semiHidden/>
    <w:rsid w:val="003F45D9"/>
    <w:rPr>
      <w:color w:val="000000"/>
    </w:rPr>
    <w:tblPr>
      <w:tblStyleRowBandSize w:val="1"/>
      <w:tblStyleColBandSize w:val="1"/>
      <w:tblBorders>
        <w:insideH w:val="single" w:sz="4" w:space="0" w:color="FFFFFF"/>
      </w:tblBorders>
    </w:tblPr>
    <w:tcPr>
      <w:shd w:val="clear" w:color="auto" w:fill="E6E0EC"/>
    </w:tcPr>
    <w:tblStylePr w:type="firstRow">
      <w:rPr>
        <w:b/>
        <w:bCs/>
      </w:rPr>
      <w:tblPr/>
      <w:tcPr>
        <w:shd w:val="clear" w:color="auto" w:fill="CCC1DA"/>
      </w:tcPr>
    </w:tblStylePr>
    <w:tblStylePr w:type="lastRow">
      <w:rPr>
        <w:b/>
        <w:bCs/>
        <w:color w:val="000000"/>
      </w:rPr>
      <w:tblPr/>
      <w:tcPr>
        <w:shd w:val="clear" w:color="auto" w:fill="CCC1DA"/>
      </w:tcPr>
    </w:tblStylePr>
    <w:tblStylePr w:type="firstCol">
      <w:rPr>
        <w:color w:val="FFFFFF"/>
      </w:rPr>
      <w:tblPr/>
      <w:tcPr>
        <w:shd w:val="clear" w:color="auto" w:fill="604A7B"/>
      </w:tcPr>
    </w:tblStylePr>
    <w:tblStylePr w:type="lastCol">
      <w:rPr>
        <w:color w:val="FFFFFF"/>
      </w:rPr>
      <w:tblPr/>
      <w:tcPr>
        <w:shd w:val="clear" w:color="auto" w:fill="604A7B"/>
      </w:tcPr>
    </w:tblStylePr>
    <w:tblStylePr w:type="band1Vert">
      <w:tblPr/>
      <w:tcPr>
        <w:shd w:val="clear" w:color="auto" w:fill="C0B2D1"/>
      </w:tcPr>
    </w:tblStylePr>
    <w:tblStylePr w:type="band1Horz">
      <w:tblPr/>
      <w:tcPr>
        <w:shd w:val="clear" w:color="auto" w:fill="C0B2D1"/>
      </w:tcPr>
    </w:tblStylePr>
  </w:style>
  <w:style w:type="table" w:styleId="ColorfulGrid-Accent5">
    <w:name w:val="Colorful Grid Accent 5"/>
    <w:basedOn w:val="TableNormal"/>
    <w:uiPriority w:val="73"/>
    <w:semiHidden/>
    <w:rsid w:val="003F45D9"/>
    <w:rPr>
      <w:color w:val="000000"/>
    </w:rPr>
    <w:tblPr>
      <w:tblStyleRowBandSize w:val="1"/>
      <w:tblStyleColBandSize w:val="1"/>
      <w:tblBorders>
        <w:insideH w:val="single" w:sz="4" w:space="0" w:color="FFFFFF"/>
      </w:tblBorders>
    </w:tblPr>
    <w:tcPr>
      <w:shd w:val="clear" w:color="auto" w:fill="DBEEF4"/>
    </w:tcPr>
    <w:tblStylePr w:type="firstRow">
      <w:rPr>
        <w:b/>
        <w:bCs/>
      </w:rPr>
      <w:tblPr/>
      <w:tcPr>
        <w:shd w:val="clear" w:color="auto" w:fill="B7DEE8"/>
      </w:tcPr>
    </w:tblStylePr>
    <w:tblStylePr w:type="lastRow">
      <w:rPr>
        <w:b/>
        <w:bCs/>
        <w:color w:val="000000"/>
      </w:rPr>
      <w:tblPr/>
      <w:tcPr>
        <w:shd w:val="clear" w:color="auto" w:fill="B7DEE8"/>
      </w:tcPr>
    </w:tblStylePr>
    <w:tblStylePr w:type="firstCol">
      <w:rPr>
        <w:color w:val="FFFFFF"/>
      </w:rPr>
      <w:tblPr/>
      <w:tcPr>
        <w:shd w:val="clear" w:color="auto" w:fill="31859C"/>
      </w:tcPr>
    </w:tblStylePr>
    <w:tblStylePr w:type="lastCol">
      <w:rPr>
        <w:color w:val="FFFFFF"/>
      </w:rPr>
      <w:tblPr/>
      <w:tcPr>
        <w:shd w:val="clear" w:color="auto" w:fill="31859C"/>
      </w:tcPr>
    </w:tblStylePr>
    <w:tblStylePr w:type="band1Vert">
      <w:tblPr/>
      <w:tcPr>
        <w:shd w:val="clear" w:color="auto" w:fill="A5D6E3"/>
      </w:tcPr>
    </w:tblStylePr>
    <w:tblStylePr w:type="band1Horz">
      <w:tblPr/>
      <w:tcPr>
        <w:shd w:val="clear" w:color="auto" w:fill="A5D6E3"/>
      </w:tcPr>
    </w:tblStylePr>
  </w:style>
  <w:style w:type="table" w:styleId="ColorfulGrid-Accent6">
    <w:name w:val="Colorful Grid Accent 6"/>
    <w:basedOn w:val="TableNormal"/>
    <w:uiPriority w:val="73"/>
    <w:semiHidden/>
    <w:rsid w:val="003F45D9"/>
    <w:rPr>
      <w:color w:val="000000"/>
    </w:rPr>
    <w:tblPr>
      <w:tblStyleRowBandSize w:val="1"/>
      <w:tblStyleColBandSize w:val="1"/>
      <w:tblBorders>
        <w:insideH w:val="single" w:sz="4" w:space="0" w:color="FFFFFF"/>
      </w:tblBorders>
    </w:tblPr>
    <w:tcPr>
      <w:shd w:val="clear" w:color="auto" w:fill="FDEADA"/>
    </w:tcPr>
    <w:tblStylePr w:type="firstRow">
      <w:rPr>
        <w:b/>
        <w:bCs/>
      </w:rPr>
      <w:tblPr/>
      <w:tcPr>
        <w:shd w:val="clear" w:color="auto" w:fill="FCD5B5"/>
      </w:tcPr>
    </w:tblStylePr>
    <w:tblStylePr w:type="lastRow">
      <w:rPr>
        <w:b/>
        <w:bCs/>
        <w:color w:val="000000"/>
      </w:rPr>
      <w:tblPr/>
      <w:tcPr>
        <w:shd w:val="clear" w:color="auto" w:fill="FCD5B5"/>
      </w:tcPr>
    </w:tblStylePr>
    <w:tblStylePr w:type="firstCol">
      <w:rPr>
        <w:color w:val="FFFFFF"/>
      </w:rPr>
      <w:tblPr/>
      <w:tcPr>
        <w:shd w:val="clear" w:color="auto" w:fill="E46C0A"/>
      </w:tcPr>
    </w:tblStylePr>
    <w:tblStylePr w:type="lastCol">
      <w:rPr>
        <w:color w:val="FFFFFF"/>
      </w:rPr>
      <w:tblPr/>
      <w:tcPr>
        <w:shd w:val="clear" w:color="auto" w:fill="E46C0A"/>
      </w:tcPr>
    </w:tblStylePr>
    <w:tblStylePr w:type="band1Vert">
      <w:tblPr/>
      <w:tcPr>
        <w:shd w:val="clear" w:color="auto" w:fill="FBCBA3"/>
      </w:tcPr>
    </w:tblStylePr>
    <w:tblStylePr w:type="band1Horz">
      <w:tblPr/>
      <w:tcPr>
        <w:shd w:val="clear" w:color="auto" w:fill="FBCBA3"/>
      </w:tcPr>
    </w:tblStylePr>
  </w:style>
  <w:style w:type="table" w:styleId="ColorfulList">
    <w:name w:val="Colorful List"/>
    <w:basedOn w:val="TableNormal"/>
    <w:uiPriority w:val="72"/>
    <w:semiHidden/>
    <w:rsid w:val="003F45D9"/>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F3B38"/>
      </w:tcPr>
    </w:tblStylePr>
    <w:tblStylePr w:type="lastRow">
      <w:rPr>
        <w:b/>
        <w:bCs/>
        <w:color w:val="9F3B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FBFBF"/>
      </w:tcPr>
    </w:tblStylePr>
    <w:tblStylePr w:type="band1Horz">
      <w:tblPr/>
      <w:tcPr>
        <w:shd w:val="clear" w:color="auto" w:fill="CCCCCC"/>
      </w:tcPr>
    </w:tblStylePr>
  </w:style>
  <w:style w:type="table" w:styleId="ColorfulList-Accent1">
    <w:name w:val="Colorful List Accent 1"/>
    <w:basedOn w:val="TableNormal"/>
    <w:uiPriority w:val="72"/>
    <w:semiHidden/>
    <w:rsid w:val="003F45D9"/>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F3B38"/>
      </w:tcPr>
    </w:tblStylePr>
    <w:tblStylePr w:type="lastRow">
      <w:rPr>
        <w:b/>
        <w:bCs/>
        <w:color w:val="9F3B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E0EF"/>
      </w:tcPr>
    </w:tblStylePr>
    <w:tblStylePr w:type="band1Horz">
      <w:tblPr/>
      <w:tcPr>
        <w:shd w:val="clear" w:color="auto" w:fill="DCE6F2"/>
      </w:tcPr>
    </w:tblStylePr>
  </w:style>
  <w:style w:type="table" w:styleId="ColorfulList-Accent2">
    <w:name w:val="Colorful List Accent 2"/>
    <w:basedOn w:val="TableNormal"/>
    <w:uiPriority w:val="72"/>
    <w:semiHidden/>
    <w:rsid w:val="003F45D9"/>
    <w:rPr>
      <w:color w:val="000000"/>
    </w:rPr>
    <w:tblPr>
      <w:tblStyleRowBandSize w:val="1"/>
      <w:tblStyleColBandSize w:val="1"/>
    </w:tblPr>
    <w:tcPr>
      <w:shd w:val="clear" w:color="auto" w:fill="F9EEED"/>
    </w:tcPr>
    <w:tblStylePr w:type="firstRow">
      <w:rPr>
        <w:b/>
        <w:bCs/>
        <w:color w:val="FFFFFF"/>
      </w:rPr>
      <w:tblPr/>
      <w:tcPr>
        <w:tcBorders>
          <w:bottom w:val="single" w:sz="12" w:space="0" w:color="FFFFFF"/>
        </w:tcBorders>
        <w:shd w:val="clear" w:color="auto" w:fill="9F3B38"/>
      </w:tcPr>
    </w:tblStylePr>
    <w:tblStylePr w:type="lastRow">
      <w:rPr>
        <w:b/>
        <w:bCs/>
        <w:color w:val="9F3B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3"/>
      </w:tcPr>
    </w:tblStylePr>
    <w:tblStylePr w:type="band1Horz">
      <w:tblPr/>
      <w:tcPr>
        <w:shd w:val="clear" w:color="auto" w:fill="F2DCDB"/>
      </w:tcPr>
    </w:tblStylePr>
  </w:style>
  <w:style w:type="table" w:styleId="ColorfulList-Accent3">
    <w:name w:val="Colorful List Accent 3"/>
    <w:basedOn w:val="TableNormal"/>
    <w:uiPriority w:val="72"/>
    <w:semiHidden/>
    <w:rsid w:val="003F45D9"/>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F83"/>
      </w:tcPr>
    </w:tblStylePr>
    <w:tblStylePr w:type="lastRow">
      <w:rPr>
        <w:b/>
        <w:bCs/>
        <w:color w:val="664F83"/>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6"/>
      </w:tcPr>
    </w:tblStylePr>
    <w:tblStylePr w:type="band1Horz">
      <w:tblPr/>
      <w:tcPr>
        <w:shd w:val="clear" w:color="auto" w:fill="EBF1DE"/>
      </w:tcPr>
    </w:tblStylePr>
  </w:style>
  <w:style w:type="table" w:styleId="ColorfulList-Accent4">
    <w:name w:val="Colorful List Accent 4"/>
    <w:basedOn w:val="TableNormal"/>
    <w:uiPriority w:val="72"/>
    <w:semiHidden/>
    <w:rsid w:val="003F45D9"/>
    <w:rPr>
      <w:color w:val="000000"/>
    </w:rPr>
    <w:tblPr>
      <w:tblStyleRowBandSize w:val="1"/>
      <w:tblStyleColBandSize w:val="1"/>
    </w:tblPr>
    <w:tcPr>
      <w:shd w:val="clear" w:color="auto" w:fill="F2F0F6"/>
    </w:tcPr>
    <w:tblStylePr w:type="firstRow">
      <w:rPr>
        <w:b/>
        <w:bCs/>
        <w:color w:val="FFFFFF"/>
      </w:rPr>
      <w:tblPr/>
      <w:tcPr>
        <w:tcBorders>
          <w:bottom w:val="single" w:sz="12" w:space="0" w:color="FFFFFF"/>
        </w:tcBorders>
        <w:shd w:val="clear" w:color="auto" w:fill="7E9D40"/>
      </w:tcPr>
    </w:tblStylePr>
    <w:tblStylePr w:type="lastRow">
      <w:rPr>
        <w:b/>
        <w:bCs/>
        <w:color w:val="7E9D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6E0EC"/>
      </w:tcPr>
    </w:tblStylePr>
  </w:style>
  <w:style w:type="table" w:styleId="ColorfulList-Accent5">
    <w:name w:val="Colorful List Accent 5"/>
    <w:basedOn w:val="TableNormal"/>
    <w:uiPriority w:val="72"/>
    <w:semiHidden/>
    <w:rsid w:val="003F45D9"/>
    <w:rPr>
      <w:color w:val="000000"/>
    </w:rPr>
    <w:tblPr>
      <w:tblStyleRowBandSize w:val="1"/>
      <w:tblStyleColBandSize w:val="1"/>
    </w:tblPr>
    <w:tcPr>
      <w:shd w:val="clear" w:color="auto" w:fill="EDF7F9"/>
    </w:tcPr>
    <w:tblStylePr w:type="firstRow">
      <w:rPr>
        <w:b/>
        <w:bCs/>
        <w:color w:val="FFFFFF"/>
      </w:rPr>
      <w:tblPr/>
      <w:tcPr>
        <w:tcBorders>
          <w:bottom w:val="single" w:sz="12" w:space="0" w:color="FFFFFF"/>
        </w:tcBorders>
        <w:shd w:val="clear" w:color="auto" w:fill="F3740B"/>
      </w:tcPr>
    </w:tblStylePr>
    <w:tblStylePr w:type="lastRow">
      <w:rPr>
        <w:b/>
        <w:bCs/>
        <w:color w:val="F3740B"/>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BEEF4"/>
      </w:tcPr>
    </w:tblStylePr>
  </w:style>
  <w:style w:type="table" w:styleId="ColorfulList-Accent6">
    <w:name w:val="Colorful List Accent 6"/>
    <w:basedOn w:val="TableNormal"/>
    <w:uiPriority w:val="72"/>
    <w:semiHidden/>
    <w:rsid w:val="003F45D9"/>
    <w:rPr>
      <w:color w:val="000000"/>
    </w:rPr>
    <w:tblPr>
      <w:tblStyleRowBandSize w:val="1"/>
      <w:tblStyleColBandSize w:val="1"/>
    </w:tblPr>
    <w:tcPr>
      <w:shd w:val="clear" w:color="auto" w:fill="FEF5ED"/>
    </w:tcPr>
    <w:tblStylePr w:type="firstRow">
      <w:rPr>
        <w:b/>
        <w:bCs/>
        <w:color w:val="FFFFFF"/>
      </w:rPr>
      <w:tblPr/>
      <w:tcPr>
        <w:tcBorders>
          <w:bottom w:val="single" w:sz="12" w:space="0" w:color="FFFFFF"/>
        </w:tcBorders>
        <w:shd w:val="clear" w:color="auto" w:fill="358EA6"/>
      </w:tcPr>
    </w:tblStylePr>
    <w:tblStylePr w:type="lastRow">
      <w:rPr>
        <w:b/>
        <w:bCs/>
        <w:color w:val="358EA6"/>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5D1"/>
      </w:tcPr>
    </w:tblStylePr>
    <w:tblStylePr w:type="band1Horz">
      <w:tblPr/>
      <w:tcPr>
        <w:shd w:val="clear" w:color="auto" w:fill="FDEADA"/>
      </w:tcPr>
    </w:tblStylePr>
  </w:style>
  <w:style w:type="table" w:styleId="ColorfulShading">
    <w:name w:val="Colorful Shading"/>
    <w:basedOn w:val="TableNormal"/>
    <w:uiPriority w:val="71"/>
    <w:semiHidden/>
    <w:rsid w:val="003F45D9"/>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semiHidden/>
    <w:rsid w:val="003F45D9"/>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D75"/>
      </w:tcPr>
    </w:tblStylePr>
    <w:tblStylePr w:type="firstCol">
      <w:rPr>
        <w:color w:val="FFFFFF"/>
      </w:rPr>
      <w:tblPr/>
      <w:tcPr>
        <w:tcBorders>
          <w:top w:val="nil"/>
          <w:left w:val="nil"/>
          <w:bottom w:val="nil"/>
          <w:right w:val="nil"/>
          <w:insideH w:val="single" w:sz="4" w:space="0" w:color="2C4D75"/>
          <w:insideV w:val="nil"/>
        </w:tcBorders>
        <w:shd w:val="clear" w:color="auto" w:fill="2C4D75"/>
      </w:tcPr>
    </w:tblStylePr>
    <w:tblStylePr w:type="lastCol">
      <w:rPr>
        <w:color w:val="FFFFFF"/>
      </w:rPr>
      <w:tblPr/>
      <w:tcPr>
        <w:tcBorders>
          <w:top w:val="nil"/>
          <w:left w:val="nil"/>
          <w:bottom w:val="nil"/>
          <w:right w:val="nil"/>
          <w:insideH w:val="nil"/>
          <w:insideV w:val="nil"/>
        </w:tcBorders>
        <w:shd w:val="clear" w:color="auto" w:fill="2C4D75"/>
      </w:tcPr>
    </w:tblStylePr>
    <w:tblStylePr w:type="band1Vert">
      <w:tblPr/>
      <w:tcPr>
        <w:shd w:val="clear" w:color="auto" w:fill="B9CDE5"/>
      </w:tcPr>
    </w:tblStylePr>
    <w:tblStylePr w:type="band1Horz">
      <w:tblPr/>
      <w:tcPr>
        <w:shd w:val="clear" w:color="auto" w:fill="A7C0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semiHidden/>
    <w:rsid w:val="003F45D9"/>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9EE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6B9B8"/>
      </w:tcPr>
    </w:tblStylePr>
    <w:tblStylePr w:type="band1Horz">
      <w:tblPr/>
      <w:tcPr>
        <w:shd w:val="clear" w:color="auto" w:fill="E0A8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semiHidden/>
    <w:rsid w:val="003F45D9"/>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F7530"/>
      </w:tcPr>
    </w:tblStylePr>
    <w:tblStylePr w:type="firstCol">
      <w:rPr>
        <w:color w:val="FFFFFF"/>
      </w:rPr>
      <w:tblPr/>
      <w:tcPr>
        <w:tcBorders>
          <w:top w:val="nil"/>
          <w:left w:val="nil"/>
          <w:bottom w:val="nil"/>
          <w:right w:val="nil"/>
          <w:insideH w:val="single" w:sz="4" w:space="0" w:color="5F7530"/>
          <w:insideV w:val="nil"/>
        </w:tcBorders>
        <w:shd w:val="clear" w:color="auto" w:fill="5F7530"/>
      </w:tcPr>
    </w:tblStylePr>
    <w:tblStylePr w:type="lastCol">
      <w:rPr>
        <w:color w:val="FFFFFF"/>
      </w:rPr>
      <w:tblPr/>
      <w:tcPr>
        <w:tcBorders>
          <w:top w:val="nil"/>
          <w:left w:val="nil"/>
          <w:bottom w:val="nil"/>
          <w:right w:val="nil"/>
          <w:insideH w:val="nil"/>
          <w:insideV w:val="nil"/>
        </w:tcBorders>
        <w:shd w:val="clear" w:color="auto" w:fill="5F7530"/>
      </w:tcPr>
    </w:tblStylePr>
    <w:tblStylePr w:type="band1Vert">
      <w:tblPr/>
      <w:tcPr>
        <w:shd w:val="clear" w:color="auto" w:fill="D7E4BD"/>
      </w:tcPr>
    </w:tblStylePr>
    <w:tblStylePr w:type="band1Horz">
      <w:tblPr/>
      <w:tcPr>
        <w:shd w:val="clear" w:color="auto" w:fill="CDDDAC"/>
      </w:tcPr>
    </w:tblStylePr>
  </w:style>
  <w:style w:type="table" w:styleId="ColorfulShading-Accent4">
    <w:name w:val="Colorful Shading Accent 4"/>
    <w:basedOn w:val="TableNormal"/>
    <w:uiPriority w:val="71"/>
    <w:semiHidden/>
    <w:rsid w:val="003F45D9"/>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F0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D3B62"/>
      </w:tcPr>
    </w:tblStylePr>
    <w:tblStylePr w:type="firstCol">
      <w:rPr>
        <w:color w:val="FFFFFF"/>
      </w:rPr>
      <w:tblPr/>
      <w:tcPr>
        <w:tcBorders>
          <w:top w:val="nil"/>
          <w:left w:val="nil"/>
          <w:bottom w:val="nil"/>
          <w:right w:val="nil"/>
          <w:insideH w:val="single" w:sz="4" w:space="0" w:color="4D3B62"/>
          <w:insideV w:val="nil"/>
        </w:tcBorders>
        <w:shd w:val="clear" w:color="auto" w:fill="4D3B62"/>
      </w:tcPr>
    </w:tblStylePr>
    <w:tblStylePr w:type="lastCol">
      <w:rPr>
        <w:color w:val="FFFFFF"/>
      </w:rPr>
      <w:tblPr/>
      <w:tcPr>
        <w:tcBorders>
          <w:top w:val="nil"/>
          <w:left w:val="nil"/>
          <w:bottom w:val="nil"/>
          <w:right w:val="nil"/>
          <w:insideH w:val="nil"/>
          <w:insideV w:val="nil"/>
        </w:tcBorders>
        <w:shd w:val="clear" w:color="auto" w:fill="4D3B62"/>
      </w:tcPr>
    </w:tblStylePr>
    <w:tblStylePr w:type="band1Vert">
      <w:tblPr/>
      <w:tcPr>
        <w:shd w:val="clear" w:color="auto" w:fill="CCC1DA"/>
      </w:tcPr>
    </w:tblStylePr>
    <w:tblStylePr w:type="band1Horz">
      <w:tblPr/>
      <w:tcPr>
        <w:shd w:val="clear" w:color="auto" w:fill="C0B2D1"/>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semiHidden/>
    <w:rsid w:val="003F45D9"/>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7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7DEE8"/>
      </w:tcPr>
    </w:tblStylePr>
    <w:tblStylePr w:type="band1Horz">
      <w:tblPr/>
      <w:tcPr>
        <w:shd w:val="clear" w:color="auto" w:fill="A5D6E3"/>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semiHidden/>
    <w:rsid w:val="003F45D9"/>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5ED"/>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708"/>
      </w:tcPr>
    </w:tblStylePr>
    <w:tblStylePr w:type="firstCol">
      <w:rPr>
        <w:color w:val="FFFFFF"/>
      </w:rPr>
      <w:tblPr/>
      <w:tcPr>
        <w:tcBorders>
          <w:top w:val="nil"/>
          <w:left w:val="nil"/>
          <w:bottom w:val="nil"/>
          <w:right w:val="nil"/>
          <w:insideH w:val="single" w:sz="4" w:space="0" w:color="B65708"/>
          <w:insideV w:val="nil"/>
        </w:tcBorders>
        <w:shd w:val="clear" w:color="auto" w:fill="B65708"/>
      </w:tcPr>
    </w:tblStylePr>
    <w:tblStylePr w:type="lastCol">
      <w:rPr>
        <w:color w:val="FFFFFF"/>
      </w:rPr>
      <w:tblPr/>
      <w:tcPr>
        <w:tcBorders>
          <w:top w:val="nil"/>
          <w:left w:val="nil"/>
          <w:bottom w:val="nil"/>
          <w:right w:val="nil"/>
          <w:insideH w:val="nil"/>
          <w:insideV w:val="nil"/>
        </w:tcBorders>
        <w:shd w:val="clear" w:color="auto" w:fill="B65708"/>
      </w:tcPr>
    </w:tblStylePr>
    <w:tblStylePr w:type="band1Vert">
      <w:tblPr/>
      <w:tcPr>
        <w:shd w:val="clear" w:color="auto" w:fill="FCD5B5"/>
      </w:tcPr>
    </w:tblStylePr>
    <w:tblStylePr w:type="band1Horz">
      <w:tblPr/>
      <w:tcPr>
        <w:shd w:val="clear" w:color="auto" w:fill="FBCBA3"/>
      </w:tcPr>
    </w:tblStylePr>
    <w:tblStylePr w:type="neCell">
      <w:rPr>
        <w:color w:val="000000"/>
      </w:rPr>
    </w:tblStylePr>
    <w:tblStylePr w:type="nwCell">
      <w:rPr>
        <w:color w:val="000000"/>
      </w:rPr>
    </w:tblStylePr>
  </w:style>
  <w:style w:type="table" w:styleId="DarkList">
    <w:name w:val="Dark List"/>
    <w:basedOn w:val="TableNormal"/>
    <w:uiPriority w:val="70"/>
    <w:semiHidden/>
    <w:rsid w:val="003F45D9"/>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semiHidden/>
    <w:rsid w:val="003F45D9"/>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54061"/>
      </w:tcPr>
    </w:tblStylePr>
    <w:tblStylePr w:type="firstCol">
      <w:tblPr/>
      <w:tcPr>
        <w:tcBorders>
          <w:top w:val="nil"/>
          <w:left w:val="nil"/>
          <w:bottom w:val="nil"/>
          <w:right w:val="single" w:sz="18" w:space="0" w:color="FFFFFF"/>
          <w:insideH w:val="nil"/>
          <w:insideV w:val="nil"/>
        </w:tcBorders>
        <w:shd w:val="clear" w:color="auto" w:fill="376092"/>
      </w:tcPr>
    </w:tblStylePr>
    <w:tblStylePr w:type="lastCol">
      <w:tblPr/>
      <w:tcPr>
        <w:tcBorders>
          <w:top w:val="nil"/>
          <w:left w:val="single" w:sz="18" w:space="0" w:color="FFFFFF"/>
          <w:bottom w:val="nil"/>
          <w:right w:val="nil"/>
          <w:insideH w:val="nil"/>
          <w:insideV w:val="nil"/>
        </w:tcBorders>
        <w:shd w:val="clear" w:color="auto" w:fill="376092"/>
      </w:tcPr>
    </w:tblStylePr>
    <w:tblStylePr w:type="band1Vert">
      <w:tblPr/>
      <w:tcPr>
        <w:tcBorders>
          <w:top w:val="nil"/>
          <w:left w:val="nil"/>
          <w:bottom w:val="nil"/>
          <w:right w:val="nil"/>
          <w:insideH w:val="nil"/>
          <w:insideV w:val="nil"/>
        </w:tcBorders>
        <w:shd w:val="clear" w:color="auto" w:fill="376092"/>
      </w:tcPr>
    </w:tblStylePr>
    <w:tblStylePr w:type="band1Horz">
      <w:tblPr/>
      <w:tcPr>
        <w:tcBorders>
          <w:top w:val="nil"/>
          <w:left w:val="nil"/>
          <w:bottom w:val="nil"/>
          <w:right w:val="nil"/>
          <w:insideH w:val="nil"/>
          <w:insideV w:val="nil"/>
        </w:tcBorders>
        <w:shd w:val="clear" w:color="auto" w:fill="376092"/>
      </w:tcPr>
    </w:tblStylePr>
  </w:style>
  <w:style w:type="table" w:styleId="DarkList-Accent2">
    <w:name w:val="Dark List Accent 2"/>
    <w:basedOn w:val="TableNormal"/>
    <w:uiPriority w:val="70"/>
    <w:semiHidden/>
    <w:rsid w:val="003F45D9"/>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32523"/>
      </w:tcPr>
    </w:tblStylePr>
    <w:tblStylePr w:type="firstCol">
      <w:tblPr/>
      <w:tcPr>
        <w:tcBorders>
          <w:top w:val="nil"/>
          <w:left w:val="nil"/>
          <w:bottom w:val="nil"/>
          <w:right w:val="single" w:sz="18" w:space="0" w:color="FFFFFF"/>
          <w:insideH w:val="nil"/>
          <w:insideV w:val="nil"/>
        </w:tcBorders>
        <w:shd w:val="clear" w:color="auto" w:fill="953735"/>
      </w:tcPr>
    </w:tblStylePr>
    <w:tblStylePr w:type="lastCol">
      <w:tblPr/>
      <w:tcPr>
        <w:tcBorders>
          <w:top w:val="nil"/>
          <w:left w:val="single" w:sz="18" w:space="0" w:color="FFFFFF"/>
          <w:bottom w:val="nil"/>
          <w:right w:val="nil"/>
          <w:insideH w:val="nil"/>
          <w:insideV w:val="nil"/>
        </w:tcBorders>
        <w:shd w:val="clear" w:color="auto" w:fill="953735"/>
      </w:tcPr>
    </w:tblStylePr>
    <w:tblStylePr w:type="band1Vert">
      <w:tblPr/>
      <w:tcPr>
        <w:tcBorders>
          <w:top w:val="nil"/>
          <w:left w:val="nil"/>
          <w:bottom w:val="nil"/>
          <w:right w:val="nil"/>
          <w:insideH w:val="nil"/>
          <w:insideV w:val="nil"/>
        </w:tcBorders>
        <w:shd w:val="clear" w:color="auto" w:fill="953735"/>
      </w:tcPr>
    </w:tblStylePr>
    <w:tblStylePr w:type="band1Horz">
      <w:tblPr/>
      <w:tcPr>
        <w:tcBorders>
          <w:top w:val="nil"/>
          <w:left w:val="nil"/>
          <w:bottom w:val="nil"/>
          <w:right w:val="nil"/>
          <w:insideH w:val="nil"/>
          <w:insideV w:val="nil"/>
        </w:tcBorders>
        <w:shd w:val="clear" w:color="auto" w:fill="953735"/>
      </w:tcPr>
    </w:tblStylePr>
  </w:style>
  <w:style w:type="table" w:styleId="DarkList-Accent3">
    <w:name w:val="Dark List Accent 3"/>
    <w:basedOn w:val="TableNormal"/>
    <w:uiPriority w:val="70"/>
    <w:semiHidden/>
    <w:rsid w:val="003F45D9"/>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F6228"/>
      </w:tcPr>
    </w:tblStylePr>
    <w:tblStylePr w:type="firstCol">
      <w:tblPr/>
      <w:tcPr>
        <w:tcBorders>
          <w:top w:val="nil"/>
          <w:left w:val="nil"/>
          <w:bottom w:val="nil"/>
          <w:right w:val="single" w:sz="18" w:space="0" w:color="FFFFFF"/>
          <w:insideH w:val="nil"/>
          <w:insideV w:val="nil"/>
        </w:tcBorders>
        <w:shd w:val="clear" w:color="auto" w:fill="77933C"/>
      </w:tcPr>
    </w:tblStylePr>
    <w:tblStylePr w:type="lastCol">
      <w:tblPr/>
      <w:tcPr>
        <w:tcBorders>
          <w:top w:val="nil"/>
          <w:left w:val="single" w:sz="18" w:space="0" w:color="FFFFFF"/>
          <w:bottom w:val="nil"/>
          <w:right w:val="nil"/>
          <w:insideH w:val="nil"/>
          <w:insideV w:val="nil"/>
        </w:tcBorders>
        <w:shd w:val="clear" w:color="auto" w:fill="77933C"/>
      </w:tcPr>
    </w:tblStylePr>
    <w:tblStylePr w:type="band1Vert">
      <w:tblPr/>
      <w:tcPr>
        <w:tcBorders>
          <w:top w:val="nil"/>
          <w:left w:val="nil"/>
          <w:bottom w:val="nil"/>
          <w:right w:val="nil"/>
          <w:insideH w:val="nil"/>
          <w:insideV w:val="nil"/>
        </w:tcBorders>
        <w:shd w:val="clear" w:color="auto" w:fill="77933C"/>
      </w:tcPr>
    </w:tblStylePr>
    <w:tblStylePr w:type="band1Horz">
      <w:tblPr/>
      <w:tcPr>
        <w:tcBorders>
          <w:top w:val="nil"/>
          <w:left w:val="nil"/>
          <w:bottom w:val="nil"/>
          <w:right w:val="nil"/>
          <w:insideH w:val="nil"/>
          <w:insideV w:val="nil"/>
        </w:tcBorders>
        <w:shd w:val="clear" w:color="auto" w:fill="77933C"/>
      </w:tcPr>
    </w:tblStylePr>
  </w:style>
  <w:style w:type="table" w:styleId="DarkList-Accent4">
    <w:name w:val="Dark List Accent 4"/>
    <w:basedOn w:val="TableNormal"/>
    <w:uiPriority w:val="70"/>
    <w:semiHidden/>
    <w:rsid w:val="003F45D9"/>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03152"/>
      </w:tcPr>
    </w:tblStylePr>
    <w:tblStylePr w:type="firstCol">
      <w:tblPr/>
      <w:tcPr>
        <w:tcBorders>
          <w:top w:val="nil"/>
          <w:left w:val="nil"/>
          <w:bottom w:val="nil"/>
          <w:right w:val="single" w:sz="18" w:space="0" w:color="FFFFFF"/>
          <w:insideH w:val="nil"/>
          <w:insideV w:val="nil"/>
        </w:tcBorders>
        <w:shd w:val="clear" w:color="auto" w:fill="604A7B"/>
      </w:tcPr>
    </w:tblStylePr>
    <w:tblStylePr w:type="lastCol">
      <w:tblPr/>
      <w:tcPr>
        <w:tcBorders>
          <w:top w:val="nil"/>
          <w:left w:val="single" w:sz="18" w:space="0" w:color="FFFFFF"/>
          <w:bottom w:val="nil"/>
          <w:right w:val="nil"/>
          <w:insideH w:val="nil"/>
          <w:insideV w:val="nil"/>
        </w:tcBorders>
        <w:shd w:val="clear" w:color="auto" w:fill="604A7B"/>
      </w:tcPr>
    </w:tblStylePr>
    <w:tblStylePr w:type="band1Vert">
      <w:tblPr/>
      <w:tcPr>
        <w:tcBorders>
          <w:top w:val="nil"/>
          <w:left w:val="nil"/>
          <w:bottom w:val="nil"/>
          <w:right w:val="nil"/>
          <w:insideH w:val="nil"/>
          <w:insideV w:val="nil"/>
        </w:tcBorders>
        <w:shd w:val="clear" w:color="auto" w:fill="604A7B"/>
      </w:tcPr>
    </w:tblStylePr>
    <w:tblStylePr w:type="band1Horz">
      <w:tblPr/>
      <w:tcPr>
        <w:tcBorders>
          <w:top w:val="nil"/>
          <w:left w:val="nil"/>
          <w:bottom w:val="nil"/>
          <w:right w:val="nil"/>
          <w:insideH w:val="nil"/>
          <w:insideV w:val="nil"/>
        </w:tcBorders>
        <w:shd w:val="clear" w:color="auto" w:fill="604A7B"/>
      </w:tcPr>
    </w:tblStylePr>
  </w:style>
  <w:style w:type="table" w:styleId="DarkList-Accent5">
    <w:name w:val="Dark List Accent 5"/>
    <w:basedOn w:val="TableNormal"/>
    <w:uiPriority w:val="70"/>
    <w:semiHidden/>
    <w:rsid w:val="003F45D9"/>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15968"/>
      </w:tcPr>
    </w:tblStylePr>
    <w:tblStylePr w:type="firstCol">
      <w:tblPr/>
      <w:tcPr>
        <w:tcBorders>
          <w:top w:val="nil"/>
          <w:left w:val="nil"/>
          <w:bottom w:val="nil"/>
          <w:right w:val="single" w:sz="18" w:space="0" w:color="FFFFFF"/>
          <w:insideH w:val="nil"/>
          <w:insideV w:val="nil"/>
        </w:tcBorders>
        <w:shd w:val="clear" w:color="auto" w:fill="31859C"/>
      </w:tcPr>
    </w:tblStylePr>
    <w:tblStylePr w:type="lastCol">
      <w:tblPr/>
      <w:tcPr>
        <w:tcBorders>
          <w:top w:val="nil"/>
          <w:left w:val="single" w:sz="18" w:space="0" w:color="FFFFFF"/>
          <w:bottom w:val="nil"/>
          <w:right w:val="nil"/>
          <w:insideH w:val="nil"/>
          <w:insideV w:val="nil"/>
        </w:tcBorders>
        <w:shd w:val="clear" w:color="auto" w:fill="31859C"/>
      </w:tcPr>
    </w:tblStylePr>
    <w:tblStylePr w:type="band1Vert">
      <w:tblPr/>
      <w:tcPr>
        <w:tcBorders>
          <w:top w:val="nil"/>
          <w:left w:val="nil"/>
          <w:bottom w:val="nil"/>
          <w:right w:val="nil"/>
          <w:insideH w:val="nil"/>
          <w:insideV w:val="nil"/>
        </w:tcBorders>
        <w:shd w:val="clear" w:color="auto" w:fill="31859C"/>
      </w:tcPr>
    </w:tblStylePr>
    <w:tblStylePr w:type="band1Horz">
      <w:tblPr/>
      <w:tcPr>
        <w:tcBorders>
          <w:top w:val="nil"/>
          <w:left w:val="nil"/>
          <w:bottom w:val="nil"/>
          <w:right w:val="nil"/>
          <w:insideH w:val="nil"/>
          <w:insideV w:val="nil"/>
        </w:tcBorders>
        <w:shd w:val="clear" w:color="auto" w:fill="31859C"/>
      </w:tcPr>
    </w:tblStylePr>
  </w:style>
  <w:style w:type="table" w:styleId="DarkList-Accent6">
    <w:name w:val="Dark List Accent 6"/>
    <w:basedOn w:val="TableNormal"/>
    <w:uiPriority w:val="70"/>
    <w:semiHidden/>
    <w:rsid w:val="003F45D9"/>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84807"/>
      </w:tcPr>
    </w:tblStylePr>
    <w:tblStylePr w:type="firstCol">
      <w:tblPr/>
      <w:tcPr>
        <w:tcBorders>
          <w:top w:val="nil"/>
          <w:left w:val="nil"/>
          <w:bottom w:val="nil"/>
          <w:right w:val="single" w:sz="18" w:space="0" w:color="FFFFFF"/>
          <w:insideH w:val="nil"/>
          <w:insideV w:val="nil"/>
        </w:tcBorders>
        <w:shd w:val="clear" w:color="auto" w:fill="E46C0A"/>
      </w:tcPr>
    </w:tblStylePr>
    <w:tblStylePr w:type="lastCol">
      <w:tblPr/>
      <w:tcPr>
        <w:tcBorders>
          <w:top w:val="nil"/>
          <w:left w:val="single" w:sz="18" w:space="0" w:color="FFFFFF"/>
          <w:bottom w:val="nil"/>
          <w:right w:val="nil"/>
          <w:insideH w:val="nil"/>
          <w:insideV w:val="nil"/>
        </w:tcBorders>
        <w:shd w:val="clear" w:color="auto" w:fill="E46C0A"/>
      </w:tcPr>
    </w:tblStylePr>
    <w:tblStylePr w:type="band1Vert">
      <w:tblPr/>
      <w:tcPr>
        <w:tcBorders>
          <w:top w:val="nil"/>
          <w:left w:val="nil"/>
          <w:bottom w:val="nil"/>
          <w:right w:val="nil"/>
          <w:insideH w:val="nil"/>
          <w:insideV w:val="nil"/>
        </w:tcBorders>
        <w:shd w:val="clear" w:color="auto" w:fill="E46C0A"/>
      </w:tcPr>
    </w:tblStylePr>
    <w:tblStylePr w:type="band1Horz">
      <w:tblPr/>
      <w:tcPr>
        <w:tcBorders>
          <w:top w:val="nil"/>
          <w:left w:val="nil"/>
          <w:bottom w:val="nil"/>
          <w:right w:val="nil"/>
          <w:insideH w:val="nil"/>
          <w:insideV w:val="nil"/>
        </w:tcBorders>
        <w:shd w:val="clear" w:color="auto" w:fill="E46C0A"/>
      </w:tcPr>
    </w:tblStylePr>
  </w:style>
  <w:style w:type="table" w:styleId="LightGrid">
    <w:name w:val="Light Grid"/>
    <w:basedOn w:val="TableNormal"/>
    <w:uiPriority w:val="62"/>
    <w:semiHidden/>
    <w:rsid w:val="003F45D9"/>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BFBFBF"/>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BFBFBF"/>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semiHidden/>
    <w:rsid w:val="003F45D9"/>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E0EF"/>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E0EF"/>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semiHidden/>
    <w:rsid w:val="003F45D9"/>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3"/>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3"/>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semiHidden/>
    <w:rsid w:val="003F45D9"/>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6"/>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6"/>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semiHidden/>
    <w:rsid w:val="003F45D9"/>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semiHidden/>
    <w:rsid w:val="003F45D9"/>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semiHidden/>
    <w:rsid w:val="003F45D9"/>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5D1"/>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5D1"/>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semiHidden/>
    <w:rsid w:val="003F45D9"/>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semiHidden/>
    <w:rsid w:val="003F45D9"/>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semiHidden/>
    <w:rsid w:val="003F45D9"/>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semiHidden/>
    <w:rsid w:val="003F45D9"/>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semiHidden/>
    <w:rsid w:val="003F45D9"/>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semiHidden/>
    <w:rsid w:val="003F45D9"/>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semiHidden/>
    <w:rsid w:val="003F45D9"/>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Accent2">
    <w:name w:val="Light Shading Accent 2"/>
    <w:basedOn w:val="TableNormal"/>
    <w:uiPriority w:val="60"/>
    <w:semiHidden/>
    <w:rsid w:val="003F45D9"/>
    <w:rPr>
      <w:color w:val="953735"/>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styleId="LightShading-Accent3">
    <w:name w:val="Light Shading Accent 3"/>
    <w:basedOn w:val="TableNormal"/>
    <w:uiPriority w:val="60"/>
    <w:semiHidden/>
    <w:rsid w:val="003F45D9"/>
    <w:rPr>
      <w:color w:val="7793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6"/>
      </w:tcPr>
    </w:tblStylePr>
    <w:tblStylePr w:type="band1Horz">
      <w:tblPr/>
      <w:tcPr>
        <w:tcBorders>
          <w:left w:val="nil"/>
          <w:right w:val="nil"/>
          <w:insideH w:val="nil"/>
          <w:insideV w:val="nil"/>
        </w:tcBorders>
        <w:shd w:val="clear" w:color="auto" w:fill="E6EED6"/>
      </w:tcPr>
    </w:tblStylePr>
  </w:style>
  <w:style w:type="table" w:styleId="LightShading-Accent4">
    <w:name w:val="Light Shading Accent 4"/>
    <w:basedOn w:val="TableNormal"/>
    <w:uiPriority w:val="60"/>
    <w:semiHidden/>
    <w:rsid w:val="003F45D9"/>
    <w:rPr>
      <w:color w:val="604A7B"/>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semiHidden/>
    <w:rsid w:val="003F45D9"/>
    <w:rPr>
      <w:color w:val="31859C"/>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semiHidden/>
    <w:rsid w:val="003F45D9"/>
    <w:rPr>
      <w:color w:val="E4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5D1"/>
      </w:tcPr>
    </w:tblStylePr>
    <w:tblStylePr w:type="band1Horz">
      <w:tblPr/>
      <w:tcPr>
        <w:tcBorders>
          <w:left w:val="nil"/>
          <w:right w:val="nil"/>
          <w:insideH w:val="nil"/>
          <w:insideV w:val="nil"/>
        </w:tcBorders>
        <w:shd w:val="clear" w:color="auto" w:fill="FDE5D1"/>
      </w:tcPr>
    </w:tblStylePr>
  </w:style>
  <w:style w:type="table" w:styleId="MediumGrid1">
    <w:name w:val="Medium Grid 1"/>
    <w:basedOn w:val="TableNormal"/>
    <w:uiPriority w:val="67"/>
    <w:semiHidden/>
    <w:rsid w:val="003F45D9"/>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BFBFBF"/>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semiHidden/>
    <w:rsid w:val="003F45D9"/>
    <w:tblPr>
      <w:tblStyleRowBandSize w:val="1"/>
      <w:tblStyleColBandSize w:val="1"/>
      <w:tblBorders>
        <w:top w:val="single" w:sz="8" w:space="0" w:color="7BA1CE"/>
        <w:left w:val="single" w:sz="8" w:space="0" w:color="7BA1CE"/>
        <w:bottom w:val="single" w:sz="8" w:space="0" w:color="7BA1CE"/>
        <w:right w:val="single" w:sz="8" w:space="0" w:color="7BA1CE"/>
        <w:insideH w:val="single" w:sz="8" w:space="0" w:color="7BA1CE"/>
        <w:insideV w:val="single" w:sz="8" w:space="0" w:color="7BA1CE"/>
      </w:tblBorders>
    </w:tblPr>
    <w:tcPr>
      <w:shd w:val="clear" w:color="auto" w:fill="D3E0EF"/>
    </w:tcPr>
    <w:tblStylePr w:type="firstRow">
      <w:rPr>
        <w:b/>
        <w:bCs/>
      </w:rPr>
    </w:tblStylePr>
    <w:tblStylePr w:type="lastRow">
      <w:rPr>
        <w:b/>
        <w:bCs/>
      </w:rPr>
      <w:tblPr/>
      <w:tcPr>
        <w:tcBorders>
          <w:top w:val="single" w:sz="18" w:space="0" w:color="7BA1CE"/>
        </w:tcBorders>
      </w:tcPr>
    </w:tblStylePr>
    <w:tblStylePr w:type="firstCol">
      <w:rPr>
        <w:b/>
        <w:bCs/>
      </w:rPr>
    </w:tblStylePr>
    <w:tblStylePr w:type="lastCol">
      <w:rPr>
        <w:b/>
        <w:bCs/>
      </w:rPr>
    </w:tblStylePr>
    <w:tblStylePr w:type="band1Vert">
      <w:tblPr/>
      <w:tcPr>
        <w:shd w:val="clear" w:color="auto" w:fill="A7C0DE"/>
      </w:tcPr>
    </w:tblStylePr>
    <w:tblStylePr w:type="band1Horz">
      <w:tblPr/>
      <w:tcPr>
        <w:shd w:val="clear" w:color="auto" w:fill="A7C0DE"/>
      </w:tcPr>
    </w:tblStylePr>
  </w:style>
  <w:style w:type="table" w:styleId="MediumGrid1-Accent2">
    <w:name w:val="Medium Grid 1 Accent 2"/>
    <w:basedOn w:val="TableNormal"/>
    <w:uiPriority w:val="67"/>
    <w:semiHidden/>
    <w:rsid w:val="003F45D9"/>
    <w:tblPr>
      <w:tblStyleRowBandSize w:val="1"/>
      <w:tblStyleColBandSize w:val="1"/>
      <w:tblBorders>
        <w:top w:val="single" w:sz="8" w:space="0" w:color="D07C7A"/>
        <w:left w:val="single" w:sz="8" w:space="0" w:color="D07C7A"/>
        <w:bottom w:val="single" w:sz="8" w:space="0" w:color="D07C7A"/>
        <w:right w:val="single" w:sz="8" w:space="0" w:color="D07C7A"/>
        <w:insideH w:val="single" w:sz="8" w:space="0" w:color="D07C7A"/>
        <w:insideV w:val="single" w:sz="8" w:space="0" w:color="D07C7A"/>
      </w:tblBorders>
    </w:tblPr>
    <w:tcPr>
      <w:shd w:val="clear" w:color="auto" w:fill="EFD3D3"/>
    </w:tcPr>
    <w:tblStylePr w:type="firstRow">
      <w:rPr>
        <w:b/>
        <w:bCs/>
      </w:rPr>
    </w:tblStylePr>
    <w:tblStylePr w:type="lastRow">
      <w:rPr>
        <w:b/>
        <w:bCs/>
      </w:rPr>
      <w:tblPr/>
      <w:tcPr>
        <w:tcBorders>
          <w:top w:val="single" w:sz="18" w:space="0" w:color="D07C7A"/>
        </w:tcBorders>
      </w:tcPr>
    </w:tblStylePr>
    <w:tblStylePr w:type="firstCol">
      <w:rPr>
        <w:b/>
        <w:bCs/>
      </w:rPr>
    </w:tblStylePr>
    <w:tblStylePr w:type="lastCol">
      <w:rPr>
        <w:b/>
        <w:bCs/>
      </w:rPr>
    </w:tblStylePr>
    <w:tblStylePr w:type="band1Vert">
      <w:tblPr/>
      <w:tcPr>
        <w:shd w:val="clear" w:color="auto" w:fill="E0A8A6"/>
      </w:tcPr>
    </w:tblStylePr>
    <w:tblStylePr w:type="band1Horz">
      <w:tblPr/>
      <w:tcPr>
        <w:shd w:val="clear" w:color="auto" w:fill="E0A8A6"/>
      </w:tcPr>
    </w:tblStylePr>
  </w:style>
  <w:style w:type="table" w:styleId="MediumGrid1-Accent3">
    <w:name w:val="Medium Grid 1 Accent 3"/>
    <w:basedOn w:val="TableNormal"/>
    <w:uiPriority w:val="67"/>
    <w:semiHidden/>
    <w:rsid w:val="003F45D9"/>
    <w:tblPr>
      <w:tblStyleRowBandSize w:val="1"/>
      <w:tblStyleColBandSize w:val="1"/>
      <w:tblBorders>
        <w:top w:val="single" w:sz="8" w:space="0" w:color="B4CC83"/>
        <w:left w:val="single" w:sz="8" w:space="0" w:color="B4CC83"/>
        <w:bottom w:val="single" w:sz="8" w:space="0" w:color="B4CC83"/>
        <w:right w:val="single" w:sz="8" w:space="0" w:color="B4CC83"/>
        <w:insideH w:val="single" w:sz="8" w:space="0" w:color="B4CC83"/>
        <w:insideV w:val="single" w:sz="8" w:space="0" w:color="B4CC83"/>
      </w:tblBorders>
    </w:tblPr>
    <w:tcPr>
      <w:shd w:val="clear" w:color="auto" w:fill="E6EED6"/>
    </w:tcPr>
    <w:tblStylePr w:type="firstRow">
      <w:rPr>
        <w:b/>
        <w:bCs/>
      </w:rPr>
    </w:tblStylePr>
    <w:tblStylePr w:type="lastRow">
      <w:rPr>
        <w:b/>
        <w:bCs/>
      </w:rPr>
      <w:tblPr/>
      <w:tcPr>
        <w:tcBorders>
          <w:top w:val="single" w:sz="18" w:space="0" w:color="B4CC83"/>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semiHidden/>
    <w:rsid w:val="003F45D9"/>
    <w:tblPr>
      <w:tblStyleRowBandSize w:val="1"/>
      <w:tblStyleColBandSize w:val="1"/>
      <w:tblBorders>
        <w:top w:val="single" w:sz="8" w:space="0" w:color="A08BB9"/>
        <w:left w:val="single" w:sz="8" w:space="0" w:color="A08BB9"/>
        <w:bottom w:val="single" w:sz="8" w:space="0" w:color="A08BB9"/>
        <w:right w:val="single" w:sz="8" w:space="0" w:color="A08BB9"/>
        <w:insideH w:val="single" w:sz="8" w:space="0" w:color="A08BB9"/>
        <w:insideV w:val="single" w:sz="8" w:space="0" w:color="A08BB9"/>
      </w:tblBorders>
    </w:tblPr>
    <w:tcPr>
      <w:shd w:val="clear" w:color="auto" w:fill="DFD8E8"/>
    </w:tcPr>
    <w:tblStylePr w:type="firstRow">
      <w:rPr>
        <w:b/>
        <w:bCs/>
      </w:rPr>
    </w:tblStylePr>
    <w:tblStylePr w:type="lastRow">
      <w:rPr>
        <w:b/>
        <w:bCs/>
      </w:rPr>
      <w:tblPr/>
      <w:tcPr>
        <w:tcBorders>
          <w:top w:val="single" w:sz="18" w:space="0" w:color="A08BB9"/>
        </w:tcBorders>
      </w:tcPr>
    </w:tblStylePr>
    <w:tblStylePr w:type="firstCol">
      <w:rPr>
        <w:b/>
        <w:bCs/>
      </w:rPr>
    </w:tblStylePr>
    <w:tblStylePr w:type="lastCol">
      <w:rPr>
        <w:b/>
        <w:bCs/>
      </w:rPr>
    </w:tblStylePr>
    <w:tblStylePr w:type="band1Vert">
      <w:tblPr/>
      <w:tcPr>
        <w:shd w:val="clear" w:color="auto" w:fill="C0B2D1"/>
      </w:tcPr>
    </w:tblStylePr>
    <w:tblStylePr w:type="band1Horz">
      <w:tblPr/>
      <w:tcPr>
        <w:shd w:val="clear" w:color="auto" w:fill="C0B2D1"/>
      </w:tcPr>
    </w:tblStylePr>
  </w:style>
  <w:style w:type="table" w:styleId="MediumGrid1-Accent5">
    <w:name w:val="Medium Grid 1 Accent 5"/>
    <w:basedOn w:val="TableNormal"/>
    <w:uiPriority w:val="67"/>
    <w:semiHidden/>
    <w:rsid w:val="003F45D9"/>
    <w:tblPr>
      <w:tblStyleRowBandSize w:val="1"/>
      <w:tblStyleColBandSize w:val="1"/>
      <w:tblBorders>
        <w:top w:val="single" w:sz="8" w:space="0" w:color="78C1D4"/>
        <w:left w:val="single" w:sz="8" w:space="0" w:color="78C1D4"/>
        <w:bottom w:val="single" w:sz="8" w:space="0" w:color="78C1D4"/>
        <w:right w:val="single" w:sz="8" w:space="0" w:color="78C1D4"/>
        <w:insideH w:val="single" w:sz="8" w:space="0" w:color="78C1D4"/>
        <w:insideV w:val="single" w:sz="8" w:space="0" w:color="78C1D4"/>
      </w:tblBorders>
    </w:tblPr>
    <w:tcPr>
      <w:shd w:val="clear" w:color="auto" w:fill="D2EAF1"/>
    </w:tcPr>
    <w:tblStylePr w:type="firstRow">
      <w:rPr>
        <w:b/>
        <w:bCs/>
      </w:rPr>
    </w:tblStylePr>
    <w:tblStylePr w:type="lastRow">
      <w:rPr>
        <w:b/>
        <w:bCs/>
      </w:rPr>
      <w:tblPr/>
      <w:tcPr>
        <w:tcBorders>
          <w:top w:val="single" w:sz="18" w:space="0" w:color="78C1D4"/>
        </w:tcBorders>
      </w:tcPr>
    </w:tblStylePr>
    <w:tblStylePr w:type="firstCol">
      <w:rPr>
        <w:b/>
        <w:bCs/>
      </w:rPr>
    </w:tblStylePr>
    <w:tblStylePr w:type="lastCol">
      <w:rPr>
        <w:b/>
        <w:bCs/>
      </w:rPr>
    </w:tblStylePr>
    <w:tblStylePr w:type="band1Vert">
      <w:tblPr/>
      <w:tcPr>
        <w:shd w:val="clear" w:color="auto" w:fill="A5D6E3"/>
      </w:tcPr>
    </w:tblStylePr>
    <w:tblStylePr w:type="band1Horz">
      <w:tblPr/>
      <w:tcPr>
        <w:shd w:val="clear" w:color="auto" w:fill="A5D6E3"/>
      </w:tcPr>
    </w:tblStylePr>
  </w:style>
  <w:style w:type="table" w:styleId="MediumGrid1-Accent6">
    <w:name w:val="Medium Grid 1 Accent 6"/>
    <w:basedOn w:val="TableNormal"/>
    <w:uiPriority w:val="67"/>
    <w:semiHidden/>
    <w:rsid w:val="003F45D9"/>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5D1"/>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BA3"/>
      </w:tcPr>
    </w:tblStylePr>
    <w:tblStylePr w:type="band1Horz">
      <w:tblPr/>
      <w:tcPr>
        <w:shd w:val="clear" w:color="auto" w:fill="FBCBA3"/>
      </w:tcPr>
    </w:tblStylePr>
  </w:style>
  <w:style w:type="table" w:styleId="MediumGrid2">
    <w:name w:val="Medium Grid 2"/>
    <w:basedOn w:val="TableNormal"/>
    <w:uiPriority w:val="68"/>
    <w:semiHidden/>
    <w:rsid w:val="003F45D9"/>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BFBFBF"/>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semiHidden/>
    <w:rsid w:val="003F45D9"/>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E0EF"/>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CE6F2"/>
      </w:tcPr>
    </w:tblStylePr>
    <w:tblStylePr w:type="band1Vert">
      <w:tblPr/>
      <w:tcPr>
        <w:shd w:val="clear" w:color="auto" w:fill="A7C0DE"/>
      </w:tcPr>
    </w:tblStylePr>
    <w:tblStylePr w:type="band1Horz">
      <w:tblPr/>
      <w:tcPr>
        <w:tcBorders>
          <w:insideH w:val="single" w:sz="6" w:space="0" w:color="4F81BD"/>
          <w:insideV w:val="single" w:sz="6" w:space="0" w:color="4F81BD"/>
        </w:tcBorders>
        <w:shd w:val="clear" w:color="auto" w:fill="A7C0DE"/>
      </w:tcPr>
    </w:tblStylePr>
    <w:tblStylePr w:type="nwCell">
      <w:tblPr/>
      <w:tcPr>
        <w:shd w:val="clear" w:color="auto" w:fill="FFFFFF"/>
      </w:tcPr>
    </w:tblStylePr>
  </w:style>
  <w:style w:type="table" w:styleId="MediumGrid2-Accent2">
    <w:name w:val="Medium Grid 2 Accent 2"/>
    <w:basedOn w:val="TableNormal"/>
    <w:uiPriority w:val="68"/>
    <w:semiHidden/>
    <w:rsid w:val="003F45D9"/>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3"/>
    </w:tcPr>
    <w:tblStylePr w:type="firstRow">
      <w:rPr>
        <w:b/>
        <w:bCs/>
        <w:color w:val="000000"/>
      </w:rPr>
      <w:tblPr/>
      <w:tcPr>
        <w:shd w:val="clear" w:color="auto" w:fill="F9EE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CDB"/>
      </w:tcPr>
    </w:tblStylePr>
    <w:tblStylePr w:type="band1Vert">
      <w:tblPr/>
      <w:tcPr>
        <w:shd w:val="clear" w:color="auto" w:fill="E0A8A6"/>
      </w:tcPr>
    </w:tblStylePr>
    <w:tblStylePr w:type="band1Horz">
      <w:tblPr/>
      <w:tcPr>
        <w:tcBorders>
          <w:insideH w:val="single" w:sz="6" w:space="0" w:color="C0504D"/>
          <w:insideV w:val="single" w:sz="6" w:space="0" w:color="C0504D"/>
        </w:tcBorders>
        <w:shd w:val="clear" w:color="auto" w:fill="E0A8A6"/>
      </w:tcPr>
    </w:tblStylePr>
    <w:tblStylePr w:type="nwCell">
      <w:tblPr/>
      <w:tcPr>
        <w:shd w:val="clear" w:color="auto" w:fill="FFFFFF"/>
      </w:tcPr>
    </w:tblStylePr>
  </w:style>
  <w:style w:type="table" w:styleId="MediumGrid2-Accent3">
    <w:name w:val="Medium Grid 2 Accent 3"/>
    <w:basedOn w:val="TableNormal"/>
    <w:uiPriority w:val="68"/>
    <w:semiHidden/>
    <w:rsid w:val="003F45D9"/>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6"/>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BF1DE"/>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semiHidden/>
    <w:rsid w:val="003F45D9"/>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F0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6E0EC"/>
      </w:tcPr>
    </w:tblStylePr>
    <w:tblStylePr w:type="band1Vert">
      <w:tblPr/>
      <w:tcPr>
        <w:shd w:val="clear" w:color="auto" w:fill="C0B2D1"/>
      </w:tcPr>
    </w:tblStylePr>
    <w:tblStylePr w:type="band1Horz">
      <w:tblPr/>
      <w:tcPr>
        <w:tcBorders>
          <w:insideH w:val="single" w:sz="6" w:space="0" w:color="8064A2"/>
          <w:insideV w:val="single" w:sz="6" w:space="0" w:color="8064A2"/>
        </w:tcBorders>
        <w:shd w:val="clear" w:color="auto" w:fill="C0B2D1"/>
      </w:tcPr>
    </w:tblStylePr>
    <w:tblStylePr w:type="nwCell">
      <w:tblPr/>
      <w:tcPr>
        <w:shd w:val="clear" w:color="auto" w:fill="FFFFFF"/>
      </w:tcPr>
    </w:tblStylePr>
  </w:style>
  <w:style w:type="table" w:styleId="MediumGrid2-Accent5">
    <w:name w:val="Medium Grid 2 Accent 5"/>
    <w:basedOn w:val="TableNormal"/>
    <w:uiPriority w:val="68"/>
    <w:semiHidden/>
    <w:rsid w:val="003F45D9"/>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7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EF4"/>
      </w:tcPr>
    </w:tblStylePr>
    <w:tblStylePr w:type="band1Vert">
      <w:tblPr/>
      <w:tcPr>
        <w:shd w:val="clear" w:color="auto" w:fill="A5D6E3"/>
      </w:tcPr>
    </w:tblStylePr>
    <w:tblStylePr w:type="band1Horz">
      <w:tblPr/>
      <w:tcPr>
        <w:tcBorders>
          <w:insideH w:val="single" w:sz="6" w:space="0" w:color="4BACC6"/>
          <w:insideV w:val="single" w:sz="6" w:space="0" w:color="4BACC6"/>
        </w:tcBorders>
        <w:shd w:val="clear" w:color="auto" w:fill="A5D6E3"/>
      </w:tcPr>
    </w:tblStylePr>
    <w:tblStylePr w:type="nwCell">
      <w:tblPr/>
      <w:tcPr>
        <w:shd w:val="clear" w:color="auto" w:fill="FFFFFF"/>
      </w:tcPr>
    </w:tblStylePr>
  </w:style>
  <w:style w:type="table" w:styleId="MediumGrid2-Accent6">
    <w:name w:val="Medium Grid 2 Accent 6"/>
    <w:basedOn w:val="TableNormal"/>
    <w:uiPriority w:val="68"/>
    <w:semiHidden/>
    <w:rsid w:val="003F45D9"/>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5D1"/>
    </w:tcPr>
    <w:tblStylePr w:type="firstRow">
      <w:rPr>
        <w:b/>
        <w:bCs/>
        <w:color w:val="000000"/>
      </w:rPr>
      <w:tblPr/>
      <w:tcPr>
        <w:shd w:val="clear" w:color="auto" w:fill="FEF5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ADA"/>
      </w:tcPr>
    </w:tblStylePr>
    <w:tblStylePr w:type="band1Vert">
      <w:tblPr/>
      <w:tcPr>
        <w:shd w:val="clear" w:color="auto" w:fill="FBCBA3"/>
      </w:tcPr>
    </w:tblStylePr>
    <w:tblStylePr w:type="band1Horz">
      <w:tblPr/>
      <w:tcPr>
        <w:tcBorders>
          <w:insideH w:val="single" w:sz="6" w:space="0" w:color="F79646"/>
          <w:insideV w:val="single" w:sz="6" w:space="0" w:color="F79646"/>
        </w:tcBorders>
        <w:shd w:val="clear" w:color="auto" w:fill="FBCBA3"/>
      </w:tcPr>
    </w:tblStylePr>
    <w:tblStylePr w:type="nwCell">
      <w:tblPr/>
      <w:tcPr>
        <w:shd w:val="clear" w:color="auto" w:fill="FFFFFF"/>
      </w:tcPr>
    </w:tblStylePr>
  </w:style>
  <w:style w:type="table" w:styleId="MediumGrid3">
    <w:name w:val="Medium Grid 3"/>
    <w:basedOn w:val="TableNormal"/>
    <w:uiPriority w:val="69"/>
    <w:semiHidden/>
    <w:rsid w:val="003F45D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BFBFB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semiHidden/>
    <w:rsid w:val="003F45D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E0E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C0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C0DE"/>
      </w:tcPr>
    </w:tblStylePr>
  </w:style>
  <w:style w:type="table" w:styleId="MediumGrid3-Accent2">
    <w:name w:val="Medium Grid 3 Accent 2"/>
    <w:basedOn w:val="TableNormal"/>
    <w:uiPriority w:val="69"/>
    <w:semiHidden/>
    <w:rsid w:val="003F45D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3"/>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0A8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0A8A6"/>
      </w:tcPr>
    </w:tblStylePr>
  </w:style>
  <w:style w:type="table" w:styleId="MediumGrid3-Accent3">
    <w:name w:val="Medium Grid 3 Accent 3"/>
    <w:basedOn w:val="TableNormal"/>
    <w:uiPriority w:val="69"/>
    <w:semiHidden/>
    <w:rsid w:val="003F45D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semiHidden/>
    <w:rsid w:val="003F45D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0B2D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0B2D1"/>
      </w:tcPr>
    </w:tblStylePr>
  </w:style>
  <w:style w:type="table" w:styleId="MediumGrid3-Accent5">
    <w:name w:val="Medium Grid 3 Accent 5"/>
    <w:basedOn w:val="TableNormal"/>
    <w:uiPriority w:val="69"/>
    <w:semiHidden/>
    <w:rsid w:val="003F45D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6E3"/>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6E3"/>
      </w:tcPr>
    </w:tblStylePr>
  </w:style>
  <w:style w:type="table" w:styleId="MediumGrid3-Accent6">
    <w:name w:val="Medium Grid 3 Accent 6"/>
    <w:basedOn w:val="TableNormal"/>
    <w:uiPriority w:val="69"/>
    <w:semiHidden/>
    <w:rsid w:val="003F45D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5D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BA3"/>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BA3"/>
      </w:tcPr>
    </w:tblStylePr>
  </w:style>
  <w:style w:type="table" w:styleId="MediumList1">
    <w:name w:val="Medium List 1"/>
    <w:basedOn w:val="TableNormal"/>
    <w:uiPriority w:val="65"/>
    <w:semiHidden/>
    <w:rsid w:val="003F45D9"/>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BFBFBF"/>
      </w:tcPr>
    </w:tblStylePr>
    <w:tblStylePr w:type="band1Horz">
      <w:tblPr/>
      <w:tcPr>
        <w:shd w:val="clear" w:color="auto" w:fill="BFBFBF"/>
      </w:tcPr>
    </w:tblStylePr>
  </w:style>
  <w:style w:type="table" w:styleId="MediumList1-Accent1">
    <w:name w:val="Medium List 1 Accent 1"/>
    <w:basedOn w:val="TableNormal"/>
    <w:uiPriority w:val="65"/>
    <w:semiHidden/>
    <w:rsid w:val="003F45D9"/>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E0EF"/>
      </w:tcPr>
    </w:tblStylePr>
    <w:tblStylePr w:type="band1Horz">
      <w:tblPr/>
      <w:tcPr>
        <w:shd w:val="clear" w:color="auto" w:fill="D3E0EF"/>
      </w:tcPr>
    </w:tblStylePr>
  </w:style>
  <w:style w:type="table" w:styleId="MediumList1-Accent2">
    <w:name w:val="Medium List 1 Accent 2"/>
    <w:basedOn w:val="TableNormal"/>
    <w:uiPriority w:val="65"/>
    <w:semiHidden/>
    <w:rsid w:val="003F45D9"/>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3"/>
      </w:tcPr>
    </w:tblStylePr>
    <w:tblStylePr w:type="band1Horz">
      <w:tblPr/>
      <w:tcPr>
        <w:shd w:val="clear" w:color="auto" w:fill="EFD3D3"/>
      </w:tcPr>
    </w:tblStylePr>
  </w:style>
  <w:style w:type="table" w:styleId="MediumList1-Accent3">
    <w:name w:val="Medium List 1 Accent 3"/>
    <w:basedOn w:val="TableNormal"/>
    <w:uiPriority w:val="65"/>
    <w:semiHidden/>
    <w:rsid w:val="003F45D9"/>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6"/>
      </w:tcPr>
    </w:tblStylePr>
    <w:tblStylePr w:type="band1Horz">
      <w:tblPr/>
      <w:tcPr>
        <w:shd w:val="clear" w:color="auto" w:fill="E6EED6"/>
      </w:tcPr>
    </w:tblStylePr>
  </w:style>
  <w:style w:type="table" w:styleId="MediumList1-Accent4">
    <w:name w:val="Medium List 1 Accent 4"/>
    <w:basedOn w:val="TableNormal"/>
    <w:uiPriority w:val="65"/>
    <w:semiHidden/>
    <w:rsid w:val="003F45D9"/>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semiHidden/>
    <w:rsid w:val="003F45D9"/>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semiHidden/>
    <w:rsid w:val="003F45D9"/>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5D1"/>
      </w:tcPr>
    </w:tblStylePr>
    <w:tblStylePr w:type="band1Horz">
      <w:tblPr/>
      <w:tcPr>
        <w:shd w:val="clear" w:color="auto" w:fill="FDE5D1"/>
      </w:tcPr>
    </w:tblStylePr>
  </w:style>
  <w:style w:type="table" w:styleId="MediumList2">
    <w:name w:val="Medium List 2"/>
    <w:basedOn w:val="TableNormal"/>
    <w:uiPriority w:val="66"/>
    <w:semiHidden/>
    <w:rsid w:val="003F45D9"/>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BFBFBF"/>
      </w:tcPr>
    </w:tblStylePr>
    <w:tblStylePr w:type="band1Horz">
      <w:tblPr/>
      <w:tcPr>
        <w:tcBorders>
          <w:top w:val="nil"/>
          <w:bottom w:val="nil"/>
          <w:insideH w:val="nil"/>
          <w:insideV w:val="nil"/>
        </w:tcBorders>
        <w:shd w:val="clear" w:color="auto" w:fill="BFBFBF"/>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semiHidden/>
    <w:rsid w:val="003F45D9"/>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E0EF"/>
      </w:tcPr>
    </w:tblStylePr>
    <w:tblStylePr w:type="band1Horz">
      <w:tblPr/>
      <w:tcPr>
        <w:tcBorders>
          <w:top w:val="nil"/>
          <w:bottom w:val="nil"/>
          <w:insideH w:val="nil"/>
          <w:insideV w:val="nil"/>
        </w:tcBorders>
        <w:shd w:val="clear" w:color="auto" w:fill="D3E0EF"/>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semiHidden/>
    <w:rsid w:val="003F45D9"/>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3"/>
      </w:tcPr>
    </w:tblStylePr>
    <w:tblStylePr w:type="band1Horz">
      <w:tblPr/>
      <w:tcPr>
        <w:tcBorders>
          <w:top w:val="nil"/>
          <w:bottom w:val="nil"/>
          <w:insideH w:val="nil"/>
          <w:insideV w:val="nil"/>
        </w:tcBorders>
        <w:shd w:val="clear" w:color="auto" w:fill="EFD3D3"/>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semiHidden/>
    <w:rsid w:val="003F45D9"/>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6"/>
      </w:tcPr>
    </w:tblStylePr>
    <w:tblStylePr w:type="band1Horz">
      <w:tblPr/>
      <w:tcPr>
        <w:tcBorders>
          <w:top w:val="nil"/>
          <w:bottom w:val="nil"/>
          <w:insideH w:val="nil"/>
          <w:insideV w:val="nil"/>
        </w:tcBorders>
        <w:shd w:val="clear" w:color="auto" w:fill="E6EED6"/>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semiHidden/>
    <w:rsid w:val="003F45D9"/>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semiHidden/>
    <w:rsid w:val="003F45D9"/>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semiHidden/>
    <w:rsid w:val="003F45D9"/>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5D1"/>
      </w:tcPr>
    </w:tblStylePr>
    <w:tblStylePr w:type="band1Horz">
      <w:tblPr/>
      <w:tcPr>
        <w:tcBorders>
          <w:top w:val="nil"/>
          <w:bottom w:val="nil"/>
          <w:insideH w:val="nil"/>
          <w:insideV w:val="nil"/>
        </w:tcBorders>
        <w:shd w:val="clear" w:color="auto" w:fill="FDE5D1"/>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semiHidden/>
    <w:rsid w:val="003F45D9"/>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BFBFBF"/>
      </w:tcPr>
    </w:tblStylePr>
    <w:tblStylePr w:type="band1Horz">
      <w:tblPr/>
      <w:tcPr>
        <w:tcBorders>
          <w:insideH w:val="nil"/>
          <w:insideV w:val="nil"/>
        </w:tcBorders>
        <w:shd w:val="clear" w:color="auto" w:fill="BFBFB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3F45D9"/>
    <w:tblPr>
      <w:tblStyleRowBandSize w:val="1"/>
      <w:tblStyleColBandSize w:val="1"/>
      <w:tblBorders>
        <w:top w:val="single" w:sz="8" w:space="0" w:color="7BA1CE"/>
        <w:left w:val="single" w:sz="8" w:space="0" w:color="7BA1CE"/>
        <w:bottom w:val="single" w:sz="8" w:space="0" w:color="7BA1CE"/>
        <w:right w:val="single" w:sz="8" w:space="0" w:color="7BA1CE"/>
        <w:insideH w:val="single" w:sz="8" w:space="0" w:color="7BA1CE"/>
      </w:tblBorders>
    </w:tblPr>
    <w:tblStylePr w:type="firstRow">
      <w:pPr>
        <w:spacing w:before="0" w:after="0" w:line="240" w:lineRule="auto"/>
      </w:pPr>
      <w:rPr>
        <w:b/>
        <w:bCs/>
        <w:color w:val="FFFFFF"/>
      </w:rPr>
      <w:tblPr/>
      <w:tcPr>
        <w:tcBorders>
          <w:top w:val="single" w:sz="8" w:space="0" w:color="7BA1CE"/>
          <w:left w:val="single" w:sz="8" w:space="0" w:color="7BA1CE"/>
          <w:bottom w:val="single" w:sz="8" w:space="0" w:color="7BA1CE"/>
          <w:right w:val="single" w:sz="8" w:space="0" w:color="7BA1CE"/>
          <w:insideH w:val="nil"/>
          <w:insideV w:val="nil"/>
        </w:tcBorders>
        <w:shd w:val="clear" w:color="auto" w:fill="4F81BD"/>
      </w:tcPr>
    </w:tblStylePr>
    <w:tblStylePr w:type="lastRow">
      <w:pPr>
        <w:spacing w:before="0" w:after="0" w:line="240" w:lineRule="auto"/>
      </w:pPr>
      <w:rPr>
        <w:b/>
        <w:bCs/>
      </w:rPr>
      <w:tblPr/>
      <w:tcPr>
        <w:tcBorders>
          <w:top w:val="double" w:sz="6" w:space="0" w:color="7BA1CE"/>
          <w:left w:val="single" w:sz="8" w:space="0" w:color="7BA1CE"/>
          <w:bottom w:val="single" w:sz="8" w:space="0" w:color="7BA1CE"/>
          <w:right w:val="single" w:sz="8" w:space="0" w:color="7BA1CE"/>
          <w:insideH w:val="nil"/>
          <w:insideV w:val="nil"/>
        </w:tcBorders>
      </w:tcPr>
    </w:tblStylePr>
    <w:tblStylePr w:type="firstCol">
      <w:rPr>
        <w:b/>
        <w:bCs/>
      </w:rPr>
    </w:tblStylePr>
    <w:tblStylePr w:type="lastCol">
      <w:rPr>
        <w:b/>
        <w:bCs/>
      </w:rPr>
    </w:tblStylePr>
    <w:tblStylePr w:type="band1Vert">
      <w:tblPr/>
      <w:tcPr>
        <w:shd w:val="clear" w:color="auto" w:fill="D3E0EF"/>
      </w:tcPr>
    </w:tblStylePr>
    <w:tblStylePr w:type="band1Horz">
      <w:tblPr/>
      <w:tcPr>
        <w:tcBorders>
          <w:insideH w:val="nil"/>
          <w:insideV w:val="nil"/>
        </w:tcBorders>
        <w:shd w:val="clear" w:color="auto" w:fill="D3E0E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3F45D9"/>
    <w:tblPr>
      <w:tblStyleRowBandSize w:val="1"/>
      <w:tblStyleColBandSize w:val="1"/>
      <w:tblBorders>
        <w:top w:val="single" w:sz="8" w:space="0" w:color="D07C7A"/>
        <w:left w:val="single" w:sz="8" w:space="0" w:color="D07C7A"/>
        <w:bottom w:val="single" w:sz="8" w:space="0" w:color="D07C7A"/>
        <w:right w:val="single" w:sz="8" w:space="0" w:color="D07C7A"/>
        <w:insideH w:val="single" w:sz="8" w:space="0" w:color="D07C7A"/>
      </w:tblBorders>
    </w:tblPr>
    <w:tblStylePr w:type="firstRow">
      <w:pPr>
        <w:spacing w:before="0" w:after="0" w:line="240" w:lineRule="auto"/>
      </w:pPr>
      <w:rPr>
        <w:b/>
        <w:bCs/>
        <w:color w:val="FFFFFF"/>
      </w:rPr>
      <w:tblPr/>
      <w:tcPr>
        <w:tcBorders>
          <w:top w:val="single" w:sz="8" w:space="0" w:color="D07C7A"/>
          <w:left w:val="single" w:sz="8" w:space="0" w:color="D07C7A"/>
          <w:bottom w:val="single" w:sz="8" w:space="0" w:color="D07C7A"/>
          <w:right w:val="single" w:sz="8" w:space="0" w:color="D07C7A"/>
          <w:insideH w:val="nil"/>
          <w:insideV w:val="nil"/>
        </w:tcBorders>
        <w:shd w:val="clear" w:color="auto" w:fill="C0504D"/>
      </w:tcPr>
    </w:tblStylePr>
    <w:tblStylePr w:type="lastRow">
      <w:pPr>
        <w:spacing w:before="0" w:after="0" w:line="240" w:lineRule="auto"/>
      </w:pPr>
      <w:rPr>
        <w:b/>
        <w:bCs/>
      </w:rPr>
      <w:tblPr/>
      <w:tcPr>
        <w:tcBorders>
          <w:top w:val="double" w:sz="6" w:space="0" w:color="D07C7A"/>
          <w:left w:val="single" w:sz="8" w:space="0" w:color="D07C7A"/>
          <w:bottom w:val="single" w:sz="8" w:space="0" w:color="D07C7A"/>
          <w:right w:val="single" w:sz="8" w:space="0" w:color="D07C7A"/>
          <w:insideH w:val="nil"/>
          <w:insideV w:val="nil"/>
        </w:tcBorders>
      </w:tcPr>
    </w:tblStylePr>
    <w:tblStylePr w:type="firstCol">
      <w:rPr>
        <w:b/>
        <w:bCs/>
      </w:rPr>
    </w:tblStylePr>
    <w:tblStylePr w:type="lastCol">
      <w:rPr>
        <w:b/>
        <w:bCs/>
      </w:rPr>
    </w:tblStylePr>
    <w:tblStylePr w:type="band1Vert">
      <w:tblPr/>
      <w:tcPr>
        <w:shd w:val="clear" w:color="auto" w:fill="EFD3D3"/>
      </w:tcPr>
    </w:tblStylePr>
    <w:tblStylePr w:type="band1Horz">
      <w:tblPr/>
      <w:tcPr>
        <w:tcBorders>
          <w:insideH w:val="nil"/>
          <w:insideV w:val="nil"/>
        </w:tcBorders>
        <w:shd w:val="clear" w:color="auto" w:fill="EFD3D3"/>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3F45D9"/>
    <w:tblPr>
      <w:tblStyleRowBandSize w:val="1"/>
      <w:tblStyleColBandSize w:val="1"/>
      <w:tblBorders>
        <w:top w:val="single" w:sz="8" w:space="0" w:color="B4CC83"/>
        <w:left w:val="single" w:sz="8" w:space="0" w:color="B4CC83"/>
        <w:bottom w:val="single" w:sz="8" w:space="0" w:color="B4CC83"/>
        <w:right w:val="single" w:sz="8" w:space="0" w:color="B4CC83"/>
        <w:insideH w:val="single" w:sz="8" w:space="0" w:color="B4CC83"/>
      </w:tblBorders>
    </w:tblPr>
    <w:tblStylePr w:type="firstRow">
      <w:pPr>
        <w:spacing w:before="0" w:after="0" w:line="240" w:lineRule="auto"/>
      </w:pPr>
      <w:rPr>
        <w:b/>
        <w:bCs/>
        <w:color w:val="FFFFFF"/>
      </w:rPr>
      <w:tblPr/>
      <w:tcPr>
        <w:tcBorders>
          <w:top w:val="single" w:sz="8" w:space="0" w:color="B4CC83"/>
          <w:left w:val="single" w:sz="8" w:space="0" w:color="B4CC83"/>
          <w:bottom w:val="single" w:sz="8" w:space="0" w:color="B4CC83"/>
          <w:right w:val="single" w:sz="8" w:space="0" w:color="B4CC83"/>
          <w:insideH w:val="nil"/>
          <w:insideV w:val="nil"/>
        </w:tcBorders>
        <w:shd w:val="clear" w:color="auto" w:fill="9BBB59"/>
      </w:tcPr>
    </w:tblStylePr>
    <w:tblStylePr w:type="lastRow">
      <w:pPr>
        <w:spacing w:before="0" w:after="0" w:line="240" w:lineRule="auto"/>
      </w:pPr>
      <w:rPr>
        <w:b/>
        <w:bCs/>
      </w:rPr>
      <w:tblPr/>
      <w:tcPr>
        <w:tcBorders>
          <w:top w:val="double" w:sz="6" w:space="0" w:color="B4CC83"/>
          <w:left w:val="single" w:sz="8" w:space="0" w:color="B4CC83"/>
          <w:bottom w:val="single" w:sz="8" w:space="0" w:color="B4CC83"/>
          <w:right w:val="single" w:sz="8" w:space="0" w:color="B4CC83"/>
          <w:insideH w:val="nil"/>
          <w:insideV w:val="nil"/>
        </w:tcBorders>
      </w:tcPr>
    </w:tblStylePr>
    <w:tblStylePr w:type="firstCol">
      <w:rPr>
        <w:b/>
        <w:bCs/>
      </w:rPr>
    </w:tblStylePr>
    <w:tblStylePr w:type="lastCol">
      <w:rPr>
        <w:b/>
        <w:bCs/>
      </w:rPr>
    </w:tblStylePr>
    <w:tblStylePr w:type="band1Vert">
      <w:tblPr/>
      <w:tcPr>
        <w:shd w:val="clear" w:color="auto" w:fill="E6EED6"/>
      </w:tcPr>
    </w:tblStylePr>
    <w:tblStylePr w:type="band1Horz">
      <w:tblPr/>
      <w:tcPr>
        <w:tcBorders>
          <w:insideH w:val="nil"/>
          <w:insideV w:val="nil"/>
        </w:tcBorders>
        <w:shd w:val="clear" w:color="auto" w:fill="E6EED6"/>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3F45D9"/>
    <w:tblPr>
      <w:tblStyleRowBandSize w:val="1"/>
      <w:tblStyleColBandSize w:val="1"/>
      <w:tblBorders>
        <w:top w:val="single" w:sz="8" w:space="0" w:color="A08BB9"/>
        <w:left w:val="single" w:sz="8" w:space="0" w:color="A08BB9"/>
        <w:bottom w:val="single" w:sz="8" w:space="0" w:color="A08BB9"/>
        <w:right w:val="single" w:sz="8" w:space="0" w:color="A08BB9"/>
        <w:insideH w:val="single" w:sz="8" w:space="0" w:color="A08BB9"/>
      </w:tblBorders>
    </w:tblPr>
    <w:tblStylePr w:type="firstRow">
      <w:pPr>
        <w:spacing w:before="0" w:after="0" w:line="240" w:lineRule="auto"/>
      </w:pPr>
      <w:rPr>
        <w:b/>
        <w:bCs/>
        <w:color w:val="FFFFFF"/>
      </w:rPr>
      <w:tblPr/>
      <w:tcPr>
        <w:tcBorders>
          <w:top w:val="single" w:sz="8" w:space="0" w:color="A08BB9"/>
          <w:left w:val="single" w:sz="8" w:space="0" w:color="A08BB9"/>
          <w:bottom w:val="single" w:sz="8" w:space="0" w:color="A08BB9"/>
          <w:right w:val="single" w:sz="8" w:space="0" w:color="A08BB9"/>
          <w:insideH w:val="nil"/>
          <w:insideV w:val="nil"/>
        </w:tcBorders>
        <w:shd w:val="clear" w:color="auto" w:fill="8064A2"/>
      </w:tcPr>
    </w:tblStylePr>
    <w:tblStylePr w:type="lastRow">
      <w:pPr>
        <w:spacing w:before="0" w:after="0" w:line="240" w:lineRule="auto"/>
      </w:pPr>
      <w:rPr>
        <w:b/>
        <w:bCs/>
      </w:rPr>
      <w:tblPr/>
      <w:tcPr>
        <w:tcBorders>
          <w:top w:val="double" w:sz="6" w:space="0" w:color="A08BB9"/>
          <w:left w:val="single" w:sz="8" w:space="0" w:color="A08BB9"/>
          <w:bottom w:val="single" w:sz="8" w:space="0" w:color="A08BB9"/>
          <w:right w:val="single" w:sz="8" w:space="0" w:color="A08B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3F45D9"/>
    <w:tblPr>
      <w:tblStyleRowBandSize w:val="1"/>
      <w:tblStyleColBandSize w:val="1"/>
      <w:tblBorders>
        <w:top w:val="single" w:sz="8" w:space="0" w:color="78C1D4"/>
        <w:left w:val="single" w:sz="8" w:space="0" w:color="78C1D4"/>
        <w:bottom w:val="single" w:sz="8" w:space="0" w:color="78C1D4"/>
        <w:right w:val="single" w:sz="8" w:space="0" w:color="78C1D4"/>
        <w:insideH w:val="single" w:sz="8" w:space="0" w:color="78C1D4"/>
      </w:tblBorders>
    </w:tblPr>
    <w:tblStylePr w:type="firstRow">
      <w:pPr>
        <w:spacing w:before="0" w:after="0" w:line="240" w:lineRule="auto"/>
      </w:pPr>
      <w:rPr>
        <w:b/>
        <w:bCs/>
        <w:color w:val="FFFFFF"/>
      </w:rPr>
      <w:tblPr/>
      <w:tcPr>
        <w:tcBorders>
          <w:top w:val="single" w:sz="8" w:space="0" w:color="78C1D4"/>
          <w:left w:val="single" w:sz="8" w:space="0" w:color="78C1D4"/>
          <w:bottom w:val="single" w:sz="8" w:space="0" w:color="78C1D4"/>
          <w:right w:val="single" w:sz="8" w:space="0" w:color="78C1D4"/>
          <w:insideH w:val="nil"/>
          <w:insideV w:val="nil"/>
        </w:tcBorders>
        <w:shd w:val="clear" w:color="auto" w:fill="4BACC6"/>
      </w:tcPr>
    </w:tblStylePr>
    <w:tblStylePr w:type="lastRow">
      <w:pPr>
        <w:spacing w:before="0" w:after="0" w:line="240" w:lineRule="auto"/>
      </w:pPr>
      <w:rPr>
        <w:b/>
        <w:bCs/>
      </w:rPr>
      <w:tblPr/>
      <w:tcPr>
        <w:tcBorders>
          <w:top w:val="double" w:sz="6" w:space="0" w:color="78C1D4"/>
          <w:left w:val="single" w:sz="8" w:space="0" w:color="78C1D4"/>
          <w:bottom w:val="single" w:sz="8" w:space="0" w:color="78C1D4"/>
          <w:right w:val="single" w:sz="8" w:space="0" w:color="78C1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3F45D9"/>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5D1"/>
      </w:tcPr>
    </w:tblStylePr>
    <w:tblStylePr w:type="band1Horz">
      <w:tblPr/>
      <w:tcPr>
        <w:tcBorders>
          <w:insideH w:val="nil"/>
          <w:insideV w:val="nil"/>
        </w:tcBorders>
        <w:shd w:val="clear" w:color="auto" w:fill="FDE5D1"/>
      </w:tcPr>
    </w:tblStylePr>
    <w:tblStylePr w:type="band2Horz">
      <w:tblPr/>
      <w:tcPr>
        <w:tcBorders>
          <w:insideH w:val="nil"/>
          <w:insideV w:val="nil"/>
        </w:tcBorders>
      </w:tcPr>
    </w:tblStylePr>
  </w:style>
  <w:style w:type="table" w:styleId="MediumShading2">
    <w:name w:val="Medium Shading 2"/>
    <w:basedOn w:val="TableNormal"/>
    <w:uiPriority w:val="64"/>
    <w:semiHidden/>
    <w:rsid w:val="003F45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3F45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3F45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3F45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3F45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3F45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3F45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3F45D9"/>
    <w:pPr>
      <w:spacing w:before="80" w:after="80" w:line="240" w:lineRule="atLeast"/>
      <w:ind w:left="794"/>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F45D9"/>
    <w:pPr>
      <w:spacing w:before="80" w:after="80" w:line="240" w:lineRule="atLeast"/>
      <w:ind w:left="794"/>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F45D9"/>
    <w:pPr>
      <w:spacing w:before="80" w:after="80" w:line="240" w:lineRule="atLeast"/>
      <w:ind w:left="794"/>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F45D9"/>
    <w:pPr>
      <w:spacing w:before="80" w:after="80" w:line="240" w:lineRule="atLeast"/>
      <w:ind w:left="794"/>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F45D9"/>
    <w:pPr>
      <w:spacing w:before="80" w:after="80" w:line="240" w:lineRule="atLeast"/>
      <w:ind w:left="794"/>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F45D9"/>
    <w:pPr>
      <w:spacing w:before="80" w:after="80" w:line="240" w:lineRule="atLeast"/>
      <w:ind w:left="794"/>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F45D9"/>
    <w:pPr>
      <w:spacing w:before="80" w:after="80" w:line="240" w:lineRule="atLeast"/>
      <w:ind w:left="794"/>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F45D9"/>
    <w:pPr>
      <w:spacing w:before="80" w:after="80" w:line="240" w:lineRule="atLeast"/>
      <w:ind w:left="794"/>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F45D9"/>
    <w:pPr>
      <w:spacing w:before="80" w:after="80" w:line="240" w:lineRule="atLeast"/>
      <w:ind w:left="794"/>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F45D9"/>
    <w:pPr>
      <w:spacing w:before="80" w:after="80" w:line="240" w:lineRule="atLeast"/>
      <w:ind w:left="794"/>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F45D9"/>
    <w:pPr>
      <w:spacing w:before="80" w:after="80" w:line="240" w:lineRule="atLeast"/>
      <w:ind w:left="794"/>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F45D9"/>
    <w:pPr>
      <w:spacing w:before="80" w:after="80" w:line="240" w:lineRule="atLeast"/>
      <w:ind w:left="794"/>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F45D9"/>
    <w:pPr>
      <w:spacing w:before="80" w:after="80" w:line="240" w:lineRule="atLeast"/>
      <w:ind w:left="794"/>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F45D9"/>
    <w:pPr>
      <w:spacing w:before="80" w:after="80" w:line="240" w:lineRule="atLeast"/>
      <w:ind w:left="794"/>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F45D9"/>
    <w:pPr>
      <w:spacing w:before="80" w:after="80" w:line="240" w:lineRule="atLeast"/>
      <w:ind w:left="794"/>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F45D9"/>
    <w:pPr>
      <w:spacing w:before="80" w:after="80" w:line="240" w:lineRule="atLeast"/>
      <w:ind w:left="794"/>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F45D9"/>
    <w:pPr>
      <w:spacing w:before="80" w:after="80" w:line="240" w:lineRule="atLeast"/>
      <w:ind w:left="794"/>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F45D9"/>
    <w:pPr>
      <w:spacing w:before="80" w:after="80" w:line="240" w:lineRule="atLeast"/>
      <w:ind w:left="794"/>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F45D9"/>
    <w:pPr>
      <w:spacing w:before="80" w:after="80" w:line="240" w:lineRule="atLeast"/>
      <w:ind w:left="794"/>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F45D9"/>
    <w:pPr>
      <w:spacing w:before="80" w:after="80" w:line="240" w:lineRule="atLeast"/>
      <w:ind w:left="794"/>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F45D9"/>
    <w:pPr>
      <w:spacing w:before="80" w:after="80" w:line="240" w:lineRule="atLeast"/>
      <w:ind w:left="794"/>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F45D9"/>
    <w:pPr>
      <w:spacing w:before="80" w:after="80" w:line="240" w:lineRule="atLeast"/>
      <w:ind w:left="794"/>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F45D9"/>
    <w:pPr>
      <w:spacing w:before="80" w:after="80" w:line="240" w:lineRule="atLeast"/>
      <w:ind w:left="794"/>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3F45D9"/>
    <w:pPr>
      <w:spacing w:before="80" w:after="80" w:line="240" w:lineRule="atLeast"/>
      <w:ind w:left="794"/>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F45D9"/>
    <w:pPr>
      <w:spacing w:before="80" w:after="80" w:line="240" w:lineRule="atLeast"/>
      <w:ind w:left="794"/>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F45D9"/>
    <w:pPr>
      <w:spacing w:before="80" w:after="80" w:line="240" w:lineRule="atLeast"/>
      <w:ind w:left="794"/>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F45D9"/>
    <w:pPr>
      <w:spacing w:before="80" w:after="80" w:line="240" w:lineRule="atLeast"/>
      <w:ind w:left="794"/>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F45D9"/>
    <w:pPr>
      <w:spacing w:before="80" w:after="80" w:line="240" w:lineRule="atLeast"/>
      <w:ind w:left="794"/>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F45D9"/>
    <w:pPr>
      <w:spacing w:before="80" w:after="80" w:line="240" w:lineRule="atLeast"/>
      <w:ind w:left="794"/>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F45D9"/>
    <w:pPr>
      <w:spacing w:before="80" w:after="80" w:line="240" w:lineRule="atLeast"/>
      <w:ind w:left="794"/>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F45D9"/>
    <w:pPr>
      <w:spacing w:before="80" w:after="80" w:line="240" w:lineRule="atLeast"/>
      <w:ind w:left="794"/>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3F45D9"/>
    <w:pPr>
      <w:spacing w:before="80" w:after="80" w:line="240" w:lineRule="atLeast"/>
      <w:ind w:left="794"/>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F45D9"/>
    <w:pPr>
      <w:spacing w:before="80" w:after="80" w:line="240" w:lineRule="atLeast"/>
      <w:ind w:left="794"/>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F45D9"/>
    <w:pPr>
      <w:spacing w:before="80" w:after="80" w:line="240" w:lineRule="atLeast"/>
      <w:ind w:left="794"/>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F45D9"/>
    <w:pPr>
      <w:spacing w:before="80" w:after="80" w:line="240" w:lineRule="atLeast"/>
      <w:ind w:left="794"/>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F45D9"/>
    <w:pPr>
      <w:spacing w:before="80" w:after="80" w:line="240" w:lineRule="atLeast"/>
      <w:ind w:left="794"/>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F45D9"/>
    <w:pPr>
      <w:spacing w:before="80" w:after="80" w:line="240" w:lineRule="atLeast"/>
      <w:ind w:left="794"/>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F45D9"/>
    <w:pPr>
      <w:spacing w:before="80" w:after="80" w:line="240" w:lineRule="atLeast"/>
      <w:ind w:left="794"/>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F45D9"/>
    <w:pPr>
      <w:spacing w:before="80" w:after="80" w:line="240" w:lineRule="atLeast"/>
      <w:ind w:left="794"/>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F45D9"/>
    <w:pPr>
      <w:spacing w:before="80" w:after="80" w:line="240" w:lineRule="atLeast"/>
      <w:ind w:left="794"/>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F45D9"/>
    <w:pPr>
      <w:spacing w:before="80" w:after="80" w:line="240" w:lineRule="atLeast"/>
      <w:ind w:left="794"/>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Heading4NoNum">
    <w:name w:val="Heading 4 NoNum"/>
    <w:basedOn w:val="Heading4"/>
    <w:uiPriority w:val="4"/>
    <w:semiHidden/>
    <w:qFormat/>
    <w:rsid w:val="006C23AC"/>
    <w:pPr>
      <w:numPr>
        <w:ilvl w:val="0"/>
      </w:numPr>
    </w:pPr>
  </w:style>
  <w:style w:type="paragraph" w:customStyle="1" w:styleId="Num1">
    <w:name w:val="Num1"/>
    <w:basedOn w:val="Normal"/>
    <w:rsid w:val="00026C82"/>
    <w:pPr>
      <w:numPr>
        <w:numId w:val="11"/>
      </w:numPr>
    </w:pPr>
  </w:style>
  <w:style w:type="character" w:customStyle="1" w:styleId="FooterChar">
    <w:name w:val="Footer Char"/>
    <w:basedOn w:val="DefaultParagraphFont"/>
    <w:link w:val="Footer"/>
    <w:uiPriority w:val="99"/>
    <w:rsid w:val="004B0978"/>
    <w:rPr>
      <w:rFonts w:ascii="Calibri" w:hAnsi="Calibri" w:cs="Calibri"/>
      <w:noProof/>
      <w:szCs w:val="22"/>
    </w:rPr>
  </w:style>
  <w:style w:type="paragraph" w:customStyle="1" w:styleId="Num2">
    <w:name w:val="Num2"/>
    <w:basedOn w:val="Normal"/>
    <w:rsid w:val="00026C82"/>
    <w:pPr>
      <w:numPr>
        <w:ilvl w:val="1"/>
        <w:numId w:val="11"/>
      </w:numPr>
    </w:pPr>
  </w:style>
  <w:style w:type="paragraph" w:customStyle="1" w:styleId="Num3">
    <w:name w:val="Num3"/>
    <w:basedOn w:val="Normal"/>
    <w:rsid w:val="00026C82"/>
    <w:pPr>
      <w:numPr>
        <w:ilvl w:val="2"/>
        <w:numId w:val="11"/>
      </w:numPr>
    </w:pPr>
  </w:style>
  <w:style w:type="character" w:customStyle="1" w:styleId="SubtitleChar">
    <w:name w:val="Subtitle Char"/>
    <w:basedOn w:val="DefaultParagraphFont"/>
    <w:link w:val="Subtitle"/>
    <w:uiPriority w:val="29"/>
    <w:rsid w:val="007F1D17"/>
    <w:rPr>
      <w:rFonts w:ascii="Calibri" w:hAnsi="Calibri" w:cs="Calibri"/>
      <w:noProof/>
      <w:color w:val="4C4C4C"/>
      <w:sz w:val="32"/>
      <w:szCs w:val="24"/>
    </w:rPr>
  </w:style>
  <w:style w:type="paragraph" w:customStyle="1" w:styleId="TableBulletDash">
    <w:name w:val="Table Bullet Dash"/>
    <w:basedOn w:val="Normal"/>
    <w:uiPriority w:val="10"/>
    <w:rsid w:val="00304E7F"/>
    <w:pPr>
      <w:tabs>
        <w:tab w:val="num" w:pos="454"/>
      </w:tabs>
      <w:spacing w:before="0" w:after="0" w:line="240" w:lineRule="auto"/>
      <w:ind w:left="454" w:hanging="227"/>
    </w:pPr>
    <w:rPr>
      <w:sz w:val="20"/>
    </w:rPr>
  </w:style>
  <w:style w:type="paragraph" w:customStyle="1" w:styleId="NoteNormalshaded">
    <w:name w:val="Note Normal shaded"/>
    <w:basedOn w:val="NoteNormal"/>
    <w:qFormat/>
    <w:rsid w:val="00370867"/>
    <w:pPr>
      <w:shd w:val="clear" w:color="auto" w:fill="D9D9D9" w:themeFill="background1" w:themeFillShade="D9"/>
    </w:pPr>
    <w:rPr>
      <w:sz w:val="20"/>
    </w:rPr>
  </w:style>
  <w:style w:type="paragraph" w:customStyle="1" w:styleId="NoteNormalshadedbullet">
    <w:name w:val="Note Normal shaded bullet"/>
    <w:basedOn w:val="NoteNormalshaded"/>
    <w:qFormat/>
    <w:rsid w:val="00CD4CC5"/>
    <w:pPr>
      <w:numPr>
        <w:numId w:val="12"/>
      </w:numPr>
      <w:ind w:left="360"/>
    </w:pPr>
  </w:style>
  <w:style w:type="paragraph" w:customStyle="1" w:styleId="TableTextBold">
    <w:name w:val="Table Text Bold"/>
    <w:basedOn w:val="TableText"/>
    <w:qFormat/>
    <w:rsid w:val="00D465CB"/>
    <w:pPr>
      <w:spacing w:before="20" w:after="20"/>
    </w:pPr>
    <w:rPr>
      <w:b/>
      <w:sz w:val="18"/>
    </w:rPr>
  </w:style>
  <w:style w:type="paragraph" w:styleId="Revision">
    <w:name w:val="Revision"/>
    <w:hidden/>
    <w:uiPriority w:val="99"/>
    <w:semiHidden/>
    <w:rsid w:val="00CA3780"/>
    <w:rPr>
      <w:rFonts w:ascii="Calibri" w:hAnsi="Calibri" w:cs="Calibri"/>
      <w:sz w:val="22"/>
      <w:szCs w:val="22"/>
    </w:rPr>
  </w:style>
  <w:style w:type="character" w:customStyle="1" w:styleId="CommentTextChar">
    <w:name w:val="Comment Text Char"/>
    <w:basedOn w:val="DefaultParagraphFont"/>
    <w:link w:val="CommentText"/>
    <w:uiPriority w:val="99"/>
    <w:rsid w:val="009451FB"/>
    <w:rPr>
      <w:rFonts w:ascii="Calibri" w:hAnsi="Calibri" w:cs="Calibri"/>
      <w:sz w:val="22"/>
      <w:szCs w:val="22"/>
    </w:rPr>
  </w:style>
  <w:style w:type="character" w:styleId="UnresolvedMention">
    <w:name w:val="Unresolved Mention"/>
    <w:basedOn w:val="DefaultParagraphFont"/>
    <w:uiPriority w:val="99"/>
    <w:semiHidden/>
    <w:unhideWhenUsed/>
    <w:rsid w:val="00C705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9385440">
      <w:bodyDiv w:val="1"/>
      <w:marLeft w:val="0"/>
      <w:marRight w:val="0"/>
      <w:marTop w:val="0"/>
      <w:marBottom w:val="0"/>
      <w:divBdr>
        <w:top w:val="none" w:sz="0" w:space="0" w:color="auto"/>
        <w:left w:val="none" w:sz="0" w:space="0" w:color="auto"/>
        <w:bottom w:val="none" w:sz="0" w:space="0" w:color="auto"/>
        <w:right w:val="none" w:sz="0" w:space="0" w:color="auto"/>
      </w:divBdr>
    </w:div>
    <w:div w:id="312755280">
      <w:bodyDiv w:val="1"/>
      <w:marLeft w:val="0"/>
      <w:marRight w:val="0"/>
      <w:marTop w:val="0"/>
      <w:marBottom w:val="0"/>
      <w:divBdr>
        <w:top w:val="none" w:sz="0" w:space="0" w:color="auto"/>
        <w:left w:val="none" w:sz="0" w:space="0" w:color="auto"/>
        <w:bottom w:val="none" w:sz="0" w:space="0" w:color="auto"/>
        <w:right w:val="none" w:sz="0" w:space="0" w:color="auto"/>
      </w:divBdr>
    </w:div>
    <w:div w:id="540939723">
      <w:bodyDiv w:val="1"/>
      <w:marLeft w:val="0"/>
      <w:marRight w:val="0"/>
      <w:marTop w:val="0"/>
      <w:marBottom w:val="0"/>
      <w:divBdr>
        <w:top w:val="none" w:sz="0" w:space="0" w:color="auto"/>
        <w:left w:val="none" w:sz="0" w:space="0" w:color="auto"/>
        <w:bottom w:val="none" w:sz="0" w:space="0" w:color="auto"/>
        <w:right w:val="none" w:sz="0" w:space="0" w:color="auto"/>
      </w:divBdr>
    </w:div>
    <w:div w:id="544608219">
      <w:bodyDiv w:val="1"/>
      <w:marLeft w:val="0"/>
      <w:marRight w:val="0"/>
      <w:marTop w:val="0"/>
      <w:marBottom w:val="0"/>
      <w:divBdr>
        <w:top w:val="none" w:sz="0" w:space="0" w:color="auto"/>
        <w:left w:val="none" w:sz="0" w:space="0" w:color="auto"/>
        <w:bottom w:val="none" w:sz="0" w:space="0" w:color="auto"/>
        <w:right w:val="none" w:sz="0" w:space="0" w:color="auto"/>
      </w:divBdr>
    </w:div>
    <w:div w:id="751783484">
      <w:bodyDiv w:val="1"/>
      <w:marLeft w:val="0"/>
      <w:marRight w:val="0"/>
      <w:marTop w:val="0"/>
      <w:marBottom w:val="0"/>
      <w:divBdr>
        <w:top w:val="none" w:sz="0" w:space="0" w:color="auto"/>
        <w:left w:val="none" w:sz="0" w:space="0" w:color="auto"/>
        <w:bottom w:val="none" w:sz="0" w:space="0" w:color="auto"/>
        <w:right w:val="none" w:sz="0" w:space="0" w:color="auto"/>
      </w:divBdr>
    </w:div>
    <w:div w:id="808983642">
      <w:bodyDiv w:val="1"/>
      <w:marLeft w:val="0"/>
      <w:marRight w:val="0"/>
      <w:marTop w:val="0"/>
      <w:marBottom w:val="0"/>
      <w:divBdr>
        <w:top w:val="none" w:sz="0" w:space="0" w:color="auto"/>
        <w:left w:val="none" w:sz="0" w:space="0" w:color="auto"/>
        <w:bottom w:val="none" w:sz="0" w:space="0" w:color="auto"/>
        <w:right w:val="none" w:sz="0" w:space="0" w:color="auto"/>
      </w:divBdr>
    </w:div>
    <w:div w:id="1282493973">
      <w:bodyDiv w:val="1"/>
      <w:marLeft w:val="0"/>
      <w:marRight w:val="0"/>
      <w:marTop w:val="0"/>
      <w:marBottom w:val="0"/>
      <w:divBdr>
        <w:top w:val="none" w:sz="0" w:space="0" w:color="auto"/>
        <w:left w:val="none" w:sz="0" w:space="0" w:color="auto"/>
        <w:bottom w:val="none" w:sz="0" w:space="0" w:color="auto"/>
        <w:right w:val="none" w:sz="0" w:space="0" w:color="auto"/>
      </w:divBdr>
    </w:div>
    <w:div w:id="1624454973">
      <w:bodyDiv w:val="1"/>
      <w:marLeft w:val="0"/>
      <w:marRight w:val="0"/>
      <w:marTop w:val="0"/>
      <w:marBottom w:val="0"/>
      <w:divBdr>
        <w:top w:val="none" w:sz="0" w:space="0" w:color="auto"/>
        <w:left w:val="none" w:sz="0" w:space="0" w:color="auto"/>
        <w:bottom w:val="none" w:sz="0" w:space="0" w:color="auto"/>
        <w:right w:val="none" w:sz="0" w:space="0" w:color="auto"/>
      </w:divBdr>
    </w:div>
    <w:div w:id="1981574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creativecommons.org/licenses/by/3.0/au/" TargetMode="External"/><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buyingfor.vic.gov.au/aggregated-purchasing-goods-and-services-procurement-guide"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IPpolicy@dtf.vic.gov.a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yingfor.vic.gov.au/governance-goods-and-services-policy-and-guides" TargetMode="External"/><Relationship Id="rId5" Type="http://schemas.openxmlformats.org/officeDocument/2006/relationships/settings" Target="settings.xml"/><Relationship Id="rId15" Type="http://schemas.openxmlformats.org/officeDocument/2006/relationships/hyperlink" Target="http://creativecommons.org/licenses/by/4.0/" TargetMode="External"/><Relationship Id="rId10" Type="http://schemas.openxmlformats.org/officeDocument/2006/relationships/hyperlink" Target="https://buyingfor.vic.gov.au/guide-government-procurement-under-international-agreements"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s://buyingfor.vic.gov.au/supplier-code-conduct-suppliers" TargetMode="External"/><Relationship Id="rId14" Type="http://schemas.openxmlformats.org/officeDocument/2006/relationships/image" Target="media/image1.png"/><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microsoft.com/office/2007/relationships/hdphoto" Target="media/hdphoto1.wdp"/><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K a p i s h F i l e n a m e T o U r i M a p p i n g s   x m l n s : x s i = " h t t p : / / w w w . w 3 . o r g / 2 0 0 1 / X M L S c h e m a - i n s t a n c e "   x m l n s : x s d = " h t t p : / / w w w . w 3 . o r g / 2 0 0 1 / X M L S c h e m 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666056-DFB6-486A-8805-397F01446F97}">
  <ds:schemaRefs>
    <ds:schemaRef ds:uri="http://www.w3.org/2001/XMLSchema"/>
  </ds:schemaRefs>
</ds:datastoreItem>
</file>

<file path=customXml/itemProps2.xml><?xml version="1.0" encoding="utf-8"?>
<ds:datastoreItem xmlns:ds="http://schemas.openxmlformats.org/officeDocument/2006/customXml" ds:itemID="{27B7F6FA-5CD1-433A-AE87-7B3D9429F9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1773</Words>
  <Characters>10110</Characters>
  <Application>Microsoft Office Word</Application>
  <DocSecurity>0</DocSecurity>
  <Lines>84</Lines>
  <Paragraphs>23</Paragraphs>
  <ScaleCrop>false</ScaleCrop>
  <Company>Chrysalis Design Pty Limited</Company>
  <LinksUpToDate>false</LinksUpToDate>
  <CharactersWithSpaces>11860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Company policy and guidelines</dc:title>
  <dc:subject>Indemnities and immunities</dc:subject>
  <dc:creator>Deidre Steain</dc:creator>
  <dc:description>TRIM Record Number: in TRIM database:PT</dc:description>
  <cp:lastModifiedBy>Lucy Wilby (DPC)</cp:lastModifiedBy>
  <cp:revision>16</cp:revision>
  <cp:lastPrinted>2018-12-12T23:54:00Z</cp:lastPrinted>
  <dcterms:created xsi:type="dcterms:W3CDTF">2019-08-31T02:02:00Z</dcterms:created>
  <dcterms:modified xsi:type="dcterms:W3CDTF">2019-11-20T05:05:00Z</dcterms:modified>
  <cp:category>Doc No</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1 June 2004</vt:lpwstr>
  </property>
  <property fmtid="{D5CDD505-2E9C-101B-9397-08002B2CF9AE}" pid="3" name="ShowLogos">
    <vt:bool>false</vt:bool>
  </property>
  <property fmtid="{D5CDD505-2E9C-101B-9397-08002B2CF9AE}" pid="4" name="ShowLongPath">
    <vt:bool>false</vt:bool>
  </property>
  <property fmtid="{D5CDD505-2E9C-101B-9397-08002B2CF9AE}" pid="5" name="SmallMargins">
    <vt:bool>true</vt:bool>
  </property>
  <property fmtid="{D5CDD505-2E9C-101B-9397-08002B2CF9AE}" pid="6" name="TitusGUID">
    <vt:lpwstr>1e19a0c6-430e-44ba-854b-2aa257df4c98</vt:lpwstr>
  </property>
  <property fmtid="{D5CDD505-2E9C-101B-9397-08002B2CF9AE}" pid="7" name="PSPFClassification">
    <vt:lpwstr>Do Not Mark</vt:lpwstr>
  </property>
  <property fmtid="{D5CDD505-2E9C-101B-9397-08002B2CF9AE}" pid="8" name="Classification">
    <vt:lpwstr>Do Not Mark</vt:lpwstr>
  </property>
  <property fmtid="{D5CDD505-2E9C-101B-9397-08002B2CF9AE}" pid="9" name="MSIP_Label_7158ebbd-6c5e-441f-bfc9-4eb8c11e3978_Enabled">
    <vt:lpwstr>True</vt:lpwstr>
  </property>
  <property fmtid="{D5CDD505-2E9C-101B-9397-08002B2CF9AE}" pid="10" name="MSIP_Label_7158ebbd-6c5e-441f-bfc9-4eb8c11e3978_SiteId">
    <vt:lpwstr>722ea0be-3e1c-4b11-ad6f-9401d6856e24</vt:lpwstr>
  </property>
  <property fmtid="{D5CDD505-2E9C-101B-9397-08002B2CF9AE}" pid="11" name="MSIP_Label_7158ebbd-6c5e-441f-bfc9-4eb8c11e3978_Owner">
    <vt:lpwstr>athena.rozenberg@dtf.vic.gov.au</vt:lpwstr>
  </property>
  <property fmtid="{D5CDD505-2E9C-101B-9397-08002B2CF9AE}" pid="12" name="MSIP_Label_7158ebbd-6c5e-441f-bfc9-4eb8c11e3978_SetDate">
    <vt:lpwstr>2019-08-31T02:01:10.1971377Z</vt:lpwstr>
  </property>
  <property fmtid="{D5CDD505-2E9C-101B-9397-08002B2CF9AE}" pid="13" name="MSIP_Label_7158ebbd-6c5e-441f-bfc9-4eb8c11e3978_Name">
    <vt:lpwstr>OFFICIAL</vt:lpwstr>
  </property>
  <property fmtid="{D5CDD505-2E9C-101B-9397-08002B2CF9AE}" pid="14" name="MSIP_Label_7158ebbd-6c5e-441f-bfc9-4eb8c11e3978_Application">
    <vt:lpwstr>Microsoft Azure Information Protection</vt:lpwstr>
  </property>
  <property fmtid="{D5CDD505-2E9C-101B-9397-08002B2CF9AE}" pid="15" name="MSIP_Label_7158ebbd-6c5e-441f-bfc9-4eb8c11e3978_Extended_MSFT_Method">
    <vt:lpwstr>Manual</vt:lpwstr>
  </property>
  <property fmtid="{D5CDD505-2E9C-101B-9397-08002B2CF9AE}" pid="16" name="Sensitivity">
    <vt:lpwstr>OFFICIAL</vt:lpwstr>
  </property>
</Properties>
</file>