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CB43B" w14:textId="26B2FCC9" w:rsidR="00843160" w:rsidRPr="00AC4E1C" w:rsidRDefault="00550539" w:rsidP="00AC4E1C">
      <w:pPr>
        <w:pStyle w:val="Heading1"/>
        <w:rPr>
          <w:rFonts w:ascii="Calibri" w:hAnsi="Calibri" w:cs="Calibri"/>
          <w:b/>
          <w:color w:val="7030A0"/>
          <w:sz w:val="36"/>
          <w:szCs w:val="36"/>
          <w:lang w:eastAsia="en-AU"/>
        </w:rPr>
      </w:pPr>
      <w:r>
        <w:rPr>
          <w:rFonts w:ascii="Calibri" w:hAnsi="Calibri" w:cs="Calibri"/>
          <w:b/>
          <w:color w:val="7030A0"/>
          <w:sz w:val="36"/>
          <w:szCs w:val="36"/>
          <w:lang w:eastAsia="en-AU"/>
        </w:rPr>
        <w:t>U</w:t>
      </w:r>
      <w:r w:rsidR="00843160" w:rsidRPr="00AC4E1C">
        <w:rPr>
          <w:rFonts w:ascii="Calibri" w:hAnsi="Calibri" w:cs="Calibri"/>
          <w:b/>
          <w:color w:val="7030A0"/>
          <w:sz w:val="36"/>
          <w:szCs w:val="36"/>
          <w:lang w:eastAsia="en-AU"/>
        </w:rPr>
        <w:t>nderstanding the supply chain</w:t>
      </w:r>
      <w:r>
        <w:rPr>
          <w:rFonts w:ascii="Calibri" w:hAnsi="Calibri" w:cs="Calibri"/>
          <w:b/>
          <w:color w:val="7030A0"/>
          <w:sz w:val="36"/>
          <w:szCs w:val="36"/>
          <w:lang w:eastAsia="en-AU"/>
        </w:rPr>
        <w:t xml:space="preserve"> - </w:t>
      </w:r>
      <w:r>
        <w:rPr>
          <w:rFonts w:ascii="Calibri" w:hAnsi="Calibri" w:cs="Calibri"/>
          <w:b/>
          <w:color w:val="7030A0"/>
          <w:sz w:val="36"/>
          <w:szCs w:val="36"/>
          <w:lang w:eastAsia="en-AU"/>
        </w:rPr>
        <w:br/>
        <w:t>Goods and services procurement guide</w:t>
      </w:r>
    </w:p>
    <w:p w14:paraId="0F9AF6B5" w14:textId="77777777" w:rsidR="00843160" w:rsidRPr="00AC4E1C" w:rsidRDefault="00843160" w:rsidP="00AC4E1C">
      <w:pPr>
        <w:pStyle w:val="Heading2"/>
        <w:keepLines w:val="0"/>
        <w:spacing w:before="120" w:after="120" w:line="240" w:lineRule="auto"/>
        <w:rPr>
          <w:rFonts w:ascii="Calibri" w:eastAsia="Times New Roman" w:hAnsi="Calibri" w:cs="Calibri"/>
          <w:bCs w:val="0"/>
          <w:color w:val="7030A0"/>
          <w:spacing w:val="0"/>
          <w:szCs w:val="22"/>
          <w:lang w:eastAsia="en-US"/>
        </w:rPr>
      </w:pPr>
      <w:r w:rsidRPr="00AC4E1C">
        <w:rPr>
          <w:rFonts w:ascii="Calibri" w:eastAsia="Times New Roman" w:hAnsi="Calibri" w:cs="Calibri"/>
          <w:bCs w:val="0"/>
          <w:color w:val="7030A0"/>
          <w:spacing w:val="0"/>
          <w:szCs w:val="22"/>
          <w:lang w:eastAsia="en-US"/>
        </w:rPr>
        <w:t>What is a supply chain?</w:t>
      </w:r>
    </w:p>
    <w:p w14:paraId="46F724DE" w14:textId="77777777" w:rsidR="00843160" w:rsidRPr="00843160" w:rsidRDefault="0051058E" w:rsidP="00843160">
      <w:pPr>
        <w:spacing w:before="100" w:after="100" w:line="260" w:lineRule="atLeast"/>
        <w:rPr>
          <w:rFonts w:ascii="Calibri" w:hAnsi="Calibri" w:cs="Calibri"/>
          <w:sz w:val="22"/>
          <w:szCs w:val="22"/>
        </w:rPr>
      </w:pPr>
      <w:r>
        <w:rPr>
          <w:rFonts w:ascii="Calibri" w:hAnsi="Calibri" w:cs="Calibri"/>
          <w:sz w:val="22"/>
          <w:szCs w:val="22"/>
        </w:rPr>
        <w:t xml:space="preserve">A </w:t>
      </w:r>
      <w:r w:rsidR="00EA347E">
        <w:rPr>
          <w:rFonts w:ascii="Calibri" w:hAnsi="Calibri" w:cs="Calibri"/>
          <w:sz w:val="22"/>
          <w:szCs w:val="22"/>
        </w:rPr>
        <w:t>s</w:t>
      </w:r>
      <w:r>
        <w:rPr>
          <w:rFonts w:ascii="Calibri" w:hAnsi="Calibri" w:cs="Calibri"/>
          <w:sz w:val="22"/>
          <w:szCs w:val="22"/>
        </w:rPr>
        <w:t>upply chain is the effort and resources that contribute to the delivery of goods and services from a supplier to an end user.  This could include people,</w:t>
      </w:r>
      <w:r w:rsidR="00954B2B">
        <w:rPr>
          <w:rFonts w:ascii="Calibri" w:hAnsi="Calibri" w:cs="Calibri"/>
          <w:sz w:val="22"/>
          <w:szCs w:val="22"/>
        </w:rPr>
        <w:t xml:space="preserve"> organisations, systems,</w:t>
      </w:r>
      <w:r>
        <w:rPr>
          <w:rFonts w:ascii="Calibri" w:hAnsi="Calibri" w:cs="Calibri"/>
          <w:sz w:val="22"/>
          <w:szCs w:val="22"/>
        </w:rPr>
        <w:t xml:space="preserve"> activities, information </w:t>
      </w:r>
      <w:r w:rsidR="0054379B">
        <w:rPr>
          <w:rFonts w:ascii="Calibri" w:hAnsi="Calibri" w:cs="Calibri"/>
          <w:sz w:val="22"/>
          <w:szCs w:val="22"/>
        </w:rPr>
        <w:t>and resources</w:t>
      </w:r>
      <w:r>
        <w:rPr>
          <w:rFonts w:ascii="Calibri" w:hAnsi="Calibri" w:cs="Calibri"/>
          <w:sz w:val="22"/>
          <w:szCs w:val="22"/>
        </w:rPr>
        <w:t>.</w:t>
      </w:r>
    </w:p>
    <w:p w14:paraId="124E2B73" w14:textId="77777777" w:rsidR="00843160" w:rsidRPr="00843160" w:rsidRDefault="00843160" w:rsidP="00843160">
      <w:pPr>
        <w:spacing w:before="100" w:after="100" w:line="260" w:lineRule="atLeast"/>
        <w:rPr>
          <w:rFonts w:ascii="Calibri" w:hAnsi="Calibri" w:cs="Calibri"/>
          <w:sz w:val="22"/>
          <w:szCs w:val="22"/>
        </w:rPr>
      </w:pPr>
      <w:r w:rsidRPr="00843160">
        <w:rPr>
          <w:rFonts w:ascii="Calibri" w:hAnsi="Calibri" w:cs="Calibri"/>
          <w:sz w:val="22"/>
          <w:szCs w:val="22"/>
        </w:rPr>
        <w:t>Supply chain and market analysis go hand in hand. Where market analysis looks at the whole marketplace and the ability of the supply market to meet an organisation</w:t>
      </w:r>
      <w:r w:rsidR="00071E4D">
        <w:rPr>
          <w:rFonts w:ascii="Calibri" w:hAnsi="Calibri" w:cs="Calibri"/>
          <w:sz w:val="22"/>
          <w:szCs w:val="22"/>
        </w:rPr>
        <w:t>’</w:t>
      </w:r>
      <w:r w:rsidRPr="00843160">
        <w:rPr>
          <w:rFonts w:ascii="Calibri" w:hAnsi="Calibri" w:cs="Calibri"/>
          <w:sz w:val="22"/>
          <w:szCs w:val="22"/>
        </w:rPr>
        <w:t>s procurement need, supply chain is a deeper analysis and looks at the risk</w:t>
      </w:r>
      <w:r w:rsidR="0032172C">
        <w:rPr>
          <w:rFonts w:ascii="Calibri" w:hAnsi="Calibri" w:cs="Calibri"/>
          <w:sz w:val="22"/>
          <w:szCs w:val="22"/>
        </w:rPr>
        <w:t>s</w:t>
      </w:r>
      <w:r w:rsidRPr="00843160">
        <w:rPr>
          <w:rFonts w:ascii="Calibri" w:hAnsi="Calibri" w:cs="Calibri"/>
          <w:sz w:val="22"/>
          <w:szCs w:val="22"/>
        </w:rPr>
        <w:t xml:space="preserve"> impacting the supplier to supply to the customer and the</w:t>
      </w:r>
      <w:r w:rsidR="0032172C">
        <w:rPr>
          <w:rFonts w:ascii="Calibri" w:hAnsi="Calibri" w:cs="Calibri"/>
          <w:sz w:val="22"/>
          <w:szCs w:val="22"/>
        </w:rPr>
        <w:t xml:space="preserve"> individual</w:t>
      </w:r>
      <w:r w:rsidRPr="00843160">
        <w:rPr>
          <w:rFonts w:ascii="Calibri" w:hAnsi="Calibri" w:cs="Calibri"/>
          <w:sz w:val="22"/>
          <w:szCs w:val="22"/>
        </w:rPr>
        <w:t xml:space="preserve"> elements that contribute to the</w:t>
      </w:r>
      <w:r w:rsidR="0032172C">
        <w:rPr>
          <w:rFonts w:ascii="Calibri" w:hAnsi="Calibri" w:cs="Calibri"/>
          <w:sz w:val="22"/>
          <w:szCs w:val="22"/>
        </w:rPr>
        <w:t xml:space="preserve"> successful</w:t>
      </w:r>
      <w:r w:rsidRPr="00843160">
        <w:rPr>
          <w:rFonts w:ascii="Calibri" w:hAnsi="Calibri" w:cs="Calibri"/>
          <w:sz w:val="22"/>
          <w:szCs w:val="22"/>
        </w:rPr>
        <w:t xml:space="preserve"> delivery of the goods or service.</w:t>
      </w:r>
    </w:p>
    <w:p w14:paraId="5BE5833D" w14:textId="77777777" w:rsidR="00843160" w:rsidRPr="00843160" w:rsidRDefault="00843160" w:rsidP="00843160">
      <w:pPr>
        <w:spacing w:before="100" w:after="100" w:line="260" w:lineRule="atLeast"/>
        <w:rPr>
          <w:rFonts w:ascii="Calibri" w:hAnsi="Calibri" w:cs="Calibri"/>
          <w:sz w:val="22"/>
          <w:szCs w:val="22"/>
        </w:rPr>
      </w:pPr>
      <w:r w:rsidRPr="00843160">
        <w:rPr>
          <w:rFonts w:ascii="Calibri" w:hAnsi="Calibri" w:cs="Calibri"/>
          <w:sz w:val="22"/>
          <w:szCs w:val="22"/>
        </w:rPr>
        <w:t>The supply chain can include research and development, product development, sourcing, production, logistics and the systems to manage these activities.</w:t>
      </w:r>
    </w:p>
    <w:p w14:paraId="0EE8984D" w14:textId="77777777" w:rsidR="00843160" w:rsidRDefault="00843160" w:rsidP="00843160">
      <w:pPr>
        <w:spacing w:before="100" w:after="100" w:line="260" w:lineRule="atLeast"/>
        <w:rPr>
          <w:rFonts w:ascii="Calibri" w:hAnsi="Calibri" w:cs="Calibri"/>
          <w:sz w:val="22"/>
          <w:szCs w:val="22"/>
        </w:rPr>
      </w:pPr>
      <w:r w:rsidRPr="00843160">
        <w:rPr>
          <w:rFonts w:ascii="Calibri" w:hAnsi="Calibri" w:cs="Calibri"/>
          <w:sz w:val="22"/>
          <w:szCs w:val="22"/>
        </w:rPr>
        <w:t>The depth of supply chain management and analysis will depend on the complexity and criticality of the goods and service</w:t>
      </w:r>
      <w:r w:rsidR="00123477">
        <w:rPr>
          <w:rFonts w:ascii="Calibri" w:hAnsi="Calibri" w:cs="Calibri"/>
          <w:sz w:val="22"/>
          <w:szCs w:val="22"/>
        </w:rPr>
        <w:t>s</w:t>
      </w:r>
      <w:r w:rsidRPr="00843160">
        <w:rPr>
          <w:rFonts w:ascii="Calibri" w:hAnsi="Calibri" w:cs="Calibri"/>
          <w:sz w:val="22"/>
          <w:szCs w:val="22"/>
        </w:rPr>
        <w:t xml:space="preserve"> to the organisation’s core business.</w:t>
      </w:r>
    </w:p>
    <w:p w14:paraId="0C276CFC" w14:textId="77777777" w:rsidR="00843160" w:rsidRPr="00AC4E1C" w:rsidRDefault="00AC4E1C" w:rsidP="00AC4E1C">
      <w:pPr>
        <w:pStyle w:val="Heading2"/>
        <w:keepLines w:val="0"/>
        <w:spacing w:before="120" w:after="120" w:line="240" w:lineRule="auto"/>
        <w:rPr>
          <w:rFonts w:ascii="Calibri" w:eastAsia="Times New Roman" w:hAnsi="Calibri" w:cs="Calibri"/>
          <w:bCs w:val="0"/>
          <w:color w:val="7030A0"/>
          <w:spacing w:val="0"/>
          <w:szCs w:val="22"/>
          <w:lang w:eastAsia="en-US"/>
        </w:rPr>
      </w:pPr>
      <w:r w:rsidRPr="00AC4E1C">
        <w:rPr>
          <w:rFonts w:ascii="Calibri" w:eastAsia="Times New Roman" w:hAnsi="Calibri" w:cs="Calibri"/>
          <w:bCs w:val="0"/>
          <w:color w:val="7030A0"/>
          <w:spacing w:val="0"/>
          <w:szCs w:val="22"/>
          <w:lang w:eastAsia="en-US"/>
        </w:rPr>
        <w:t>W</w:t>
      </w:r>
      <w:r w:rsidR="00843160" w:rsidRPr="00AC4E1C">
        <w:rPr>
          <w:rFonts w:ascii="Calibri" w:eastAsia="Times New Roman" w:hAnsi="Calibri" w:cs="Calibri"/>
          <w:bCs w:val="0"/>
          <w:color w:val="7030A0"/>
          <w:spacing w:val="0"/>
          <w:szCs w:val="22"/>
          <w:lang w:eastAsia="en-US"/>
        </w:rPr>
        <w:t>hat is the purpose of this guide?</w:t>
      </w:r>
    </w:p>
    <w:p w14:paraId="5F8CBD10" w14:textId="77777777" w:rsidR="00843160" w:rsidRPr="00843160" w:rsidRDefault="00843160" w:rsidP="00843160">
      <w:pPr>
        <w:spacing w:before="100" w:after="100" w:line="260" w:lineRule="atLeast"/>
        <w:rPr>
          <w:rFonts w:ascii="Calibri" w:hAnsi="Calibri" w:cs="Calibri"/>
          <w:sz w:val="22"/>
          <w:szCs w:val="22"/>
        </w:rPr>
      </w:pPr>
      <w:r w:rsidRPr="00843160">
        <w:rPr>
          <w:rFonts w:ascii="Calibri" w:hAnsi="Calibri" w:cs="Calibri"/>
          <w:sz w:val="22"/>
          <w:szCs w:val="22"/>
        </w:rPr>
        <w:t>The purpose of this guide is to give insight into supply chain analysis and encourage procurers to understand the supply chain t</w:t>
      </w:r>
      <w:r w:rsidR="0032172C">
        <w:rPr>
          <w:rFonts w:ascii="Calibri" w:hAnsi="Calibri" w:cs="Calibri"/>
          <w:sz w:val="22"/>
          <w:szCs w:val="22"/>
        </w:rPr>
        <w:t>o inform the way they procure and to inform the broader organisations procurement framework</w:t>
      </w:r>
      <w:r w:rsidR="009778AC">
        <w:rPr>
          <w:rFonts w:ascii="Calibri" w:hAnsi="Calibri" w:cs="Calibri"/>
          <w:sz w:val="22"/>
          <w:szCs w:val="22"/>
        </w:rPr>
        <w:t xml:space="preserve"> including Social Procurement plans</w:t>
      </w:r>
      <w:r w:rsidR="0032172C">
        <w:rPr>
          <w:rFonts w:ascii="Calibri" w:hAnsi="Calibri" w:cs="Calibri"/>
          <w:sz w:val="22"/>
          <w:szCs w:val="22"/>
        </w:rPr>
        <w:t>.</w:t>
      </w:r>
    </w:p>
    <w:p w14:paraId="353DED86" w14:textId="77777777" w:rsidR="00843160" w:rsidRPr="00AC4E1C" w:rsidRDefault="00843160" w:rsidP="00AC4E1C">
      <w:pPr>
        <w:pStyle w:val="Heading2"/>
        <w:keepLines w:val="0"/>
        <w:spacing w:before="120" w:after="120" w:line="240" w:lineRule="auto"/>
        <w:rPr>
          <w:rFonts w:ascii="Calibri" w:eastAsia="Times New Roman" w:hAnsi="Calibri" w:cs="Calibri"/>
          <w:bCs w:val="0"/>
          <w:color w:val="7030A0"/>
          <w:spacing w:val="0"/>
          <w:szCs w:val="22"/>
          <w:lang w:eastAsia="en-US"/>
        </w:rPr>
      </w:pPr>
      <w:r w:rsidRPr="00AC4E1C">
        <w:rPr>
          <w:rFonts w:ascii="Calibri" w:eastAsia="Times New Roman" w:hAnsi="Calibri" w:cs="Calibri"/>
          <w:bCs w:val="0"/>
          <w:color w:val="7030A0"/>
          <w:spacing w:val="0"/>
          <w:szCs w:val="22"/>
          <w:lang w:eastAsia="en-US"/>
        </w:rPr>
        <w:t>The importance of knowing the supply chain</w:t>
      </w:r>
    </w:p>
    <w:p w14:paraId="23CDF7F0" w14:textId="77777777" w:rsidR="00843160" w:rsidRPr="00843160" w:rsidRDefault="00843160" w:rsidP="00843160">
      <w:pPr>
        <w:spacing w:before="100" w:after="100" w:line="260" w:lineRule="atLeast"/>
        <w:rPr>
          <w:rFonts w:ascii="Calibri" w:hAnsi="Calibri" w:cs="Calibri"/>
          <w:sz w:val="22"/>
          <w:szCs w:val="22"/>
        </w:rPr>
      </w:pPr>
      <w:r w:rsidRPr="00843160">
        <w:rPr>
          <w:rFonts w:ascii="Calibri" w:hAnsi="Calibri" w:cs="Calibri"/>
          <w:sz w:val="22"/>
          <w:szCs w:val="22"/>
        </w:rPr>
        <w:t>Understanding what contributes to the delivery of a good or service can:</w:t>
      </w:r>
    </w:p>
    <w:p w14:paraId="2FAD65E4" w14:textId="77777777" w:rsidR="00843160" w:rsidRPr="00843160" w:rsidRDefault="00843160" w:rsidP="00430954">
      <w:pPr>
        <w:numPr>
          <w:ilvl w:val="0"/>
          <w:numId w:val="8"/>
        </w:numPr>
        <w:spacing w:before="100" w:after="100" w:line="260" w:lineRule="atLeast"/>
        <w:contextualSpacing/>
        <w:rPr>
          <w:rFonts w:ascii="Calibri" w:hAnsi="Calibri" w:cs="Calibri"/>
          <w:sz w:val="22"/>
          <w:szCs w:val="22"/>
        </w:rPr>
      </w:pPr>
      <w:r w:rsidRPr="00843160">
        <w:rPr>
          <w:rFonts w:ascii="Calibri" w:hAnsi="Calibri" w:cs="Calibri"/>
          <w:sz w:val="22"/>
          <w:szCs w:val="22"/>
        </w:rPr>
        <w:t>help to achieve optimal value for money;</w:t>
      </w:r>
    </w:p>
    <w:p w14:paraId="2A2A9C0B" w14:textId="77777777" w:rsidR="00843160" w:rsidRPr="00843160" w:rsidRDefault="00843160" w:rsidP="00430954">
      <w:pPr>
        <w:numPr>
          <w:ilvl w:val="0"/>
          <w:numId w:val="8"/>
        </w:numPr>
        <w:spacing w:before="100" w:after="100" w:line="260" w:lineRule="atLeast"/>
        <w:contextualSpacing/>
        <w:rPr>
          <w:rFonts w:ascii="Calibri" w:hAnsi="Calibri" w:cs="Calibri"/>
          <w:sz w:val="22"/>
          <w:szCs w:val="22"/>
        </w:rPr>
      </w:pPr>
      <w:r w:rsidRPr="00843160">
        <w:rPr>
          <w:rFonts w:ascii="Calibri" w:hAnsi="Calibri" w:cs="Calibri"/>
          <w:sz w:val="22"/>
          <w:szCs w:val="22"/>
        </w:rPr>
        <w:t>assist with managing risks that may impact the successful delivery; and</w:t>
      </w:r>
    </w:p>
    <w:p w14:paraId="3FB11F06" w14:textId="77777777" w:rsidR="007A70A0" w:rsidRDefault="00843160" w:rsidP="006D5645">
      <w:pPr>
        <w:numPr>
          <w:ilvl w:val="0"/>
          <w:numId w:val="8"/>
        </w:numPr>
        <w:spacing w:before="100" w:after="100" w:line="260" w:lineRule="atLeast"/>
        <w:contextualSpacing/>
        <w:rPr>
          <w:rFonts w:ascii="Calibri" w:hAnsi="Calibri" w:cs="Calibri"/>
          <w:sz w:val="22"/>
          <w:szCs w:val="22"/>
        </w:rPr>
      </w:pPr>
      <w:r w:rsidRPr="00843160">
        <w:rPr>
          <w:rFonts w:ascii="Calibri" w:hAnsi="Calibri" w:cs="Calibri"/>
          <w:sz w:val="22"/>
          <w:szCs w:val="22"/>
        </w:rPr>
        <w:t>help to identify where procurement can be used to meet broader government objectives</w:t>
      </w:r>
      <w:r w:rsidR="007A70A0">
        <w:rPr>
          <w:rFonts w:ascii="Calibri" w:hAnsi="Calibri" w:cs="Calibri"/>
          <w:sz w:val="22"/>
          <w:szCs w:val="22"/>
        </w:rPr>
        <w:t>;</w:t>
      </w:r>
    </w:p>
    <w:p w14:paraId="08FFF888" w14:textId="77777777" w:rsidR="00843160" w:rsidRPr="00843160" w:rsidRDefault="009778AC" w:rsidP="006D5645">
      <w:pPr>
        <w:numPr>
          <w:ilvl w:val="0"/>
          <w:numId w:val="8"/>
        </w:numPr>
        <w:spacing w:before="100" w:after="100" w:line="260" w:lineRule="atLeast"/>
        <w:contextualSpacing/>
        <w:rPr>
          <w:rFonts w:ascii="Calibri" w:hAnsi="Calibri" w:cs="Calibri"/>
          <w:sz w:val="22"/>
          <w:szCs w:val="22"/>
        </w:rPr>
      </w:pPr>
      <w:r>
        <w:rPr>
          <w:rFonts w:ascii="Calibri" w:hAnsi="Calibri" w:cs="Calibri"/>
          <w:sz w:val="22"/>
          <w:szCs w:val="22"/>
        </w:rPr>
        <w:t>and identify social procurement opportunities</w:t>
      </w:r>
    </w:p>
    <w:p w14:paraId="5EEE3A98" w14:textId="77777777" w:rsidR="00843160" w:rsidRPr="00843160" w:rsidRDefault="00843160" w:rsidP="00843160">
      <w:pPr>
        <w:spacing w:before="100" w:after="100" w:line="260" w:lineRule="atLeast"/>
        <w:rPr>
          <w:rFonts w:ascii="Calibri" w:hAnsi="Calibri" w:cs="Calibri"/>
          <w:sz w:val="22"/>
          <w:szCs w:val="22"/>
        </w:rPr>
      </w:pPr>
      <w:r w:rsidRPr="00843160">
        <w:rPr>
          <w:rFonts w:ascii="Calibri" w:hAnsi="Calibri" w:cs="Calibri"/>
          <w:sz w:val="22"/>
          <w:szCs w:val="22"/>
        </w:rPr>
        <w:t>It depends on the goods and</w:t>
      </w:r>
      <w:r w:rsidR="006811C4">
        <w:rPr>
          <w:rFonts w:ascii="Calibri" w:hAnsi="Calibri" w:cs="Calibri"/>
          <w:sz w:val="22"/>
          <w:szCs w:val="22"/>
        </w:rPr>
        <w:t>/or</w:t>
      </w:r>
      <w:r w:rsidRPr="00843160">
        <w:rPr>
          <w:rFonts w:ascii="Calibri" w:hAnsi="Calibri" w:cs="Calibri"/>
          <w:sz w:val="22"/>
          <w:szCs w:val="22"/>
        </w:rPr>
        <w:t xml:space="preserve"> services being procured to how elaborate the supply chain may be.  The market analysis undertaken as part of the procurement process will contribute to understanding factors impacting the supply chain.  Understanding the supply chain should not be isolated to that of the contracted supplier but should also include </w:t>
      </w:r>
      <w:r w:rsidR="0032172C">
        <w:rPr>
          <w:rFonts w:ascii="Calibri" w:hAnsi="Calibri" w:cs="Calibri"/>
          <w:sz w:val="22"/>
          <w:szCs w:val="22"/>
        </w:rPr>
        <w:t>the</w:t>
      </w:r>
      <w:r w:rsidRPr="00843160">
        <w:rPr>
          <w:rFonts w:ascii="Calibri" w:hAnsi="Calibri" w:cs="Calibri"/>
          <w:sz w:val="22"/>
          <w:szCs w:val="22"/>
        </w:rPr>
        <w:t xml:space="preserve"> sub contracted suppliers and for more complex procurement the broader relationship suppliers have with other organisations in </w:t>
      </w:r>
      <w:r w:rsidR="006811C4" w:rsidRPr="00843160">
        <w:rPr>
          <w:rFonts w:ascii="Calibri" w:hAnsi="Calibri" w:cs="Calibri"/>
          <w:sz w:val="22"/>
          <w:szCs w:val="22"/>
        </w:rPr>
        <w:t>deliver</w:t>
      </w:r>
      <w:r w:rsidR="006811C4">
        <w:rPr>
          <w:rFonts w:ascii="Calibri" w:hAnsi="Calibri" w:cs="Calibri"/>
          <w:sz w:val="22"/>
          <w:szCs w:val="22"/>
        </w:rPr>
        <w:t>ing</w:t>
      </w:r>
      <w:r w:rsidR="006811C4" w:rsidRPr="00843160">
        <w:rPr>
          <w:rFonts w:ascii="Calibri" w:hAnsi="Calibri" w:cs="Calibri"/>
          <w:sz w:val="22"/>
          <w:szCs w:val="22"/>
        </w:rPr>
        <w:t xml:space="preserve"> </w:t>
      </w:r>
      <w:r w:rsidRPr="00843160">
        <w:rPr>
          <w:rFonts w:ascii="Calibri" w:hAnsi="Calibri" w:cs="Calibri"/>
          <w:sz w:val="22"/>
          <w:szCs w:val="22"/>
        </w:rPr>
        <w:t>the required goods and</w:t>
      </w:r>
      <w:r w:rsidR="006811C4">
        <w:rPr>
          <w:rFonts w:ascii="Calibri" w:hAnsi="Calibri" w:cs="Calibri"/>
          <w:sz w:val="22"/>
          <w:szCs w:val="22"/>
        </w:rPr>
        <w:t>/</w:t>
      </w:r>
      <w:r w:rsidRPr="00843160">
        <w:rPr>
          <w:rFonts w:ascii="Calibri" w:hAnsi="Calibri" w:cs="Calibri"/>
          <w:sz w:val="22"/>
          <w:szCs w:val="22"/>
        </w:rPr>
        <w:t>or services.</w:t>
      </w:r>
    </w:p>
    <w:p w14:paraId="744AB41B" w14:textId="77777777" w:rsidR="00843160" w:rsidRPr="00843160" w:rsidRDefault="00843160" w:rsidP="00843160">
      <w:pPr>
        <w:spacing w:before="100" w:after="100" w:line="260" w:lineRule="atLeast"/>
        <w:rPr>
          <w:rFonts w:ascii="Calibri" w:hAnsi="Calibri" w:cs="Calibri"/>
          <w:sz w:val="22"/>
          <w:szCs w:val="22"/>
        </w:rPr>
      </w:pPr>
      <w:r w:rsidRPr="00843160">
        <w:rPr>
          <w:rFonts w:ascii="Calibri" w:hAnsi="Calibri" w:cs="Calibri"/>
          <w:sz w:val="22"/>
          <w:szCs w:val="22"/>
        </w:rPr>
        <w:t xml:space="preserve">It is about </w:t>
      </w:r>
      <w:r w:rsidR="0032172C">
        <w:rPr>
          <w:rFonts w:ascii="Calibri" w:hAnsi="Calibri" w:cs="Calibri"/>
          <w:sz w:val="22"/>
          <w:szCs w:val="22"/>
        </w:rPr>
        <w:t>analysing</w:t>
      </w:r>
      <w:r w:rsidRPr="00843160">
        <w:rPr>
          <w:rFonts w:ascii="Calibri" w:hAnsi="Calibri" w:cs="Calibri"/>
          <w:sz w:val="22"/>
          <w:szCs w:val="22"/>
        </w:rPr>
        <w:t xml:space="preserve"> </w:t>
      </w:r>
      <w:r w:rsidR="00164638">
        <w:rPr>
          <w:rFonts w:ascii="Calibri" w:hAnsi="Calibri" w:cs="Calibri"/>
          <w:sz w:val="22"/>
          <w:szCs w:val="22"/>
        </w:rPr>
        <w:t xml:space="preserve">and mapping out the </w:t>
      </w:r>
      <w:r w:rsidRPr="00843160">
        <w:rPr>
          <w:rFonts w:ascii="Calibri" w:hAnsi="Calibri" w:cs="Calibri"/>
          <w:sz w:val="22"/>
          <w:szCs w:val="22"/>
        </w:rPr>
        <w:t xml:space="preserve">process </w:t>
      </w:r>
      <w:r w:rsidR="006811C4">
        <w:rPr>
          <w:rFonts w:ascii="Calibri" w:hAnsi="Calibri" w:cs="Calibri"/>
          <w:sz w:val="22"/>
          <w:szCs w:val="22"/>
        </w:rPr>
        <w:t>for</w:t>
      </w:r>
      <w:r w:rsidR="006811C4" w:rsidRPr="00843160">
        <w:rPr>
          <w:rFonts w:ascii="Calibri" w:hAnsi="Calibri" w:cs="Calibri"/>
          <w:sz w:val="22"/>
          <w:szCs w:val="22"/>
        </w:rPr>
        <w:t xml:space="preserve"> </w:t>
      </w:r>
      <w:r w:rsidRPr="00843160">
        <w:rPr>
          <w:rFonts w:ascii="Calibri" w:hAnsi="Calibri" w:cs="Calibri"/>
          <w:sz w:val="22"/>
          <w:szCs w:val="22"/>
        </w:rPr>
        <w:t>the provision of the goods and</w:t>
      </w:r>
      <w:r w:rsidR="006811C4">
        <w:rPr>
          <w:rFonts w:ascii="Calibri" w:hAnsi="Calibri" w:cs="Calibri"/>
          <w:sz w:val="22"/>
          <w:szCs w:val="22"/>
        </w:rPr>
        <w:t>/or</w:t>
      </w:r>
      <w:r w:rsidRPr="00843160">
        <w:rPr>
          <w:rFonts w:ascii="Calibri" w:hAnsi="Calibri" w:cs="Calibri"/>
          <w:sz w:val="22"/>
          <w:szCs w:val="22"/>
        </w:rPr>
        <w:t xml:space="preserve"> services</w:t>
      </w:r>
      <w:r w:rsidR="00954B2B">
        <w:rPr>
          <w:rFonts w:ascii="Calibri" w:hAnsi="Calibri" w:cs="Calibri"/>
          <w:sz w:val="22"/>
          <w:szCs w:val="22"/>
        </w:rPr>
        <w:t xml:space="preserve"> and identifying </w:t>
      </w:r>
      <w:r w:rsidR="00164638">
        <w:rPr>
          <w:rFonts w:ascii="Calibri" w:hAnsi="Calibri" w:cs="Calibri"/>
          <w:sz w:val="22"/>
          <w:szCs w:val="22"/>
        </w:rPr>
        <w:t xml:space="preserve">what impacts each element that </w:t>
      </w:r>
      <w:r w:rsidR="00164638" w:rsidRPr="00843160">
        <w:rPr>
          <w:rFonts w:ascii="Calibri" w:hAnsi="Calibri" w:cs="Calibri"/>
          <w:sz w:val="22"/>
          <w:szCs w:val="22"/>
        </w:rPr>
        <w:t>contribute</w:t>
      </w:r>
      <w:r w:rsidR="00164638">
        <w:rPr>
          <w:rFonts w:ascii="Calibri" w:hAnsi="Calibri" w:cs="Calibri"/>
          <w:sz w:val="22"/>
          <w:szCs w:val="22"/>
        </w:rPr>
        <w:t>s</w:t>
      </w:r>
      <w:r w:rsidR="00164638" w:rsidRPr="00843160">
        <w:rPr>
          <w:rFonts w:ascii="Calibri" w:hAnsi="Calibri" w:cs="Calibri"/>
          <w:sz w:val="22"/>
          <w:szCs w:val="22"/>
        </w:rPr>
        <w:t xml:space="preserve"> to the successful delivery of the goods and</w:t>
      </w:r>
      <w:r w:rsidR="00164638">
        <w:rPr>
          <w:rFonts w:ascii="Calibri" w:hAnsi="Calibri" w:cs="Calibri"/>
          <w:sz w:val="22"/>
          <w:szCs w:val="22"/>
        </w:rPr>
        <w:t>/</w:t>
      </w:r>
      <w:r w:rsidR="00164638" w:rsidRPr="00843160">
        <w:rPr>
          <w:rFonts w:ascii="Calibri" w:hAnsi="Calibri" w:cs="Calibri"/>
          <w:sz w:val="22"/>
          <w:szCs w:val="22"/>
        </w:rPr>
        <w:t>or service</w:t>
      </w:r>
      <w:r w:rsidR="00164638">
        <w:rPr>
          <w:rFonts w:ascii="Calibri" w:hAnsi="Calibri" w:cs="Calibri"/>
          <w:sz w:val="22"/>
          <w:szCs w:val="22"/>
        </w:rPr>
        <w:t xml:space="preserve">s and </w:t>
      </w:r>
      <w:r w:rsidR="00954B2B">
        <w:rPr>
          <w:rFonts w:ascii="Calibri" w:hAnsi="Calibri" w:cs="Calibri"/>
          <w:sz w:val="22"/>
          <w:szCs w:val="22"/>
        </w:rPr>
        <w:t>where value can be added</w:t>
      </w:r>
      <w:r w:rsidRPr="00843160">
        <w:rPr>
          <w:rFonts w:ascii="Calibri" w:hAnsi="Calibri" w:cs="Calibri"/>
          <w:sz w:val="22"/>
          <w:szCs w:val="22"/>
        </w:rPr>
        <w:t>.  These may include</w:t>
      </w:r>
      <w:r w:rsidR="006A6C4D">
        <w:rPr>
          <w:rFonts w:ascii="Calibri" w:hAnsi="Calibri" w:cs="Calibri"/>
          <w:sz w:val="22"/>
          <w:szCs w:val="22"/>
        </w:rPr>
        <w:t>, but not limited to:</w:t>
      </w:r>
    </w:p>
    <w:p w14:paraId="70EC564F" w14:textId="77777777" w:rsidR="00843160" w:rsidRPr="00843160" w:rsidRDefault="00843160" w:rsidP="00843160">
      <w:pPr>
        <w:numPr>
          <w:ilvl w:val="0"/>
          <w:numId w:val="1"/>
        </w:numPr>
        <w:spacing w:before="100" w:after="100" w:line="260" w:lineRule="atLeast"/>
        <w:contextualSpacing/>
        <w:rPr>
          <w:rFonts w:ascii="Calibri" w:hAnsi="Calibri" w:cs="Calibri"/>
          <w:sz w:val="22"/>
          <w:szCs w:val="22"/>
        </w:rPr>
      </w:pPr>
      <w:r w:rsidRPr="00843160">
        <w:rPr>
          <w:rFonts w:ascii="Calibri" w:hAnsi="Calibri" w:cs="Calibri"/>
          <w:sz w:val="22"/>
          <w:szCs w:val="22"/>
        </w:rPr>
        <w:t>raw materials;</w:t>
      </w:r>
    </w:p>
    <w:p w14:paraId="35B8011F" w14:textId="77777777" w:rsidR="00843160" w:rsidRPr="00843160" w:rsidRDefault="00843160" w:rsidP="00843160">
      <w:pPr>
        <w:numPr>
          <w:ilvl w:val="0"/>
          <w:numId w:val="1"/>
        </w:numPr>
        <w:spacing w:before="100" w:after="100" w:line="260" w:lineRule="atLeast"/>
        <w:contextualSpacing/>
        <w:rPr>
          <w:rFonts w:ascii="Calibri" w:hAnsi="Calibri" w:cs="Calibri"/>
          <w:sz w:val="22"/>
          <w:szCs w:val="22"/>
        </w:rPr>
      </w:pPr>
      <w:r w:rsidRPr="00843160">
        <w:rPr>
          <w:rFonts w:ascii="Calibri" w:hAnsi="Calibri" w:cs="Calibri"/>
          <w:sz w:val="22"/>
          <w:szCs w:val="22"/>
        </w:rPr>
        <w:t>labour;</w:t>
      </w:r>
    </w:p>
    <w:p w14:paraId="6F0FD5CE" w14:textId="77777777" w:rsidR="00843160" w:rsidRPr="00843160" w:rsidRDefault="00843160" w:rsidP="00843160">
      <w:pPr>
        <w:numPr>
          <w:ilvl w:val="0"/>
          <w:numId w:val="1"/>
        </w:numPr>
        <w:spacing w:before="100" w:after="100" w:line="260" w:lineRule="atLeast"/>
        <w:contextualSpacing/>
        <w:rPr>
          <w:rFonts w:ascii="Calibri" w:hAnsi="Calibri" w:cs="Calibri"/>
          <w:sz w:val="22"/>
          <w:szCs w:val="22"/>
        </w:rPr>
      </w:pPr>
      <w:r w:rsidRPr="00843160">
        <w:rPr>
          <w:rFonts w:ascii="Calibri" w:hAnsi="Calibri" w:cs="Calibri"/>
          <w:sz w:val="22"/>
          <w:szCs w:val="22"/>
        </w:rPr>
        <w:t>research and development;</w:t>
      </w:r>
    </w:p>
    <w:p w14:paraId="4D8A2DFB" w14:textId="77777777" w:rsidR="00843160" w:rsidRPr="00843160" w:rsidRDefault="00843160" w:rsidP="00843160">
      <w:pPr>
        <w:numPr>
          <w:ilvl w:val="0"/>
          <w:numId w:val="1"/>
        </w:numPr>
        <w:spacing w:before="100" w:after="100" w:line="260" w:lineRule="atLeast"/>
        <w:contextualSpacing/>
        <w:rPr>
          <w:rFonts w:ascii="Calibri" w:hAnsi="Calibri" w:cs="Calibri"/>
          <w:sz w:val="22"/>
          <w:szCs w:val="22"/>
        </w:rPr>
      </w:pPr>
      <w:r w:rsidRPr="00843160">
        <w:rPr>
          <w:rFonts w:ascii="Calibri" w:hAnsi="Calibri" w:cs="Calibri"/>
          <w:sz w:val="22"/>
          <w:szCs w:val="22"/>
        </w:rPr>
        <w:t>logistics (transport, storage, time);</w:t>
      </w:r>
    </w:p>
    <w:p w14:paraId="4912D09F" w14:textId="77777777" w:rsidR="00843160" w:rsidRPr="00843160" w:rsidRDefault="006811C4" w:rsidP="00843160">
      <w:pPr>
        <w:numPr>
          <w:ilvl w:val="0"/>
          <w:numId w:val="1"/>
        </w:numPr>
        <w:spacing w:before="100" w:after="100" w:line="260" w:lineRule="atLeast"/>
        <w:contextualSpacing/>
        <w:rPr>
          <w:rFonts w:ascii="Calibri" w:hAnsi="Calibri" w:cs="Calibri"/>
          <w:sz w:val="22"/>
          <w:szCs w:val="22"/>
        </w:rPr>
      </w:pPr>
      <w:r>
        <w:rPr>
          <w:rFonts w:ascii="Calibri" w:hAnsi="Calibri" w:cs="Calibri"/>
          <w:sz w:val="22"/>
          <w:szCs w:val="22"/>
        </w:rPr>
        <w:t>i</w:t>
      </w:r>
      <w:r w:rsidRPr="00843160">
        <w:rPr>
          <w:rFonts w:ascii="Calibri" w:hAnsi="Calibri" w:cs="Calibri"/>
          <w:sz w:val="22"/>
          <w:szCs w:val="22"/>
        </w:rPr>
        <w:t xml:space="preserve">ntellectual </w:t>
      </w:r>
      <w:r w:rsidR="00843160" w:rsidRPr="00843160">
        <w:rPr>
          <w:rFonts w:ascii="Calibri" w:hAnsi="Calibri" w:cs="Calibri"/>
          <w:sz w:val="22"/>
          <w:szCs w:val="22"/>
        </w:rPr>
        <w:t>property, insurances and other regulatory requirements;</w:t>
      </w:r>
    </w:p>
    <w:p w14:paraId="71DA46D0" w14:textId="77777777" w:rsidR="00843160" w:rsidRDefault="006811C4" w:rsidP="00843160">
      <w:pPr>
        <w:numPr>
          <w:ilvl w:val="0"/>
          <w:numId w:val="1"/>
        </w:numPr>
        <w:spacing w:before="100" w:after="100" w:line="260" w:lineRule="atLeast"/>
        <w:contextualSpacing/>
        <w:rPr>
          <w:rFonts w:ascii="Calibri" w:hAnsi="Calibri" w:cs="Calibri"/>
          <w:sz w:val="22"/>
          <w:szCs w:val="22"/>
        </w:rPr>
      </w:pPr>
      <w:r>
        <w:rPr>
          <w:rFonts w:ascii="Calibri" w:hAnsi="Calibri" w:cs="Calibri"/>
          <w:sz w:val="22"/>
          <w:szCs w:val="22"/>
        </w:rPr>
        <w:t>s</w:t>
      </w:r>
      <w:r w:rsidRPr="00843160">
        <w:rPr>
          <w:rFonts w:ascii="Calibri" w:hAnsi="Calibri" w:cs="Calibri"/>
          <w:sz w:val="22"/>
          <w:szCs w:val="22"/>
        </w:rPr>
        <w:t xml:space="preserve">ales </w:t>
      </w:r>
      <w:r w:rsidR="00843160" w:rsidRPr="00843160">
        <w:rPr>
          <w:rFonts w:ascii="Calibri" w:hAnsi="Calibri" w:cs="Calibri"/>
          <w:sz w:val="22"/>
          <w:szCs w:val="22"/>
        </w:rPr>
        <w:t>and marketing;</w:t>
      </w:r>
    </w:p>
    <w:p w14:paraId="5DDB9EB5" w14:textId="77777777" w:rsidR="006A6C4D" w:rsidRPr="00843160" w:rsidRDefault="006A6C4D" w:rsidP="00843160">
      <w:pPr>
        <w:numPr>
          <w:ilvl w:val="0"/>
          <w:numId w:val="1"/>
        </w:numPr>
        <w:spacing w:before="100" w:after="100" w:line="260" w:lineRule="atLeast"/>
        <w:contextualSpacing/>
        <w:rPr>
          <w:rFonts w:ascii="Calibri" w:hAnsi="Calibri" w:cs="Calibri"/>
          <w:sz w:val="22"/>
          <w:szCs w:val="22"/>
        </w:rPr>
      </w:pPr>
      <w:r>
        <w:rPr>
          <w:rFonts w:ascii="Calibri" w:hAnsi="Calibri" w:cs="Calibri"/>
          <w:sz w:val="22"/>
          <w:szCs w:val="22"/>
        </w:rPr>
        <w:t>after sales care;</w:t>
      </w:r>
    </w:p>
    <w:p w14:paraId="4D647D6A" w14:textId="77777777" w:rsidR="00843160" w:rsidRPr="00843160" w:rsidRDefault="00843160" w:rsidP="00843160">
      <w:pPr>
        <w:numPr>
          <w:ilvl w:val="0"/>
          <w:numId w:val="1"/>
        </w:numPr>
        <w:spacing w:before="100" w:after="100" w:line="260" w:lineRule="atLeast"/>
        <w:contextualSpacing/>
        <w:rPr>
          <w:rFonts w:ascii="Calibri" w:hAnsi="Calibri" w:cs="Calibri"/>
          <w:sz w:val="22"/>
          <w:szCs w:val="22"/>
        </w:rPr>
      </w:pPr>
      <w:r w:rsidRPr="00843160">
        <w:rPr>
          <w:rFonts w:ascii="Calibri" w:hAnsi="Calibri" w:cs="Calibri"/>
          <w:sz w:val="22"/>
          <w:szCs w:val="22"/>
        </w:rPr>
        <w:t>systems – information technology</w:t>
      </w:r>
      <w:r w:rsidR="006811C4">
        <w:rPr>
          <w:rFonts w:ascii="Calibri" w:hAnsi="Calibri" w:cs="Calibri"/>
          <w:sz w:val="22"/>
          <w:szCs w:val="22"/>
        </w:rPr>
        <w:t>,</w:t>
      </w:r>
      <w:r w:rsidRPr="00843160">
        <w:rPr>
          <w:rFonts w:ascii="Calibri" w:hAnsi="Calibri" w:cs="Calibri"/>
          <w:sz w:val="22"/>
          <w:szCs w:val="22"/>
        </w:rPr>
        <w:t xml:space="preserve"> machinery and maintenance</w:t>
      </w:r>
      <w:r w:rsidR="006811C4">
        <w:rPr>
          <w:rFonts w:ascii="Calibri" w:hAnsi="Calibri" w:cs="Calibri"/>
          <w:sz w:val="22"/>
          <w:szCs w:val="22"/>
        </w:rPr>
        <w:t>; and</w:t>
      </w:r>
    </w:p>
    <w:p w14:paraId="232C286C" w14:textId="77777777" w:rsidR="00843160" w:rsidRPr="00843160" w:rsidRDefault="00843160" w:rsidP="00AC4E1C">
      <w:pPr>
        <w:numPr>
          <w:ilvl w:val="0"/>
          <w:numId w:val="1"/>
        </w:numPr>
        <w:spacing w:before="100" w:after="100" w:line="260" w:lineRule="atLeast"/>
        <w:ind w:left="714" w:hanging="357"/>
        <w:rPr>
          <w:rFonts w:ascii="Calibri" w:hAnsi="Calibri" w:cs="Calibri"/>
          <w:sz w:val="22"/>
          <w:szCs w:val="22"/>
        </w:rPr>
      </w:pPr>
      <w:r w:rsidRPr="00843160">
        <w:rPr>
          <w:rFonts w:ascii="Calibri" w:hAnsi="Calibri" w:cs="Calibri"/>
          <w:sz w:val="22"/>
          <w:szCs w:val="22"/>
        </w:rPr>
        <w:t>relationships etc.</w:t>
      </w:r>
    </w:p>
    <w:p w14:paraId="701773B3" w14:textId="77777777" w:rsidR="00843160" w:rsidRDefault="00843160" w:rsidP="00843160">
      <w:pPr>
        <w:spacing w:before="100" w:after="100" w:line="260" w:lineRule="atLeast"/>
        <w:rPr>
          <w:rFonts w:ascii="Calibri" w:hAnsi="Calibri" w:cs="Calibri"/>
          <w:sz w:val="22"/>
          <w:szCs w:val="22"/>
        </w:rPr>
      </w:pPr>
      <w:r w:rsidRPr="00843160">
        <w:rPr>
          <w:rFonts w:ascii="Calibri" w:hAnsi="Calibri" w:cs="Calibri"/>
          <w:sz w:val="22"/>
          <w:szCs w:val="22"/>
        </w:rPr>
        <w:lastRenderedPageBreak/>
        <w:t>Generally</w:t>
      </w:r>
      <w:r w:rsidR="006811C4">
        <w:rPr>
          <w:rFonts w:ascii="Calibri" w:hAnsi="Calibri" w:cs="Calibri"/>
          <w:sz w:val="22"/>
          <w:szCs w:val="22"/>
        </w:rPr>
        <w:t>,</w:t>
      </w:r>
      <w:r w:rsidRPr="00843160">
        <w:rPr>
          <w:rFonts w:ascii="Calibri" w:hAnsi="Calibri" w:cs="Calibri"/>
          <w:sz w:val="22"/>
          <w:szCs w:val="22"/>
        </w:rPr>
        <w:t xml:space="preserve"> the more complex the supply chain, the more important it</w:t>
      </w:r>
      <w:r w:rsidR="006811C4">
        <w:rPr>
          <w:rFonts w:ascii="Calibri" w:hAnsi="Calibri" w:cs="Calibri"/>
          <w:sz w:val="22"/>
          <w:szCs w:val="22"/>
        </w:rPr>
        <w:t xml:space="preserve"> is</w:t>
      </w:r>
      <w:r w:rsidRPr="00843160">
        <w:rPr>
          <w:rFonts w:ascii="Calibri" w:hAnsi="Calibri" w:cs="Calibri"/>
          <w:sz w:val="22"/>
          <w:szCs w:val="22"/>
        </w:rPr>
        <w:t xml:space="preserve"> to influence the contracted supplier in their management of the supply chain.</w:t>
      </w:r>
      <w:r w:rsidR="00071E4D">
        <w:rPr>
          <w:rFonts w:ascii="Calibri" w:hAnsi="Calibri" w:cs="Calibri"/>
          <w:sz w:val="22"/>
          <w:szCs w:val="22"/>
        </w:rPr>
        <w:t xml:space="preserve">  </w:t>
      </w:r>
      <w:r w:rsidR="00797128">
        <w:rPr>
          <w:rFonts w:ascii="Calibri" w:hAnsi="Calibri" w:cs="Calibri"/>
          <w:sz w:val="22"/>
          <w:szCs w:val="22"/>
        </w:rPr>
        <w:t>Also,</w:t>
      </w:r>
      <w:r w:rsidR="00071E4D">
        <w:rPr>
          <w:rFonts w:ascii="Calibri" w:hAnsi="Calibri" w:cs="Calibri"/>
          <w:sz w:val="22"/>
          <w:szCs w:val="22"/>
        </w:rPr>
        <w:t xml:space="preserve"> the more sophisticated the market place, the better understanding the supplier has of the matters impacting their supply chain.</w:t>
      </w:r>
    </w:p>
    <w:p w14:paraId="4EBE8A45" w14:textId="50ABECC1" w:rsidR="00164638" w:rsidRPr="00843160" w:rsidRDefault="00164638" w:rsidP="00843160">
      <w:pPr>
        <w:spacing w:before="100" w:after="100" w:line="260" w:lineRule="atLeast"/>
        <w:rPr>
          <w:rFonts w:ascii="Calibri" w:hAnsi="Calibri" w:cs="Calibri"/>
          <w:sz w:val="22"/>
          <w:szCs w:val="22"/>
        </w:rPr>
      </w:pPr>
      <w:r>
        <w:rPr>
          <w:rFonts w:ascii="Calibri" w:hAnsi="Calibri" w:cs="Calibri"/>
          <w:sz w:val="22"/>
          <w:szCs w:val="22"/>
        </w:rPr>
        <w:t xml:space="preserve">It is recommended that supply chain analysis be undertaken for procurement determined as focused or strategic in complexity.  </w:t>
      </w:r>
      <w:r w:rsidR="006D2398">
        <w:rPr>
          <w:rFonts w:ascii="Calibri" w:hAnsi="Calibri" w:cs="Calibri"/>
          <w:sz w:val="22"/>
          <w:szCs w:val="22"/>
        </w:rPr>
        <w:t>For more information about complexity refer to the</w:t>
      </w:r>
      <w:r w:rsidR="005002C9">
        <w:rPr>
          <w:rFonts w:ascii="Calibri" w:hAnsi="Calibri" w:cs="Calibri"/>
          <w:sz w:val="22"/>
          <w:szCs w:val="22"/>
        </w:rPr>
        <w:t xml:space="preserve"> </w:t>
      </w:r>
      <w:hyperlink r:id="rId9" w:history="1">
        <w:r w:rsidR="005002C9" w:rsidRPr="007462A5">
          <w:rPr>
            <w:rStyle w:val="Hyperlink"/>
            <w:rFonts w:ascii="Calibri" w:hAnsi="Calibri" w:cs="Calibri"/>
            <w:sz w:val="22"/>
            <w:szCs w:val="22"/>
          </w:rPr>
          <w:t>C</w:t>
        </w:r>
        <w:r w:rsidR="006D2398" w:rsidRPr="007462A5">
          <w:rPr>
            <w:rStyle w:val="Hyperlink"/>
            <w:rFonts w:ascii="Calibri" w:hAnsi="Calibri" w:cs="Calibri"/>
            <w:sz w:val="22"/>
            <w:szCs w:val="22"/>
          </w:rPr>
          <w:t>omplexity</w:t>
        </w:r>
        <w:r w:rsidR="005002C9" w:rsidRPr="007462A5">
          <w:rPr>
            <w:rStyle w:val="Hyperlink"/>
            <w:rFonts w:ascii="Calibri" w:hAnsi="Calibri" w:cs="Calibri"/>
            <w:sz w:val="22"/>
            <w:szCs w:val="22"/>
          </w:rPr>
          <w:t xml:space="preserve"> – Goods and services procurement guide</w:t>
        </w:r>
      </w:hyperlink>
      <w:r w:rsidR="006D2398" w:rsidRPr="005002C9">
        <w:rPr>
          <w:rFonts w:ascii="Calibri" w:hAnsi="Calibri" w:cs="Calibri"/>
          <w:sz w:val="22"/>
          <w:szCs w:val="22"/>
        </w:rPr>
        <w:t>.</w:t>
      </w:r>
    </w:p>
    <w:p w14:paraId="7ECB56CC" w14:textId="77777777" w:rsidR="00843160" w:rsidRPr="00AC4E1C" w:rsidRDefault="00843160" w:rsidP="00AC4E1C">
      <w:pPr>
        <w:pStyle w:val="Heading2"/>
        <w:keepLines w:val="0"/>
        <w:spacing w:before="120" w:after="120" w:line="240" w:lineRule="auto"/>
        <w:rPr>
          <w:rFonts w:ascii="Calibri" w:eastAsia="Times New Roman" w:hAnsi="Calibri" w:cs="Calibri"/>
          <w:bCs w:val="0"/>
          <w:color w:val="7030A0"/>
          <w:spacing w:val="0"/>
          <w:szCs w:val="22"/>
          <w:lang w:eastAsia="en-US"/>
        </w:rPr>
      </w:pPr>
      <w:r w:rsidRPr="00AC4E1C">
        <w:rPr>
          <w:rFonts w:ascii="Calibri" w:eastAsia="Times New Roman" w:hAnsi="Calibri" w:cs="Calibri"/>
          <w:bCs w:val="0"/>
          <w:color w:val="7030A0"/>
          <w:spacing w:val="0"/>
          <w:szCs w:val="22"/>
          <w:lang w:eastAsia="en-US"/>
        </w:rPr>
        <w:t>Understanding the supply chain to achieve optimal value for money</w:t>
      </w:r>
    </w:p>
    <w:p w14:paraId="59CDD93A" w14:textId="77777777" w:rsidR="00843160" w:rsidRPr="00843160" w:rsidRDefault="00843160" w:rsidP="00843160">
      <w:pPr>
        <w:spacing w:before="100" w:after="100" w:line="260" w:lineRule="atLeast"/>
        <w:rPr>
          <w:rFonts w:ascii="Calibri" w:hAnsi="Calibri" w:cs="Calibri"/>
          <w:sz w:val="22"/>
          <w:szCs w:val="22"/>
        </w:rPr>
      </w:pPr>
      <w:r w:rsidRPr="00843160">
        <w:rPr>
          <w:rFonts w:ascii="Calibri" w:hAnsi="Calibri" w:cs="Calibri"/>
          <w:sz w:val="22"/>
          <w:szCs w:val="22"/>
        </w:rPr>
        <w:t xml:space="preserve">Understanding the supply chain for any goods and services will help a procurer understand what makes up the </w:t>
      </w:r>
      <w:r w:rsidR="00EA347E">
        <w:rPr>
          <w:rFonts w:ascii="Calibri" w:hAnsi="Calibri" w:cs="Calibri"/>
          <w:sz w:val="22"/>
          <w:szCs w:val="22"/>
        </w:rPr>
        <w:t>cost</w:t>
      </w:r>
      <w:r w:rsidRPr="00843160">
        <w:rPr>
          <w:rFonts w:ascii="Calibri" w:hAnsi="Calibri" w:cs="Calibri"/>
          <w:sz w:val="22"/>
          <w:szCs w:val="22"/>
        </w:rPr>
        <w:t xml:space="preserve"> of </w:t>
      </w:r>
      <w:r w:rsidR="00EA29D6">
        <w:rPr>
          <w:rFonts w:ascii="Calibri" w:hAnsi="Calibri" w:cs="Calibri"/>
          <w:sz w:val="22"/>
          <w:szCs w:val="22"/>
        </w:rPr>
        <w:t xml:space="preserve">the </w:t>
      </w:r>
      <w:r w:rsidRPr="00843160">
        <w:rPr>
          <w:rFonts w:ascii="Calibri" w:hAnsi="Calibri" w:cs="Calibri"/>
          <w:sz w:val="22"/>
          <w:szCs w:val="22"/>
        </w:rPr>
        <w:t>good and</w:t>
      </w:r>
      <w:r w:rsidR="00EA29D6">
        <w:rPr>
          <w:rFonts w:ascii="Calibri" w:hAnsi="Calibri" w:cs="Calibri"/>
          <w:sz w:val="22"/>
          <w:szCs w:val="22"/>
        </w:rPr>
        <w:t>/</w:t>
      </w:r>
      <w:r w:rsidRPr="00843160">
        <w:rPr>
          <w:rFonts w:ascii="Calibri" w:hAnsi="Calibri" w:cs="Calibri"/>
          <w:sz w:val="22"/>
          <w:szCs w:val="22"/>
        </w:rPr>
        <w:t xml:space="preserve">or service. Having intimate knowledge of what makes up the cost of delivering a good or service can help with the evaluation, negotiation and selection of a supplier. It can also help a procurer to identify what contributes to their value for money assessment. </w:t>
      </w:r>
    </w:p>
    <w:p w14:paraId="49136F7F" w14:textId="77777777" w:rsidR="00EA347E" w:rsidRPr="00843160" w:rsidRDefault="00843160" w:rsidP="00843160">
      <w:pPr>
        <w:spacing w:before="100" w:after="100" w:line="260" w:lineRule="atLeast"/>
        <w:rPr>
          <w:rFonts w:ascii="Calibri" w:hAnsi="Calibri" w:cs="Calibri"/>
          <w:sz w:val="22"/>
          <w:szCs w:val="22"/>
        </w:rPr>
      </w:pPr>
      <w:r w:rsidRPr="00843160">
        <w:rPr>
          <w:rFonts w:ascii="Calibri" w:hAnsi="Calibri" w:cs="Calibri"/>
          <w:sz w:val="22"/>
          <w:szCs w:val="22"/>
        </w:rPr>
        <w:t xml:space="preserve">A total cost of ownership analysis will look at the costs of acquiring, operating, maintaining and disposing or decommissioning procured goods or services, including revenue from disposal. Understanding the supply chain for each of these elements will help to determine the baseline cost of providing a good or service and identify the value add components which will contribute to the value for money </w:t>
      </w:r>
      <w:r w:rsidR="00C942FC" w:rsidRPr="00843160">
        <w:rPr>
          <w:rFonts w:ascii="Calibri" w:hAnsi="Calibri" w:cs="Calibri"/>
          <w:sz w:val="22"/>
          <w:szCs w:val="22"/>
        </w:rPr>
        <w:t>assessment?</w:t>
      </w:r>
    </w:p>
    <w:p w14:paraId="09A9246C" w14:textId="3C65B249" w:rsidR="00843160" w:rsidRPr="00600CCB" w:rsidRDefault="00843160" w:rsidP="00843160">
      <w:pPr>
        <w:spacing w:before="100" w:after="100" w:line="260" w:lineRule="atLeast"/>
        <w:rPr>
          <w:rFonts w:ascii="Calibri" w:hAnsi="Calibri" w:cs="Calibri"/>
          <w:sz w:val="22"/>
          <w:szCs w:val="22"/>
        </w:rPr>
      </w:pPr>
      <w:r w:rsidRPr="00843160">
        <w:rPr>
          <w:rFonts w:ascii="Calibri" w:hAnsi="Calibri" w:cs="Calibri"/>
          <w:sz w:val="22"/>
          <w:szCs w:val="22"/>
        </w:rPr>
        <w:t>For further information relating to the value for money refer to the</w:t>
      </w:r>
      <w:r w:rsidR="005002C9">
        <w:rPr>
          <w:rFonts w:ascii="Calibri" w:hAnsi="Calibri" w:cs="Calibri"/>
          <w:sz w:val="22"/>
          <w:szCs w:val="22"/>
        </w:rPr>
        <w:t xml:space="preserve"> </w:t>
      </w:r>
      <w:hyperlink r:id="rId10" w:history="1">
        <w:r w:rsidR="005002C9" w:rsidRPr="007462A5">
          <w:rPr>
            <w:rStyle w:val="Hyperlink"/>
            <w:rFonts w:ascii="Calibri" w:hAnsi="Calibri" w:cs="Calibri"/>
            <w:sz w:val="22"/>
            <w:szCs w:val="22"/>
          </w:rPr>
          <w:t>Achieving value for money - Goods and services procurement guide</w:t>
        </w:r>
      </w:hyperlink>
      <w:r w:rsidR="005002C9">
        <w:rPr>
          <w:rFonts w:ascii="Calibri" w:hAnsi="Calibri" w:cs="Calibri"/>
          <w:sz w:val="22"/>
          <w:szCs w:val="22"/>
        </w:rPr>
        <w:t>.</w:t>
      </w:r>
    </w:p>
    <w:p w14:paraId="38E6E913" w14:textId="77777777" w:rsidR="00843160" w:rsidRPr="00AC4E1C" w:rsidRDefault="00843160" w:rsidP="00AC4E1C">
      <w:pPr>
        <w:pStyle w:val="Heading2"/>
        <w:keepLines w:val="0"/>
        <w:spacing w:before="120" w:after="120" w:line="240" w:lineRule="auto"/>
        <w:rPr>
          <w:rFonts w:ascii="Calibri" w:eastAsia="Times New Roman" w:hAnsi="Calibri" w:cs="Calibri"/>
          <w:bCs w:val="0"/>
          <w:color w:val="7030A0"/>
          <w:spacing w:val="0"/>
          <w:szCs w:val="22"/>
          <w:lang w:eastAsia="en-US"/>
        </w:rPr>
      </w:pPr>
      <w:r w:rsidRPr="00AC4E1C">
        <w:rPr>
          <w:rFonts w:ascii="Calibri" w:eastAsia="Times New Roman" w:hAnsi="Calibri" w:cs="Calibri"/>
          <w:bCs w:val="0"/>
          <w:color w:val="7030A0"/>
          <w:spacing w:val="0"/>
          <w:szCs w:val="22"/>
          <w:lang w:eastAsia="en-US"/>
        </w:rPr>
        <w:t>Understanding the supply chain to mitigate risk</w:t>
      </w:r>
    </w:p>
    <w:p w14:paraId="0D884D54" w14:textId="77777777" w:rsidR="002F2A41" w:rsidRPr="00843160" w:rsidRDefault="00843160" w:rsidP="00843160">
      <w:pPr>
        <w:spacing w:before="100" w:after="100" w:line="260" w:lineRule="atLeast"/>
        <w:rPr>
          <w:rFonts w:ascii="Calibri" w:hAnsi="Calibri" w:cs="Calibri"/>
          <w:sz w:val="22"/>
          <w:szCs w:val="22"/>
        </w:rPr>
      </w:pPr>
      <w:r w:rsidRPr="00843160">
        <w:rPr>
          <w:rFonts w:ascii="Calibri" w:hAnsi="Calibri" w:cs="Calibri"/>
          <w:sz w:val="22"/>
          <w:szCs w:val="22"/>
        </w:rPr>
        <w:t>Another benefit of understanding the supply chain is to ensure strategies are in place to mitigate risk and a contingency plan i</w:t>
      </w:r>
      <w:r w:rsidR="00071E4D">
        <w:rPr>
          <w:rFonts w:ascii="Calibri" w:hAnsi="Calibri" w:cs="Calibri"/>
          <w:sz w:val="22"/>
          <w:szCs w:val="22"/>
        </w:rPr>
        <w:t>s in</w:t>
      </w:r>
      <w:r w:rsidRPr="00843160">
        <w:rPr>
          <w:rFonts w:ascii="Calibri" w:hAnsi="Calibri" w:cs="Calibri"/>
          <w:sz w:val="22"/>
          <w:szCs w:val="22"/>
        </w:rPr>
        <w:t xml:space="preserve"> place should the risk not be manageable. Knowing the risks that impact the supply chain help</w:t>
      </w:r>
      <w:r w:rsidR="00EA347E">
        <w:rPr>
          <w:rFonts w:ascii="Calibri" w:hAnsi="Calibri" w:cs="Calibri"/>
          <w:sz w:val="22"/>
          <w:szCs w:val="22"/>
        </w:rPr>
        <w:t>s</w:t>
      </w:r>
      <w:r w:rsidRPr="00843160">
        <w:rPr>
          <w:rFonts w:ascii="Calibri" w:hAnsi="Calibri" w:cs="Calibri"/>
          <w:sz w:val="22"/>
          <w:szCs w:val="22"/>
        </w:rPr>
        <w:t xml:space="preserve"> to establish better risk allocation between parties</w:t>
      </w:r>
      <w:r w:rsidR="00071E4D">
        <w:rPr>
          <w:rFonts w:ascii="Calibri" w:hAnsi="Calibri" w:cs="Calibri"/>
          <w:sz w:val="22"/>
          <w:szCs w:val="22"/>
        </w:rPr>
        <w:t xml:space="preserve"> </w:t>
      </w:r>
      <w:r w:rsidR="00C942FC">
        <w:rPr>
          <w:rFonts w:ascii="Calibri" w:hAnsi="Calibri" w:cs="Calibri"/>
          <w:sz w:val="22"/>
          <w:szCs w:val="22"/>
        </w:rPr>
        <w:t>and what</w:t>
      </w:r>
      <w:r w:rsidR="007D4EB8">
        <w:rPr>
          <w:rFonts w:ascii="Calibri" w:hAnsi="Calibri" w:cs="Calibri"/>
          <w:sz w:val="22"/>
          <w:szCs w:val="22"/>
        </w:rPr>
        <w:t xml:space="preserve"> </w:t>
      </w:r>
      <w:r w:rsidR="00071E4D">
        <w:rPr>
          <w:rFonts w:ascii="Calibri" w:hAnsi="Calibri" w:cs="Calibri"/>
          <w:sz w:val="22"/>
          <w:szCs w:val="22"/>
        </w:rPr>
        <w:t>contribute</w:t>
      </w:r>
      <w:r w:rsidR="007D4EB8">
        <w:rPr>
          <w:rFonts w:ascii="Calibri" w:hAnsi="Calibri" w:cs="Calibri"/>
          <w:sz w:val="22"/>
          <w:szCs w:val="22"/>
        </w:rPr>
        <w:t>s</w:t>
      </w:r>
      <w:r w:rsidR="00071E4D">
        <w:rPr>
          <w:rFonts w:ascii="Calibri" w:hAnsi="Calibri" w:cs="Calibri"/>
          <w:sz w:val="22"/>
          <w:szCs w:val="22"/>
        </w:rPr>
        <w:t xml:space="preserve"> to the value for money assessment.</w:t>
      </w:r>
    </w:p>
    <w:p w14:paraId="410B57AC" w14:textId="77777777" w:rsidR="002F2A41" w:rsidRDefault="00843160" w:rsidP="00843160">
      <w:pPr>
        <w:spacing w:before="100" w:after="100" w:line="260" w:lineRule="atLeast"/>
        <w:rPr>
          <w:rFonts w:ascii="Calibri" w:hAnsi="Calibri" w:cs="Calibri"/>
          <w:sz w:val="22"/>
          <w:szCs w:val="22"/>
        </w:rPr>
      </w:pPr>
      <w:r w:rsidRPr="00843160">
        <w:rPr>
          <w:rFonts w:ascii="Calibri" w:hAnsi="Calibri" w:cs="Calibri"/>
          <w:sz w:val="22"/>
          <w:szCs w:val="22"/>
        </w:rPr>
        <w:t xml:space="preserve">Depending on the complexity of the procurement being undertaken, consideration should be given to identifying supply chain risks and the management of them. </w:t>
      </w:r>
      <w:r w:rsidR="00BF1EDE">
        <w:rPr>
          <w:rFonts w:ascii="Calibri" w:hAnsi="Calibri" w:cs="Calibri"/>
          <w:sz w:val="22"/>
          <w:szCs w:val="22"/>
        </w:rPr>
        <w:t>R</w:t>
      </w:r>
      <w:r w:rsidRPr="00843160">
        <w:rPr>
          <w:rFonts w:ascii="Calibri" w:hAnsi="Calibri" w:cs="Calibri"/>
          <w:sz w:val="22"/>
          <w:szCs w:val="22"/>
        </w:rPr>
        <w:t xml:space="preserve">isks should be managed at four stages </w:t>
      </w:r>
      <w:r w:rsidR="00BF1EDE">
        <w:rPr>
          <w:rFonts w:ascii="Calibri" w:hAnsi="Calibri" w:cs="Calibri"/>
          <w:sz w:val="22"/>
          <w:szCs w:val="22"/>
        </w:rPr>
        <w:t>of</w:t>
      </w:r>
      <w:r w:rsidR="00BF1EDE" w:rsidRPr="00843160">
        <w:rPr>
          <w:rFonts w:ascii="Calibri" w:hAnsi="Calibri" w:cs="Calibri"/>
          <w:sz w:val="22"/>
          <w:szCs w:val="22"/>
        </w:rPr>
        <w:t xml:space="preserve"> </w:t>
      </w:r>
      <w:r w:rsidRPr="00843160">
        <w:rPr>
          <w:rFonts w:ascii="Calibri" w:hAnsi="Calibri" w:cs="Calibri"/>
          <w:sz w:val="22"/>
          <w:szCs w:val="22"/>
        </w:rPr>
        <w:t xml:space="preserve">the procurement life cycle, the planning stage, through market engagement, the evaluation process and contract management. </w:t>
      </w:r>
      <w:r w:rsidR="002F2A41">
        <w:rPr>
          <w:rFonts w:ascii="Calibri" w:hAnsi="Calibri" w:cs="Calibri"/>
          <w:sz w:val="22"/>
          <w:szCs w:val="22"/>
        </w:rPr>
        <w:t xml:space="preserve"> </w:t>
      </w:r>
    </w:p>
    <w:p w14:paraId="6B2F3840" w14:textId="77777777" w:rsidR="00843160" w:rsidRPr="00843160" w:rsidRDefault="002F2A41" w:rsidP="00843160">
      <w:pPr>
        <w:spacing w:before="100" w:after="100" w:line="260" w:lineRule="atLeast"/>
        <w:rPr>
          <w:rFonts w:ascii="Calibri" w:hAnsi="Calibri" w:cs="Calibri"/>
          <w:sz w:val="22"/>
          <w:szCs w:val="22"/>
        </w:rPr>
      </w:pPr>
      <w:r>
        <w:rPr>
          <w:rFonts w:ascii="Calibri" w:hAnsi="Calibri" w:cs="Calibri"/>
          <w:sz w:val="22"/>
          <w:szCs w:val="22"/>
        </w:rPr>
        <w:t xml:space="preserve">Once the supply chain is mapped out, a risk assessment should be undertaken for each element.  </w:t>
      </w:r>
      <w:r w:rsidR="00843160" w:rsidRPr="00843160">
        <w:rPr>
          <w:rFonts w:ascii="Calibri" w:hAnsi="Calibri" w:cs="Calibri"/>
          <w:sz w:val="22"/>
          <w:szCs w:val="22"/>
        </w:rPr>
        <w:t>The process could be as follows:</w:t>
      </w:r>
    </w:p>
    <w:p w14:paraId="0D8DD621" w14:textId="77777777" w:rsidR="00843160" w:rsidRPr="002D3516" w:rsidRDefault="00D6761B" w:rsidP="002D3516">
      <w:pPr>
        <w:pStyle w:val="Heading3"/>
        <w:rPr>
          <w:rFonts w:ascii="Calibri" w:hAnsi="Calibri" w:cs="Calibri"/>
          <w:color w:val="7030A0"/>
          <w:sz w:val="24"/>
          <w:szCs w:val="24"/>
        </w:rPr>
      </w:pPr>
      <w:r w:rsidRPr="002D3516">
        <w:rPr>
          <w:rFonts w:ascii="Calibri" w:hAnsi="Calibri" w:cs="Calibri"/>
          <w:color w:val="7030A0"/>
          <w:sz w:val="24"/>
          <w:szCs w:val="24"/>
        </w:rPr>
        <w:t>Establish</w:t>
      </w:r>
      <w:r w:rsidR="00843160" w:rsidRPr="002D3516">
        <w:rPr>
          <w:rFonts w:ascii="Calibri" w:hAnsi="Calibri" w:cs="Calibri"/>
          <w:color w:val="7030A0"/>
          <w:sz w:val="24"/>
          <w:szCs w:val="24"/>
        </w:rPr>
        <w:t xml:space="preserve"> </w:t>
      </w:r>
      <w:r w:rsidRPr="002D3516">
        <w:rPr>
          <w:rFonts w:ascii="Calibri" w:hAnsi="Calibri" w:cs="Calibri"/>
          <w:color w:val="7030A0"/>
          <w:sz w:val="24"/>
          <w:szCs w:val="24"/>
        </w:rPr>
        <w:t>and identify the risk</w:t>
      </w:r>
    </w:p>
    <w:p w14:paraId="155C729A" w14:textId="77777777" w:rsidR="00D6761B" w:rsidRPr="00843160" w:rsidRDefault="00D6761B" w:rsidP="00D6761B">
      <w:pPr>
        <w:spacing w:before="100" w:after="100" w:line="260" w:lineRule="atLeast"/>
        <w:rPr>
          <w:rFonts w:ascii="Calibri" w:hAnsi="Calibri" w:cs="Calibri"/>
          <w:sz w:val="22"/>
          <w:szCs w:val="22"/>
        </w:rPr>
      </w:pPr>
      <w:r>
        <w:rPr>
          <w:rFonts w:ascii="Calibri" w:hAnsi="Calibri" w:cs="Calibri"/>
          <w:sz w:val="22"/>
          <w:szCs w:val="22"/>
        </w:rPr>
        <w:t>I</w:t>
      </w:r>
      <w:r w:rsidRPr="00843160">
        <w:rPr>
          <w:rFonts w:ascii="Calibri" w:hAnsi="Calibri" w:cs="Calibri"/>
          <w:sz w:val="22"/>
          <w:szCs w:val="22"/>
        </w:rPr>
        <w:t>dentify the risks to be managed. Focus on identifying:</w:t>
      </w:r>
    </w:p>
    <w:p w14:paraId="16A543C8" w14:textId="77777777" w:rsidR="00D6761B" w:rsidRDefault="00D6761B" w:rsidP="00D6761B">
      <w:pPr>
        <w:numPr>
          <w:ilvl w:val="0"/>
          <w:numId w:val="5"/>
        </w:numPr>
        <w:spacing w:before="100" w:after="100" w:line="260" w:lineRule="atLeast"/>
        <w:contextualSpacing/>
        <w:rPr>
          <w:rFonts w:ascii="Calibri" w:hAnsi="Calibri" w:cs="Calibri"/>
          <w:sz w:val="22"/>
          <w:szCs w:val="22"/>
        </w:rPr>
      </w:pPr>
      <w:r w:rsidRPr="00843160">
        <w:rPr>
          <w:rFonts w:ascii="Calibri" w:hAnsi="Calibri" w:cs="Calibri"/>
          <w:sz w:val="22"/>
          <w:szCs w:val="22"/>
        </w:rPr>
        <w:t>what can happen (events/incidents)</w:t>
      </w:r>
      <w:r>
        <w:rPr>
          <w:rFonts w:ascii="Calibri" w:hAnsi="Calibri" w:cs="Calibri"/>
          <w:sz w:val="22"/>
          <w:szCs w:val="22"/>
        </w:rPr>
        <w:t>;</w:t>
      </w:r>
    </w:p>
    <w:p w14:paraId="5D260E38" w14:textId="77777777" w:rsidR="00D6761B" w:rsidRDefault="00D6761B" w:rsidP="00D6761B">
      <w:pPr>
        <w:numPr>
          <w:ilvl w:val="0"/>
          <w:numId w:val="5"/>
        </w:numPr>
        <w:spacing w:before="100" w:after="100" w:line="260" w:lineRule="atLeast"/>
        <w:contextualSpacing/>
        <w:rPr>
          <w:rFonts w:ascii="Calibri" w:hAnsi="Calibri" w:cs="Calibri"/>
          <w:sz w:val="22"/>
          <w:szCs w:val="22"/>
        </w:rPr>
      </w:pPr>
      <w:r w:rsidRPr="00843160">
        <w:rPr>
          <w:rFonts w:ascii="Calibri" w:hAnsi="Calibri" w:cs="Calibri"/>
          <w:sz w:val="22"/>
          <w:szCs w:val="22"/>
        </w:rPr>
        <w:t>what are the causes?</w:t>
      </w:r>
    </w:p>
    <w:p w14:paraId="17FC6DE3" w14:textId="77777777" w:rsidR="00843160" w:rsidRPr="00843160" w:rsidRDefault="00380935" w:rsidP="00843160">
      <w:pPr>
        <w:spacing w:before="100" w:after="100" w:line="260" w:lineRule="atLeast"/>
        <w:rPr>
          <w:rFonts w:ascii="Calibri" w:hAnsi="Calibri" w:cs="Calibri"/>
          <w:sz w:val="22"/>
          <w:szCs w:val="22"/>
        </w:rPr>
      </w:pPr>
      <w:r>
        <w:rPr>
          <w:rFonts w:ascii="Calibri" w:hAnsi="Calibri" w:cs="Calibri"/>
          <w:sz w:val="22"/>
          <w:szCs w:val="22"/>
        </w:rPr>
        <w:t>e.</w:t>
      </w:r>
      <w:r w:rsidR="00D6761B">
        <w:rPr>
          <w:rFonts w:ascii="Calibri" w:hAnsi="Calibri" w:cs="Calibri"/>
          <w:sz w:val="22"/>
          <w:szCs w:val="22"/>
        </w:rPr>
        <w:t>g</w:t>
      </w:r>
      <w:r>
        <w:rPr>
          <w:rFonts w:ascii="Calibri" w:hAnsi="Calibri" w:cs="Calibri"/>
          <w:sz w:val="22"/>
          <w:szCs w:val="22"/>
        </w:rPr>
        <w:t>.</w:t>
      </w:r>
      <w:r w:rsidR="00D6761B">
        <w:rPr>
          <w:rFonts w:ascii="Calibri" w:hAnsi="Calibri" w:cs="Calibri"/>
          <w:sz w:val="22"/>
          <w:szCs w:val="22"/>
        </w:rPr>
        <w:t xml:space="preserve"> raw materials could be impacted by climate factors, labour could be impacted by industrial relation disputes.</w:t>
      </w:r>
    </w:p>
    <w:p w14:paraId="4A105463" w14:textId="77777777" w:rsidR="00843160" w:rsidRPr="00C04827" w:rsidRDefault="00843160" w:rsidP="00C04827">
      <w:pPr>
        <w:pStyle w:val="Heading3"/>
        <w:rPr>
          <w:rFonts w:ascii="Calibri" w:hAnsi="Calibri" w:cs="Calibri"/>
          <w:color w:val="7030A0"/>
          <w:sz w:val="24"/>
          <w:szCs w:val="24"/>
        </w:rPr>
      </w:pPr>
      <w:r w:rsidRPr="00C04827">
        <w:rPr>
          <w:rFonts w:ascii="Calibri" w:hAnsi="Calibri" w:cs="Calibri"/>
          <w:color w:val="7030A0"/>
          <w:sz w:val="24"/>
          <w:szCs w:val="24"/>
        </w:rPr>
        <w:t>Analyse the risk</w:t>
      </w:r>
    </w:p>
    <w:p w14:paraId="6F823945" w14:textId="77777777" w:rsidR="00554F38" w:rsidRDefault="00843160" w:rsidP="00843160">
      <w:pPr>
        <w:spacing w:before="100" w:after="100" w:line="260" w:lineRule="atLeast"/>
        <w:rPr>
          <w:rFonts w:ascii="Calibri" w:hAnsi="Calibri" w:cs="Calibri"/>
          <w:sz w:val="22"/>
          <w:szCs w:val="22"/>
        </w:rPr>
      </w:pPr>
      <w:r w:rsidRPr="00843160">
        <w:rPr>
          <w:rFonts w:ascii="Calibri" w:hAnsi="Calibri" w:cs="Calibri"/>
          <w:sz w:val="22"/>
          <w:szCs w:val="22"/>
        </w:rPr>
        <w:t>The purpose of risk analysis is</w:t>
      </w:r>
      <w:r w:rsidR="001153AA">
        <w:rPr>
          <w:rFonts w:ascii="Calibri" w:hAnsi="Calibri" w:cs="Calibri"/>
          <w:sz w:val="22"/>
          <w:szCs w:val="22"/>
        </w:rPr>
        <w:t xml:space="preserve"> to</w:t>
      </w:r>
      <w:r w:rsidRPr="00843160">
        <w:rPr>
          <w:rFonts w:ascii="Calibri" w:hAnsi="Calibri" w:cs="Calibri"/>
          <w:sz w:val="22"/>
          <w:szCs w:val="22"/>
        </w:rPr>
        <w:t xml:space="preserve"> </w:t>
      </w:r>
      <w:r w:rsidR="00ED156D">
        <w:rPr>
          <w:rFonts w:ascii="Calibri" w:hAnsi="Calibri" w:cs="Calibri"/>
          <w:sz w:val="22"/>
          <w:szCs w:val="22"/>
        </w:rPr>
        <w:t>further understand</w:t>
      </w:r>
      <w:r w:rsidR="00B23368">
        <w:rPr>
          <w:rFonts w:ascii="Calibri" w:hAnsi="Calibri" w:cs="Calibri"/>
          <w:sz w:val="22"/>
          <w:szCs w:val="22"/>
        </w:rPr>
        <w:t xml:space="preserve"> the identified</w:t>
      </w:r>
      <w:r w:rsidR="00ED156D">
        <w:rPr>
          <w:rFonts w:ascii="Calibri" w:hAnsi="Calibri" w:cs="Calibri"/>
          <w:sz w:val="22"/>
          <w:szCs w:val="22"/>
        </w:rPr>
        <w:t xml:space="preserve"> risk:</w:t>
      </w:r>
      <w:r w:rsidRPr="00843160">
        <w:rPr>
          <w:rFonts w:ascii="Calibri" w:hAnsi="Calibri" w:cs="Calibri"/>
          <w:sz w:val="22"/>
          <w:szCs w:val="22"/>
        </w:rPr>
        <w:t xml:space="preserve"> </w:t>
      </w:r>
    </w:p>
    <w:p w14:paraId="71DC0E10" w14:textId="77777777" w:rsidR="00554F38" w:rsidRDefault="00ED156D" w:rsidP="00554F38">
      <w:pPr>
        <w:numPr>
          <w:ilvl w:val="0"/>
          <w:numId w:val="5"/>
        </w:numPr>
        <w:spacing w:before="100" w:after="100" w:line="260" w:lineRule="atLeast"/>
        <w:contextualSpacing/>
        <w:rPr>
          <w:rFonts w:ascii="Calibri" w:hAnsi="Calibri" w:cs="Calibri"/>
          <w:sz w:val="22"/>
          <w:szCs w:val="22"/>
        </w:rPr>
      </w:pPr>
      <w:r>
        <w:rPr>
          <w:rFonts w:ascii="Calibri" w:hAnsi="Calibri" w:cs="Calibri"/>
          <w:sz w:val="22"/>
          <w:szCs w:val="22"/>
        </w:rPr>
        <w:t>w</w:t>
      </w:r>
      <w:r w:rsidR="00554F38" w:rsidRPr="00843160">
        <w:rPr>
          <w:rFonts w:ascii="Calibri" w:hAnsi="Calibri" w:cs="Calibri"/>
          <w:sz w:val="22"/>
          <w:szCs w:val="22"/>
        </w:rPr>
        <w:t>hat is the like</w:t>
      </w:r>
      <w:r w:rsidR="007A70A0">
        <w:rPr>
          <w:rFonts w:ascii="Calibri" w:hAnsi="Calibri" w:cs="Calibri"/>
          <w:sz w:val="22"/>
          <w:szCs w:val="22"/>
        </w:rPr>
        <w:t>lihood of the risk occurring?</w:t>
      </w:r>
    </w:p>
    <w:p w14:paraId="221481B6" w14:textId="77777777" w:rsidR="00554F38" w:rsidRPr="00843160" w:rsidRDefault="00554F38" w:rsidP="00554F38">
      <w:pPr>
        <w:numPr>
          <w:ilvl w:val="0"/>
          <w:numId w:val="5"/>
        </w:numPr>
        <w:spacing w:before="100" w:after="100" w:line="260" w:lineRule="atLeast"/>
        <w:contextualSpacing/>
        <w:rPr>
          <w:rFonts w:ascii="Calibri" w:hAnsi="Calibri" w:cs="Calibri"/>
          <w:sz w:val="22"/>
          <w:szCs w:val="22"/>
        </w:rPr>
      </w:pPr>
      <w:r w:rsidRPr="00843160">
        <w:rPr>
          <w:rFonts w:ascii="Calibri" w:hAnsi="Calibri" w:cs="Calibri"/>
          <w:sz w:val="22"/>
          <w:szCs w:val="22"/>
        </w:rPr>
        <w:t>what are the consequences if the risk eventuates?</w:t>
      </w:r>
      <w:r w:rsidR="007A70A0">
        <w:rPr>
          <w:rFonts w:ascii="Calibri" w:hAnsi="Calibri" w:cs="Calibri"/>
          <w:sz w:val="22"/>
          <w:szCs w:val="22"/>
        </w:rPr>
        <w:t xml:space="preserve"> and</w:t>
      </w:r>
    </w:p>
    <w:p w14:paraId="07C0ED60" w14:textId="77777777" w:rsidR="00554F38" w:rsidRDefault="00554F38" w:rsidP="00D71186">
      <w:pPr>
        <w:numPr>
          <w:ilvl w:val="0"/>
          <w:numId w:val="5"/>
        </w:numPr>
        <w:spacing w:before="100" w:after="100" w:line="260" w:lineRule="atLeast"/>
        <w:ind w:left="714" w:hanging="357"/>
        <w:rPr>
          <w:rFonts w:ascii="Calibri" w:hAnsi="Calibri" w:cs="Calibri"/>
          <w:sz w:val="22"/>
          <w:szCs w:val="22"/>
        </w:rPr>
      </w:pPr>
      <w:r w:rsidRPr="00843160">
        <w:rPr>
          <w:rFonts w:ascii="Calibri" w:hAnsi="Calibri" w:cs="Calibri"/>
          <w:sz w:val="22"/>
          <w:szCs w:val="22"/>
        </w:rPr>
        <w:t xml:space="preserve">what controls </w:t>
      </w:r>
      <w:r>
        <w:rPr>
          <w:rFonts w:ascii="Calibri" w:hAnsi="Calibri" w:cs="Calibri"/>
          <w:sz w:val="22"/>
          <w:szCs w:val="22"/>
        </w:rPr>
        <w:t>are</w:t>
      </w:r>
      <w:r w:rsidRPr="00843160">
        <w:rPr>
          <w:rFonts w:ascii="Calibri" w:hAnsi="Calibri" w:cs="Calibri"/>
          <w:sz w:val="22"/>
          <w:szCs w:val="22"/>
        </w:rPr>
        <w:t xml:space="preserve"> currently in place and how effective are they?</w:t>
      </w:r>
    </w:p>
    <w:p w14:paraId="51B100FA" w14:textId="77777777" w:rsidR="00554F38" w:rsidRDefault="00380935" w:rsidP="00D6761B">
      <w:pPr>
        <w:spacing w:before="100" w:after="100" w:line="260" w:lineRule="atLeast"/>
        <w:contextualSpacing/>
        <w:rPr>
          <w:rFonts w:ascii="Calibri" w:hAnsi="Calibri" w:cs="Calibri"/>
          <w:b/>
          <w:color w:val="4D4D4D"/>
          <w:sz w:val="24"/>
          <w:szCs w:val="22"/>
        </w:rPr>
      </w:pPr>
      <w:r>
        <w:rPr>
          <w:rFonts w:ascii="Calibri" w:hAnsi="Calibri" w:cs="Calibri"/>
          <w:sz w:val="22"/>
          <w:szCs w:val="22"/>
        </w:rPr>
        <w:t>e.</w:t>
      </w:r>
      <w:r w:rsidR="00D6761B">
        <w:rPr>
          <w:rFonts w:ascii="Calibri" w:hAnsi="Calibri" w:cs="Calibri"/>
          <w:sz w:val="22"/>
          <w:szCs w:val="22"/>
        </w:rPr>
        <w:t>g</w:t>
      </w:r>
      <w:r>
        <w:rPr>
          <w:rFonts w:ascii="Calibri" w:hAnsi="Calibri" w:cs="Calibri"/>
          <w:sz w:val="22"/>
          <w:szCs w:val="22"/>
        </w:rPr>
        <w:t>.</w:t>
      </w:r>
      <w:r w:rsidR="00D6761B">
        <w:rPr>
          <w:rFonts w:ascii="Calibri" w:hAnsi="Calibri" w:cs="Calibri"/>
          <w:sz w:val="22"/>
          <w:szCs w:val="22"/>
        </w:rPr>
        <w:t xml:space="preserve"> the likeliness of a drought in outback Australia is high, where does the supplier source their raw materials from?  Is the raw material readily available?</w:t>
      </w:r>
      <w:r>
        <w:rPr>
          <w:rFonts w:ascii="Calibri" w:hAnsi="Calibri" w:cs="Calibri"/>
          <w:sz w:val="22"/>
          <w:szCs w:val="22"/>
        </w:rPr>
        <w:t xml:space="preserve"> What is the likelihood of the labour content being impacted by industrial disputes?</w:t>
      </w:r>
      <w:r w:rsidR="00D6761B">
        <w:rPr>
          <w:rFonts w:ascii="Calibri" w:hAnsi="Calibri" w:cs="Calibri"/>
          <w:sz w:val="22"/>
          <w:szCs w:val="22"/>
        </w:rPr>
        <w:t xml:space="preserve"> </w:t>
      </w:r>
    </w:p>
    <w:p w14:paraId="0E7F6A37" w14:textId="77777777" w:rsidR="00843160" w:rsidRPr="00C04827" w:rsidRDefault="00843160" w:rsidP="00C04827">
      <w:pPr>
        <w:pStyle w:val="Heading3"/>
        <w:rPr>
          <w:rFonts w:ascii="Calibri" w:hAnsi="Calibri" w:cs="Calibri"/>
          <w:color w:val="7030A0"/>
          <w:sz w:val="24"/>
          <w:szCs w:val="24"/>
        </w:rPr>
      </w:pPr>
      <w:r w:rsidRPr="00C04827">
        <w:rPr>
          <w:rFonts w:ascii="Calibri" w:hAnsi="Calibri" w:cs="Calibri"/>
          <w:color w:val="7030A0"/>
          <w:sz w:val="24"/>
          <w:szCs w:val="24"/>
        </w:rPr>
        <w:lastRenderedPageBreak/>
        <w:t>Evaluate the risk</w:t>
      </w:r>
    </w:p>
    <w:p w14:paraId="491A68F7" w14:textId="77777777" w:rsidR="00843160" w:rsidRPr="00843160" w:rsidRDefault="00843160" w:rsidP="00843160">
      <w:pPr>
        <w:spacing w:before="100" w:after="100" w:line="260" w:lineRule="atLeast"/>
        <w:rPr>
          <w:rFonts w:ascii="Calibri" w:hAnsi="Calibri" w:cs="Calibri"/>
          <w:sz w:val="22"/>
          <w:szCs w:val="22"/>
        </w:rPr>
      </w:pPr>
      <w:r w:rsidRPr="00843160">
        <w:rPr>
          <w:rFonts w:ascii="Calibri" w:hAnsi="Calibri" w:cs="Calibri"/>
          <w:sz w:val="22"/>
          <w:szCs w:val="22"/>
        </w:rPr>
        <w:t>The supply chain risk evaluation process should focus on t</w:t>
      </w:r>
      <w:r w:rsidR="00554F38">
        <w:rPr>
          <w:rFonts w:ascii="Calibri" w:hAnsi="Calibri" w:cs="Calibri"/>
          <w:sz w:val="22"/>
          <w:szCs w:val="22"/>
        </w:rPr>
        <w:t xml:space="preserve">he extent to which a risk is </w:t>
      </w:r>
      <w:r w:rsidRPr="00843160">
        <w:rPr>
          <w:rFonts w:ascii="Calibri" w:hAnsi="Calibri" w:cs="Calibri"/>
          <w:sz w:val="22"/>
          <w:szCs w:val="22"/>
        </w:rPr>
        <w:t xml:space="preserve">acceptable or unacceptable.  A risk is deemed acceptable where existing controls are considered effective </w:t>
      </w:r>
      <w:r w:rsidR="009C3E32">
        <w:rPr>
          <w:rFonts w:ascii="Calibri" w:hAnsi="Calibri" w:cs="Calibri"/>
          <w:sz w:val="22"/>
          <w:szCs w:val="22"/>
        </w:rPr>
        <w:t>and should the risk eventuate the likely impact affecting the successfully delivery of the good and or service is minimal</w:t>
      </w:r>
      <w:r w:rsidRPr="00843160">
        <w:rPr>
          <w:rFonts w:ascii="Calibri" w:hAnsi="Calibri" w:cs="Calibri"/>
          <w:sz w:val="22"/>
          <w:szCs w:val="22"/>
        </w:rPr>
        <w:t>.</w:t>
      </w:r>
    </w:p>
    <w:p w14:paraId="1539B349" w14:textId="77777777" w:rsidR="00843160" w:rsidRDefault="00843160" w:rsidP="00843160">
      <w:pPr>
        <w:spacing w:before="100" w:after="100" w:line="260" w:lineRule="atLeast"/>
        <w:rPr>
          <w:rFonts w:ascii="Calibri" w:hAnsi="Calibri" w:cs="Calibri"/>
          <w:sz w:val="22"/>
          <w:szCs w:val="22"/>
        </w:rPr>
      </w:pPr>
      <w:r w:rsidRPr="00843160">
        <w:rPr>
          <w:rFonts w:ascii="Calibri" w:hAnsi="Calibri" w:cs="Calibri"/>
          <w:sz w:val="22"/>
          <w:szCs w:val="22"/>
        </w:rPr>
        <w:t xml:space="preserve">If a risk falls into the unacceptable risk category, the risk must be </w:t>
      </w:r>
      <w:r w:rsidR="00BD45F5" w:rsidRPr="00843160">
        <w:rPr>
          <w:rFonts w:ascii="Calibri" w:hAnsi="Calibri" w:cs="Calibri"/>
          <w:sz w:val="22"/>
          <w:szCs w:val="22"/>
        </w:rPr>
        <w:t>prioritised,</w:t>
      </w:r>
      <w:r w:rsidRPr="00843160">
        <w:rPr>
          <w:rFonts w:ascii="Calibri" w:hAnsi="Calibri" w:cs="Calibri"/>
          <w:sz w:val="22"/>
          <w:szCs w:val="22"/>
        </w:rPr>
        <w:t xml:space="preserve"> and appropriate treatment plans developed and implemented. </w:t>
      </w:r>
      <w:r w:rsidR="00276429" w:rsidRPr="00843160">
        <w:rPr>
          <w:rFonts w:ascii="Calibri" w:hAnsi="Calibri" w:cs="Calibri"/>
          <w:sz w:val="22"/>
          <w:szCs w:val="22"/>
        </w:rPr>
        <w:t>Prioritis</w:t>
      </w:r>
      <w:r w:rsidR="00276429">
        <w:rPr>
          <w:rFonts w:ascii="Calibri" w:hAnsi="Calibri" w:cs="Calibri"/>
          <w:sz w:val="22"/>
          <w:szCs w:val="22"/>
        </w:rPr>
        <w:t>ation</w:t>
      </w:r>
      <w:r w:rsidR="00276429" w:rsidRPr="00843160">
        <w:rPr>
          <w:rFonts w:ascii="Calibri" w:hAnsi="Calibri" w:cs="Calibri"/>
          <w:sz w:val="22"/>
          <w:szCs w:val="22"/>
        </w:rPr>
        <w:t xml:space="preserve"> </w:t>
      </w:r>
      <w:r w:rsidRPr="00843160">
        <w:rPr>
          <w:rFonts w:ascii="Calibri" w:hAnsi="Calibri" w:cs="Calibri"/>
          <w:sz w:val="22"/>
          <w:szCs w:val="22"/>
        </w:rPr>
        <w:t>of risks should be undertaken in consultation with the end user of the good or service. The risk assessment will contribute to the value for money assessment of offers.</w:t>
      </w:r>
    </w:p>
    <w:p w14:paraId="619FAC0B" w14:textId="7E481943" w:rsidR="00380935" w:rsidRDefault="00380935" w:rsidP="00843160">
      <w:pPr>
        <w:spacing w:before="100" w:after="100" w:line="260" w:lineRule="atLeast"/>
        <w:rPr>
          <w:rFonts w:ascii="Calibri" w:hAnsi="Calibri" w:cs="Calibri"/>
          <w:sz w:val="22"/>
          <w:szCs w:val="22"/>
        </w:rPr>
      </w:pPr>
      <w:r>
        <w:rPr>
          <w:rFonts w:ascii="Calibri" w:hAnsi="Calibri" w:cs="Calibri"/>
          <w:sz w:val="22"/>
          <w:szCs w:val="22"/>
        </w:rPr>
        <w:t xml:space="preserve">e.g. can the raw material be </w:t>
      </w:r>
      <w:r w:rsidR="00BD45F5">
        <w:rPr>
          <w:rFonts w:ascii="Calibri" w:hAnsi="Calibri" w:cs="Calibri"/>
          <w:sz w:val="22"/>
          <w:szCs w:val="22"/>
        </w:rPr>
        <w:t>replaced</w:t>
      </w:r>
      <w:r>
        <w:rPr>
          <w:rFonts w:ascii="Calibri" w:hAnsi="Calibri" w:cs="Calibri"/>
          <w:sz w:val="22"/>
          <w:szCs w:val="22"/>
        </w:rPr>
        <w:t xml:space="preserve"> by another raw material? If the provision of the supply is delayed how will this impact the organisations core business?</w:t>
      </w:r>
    </w:p>
    <w:p w14:paraId="4598087F" w14:textId="77777777" w:rsidR="00843160" w:rsidRPr="00C04827" w:rsidRDefault="00843160" w:rsidP="00C04827">
      <w:pPr>
        <w:pStyle w:val="Heading3"/>
        <w:rPr>
          <w:rFonts w:ascii="Calibri" w:hAnsi="Calibri" w:cs="Calibri"/>
          <w:color w:val="7030A0"/>
          <w:sz w:val="24"/>
          <w:szCs w:val="24"/>
        </w:rPr>
      </w:pPr>
      <w:r w:rsidRPr="00C04827">
        <w:rPr>
          <w:rFonts w:ascii="Calibri" w:hAnsi="Calibri" w:cs="Calibri"/>
          <w:color w:val="7030A0"/>
          <w:sz w:val="24"/>
          <w:szCs w:val="24"/>
        </w:rPr>
        <w:t>Manage the risk</w:t>
      </w:r>
    </w:p>
    <w:p w14:paraId="748ADC8E" w14:textId="77777777" w:rsidR="00843160" w:rsidRPr="00843160" w:rsidRDefault="00843160" w:rsidP="000B65A3">
      <w:pPr>
        <w:spacing w:before="100" w:line="260" w:lineRule="atLeast"/>
        <w:rPr>
          <w:rFonts w:ascii="Calibri" w:hAnsi="Calibri" w:cs="Calibri"/>
          <w:sz w:val="22"/>
          <w:szCs w:val="22"/>
          <w:lang w:eastAsia="en-AU"/>
        </w:rPr>
      </w:pPr>
      <w:r w:rsidRPr="00843160">
        <w:rPr>
          <w:rFonts w:ascii="Calibri" w:hAnsi="Calibri" w:cs="Calibri"/>
          <w:sz w:val="22"/>
          <w:szCs w:val="22"/>
          <w:lang w:eastAsia="en-AU"/>
        </w:rPr>
        <w:t>The supply chain risk management is about de</w:t>
      </w:r>
      <w:r w:rsidR="00CF7F3B">
        <w:rPr>
          <w:rFonts w:ascii="Calibri" w:hAnsi="Calibri" w:cs="Calibri"/>
          <w:sz w:val="22"/>
          <w:szCs w:val="22"/>
          <w:lang w:eastAsia="en-AU"/>
        </w:rPr>
        <w:t>veloping internal controls and management</w:t>
      </w:r>
      <w:r w:rsidRPr="00843160">
        <w:rPr>
          <w:rFonts w:ascii="Calibri" w:hAnsi="Calibri" w:cs="Calibri"/>
          <w:sz w:val="22"/>
          <w:szCs w:val="22"/>
          <w:lang w:eastAsia="en-AU"/>
        </w:rPr>
        <w:t xml:space="preserve"> plans.</w:t>
      </w:r>
    </w:p>
    <w:p w14:paraId="0E3C2D6C" w14:textId="452618CD" w:rsidR="00843160" w:rsidRDefault="00843160" w:rsidP="00C04827">
      <w:pPr>
        <w:spacing w:before="100" w:after="100" w:line="260" w:lineRule="atLeast"/>
        <w:rPr>
          <w:rFonts w:ascii="Calibri" w:hAnsi="Calibri" w:cs="Calibri"/>
          <w:sz w:val="22"/>
          <w:szCs w:val="22"/>
        </w:rPr>
      </w:pPr>
      <w:r w:rsidRPr="00843160">
        <w:rPr>
          <w:rFonts w:ascii="Calibri" w:hAnsi="Calibri" w:cs="Calibri"/>
          <w:sz w:val="22"/>
          <w:szCs w:val="22"/>
        </w:rPr>
        <w:t>A control is something that is put in place to reduce the risk</w:t>
      </w:r>
      <w:r w:rsidR="00EB588B">
        <w:rPr>
          <w:rFonts w:ascii="Calibri" w:hAnsi="Calibri" w:cs="Calibri"/>
          <w:sz w:val="22"/>
          <w:szCs w:val="22"/>
        </w:rPr>
        <w:t xml:space="preserve"> impacting the successful delivery of the goods and/or service.</w:t>
      </w:r>
      <w:r w:rsidRPr="00843160">
        <w:rPr>
          <w:rFonts w:ascii="Calibri" w:hAnsi="Calibri" w:cs="Calibri"/>
          <w:sz w:val="22"/>
          <w:szCs w:val="22"/>
        </w:rPr>
        <w:t xml:space="preserve"> Where an event has occurred, it is not </w:t>
      </w:r>
      <w:r w:rsidR="00BD45F5" w:rsidRPr="00843160">
        <w:rPr>
          <w:rFonts w:ascii="Calibri" w:hAnsi="Calibri" w:cs="Calibri"/>
          <w:sz w:val="22"/>
          <w:szCs w:val="22"/>
        </w:rPr>
        <w:t>because of</w:t>
      </w:r>
      <w:r w:rsidRPr="00843160">
        <w:rPr>
          <w:rFonts w:ascii="Calibri" w:hAnsi="Calibri" w:cs="Calibri"/>
          <w:sz w:val="22"/>
          <w:szCs w:val="22"/>
        </w:rPr>
        <w:t xml:space="preserve"> a lack of controls, usually </w:t>
      </w:r>
      <w:r w:rsidR="00B322ED" w:rsidRPr="00843160">
        <w:rPr>
          <w:rFonts w:ascii="Calibri" w:hAnsi="Calibri" w:cs="Calibri"/>
          <w:sz w:val="22"/>
          <w:szCs w:val="22"/>
        </w:rPr>
        <w:t>it’s</w:t>
      </w:r>
      <w:r w:rsidRPr="00843160">
        <w:rPr>
          <w:rFonts w:ascii="Calibri" w:hAnsi="Calibri" w:cs="Calibri"/>
          <w:sz w:val="22"/>
          <w:szCs w:val="22"/>
        </w:rPr>
        <w:t xml:space="preserve"> due to a failure of existing controls. All controls ne</w:t>
      </w:r>
      <w:r w:rsidR="0064790B">
        <w:rPr>
          <w:rFonts w:ascii="Calibri" w:hAnsi="Calibri" w:cs="Calibri"/>
          <w:sz w:val="22"/>
          <w:szCs w:val="22"/>
        </w:rPr>
        <w:t>ed to be monitored and have appropriate performance measures.</w:t>
      </w:r>
    </w:p>
    <w:p w14:paraId="61923D0C" w14:textId="5166DA48" w:rsidR="00C04827" w:rsidRPr="00C04827" w:rsidRDefault="00C04827" w:rsidP="00C04827">
      <w:pPr>
        <w:pStyle w:val="Heading3"/>
        <w:rPr>
          <w:rFonts w:ascii="Calibri" w:hAnsi="Calibri" w:cs="Calibri"/>
          <w:color w:val="7030A0"/>
          <w:sz w:val="24"/>
          <w:szCs w:val="24"/>
        </w:rPr>
      </w:pPr>
      <w:r w:rsidRPr="00C04827">
        <w:rPr>
          <w:rFonts w:ascii="Calibri" w:hAnsi="Calibri" w:cs="Calibri"/>
          <w:color w:val="7030A0"/>
          <w:sz w:val="24"/>
          <w:szCs w:val="24"/>
        </w:rPr>
        <w:t>Risk considerations by procurement stage</w:t>
      </w:r>
    </w:p>
    <w:p w14:paraId="71D0CF66" w14:textId="358D6D57" w:rsidR="00C04827" w:rsidRPr="00C04827" w:rsidRDefault="00C04827" w:rsidP="00C04827">
      <w:pPr>
        <w:spacing w:before="100" w:after="100" w:line="260" w:lineRule="atLeast"/>
        <w:rPr>
          <w:rFonts w:asciiTheme="minorHAnsi" w:hAnsiTheme="minorHAnsi" w:cstheme="minorHAnsi"/>
          <w:b/>
          <w:color w:val="7030A0"/>
          <w:sz w:val="22"/>
          <w:szCs w:val="22"/>
        </w:rPr>
      </w:pPr>
      <w:r w:rsidRPr="00C04827">
        <w:rPr>
          <w:rFonts w:asciiTheme="minorHAnsi" w:hAnsiTheme="minorHAnsi" w:cstheme="minorHAnsi"/>
          <w:b/>
          <w:color w:val="7030A0"/>
          <w:sz w:val="22"/>
          <w:szCs w:val="22"/>
        </w:rPr>
        <w:t>Planning</w:t>
      </w:r>
    </w:p>
    <w:p w14:paraId="2CFD7D89" w14:textId="77777777" w:rsidR="00C04827" w:rsidRPr="00C04827" w:rsidRDefault="00C04827" w:rsidP="00C04827">
      <w:pPr>
        <w:spacing w:before="100" w:after="100" w:line="260" w:lineRule="atLeast"/>
        <w:rPr>
          <w:rFonts w:ascii="Calibri" w:hAnsi="Calibri" w:cs="Calibri"/>
          <w:sz w:val="22"/>
          <w:szCs w:val="22"/>
        </w:rPr>
      </w:pPr>
      <w:r w:rsidRPr="00C04827">
        <w:rPr>
          <w:rFonts w:ascii="Calibri" w:hAnsi="Calibri" w:cs="Calibri"/>
          <w:sz w:val="22"/>
          <w:szCs w:val="22"/>
        </w:rPr>
        <w:t>In developing a business case and procurement strategy, analyse the market by assessing any supply and/or market risk.  What could potentially go wrong? E.g. natural disaster, acts of terrorism, port closures, supplier non-performance, insolvency, damage or faulty goods, political risk, industrial action, reputational risk shortage of raw materials, etc.</w:t>
      </w:r>
    </w:p>
    <w:p w14:paraId="13C5BC9A" w14:textId="77777777" w:rsidR="00C04827" w:rsidRPr="00C04827" w:rsidRDefault="00C04827" w:rsidP="00C04827">
      <w:pPr>
        <w:spacing w:before="100" w:after="100" w:line="260" w:lineRule="atLeast"/>
        <w:rPr>
          <w:rFonts w:ascii="Calibri" w:hAnsi="Calibri" w:cs="Calibri"/>
          <w:sz w:val="22"/>
          <w:szCs w:val="22"/>
        </w:rPr>
      </w:pPr>
      <w:r w:rsidRPr="00C04827">
        <w:rPr>
          <w:rFonts w:ascii="Calibri" w:hAnsi="Calibri" w:cs="Calibri"/>
          <w:sz w:val="22"/>
          <w:szCs w:val="22"/>
        </w:rPr>
        <w:t>Depending on the complexity of the procurement, generally for more complex procurement, a supply chain risk management report may be developed or incorporated into a broader procurement risk management plan. It should include the findings and proposed actions from your supply chain risk assessment and inform the procurement strategy.</w:t>
      </w:r>
    </w:p>
    <w:p w14:paraId="23E10C88" w14:textId="77777777" w:rsidR="00C04827" w:rsidRPr="00C04827" w:rsidRDefault="00C04827" w:rsidP="00C04827">
      <w:pPr>
        <w:spacing w:before="100" w:after="100" w:line="260" w:lineRule="atLeast"/>
        <w:rPr>
          <w:rFonts w:ascii="Calibri" w:hAnsi="Calibri" w:cs="Calibri"/>
          <w:sz w:val="22"/>
          <w:szCs w:val="22"/>
        </w:rPr>
      </w:pPr>
      <w:r w:rsidRPr="00C04827">
        <w:rPr>
          <w:rFonts w:ascii="Calibri" w:hAnsi="Calibri" w:cs="Calibri"/>
          <w:sz w:val="22"/>
          <w:szCs w:val="22"/>
        </w:rPr>
        <w:t>The supply chain risk assessment should be used to inform the:</w:t>
      </w:r>
    </w:p>
    <w:p w14:paraId="0BAA73CF" w14:textId="77777777" w:rsidR="00C04827" w:rsidRPr="00C04827" w:rsidRDefault="00C04827" w:rsidP="00C04827">
      <w:pPr>
        <w:pStyle w:val="ListParagraph"/>
        <w:numPr>
          <w:ilvl w:val="0"/>
          <w:numId w:val="11"/>
        </w:numPr>
        <w:spacing w:before="100" w:after="100" w:line="260" w:lineRule="atLeast"/>
        <w:rPr>
          <w:rFonts w:ascii="Calibri" w:hAnsi="Calibri" w:cs="Calibri"/>
          <w:sz w:val="22"/>
          <w:szCs w:val="22"/>
        </w:rPr>
      </w:pPr>
      <w:r w:rsidRPr="00C04827">
        <w:rPr>
          <w:rFonts w:ascii="Calibri" w:hAnsi="Calibri" w:cs="Calibri"/>
          <w:sz w:val="22"/>
          <w:szCs w:val="22"/>
        </w:rPr>
        <w:t>market approach documentation;</w:t>
      </w:r>
    </w:p>
    <w:p w14:paraId="25297ABB" w14:textId="77777777" w:rsidR="00C04827" w:rsidRPr="00C04827" w:rsidRDefault="00C04827" w:rsidP="00C04827">
      <w:pPr>
        <w:pStyle w:val="ListParagraph"/>
        <w:numPr>
          <w:ilvl w:val="0"/>
          <w:numId w:val="10"/>
        </w:numPr>
        <w:spacing w:before="100" w:after="100" w:line="260" w:lineRule="atLeast"/>
        <w:rPr>
          <w:rFonts w:ascii="Calibri" w:hAnsi="Calibri" w:cs="Calibri"/>
          <w:sz w:val="22"/>
          <w:szCs w:val="22"/>
        </w:rPr>
      </w:pPr>
      <w:r w:rsidRPr="00C04827">
        <w:rPr>
          <w:rFonts w:ascii="Calibri" w:hAnsi="Calibri" w:cs="Calibri"/>
          <w:sz w:val="22"/>
          <w:szCs w:val="22"/>
        </w:rPr>
        <w:t>evaluation plan; and</w:t>
      </w:r>
    </w:p>
    <w:p w14:paraId="4E924810" w14:textId="43562A0E" w:rsidR="00C04827" w:rsidRPr="00C04827" w:rsidRDefault="00C04827" w:rsidP="00C04827">
      <w:pPr>
        <w:pStyle w:val="ListParagraph"/>
        <w:numPr>
          <w:ilvl w:val="0"/>
          <w:numId w:val="9"/>
        </w:numPr>
        <w:spacing w:before="100" w:after="100" w:line="260" w:lineRule="atLeast"/>
        <w:rPr>
          <w:rFonts w:ascii="Calibri" w:hAnsi="Calibri" w:cs="Calibri"/>
          <w:sz w:val="22"/>
          <w:szCs w:val="22"/>
        </w:rPr>
      </w:pPr>
      <w:r w:rsidRPr="00C04827">
        <w:rPr>
          <w:rFonts w:ascii="Calibri" w:hAnsi="Calibri" w:cs="Calibri"/>
          <w:sz w:val="22"/>
          <w:szCs w:val="22"/>
        </w:rPr>
        <w:t>contract management plan.</w:t>
      </w:r>
    </w:p>
    <w:p w14:paraId="19FE0F80" w14:textId="79EB39AB" w:rsidR="00C04827" w:rsidRPr="00C04827" w:rsidRDefault="00C04827" w:rsidP="00C04827">
      <w:pPr>
        <w:spacing w:before="100" w:after="100" w:line="260" w:lineRule="atLeast"/>
        <w:rPr>
          <w:rFonts w:asciiTheme="minorHAnsi" w:hAnsiTheme="minorHAnsi" w:cstheme="minorHAnsi"/>
          <w:b/>
          <w:color w:val="7030A0"/>
          <w:sz w:val="22"/>
          <w:szCs w:val="22"/>
        </w:rPr>
      </w:pPr>
      <w:r w:rsidRPr="00C04827">
        <w:rPr>
          <w:rFonts w:asciiTheme="minorHAnsi" w:hAnsiTheme="minorHAnsi" w:cstheme="minorHAnsi"/>
          <w:b/>
          <w:color w:val="7030A0"/>
          <w:sz w:val="22"/>
          <w:szCs w:val="22"/>
        </w:rPr>
        <w:t>Market approach</w:t>
      </w:r>
    </w:p>
    <w:p w14:paraId="10E50CBE" w14:textId="77777777" w:rsidR="00C04827" w:rsidRPr="00C04827" w:rsidRDefault="00C04827" w:rsidP="00C04827">
      <w:pPr>
        <w:spacing w:before="100" w:after="100" w:line="260" w:lineRule="atLeast"/>
        <w:rPr>
          <w:rFonts w:asciiTheme="minorHAnsi" w:hAnsiTheme="minorHAnsi" w:cstheme="minorHAnsi"/>
          <w:sz w:val="22"/>
          <w:szCs w:val="22"/>
        </w:rPr>
      </w:pPr>
      <w:r w:rsidRPr="00C04827">
        <w:rPr>
          <w:rFonts w:asciiTheme="minorHAnsi" w:hAnsiTheme="minorHAnsi" w:cstheme="minorHAnsi"/>
          <w:sz w:val="22"/>
          <w:szCs w:val="22"/>
        </w:rPr>
        <w:t xml:space="preserve">Supply chain risks can be mitigated through comprehensive specifications and an all-encompassing offer template. </w:t>
      </w:r>
    </w:p>
    <w:p w14:paraId="3E26A13A" w14:textId="50863BA8" w:rsidR="00C04827" w:rsidRPr="00C04827" w:rsidRDefault="00C04827" w:rsidP="00C04827">
      <w:pPr>
        <w:numPr>
          <w:ilvl w:val="0"/>
          <w:numId w:val="4"/>
        </w:numPr>
        <w:spacing w:before="100" w:after="100" w:line="260" w:lineRule="atLeast"/>
        <w:contextualSpacing/>
        <w:rPr>
          <w:rFonts w:asciiTheme="minorHAnsi" w:hAnsiTheme="minorHAnsi" w:cstheme="minorHAnsi"/>
          <w:sz w:val="22"/>
          <w:szCs w:val="22"/>
        </w:rPr>
      </w:pPr>
      <w:r w:rsidRPr="00C04827">
        <w:rPr>
          <w:rFonts w:asciiTheme="minorHAnsi" w:hAnsiTheme="minorHAnsi" w:cstheme="minorHAnsi"/>
          <w:sz w:val="22"/>
          <w:szCs w:val="22"/>
        </w:rPr>
        <w:t>The specifications can prescribe to regulate quality and standards of the goods and/or services being procured.</w:t>
      </w:r>
    </w:p>
    <w:p w14:paraId="6B03FD7E" w14:textId="73A50B64" w:rsidR="00C04827" w:rsidRPr="00C04827" w:rsidRDefault="00C04827" w:rsidP="00C04827">
      <w:pPr>
        <w:numPr>
          <w:ilvl w:val="0"/>
          <w:numId w:val="4"/>
        </w:numPr>
        <w:spacing w:before="100" w:after="100" w:line="260" w:lineRule="atLeast"/>
        <w:ind w:left="714" w:hanging="357"/>
        <w:rPr>
          <w:rFonts w:asciiTheme="minorHAnsi" w:hAnsiTheme="minorHAnsi" w:cstheme="minorHAnsi"/>
          <w:sz w:val="22"/>
          <w:szCs w:val="22"/>
        </w:rPr>
      </w:pPr>
      <w:r w:rsidRPr="00C04827">
        <w:rPr>
          <w:rFonts w:asciiTheme="minorHAnsi" w:hAnsiTheme="minorHAnsi" w:cstheme="minorHAnsi"/>
          <w:sz w:val="22"/>
          <w:szCs w:val="22"/>
        </w:rPr>
        <w:t>The offer template can seek to ask questions so that the offers can be assessed against the value for money proposition i.e. suppliers can be questioned on their methodology to manage or mitigate known supply chain risks.</w:t>
      </w:r>
    </w:p>
    <w:p w14:paraId="1320B94C" w14:textId="77777777" w:rsidR="00C04827" w:rsidRPr="00C04827" w:rsidRDefault="00C04827" w:rsidP="00C04827">
      <w:pPr>
        <w:spacing w:before="100" w:after="100" w:line="260" w:lineRule="atLeast"/>
        <w:rPr>
          <w:rFonts w:asciiTheme="minorHAnsi" w:hAnsiTheme="minorHAnsi" w:cstheme="minorHAnsi"/>
          <w:sz w:val="22"/>
          <w:szCs w:val="22"/>
        </w:rPr>
      </w:pPr>
      <w:r w:rsidRPr="00C04827">
        <w:rPr>
          <w:rFonts w:asciiTheme="minorHAnsi" w:hAnsiTheme="minorHAnsi" w:cstheme="minorHAnsi"/>
          <w:sz w:val="22"/>
          <w:szCs w:val="22"/>
        </w:rPr>
        <w:t>The value for money assessment involves a balanced judgement of financial and non-financial factors. Typical factors include fitness for purpose, quality, whole of life costs, risk factors, environmental and sustainability considerations as well as price.</w:t>
      </w:r>
    </w:p>
    <w:p w14:paraId="13FD6163" w14:textId="77777777" w:rsidR="00C04827" w:rsidRDefault="00C04827" w:rsidP="00C04827">
      <w:pPr>
        <w:spacing w:before="100" w:after="100" w:line="260" w:lineRule="atLeast"/>
        <w:rPr>
          <w:rFonts w:asciiTheme="minorHAnsi" w:hAnsiTheme="minorHAnsi" w:cstheme="minorHAnsi"/>
          <w:sz w:val="22"/>
          <w:szCs w:val="22"/>
        </w:rPr>
      </w:pPr>
      <w:r w:rsidRPr="00C04827">
        <w:rPr>
          <w:rFonts w:asciiTheme="minorHAnsi" w:hAnsiTheme="minorHAnsi" w:cstheme="minorHAnsi"/>
          <w:sz w:val="22"/>
          <w:szCs w:val="22"/>
        </w:rPr>
        <w:t>For further information about developing specifications</w:t>
      </w:r>
      <w:r>
        <w:rPr>
          <w:rFonts w:asciiTheme="minorHAnsi" w:hAnsiTheme="minorHAnsi" w:cstheme="minorHAnsi"/>
          <w:sz w:val="22"/>
          <w:szCs w:val="22"/>
        </w:rPr>
        <w:t>,</w:t>
      </w:r>
      <w:r w:rsidRPr="00C04827">
        <w:rPr>
          <w:rFonts w:asciiTheme="minorHAnsi" w:hAnsiTheme="minorHAnsi" w:cstheme="minorHAnsi"/>
          <w:sz w:val="22"/>
          <w:szCs w:val="22"/>
        </w:rPr>
        <w:t xml:space="preserve"> refer to</w:t>
      </w:r>
      <w:r>
        <w:rPr>
          <w:rFonts w:asciiTheme="minorHAnsi" w:hAnsiTheme="minorHAnsi" w:cstheme="minorHAnsi"/>
          <w:sz w:val="22"/>
          <w:szCs w:val="22"/>
        </w:rPr>
        <w:t>:</w:t>
      </w:r>
    </w:p>
    <w:p w14:paraId="090ED125" w14:textId="6A533896" w:rsidR="00C04827" w:rsidRDefault="007462A5" w:rsidP="00C04827">
      <w:pPr>
        <w:pStyle w:val="ListParagraph"/>
        <w:numPr>
          <w:ilvl w:val="0"/>
          <w:numId w:val="12"/>
        </w:numPr>
        <w:spacing w:before="100" w:after="100" w:line="260" w:lineRule="atLeast"/>
        <w:rPr>
          <w:rFonts w:asciiTheme="minorHAnsi" w:hAnsiTheme="minorHAnsi" w:cstheme="minorHAnsi"/>
          <w:sz w:val="22"/>
          <w:szCs w:val="22"/>
        </w:rPr>
      </w:pPr>
      <w:hyperlink r:id="rId11" w:history="1">
        <w:r w:rsidR="00C04827" w:rsidRPr="007462A5">
          <w:rPr>
            <w:rStyle w:val="Hyperlink"/>
            <w:rFonts w:asciiTheme="minorHAnsi" w:hAnsiTheme="minorHAnsi" w:cstheme="minorHAnsi"/>
            <w:sz w:val="22"/>
            <w:szCs w:val="22"/>
          </w:rPr>
          <w:t>Specification writing - Goods and services procurement guide</w:t>
        </w:r>
      </w:hyperlink>
    </w:p>
    <w:p w14:paraId="501044D7" w14:textId="4ACB9963" w:rsidR="00C04827" w:rsidRPr="00C04827" w:rsidRDefault="007462A5" w:rsidP="00C04827">
      <w:pPr>
        <w:pStyle w:val="ListParagraph"/>
        <w:numPr>
          <w:ilvl w:val="0"/>
          <w:numId w:val="12"/>
        </w:numPr>
        <w:spacing w:before="100" w:after="100" w:line="260" w:lineRule="atLeast"/>
        <w:ind w:left="714" w:hanging="357"/>
        <w:contextualSpacing w:val="0"/>
        <w:rPr>
          <w:rFonts w:asciiTheme="minorHAnsi" w:hAnsiTheme="minorHAnsi" w:cstheme="minorHAnsi"/>
          <w:sz w:val="22"/>
          <w:szCs w:val="22"/>
        </w:rPr>
      </w:pPr>
      <w:hyperlink r:id="rId12" w:history="1">
        <w:r w:rsidR="00C04827" w:rsidRPr="007462A5">
          <w:rPr>
            <w:rStyle w:val="Hyperlink"/>
            <w:rFonts w:asciiTheme="minorHAnsi" w:hAnsiTheme="minorHAnsi" w:cstheme="minorHAnsi"/>
            <w:sz w:val="22"/>
            <w:szCs w:val="22"/>
          </w:rPr>
          <w:t>Building an offer template – Goods and services procurement guide</w:t>
        </w:r>
      </w:hyperlink>
    </w:p>
    <w:p w14:paraId="3C5EFC85" w14:textId="142214BC" w:rsidR="00C04827" w:rsidRPr="00C04827" w:rsidRDefault="00C04827" w:rsidP="00C04827">
      <w:pPr>
        <w:spacing w:before="100" w:after="100" w:line="260" w:lineRule="atLeast"/>
        <w:rPr>
          <w:rFonts w:asciiTheme="minorHAnsi" w:hAnsiTheme="minorHAnsi" w:cstheme="minorHAnsi"/>
          <w:b/>
          <w:color w:val="7030A0"/>
          <w:sz w:val="22"/>
          <w:szCs w:val="22"/>
        </w:rPr>
      </w:pPr>
      <w:r w:rsidRPr="00C04827">
        <w:rPr>
          <w:rFonts w:asciiTheme="minorHAnsi" w:hAnsiTheme="minorHAnsi" w:cstheme="minorHAnsi"/>
          <w:b/>
          <w:color w:val="7030A0"/>
          <w:sz w:val="22"/>
          <w:szCs w:val="22"/>
        </w:rPr>
        <w:lastRenderedPageBreak/>
        <w:t>Evaluation, negotiation and selection</w:t>
      </w:r>
    </w:p>
    <w:p w14:paraId="3B79CEF2" w14:textId="54F713A4" w:rsidR="00C04827" w:rsidRPr="00C04827" w:rsidRDefault="00C04827" w:rsidP="00C04827">
      <w:pPr>
        <w:spacing w:before="100" w:after="100" w:line="260" w:lineRule="atLeast"/>
        <w:rPr>
          <w:rFonts w:asciiTheme="minorHAnsi" w:hAnsiTheme="minorHAnsi" w:cstheme="minorHAnsi"/>
          <w:sz w:val="22"/>
          <w:szCs w:val="22"/>
        </w:rPr>
      </w:pPr>
      <w:r w:rsidRPr="00C04827">
        <w:rPr>
          <w:rFonts w:asciiTheme="minorHAnsi" w:hAnsiTheme="minorHAnsi" w:cstheme="minorHAnsi"/>
          <w:sz w:val="22"/>
          <w:szCs w:val="22"/>
        </w:rPr>
        <w:t>In evaluating suppliers, the methodology set out in the planning stage and the market approach documentation must be followed.</w:t>
      </w:r>
    </w:p>
    <w:p w14:paraId="2E90BB00" w14:textId="4B04FE2B" w:rsidR="00C04827" w:rsidRPr="00C04827" w:rsidRDefault="00C04827" w:rsidP="00C04827">
      <w:pPr>
        <w:spacing w:before="100" w:after="100" w:line="260" w:lineRule="atLeast"/>
        <w:rPr>
          <w:rFonts w:asciiTheme="minorHAnsi" w:hAnsiTheme="minorHAnsi" w:cstheme="minorHAnsi"/>
          <w:sz w:val="22"/>
          <w:szCs w:val="22"/>
        </w:rPr>
      </w:pPr>
      <w:r w:rsidRPr="00C04827">
        <w:rPr>
          <w:rFonts w:asciiTheme="minorHAnsi" w:hAnsiTheme="minorHAnsi" w:cstheme="minorHAnsi"/>
          <w:sz w:val="22"/>
          <w:szCs w:val="22"/>
        </w:rPr>
        <w:t>Offers should be evaluated to ensure the supplier that is best able to deliver the goods and/or services through offering the best value for money is selected. The evaluation process should include appropriate due diligence to mitigate risks identified through the supply chain risk assessment.</w:t>
      </w:r>
    </w:p>
    <w:p w14:paraId="45FC0F10" w14:textId="28B7731E" w:rsidR="00C04827" w:rsidRPr="00C04827" w:rsidRDefault="00C04827" w:rsidP="00C04827">
      <w:pPr>
        <w:spacing w:before="100" w:after="100" w:line="260" w:lineRule="atLeast"/>
        <w:rPr>
          <w:rFonts w:asciiTheme="minorHAnsi" w:hAnsiTheme="minorHAnsi" w:cstheme="minorHAnsi"/>
          <w:b/>
          <w:color w:val="7030A0"/>
          <w:sz w:val="22"/>
          <w:szCs w:val="22"/>
        </w:rPr>
      </w:pPr>
      <w:r w:rsidRPr="00C04827">
        <w:rPr>
          <w:rFonts w:asciiTheme="minorHAnsi" w:hAnsiTheme="minorHAnsi" w:cstheme="minorHAnsi"/>
          <w:b/>
          <w:color w:val="7030A0"/>
          <w:sz w:val="22"/>
          <w:szCs w:val="22"/>
        </w:rPr>
        <w:t>Contract management</w:t>
      </w:r>
    </w:p>
    <w:p w14:paraId="20066165" w14:textId="521D1244" w:rsidR="00C04827" w:rsidRPr="00C04827" w:rsidRDefault="00C04827" w:rsidP="00C04827">
      <w:pPr>
        <w:spacing w:before="100" w:after="100" w:line="260" w:lineRule="atLeast"/>
        <w:rPr>
          <w:rFonts w:asciiTheme="minorHAnsi" w:hAnsiTheme="minorHAnsi" w:cstheme="minorHAnsi"/>
          <w:sz w:val="22"/>
          <w:szCs w:val="22"/>
        </w:rPr>
      </w:pPr>
      <w:r w:rsidRPr="00C04827">
        <w:rPr>
          <w:rFonts w:asciiTheme="minorHAnsi" w:hAnsiTheme="minorHAnsi" w:cstheme="minorHAnsi"/>
          <w:sz w:val="22"/>
          <w:szCs w:val="22"/>
        </w:rPr>
        <w:t>It will depend on the complexity of the procurement to determine the breadth of activity undertaken during the contract management stage to manage supply chain risks. Contract managers are required to monitor suppliers and should review risk management and mitigation plans through the life of the contract (aligned with procurement complexity).</w:t>
      </w:r>
    </w:p>
    <w:p w14:paraId="6C7ABF85" w14:textId="2FD310C5" w:rsidR="00C04827" w:rsidRPr="00C04827" w:rsidRDefault="00C04827" w:rsidP="00C04827">
      <w:pPr>
        <w:spacing w:before="100" w:after="100" w:line="260" w:lineRule="atLeast"/>
        <w:rPr>
          <w:rFonts w:asciiTheme="minorHAnsi" w:hAnsiTheme="minorHAnsi" w:cstheme="minorHAnsi"/>
          <w:sz w:val="22"/>
          <w:szCs w:val="22"/>
        </w:rPr>
      </w:pPr>
      <w:r w:rsidRPr="00C04827">
        <w:rPr>
          <w:rFonts w:asciiTheme="minorHAnsi" w:hAnsiTheme="minorHAnsi" w:cstheme="minorHAnsi"/>
          <w:sz w:val="22"/>
          <w:szCs w:val="22"/>
        </w:rPr>
        <w:t>This may entail regular supplier certifications, reviews and verification.  A contract manager should also be continually analysing the market to understand broader risks to the supplier and work with the supplier to understand risks that impact the successful delivery.  The monitoring and management of this will be dependent on the risk of the supply to the organisations business.</w:t>
      </w:r>
    </w:p>
    <w:p w14:paraId="2839BA24" w14:textId="77777777" w:rsidR="00843160" w:rsidRPr="00C04827" w:rsidRDefault="00843160" w:rsidP="00C04827">
      <w:pPr>
        <w:pStyle w:val="Heading2"/>
        <w:keepLines w:val="0"/>
        <w:spacing w:before="120" w:after="120" w:line="240" w:lineRule="auto"/>
        <w:rPr>
          <w:rFonts w:ascii="Calibri" w:eastAsia="Times New Roman" w:hAnsi="Calibri" w:cs="Calibri"/>
          <w:bCs w:val="0"/>
          <w:color w:val="7030A0"/>
          <w:spacing w:val="0"/>
          <w:szCs w:val="22"/>
          <w:lang w:eastAsia="en-US"/>
        </w:rPr>
      </w:pPr>
      <w:r w:rsidRPr="00C04827">
        <w:rPr>
          <w:rFonts w:ascii="Calibri" w:eastAsia="Times New Roman" w:hAnsi="Calibri" w:cs="Calibri"/>
          <w:bCs w:val="0"/>
          <w:color w:val="7030A0"/>
          <w:spacing w:val="0"/>
          <w:szCs w:val="22"/>
          <w:lang w:eastAsia="en-US"/>
        </w:rPr>
        <w:t>Understanding the supply chain to meet broader government objectives</w:t>
      </w:r>
    </w:p>
    <w:p w14:paraId="49A6C142" w14:textId="77777777" w:rsidR="00843160" w:rsidRPr="00843160" w:rsidRDefault="00843160" w:rsidP="00843160">
      <w:pPr>
        <w:spacing w:before="100" w:after="100" w:line="260" w:lineRule="atLeast"/>
        <w:rPr>
          <w:rFonts w:ascii="Calibri" w:hAnsi="Calibri" w:cs="Calibri"/>
          <w:sz w:val="22"/>
          <w:szCs w:val="22"/>
        </w:rPr>
      </w:pPr>
      <w:r w:rsidRPr="00843160">
        <w:rPr>
          <w:rFonts w:ascii="Calibri" w:hAnsi="Calibri" w:cs="Calibri"/>
          <w:sz w:val="22"/>
          <w:szCs w:val="22"/>
        </w:rPr>
        <w:t xml:space="preserve">Government traditionally will use policies, </w:t>
      </w:r>
      <w:r w:rsidR="009C3E32">
        <w:rPr>
          <w:rFonts w:ascii="Calibri" w:hAnsi="Calibri" w:cs="Calibri"/>
          <w:sz w:val="22"/>
          <w:szCs w:val="22"/>
        </w:rPr>
        <w:t>conditions within invitations to the market</w:t>
      </w:r>
      <w:r w:rsidR="000B65A3">
        <w:rPr>
          <w:rFonts w:ascii="Calibri" w:hAnsi="Calibri" w:cs="Calibri"/>
          <w:sz w:val="22"/>
          <w:szCs w:val="22"/>
        </w:rPr>
        <w:t xml:space="preserve"> </w:t>
      </w:r>
      <w:r w:rsidRPr="00843160">
        <w:rPr>
          <w:rFonts w:ascii="Calibri" w:hAnsi="Calibri" w:cs="Calibri"/>
          <w:sz w:val="22"/>
          <w:szCs w:val="22"/>
        </w:rPr>
        <w:t xml:space="preserve">and contractual clauses in procurement to require suppliers to meet specific requirements. Understanding the supply chain will help the procurer to understand where these requirements may also be built into </w:t>
      </w:r>
      <w:r w:rsidR="001153AA">
        <w:rPr>
          <w:rFonts w:ascii="Calibri" w:hAnsi="Calibri" w:cs="Calibri"/>
          <w:sz w:val="22"/>
          <w:szCs w:val="22"/>
        </w:rPr>
        <w:t xml:space="preserve">a </w:t>
      </w:r>
      <w:r w:rsidR="009C3E32">
        <w:rPr>
          <w:rFonts w:ascii="Calibri" w:hAnsi="Calibri" w:cs="Calibri"/>
          <w:sz w:val="22"/>
          <w:szCs w:val="22"/>
        </w:rPr>
        <w:t>procurement</w:t>
      </w:r>
      <w:r w:rsidR="001153AA">
        <w:rPr>
          <w:rFonts w:ascii="Calibri" w:hAnsi="Calibri" w:cs="Calibri"/>
          <w:sz w:val="22"/>
          <w:szCs w:val="22"/>
        </w:rPr>
        <w:t xml:space="preserve"> process and contractual arrangement.</w:t>
      </w:r>
      <w:r w:rsidRPr="00843160">
        <w:rPr>
          <w:rFonts w:ascii="Calibri" w:hAnsi="Calibri" w:cs="Calibri"/>
          <w:sz w:val="22"/>
          <w:szCs w:val="22"/>
        </w:rPr>
        <w:t xml:space="preserve"> This ensures the government</w:t>
      </w:r>
      <w:r w:rsidR="00261655">
        <w:rPr>
          <w:rFonts w:ascii="Calibri" w:hAnsi="Calibri" w:cs="Calibri"/>
          <w:sz w:val="22"/>
          <w:szCs w:val="22"/>
        </w:rPr>
        <w:t>’s</w:t>
      </w:r>
      <w:r w:rsidRPr="00843160">
        <w:rPr>
          <w:rFonts w:ascii="Calibri" w:hAnsi="Calibri" w:cs="Calibri"/>
          <w:sz w:val="22"/>
          <w:szCs w:val="22"/>
        </w:rPr>
        <w:t xml:space="preserve"> leadership role in driving change, setting standards, encouraging better practices and meeting broader government objectives is extended not just to direct suppliers</w:t>
      </w:r>
      <w:r w:rsidR="00261655">
        <w:rPr>
          <w:rFonts w:ascii="Calibri" w:hAnsi="Calibri" w:cs="Calibri"/>
          <w:sz w:val="22"/>
          <w:szCs w:val="22"/>
        </w:rPr>
        <w:t>,</w:t>
      </w:r>
      <w:r w:rsidRPr="00843160">
        <w:rPr>
          <w:rFonts w:ascii="Calibri" w:hAnsi="Calibri" w:cs="Calibri"/>
          <w:sz w:val="22"/>
          <w:szCs w:val="22"/>
        </w:rPr>
        <w:t xml:space="preserve"> but also to other suppliers through the supply chain.</w:t>
      </w:r>
    </w:p>
    <w:p w14:paraId="1D50D413" w14:textId="77777777" w:rsidR="00843160" w:rsidRPr="00843160" w:rsidRDefault="00843160" w:rsidP="00843160">
      <w:pPr>
        <w:spacing w:before="100" w:after="100" w:line="260" w:lineRule="atLeast"/>
        <w:rPr>
          <w:rFonts w:ascii="Calibri" w:hAnsi="Calibri" w:cs="Calibri"/>
          <w:noProof/>
          <w:sz w:val="22"/>
          <w:szCs w:val="22"/>
          <w:lang w:eastAsia="en-AU"/>
        </w:rPr>
      </w:pPr>
      <w:r w:rsidRPr="00843160">
        <w:rPr>
          <w:rFonts w:ascii="Calibri" w:hAnsi="Calibri" w:cs="Calibri"/>
          <w:sz w:val="22"/>
          <w:szCs w:val="22"/>
        </w:rPr>
        <w:t xml:space="preserve">The core </w:t>
      </w:r>
      <w:r w:rsidR="00B322ED" w:rsidRPr="00843160">
        <w:rPr>
          <w:rFonts w:ascii="Calibri" w:hAnsi="Calibri" w:cs="Calibri"/>
          <w:sz w:val="22"/>
          <w:szCs w:val="22"/>
        </w:rPr>
        <w:t>objectives of procurement are</w:t>
      </w:r>
      <w:r w:rsidRPr="00843160">
        <w:rPr>
          <w:rFonts w:ascii="Calibri" w:hAnsi="Calibri" w:cs="Calibri"/>
          <w:sz w:val="22"/>
          <w:szCs w:val="22"/>
        </w:rPr>
        <w:t xml:space="preserve"> to achieve value for money outcomes through making decisions that balance cost and benefits. </w:t>
      </w:r>
      <w:r w:rsidR="00554F38">
        <w:rPr>
          <w:rFonts w:ascii="Calibri" w:hAnsi="Calibri" w:cs="Calibri"/>
          <w:sz w:val="22"/>
          <w:szCs w:val="22"/>
        </w:rPr>
        <w:t>However</w:t>
      </w:r>
      <w:r w:rsidR="009778AC">
        <w:rPr>
          <w:rFonts w:ascii="Calibri" w:hAnsi="Calibri" w:cs="Calibri"/>
          <w:sz w:val="22"/>
          <w:szCs w:val="22"/>
        </w:rPr>
        <w:t>,</w:t>
      </w:r>
      <w:r w:rsidR="00554F38">
        <w:rPr>
          <w:rFonts w:ascii="Calibri" w:hAnsi="Calibri" w:cs="Calibri"/>
          <w:sz w:val="22"/>
          <w:szCs w:val="22"/>
        </w:rPr>
        <w:t xml:space="preserve"> there is</w:t>
      </w:r>
      <w:r w:rsidRPr="00843160">
        <w:rPr>
          <w:rFonts w:ascii="Calibri" w:hAnsi="Calibri" w:cs="Calibri"/>
          <w:sz w:val="22"/>
          <w:szCs w:val="22"/>
        </w:rPr>
        <w:t xml:space="preserve"> opportunity of using procurement as a tool to implement broader government policy and program objectives.</w:t>
      </w:r>
      <w:r w:rsidRPr="00843160">
        <w:rPr>
          <w:rFonts w:ascii="Calibri" w:hAnsi="Calibri" w:cs="Calibri"/>
          <w:noProof/>
          <w:sz w:val="22"/>
          <w:szCs w:val="22"/>
          <w:lang w:eastAsia="en-AU"/>
        </w:rPr>
        <w:t xml:space="preserve"> Organisations should give consideration to building a broader government objectives analysis into their organisational procurement strategy</w:t>
      </w:r>
      <w:r w:rsidR="00E05967">
        <w:rPr>
          <w:rFonts w:ascii="Calibri" w:hAnsi="Calibri" w:cs="Calibri"/>
          <w:noProof/>
          <w:sz w:val="22"/>
          <w:szCs w:val="22"/>
          <w:lang w:eastAsia="en-AU"/>
        </w:rPr>
        <w:t>.</w:t>
      </w:r>
    </w:p>
    <w:p w14:paraId="1E0A6DD0" w14:textId="77777777" w:rsidR="00843160" w:rsidRPr="006D3C56" w:rsidRDefault="00843160" w:rsidP="000C2F5B">
      <w:pPr>
        <w:pStyle w:val="Heading3"/>
        <w:spacing w:after="100"/>
        <w:rPr>
          <w:rFonts w:ascii="Calibri" w:hAnsi="Calibri" w:cs="Calibri"/>
          <w:color w:val="7030A0"/>
          <w:sz w:val="24"/>
          <w:szCs w:val="24"/>
        </w:rPr>
      </w:pPr>
      <w:r w:rsidRPr="006D3C56">
        <w:rPr>
          <w:rFonts w:ascii="Calibri" w:hAnsi="Calibri" w:cs="Calibri"/>
          <w:color w:val="7030A0"/>
          <w:sz w:val="24"/>
          <w:szCs w:val="24"/>
        </w:rPr>
        <w:t>Social procurement</w:t>
      </w:r>
    </w:p>
    <w:p w14:paraId="11239770" w14:textId="77777777" w:rsidR="00843160" w:rsidRPr="00843160" w:rsidRDefault="00843160" w:rsidP="00843160">
      <w:pPr>
        <w:spacing w:before="100" w:after="100" w:line="260" w:lineRule="atLeast"/>
        <w:rPr>
          <w:rFonts w:ascii="Calibri" w:hAnsi="Calibri" w:cs="Calibri"/>
          <w:sz w:val="22"/>
          <w:szCs w:val="22"/>
        </w:rPr>
      </w:pPr>
      <w:r w:rsidRPr="00843160">
        <w:rPr>
          <w:rFonts w:ascii="Calibri" w:hAnsi="Calibri" w:cs="Calibri"/>
          <w:sz w:val="22"/>
          <w:szCs w:val="22"/>
        </w:rPr>
        <w:t>Social procurement is about the intentional generation of social benefits through the procurement process. Understanding the supply chain and the elements that make up the supply chain can assist government in understanding where there is opportunity to incorporate policy, programs or provisions to drive social benefits.</w:t>
      </w:r>
    </w:p>
    <w:p w14:paraId="1D75531F" w14:textId="77777777" w:rsidR="00843160" w:rsidRPr="00843160" w:rsidRDefault="00843160" w:rsidP="00843160">
      <w:pPr>
        <w:spacing w:before="100" w:after="100" w:line="260" w:lineRule="atLeast"/>
        <w:rPr>
          <w:rFonts w:ascii="Calibri" w:hAnsi="Calibri" w:cs="Calibri"/>
          <w:sz w:val="22"/>
          <w:szCs w:val="22"/>
        </w:rPr>
      </w:pPr>
      <w:r w:rsidRPr="00843160">
        <w:rPr>
          <w:rFonts w:ascii="Calibri" w:hAnsi="Calibri" w:cs="Calibri"/>
          <w:sz w:val="22"/>
          <w:szCs w:val="22"/>
        </w:rPr>
        <w:t>Building social objectives into the procurement process including the supply chain can be difficult. Organisations will have to make the value judgement of what is value for money when developing their procurement strategy whil</w:t>
      </w:r>
      <w:r w:rsidR="003648ED">
        <w:rPr>
          <w:rFonts w:ascii="Calibri" w:hAnsi="Calibri" w:cs="Calibri"/>
          <w:sz w:val="22"/>
          <w:szCs w:val="22"/>
        </w:rPr>
        <w:t>e</w:t>
      </w:r>
      <w:r w:rsidRPr="00843160">
        <w:rPr>
          <w:rFonts w:ascii="Calibri" w:hAnsi="Calibri" w:cs="Calibri"/>
          <w:sz w:val="22"/>
          <w:szCs w:val="22"/>
        </w:rPr>
        <w:t xml:space="preserve"> giving consideration to seeking social ben</w:t>
      </w:r>
      <w:r w:rsidR="00252745">
        <w:rPr>
          <w:rFonts w:ascii="Calibri" w:hAnsi="Calibri" w:cs="Calibri"/>
          <w:sz w:val="22"/>
          <w:szCs w:val="22"/>
        </w:rPr>
        <w:t xml:space="preserve">efits through </w:t>
      </w:r>
      <w:r w:rsidRPr="00843160">
        <w:rPr>
          <w:rFonts w:ascii="Calibri" w:hAnsi="Calibri" w:cs="Calibri"/>
          <w:sz w:val="22"/>
          <w:szCs w:val="22"/>
        </w:rPr>
        <w:t>procurement.</w:t>
      </w:r>
    </w:p>
    <w:p w14:paraId="39027EEA" w14:textId="77777777" w:rsidR="00843160" w:rsidRPr="00843160" w:rsidRDefault="00843160" w:rsidP="00843160">
      <w:pPr>
        <w:spacing w:before="100" w:after="100" w:line="260" w:lineRule="atLeast"/>
        <w:rPr>
          <w:rFonts w:ascii="Calibri" w:hAnsi="Calibri" w:cs="Calibri"/>
          <w:sz w:val="22"/>
          <w:szCs w:val="22"/>
        </w:rPr>
      </w:pPr>
      <w:r w:rsidRPr="00843160">
        <w:rPr>
          <w:rFonts w:ascii="Calibri" w:hAnsi="Calibri" w:cs="Calibri"/>
          <w:sz w:val="22"/>
          <w:szCs w:val="22"/>
        </w:rPr>
        <w:t>Social benefits that can be achieved through procurement includ</w:t>
      </w:r>
      <w:r w:rsidR="009778AC">
        <w:rPr>
          <w:rFonts w:ascii="Calibri" w:hAnsi="Calibri" w:cs="Calibri"/>
          <w:sz w:val="22"/>
          <w:szCs w:val="22"/>
        </w:rPr>
        <w:t>e</w:t>
      </w:r>
      <w:r w:rsidRPr="00843160">
        <w:rPr>
          <w:rFonts w:ascii="Calibri" w:hAnsi="Calibri" w:cs="Calibri"/>
          <w:sz w:val="22"/>
          <w:szCs w:val="22"/>
        </w:rPr>
        <w:t xml:space="preserve"> but </w:t>
      </w:r>
      <w:r w:rsidR="009778AC">
        <w:rPr>
          <w:rFonts w:ascii="Calibri" w:hAnsi="Calibri" w:cs="Calibri"/>
          <w:sz w:val="22"/>
          <w:szCs w:val="22"/>
        </w:rPr>
        <w:t xml:space="preserve">are </w:t>
      </w:r>
      <w:r w:rsidRPr="00843160">
        <w:rPr>
          <w:rFonts w:ascii="Calibri" w:hAnsi="Calibri" w:cs="Calibri"/>
          <w:sz w:val="22"/>
          <w:szCs w:val="22"/>
        </w:rPr>
        <w:t>not limited to</w:t>
      </w:r>
      <w:r w:rsidR="003648ED">
        <w:rPr>
          <w:rFonts w:ascii="Calibri" w:hAnsi="Calibri" w:cs="Calibri"/>
          <w:sz w:val="22"/>
          <w:szCs w:val="22"/>
        </w:rPr>
        <w:t>:</w:t>
      </w:r>
    </w:p>
    <w:p w14:paraId="2FCBA8C2" w14:textId="77777777" w:rsidR="00843160" w:rsidRPr="00843160" w:rsidRDefault="00843160" w:rsidP="00843160">
      <w:pPr>
        <w:numPr>
          <w:ilvl w:val="0"/>
          <w:numId w:val="6"/>
        </w:numPr>
        <w:spacing w:before="100" w:after="100" w:line="260" w:lineRule="atLeast"/>
        <w:contextualSpacing/>
        <w:rPr>
          <w:rFonts w:ascii="Calibri" w:hAnsi="Calibri" w:cs="Calibri"/>
          <w:sz w:val="22"/>
          <w:szCs w:val="22"/>
        </w:rPr>
      </w:pPr>
      <w:r w:rsidRPr="00843160">
        <w:rPr>
          <w:rFonts w:ascii="Calibri" w:hAnsi="Calibri" w:cs="Calibri"/>
          <w:sz w:val="22"/>
          <w:szCs w:val="22"/>
        </w:rPr>
        <w:t>creation of training and employment opportunities;</w:t>
      </w:r>
    </w:p>
    <w:p w14:paraId="3315D479" w14:textId="77777777" w:rsidR="00843160" w:rsidRPr="00843160" w:rsidRDefault="00843160" w:rsidP="00843160">
      <w:pPr>
        <w:numPr>
          <w:ilvl w:val="0"/>
          <w:numId w:val="6"/>
        </w:numPr>
        <w:spacing w:before="100" w:after="100" w:line="260" w:lineRule="atLeast"/>
        <w:contextualSpacing/>
        <w:rPr>
          <w:rFonts w:ascii="Calibri" w:hAnsi="Calibri" w:cs="Calibri"/>
          <w:sz w:val="22"/>
          <w:szCs w:val="22"/>
        </w:rPr>
      </w:pPr>
      <w:r w:rsidRPr="00843160">
        <w:rPr>
          <w:rFonts w:ascii="Calibri" w:hAnsi="Calibri" w:cs="Calibri"/>
          <w:sz w:val="22"/>
          <w:szCs w:val="22"/>
        </w:rPr>
        <w:t>promotion of fair and ethical trade;</w:t>
      </w:r>
    </w:p>
    <w:p w14:paraId="6784F00F" w14:textId="77777777" w:rsidR="00843160" w:rsidRPr="00843160" w:rsidRDefault="00843160" w:rsidP="00843160">
      <w:pPr>
        <w:numPr>
          <w:ilvl w:val="0"/>
          <w:numId w:val="6"/>
        </w:numPr>
        <w:spacing w:before="100" w:after="100" w:line="260" w:lineRule="atLeast"/>
        <w:contextualSpacing/>
        <w:rPr>
          <w:rFonts w:ascii="Calibri" w:hAnsi="Calibri" w:cs="Calibri"/>
          <w:sz w:val="22"/>
          <w:szCs w:val="22"/>
        </w:rPr>
      </w:pPr>
      <w:r w:rsidRPr="00843160">
        <w:rPr>
          <w:rFonts w:ascii="Calibri" w:hAnsi="Calibri" w:cs="Calibri"/>
          <w:sz w:val="22"/>
          <w:szCs w:val="22"/>
        </w:rPr>
        <w:t>engagement of minority groups –</w:t>
      </w:r>
      <w:r w:rsidR="009778AC">
        <w:rPr>
          <w:rFonts w:ascii="Calibri" w:hAnsi="Calibri" w:cs="Calibri"/>
          <w:sz w:val="22"/>
          <w:szCs w:val="22"/>
        </w:rPr>
        <w:t xml:space="preserve"> </w:t>
      </w:r>
      <w:r w:rsidR="003648ED">
        <w:rPr>
          <w:rFonts w:ascii="Calibri" w:hAnsi="Calibri" w:cs="Calibri"/>
          <w:sz w:val="22"/>
          <w:szCs w:val="22"/>
        </w:rPr>
        <w:t>Aboriginal,</w:t>
      </w:r>
      <w:r w:rsidRPr="00843160">
        <w:rPr>
          <w:rFonts w:ascii="Calibri" w:hAnsi="Calibri" w:cs="Calibri"/>
          <w:sz w:val="22"/>
          <w:szCs w:val="22"/>
        </w:rPr>
        <w:t xml:space="preserve"> </w:t>
      </w:r>
      <w:r w:rsidR="00930C0B">
        <w:rPr>
          <w:rFonts w:ascii="Calibri" w:hAnsi="Calibri" w:cs="Calibri"/>
          <w:sz w:val="22"/>
          <w:szCs w:val="22"/>
        </w:rPr>
        <w:t>women owned businesses</w:t>
      </w:r>
      <w:r w:rsidRPr="00843160">
        <w:rPr>
          <w:rFonts w:ascii="Calibri" w:hAnsi="Calibri" w:cs="Calibri"/>
          <w:sz w:val="22"/>
          <w:szCs w:val="22"/>
        </w:rPr>
        <w:t xml:space="preserve">, disability, youth, multi-cultural, </w:t>
      </w:r>
      <w:r w:rsidR="009778AC">
        <w:rPr>
          <w:rFonts w:ascii="Calibri" w:hAnsi="Calibri" w:cs="Calibri"/>
          <w:sz w:val="22"/>
          <w:szCs w:val="22"/>
        </w:rPr>
        <w:t xml:space="preserve">Australia and New Zealand </w:t>
      </w:r>
      <w:r w:rsidRPr="00843160">
        <w:rPr>
          <w:rFonts w:ascii="Calibri" w:hAnsi="Calibri" w:cs="Calibri"/>
          <w:sz w:val="22"/>
          <w:szCs w:val="22"/>
        </w:rPr>
        <w:t xml:space="preserve">small </w:t>
      </w:r>
      <w:r w:rsidR="00AE06B8">
        <w:rPr>
          <w:rFonts w:ascii="Calibri" w:hAnsi="Calibri" w:cs="Calibri"/>
          <w:sz w:val="22"/>
          <w:szCs w:val="22"/>
        </w:rPr>
        <w:t>to</w:t>
      </w:r>
      <w:r w:rsidR="009778AC">
        <w:rPr>
          <w:rFonts w:ascii="Calibri" w:hAnsi="Calibri" w:cs="Calibri"/>
          <w:sz w:val="22"/>
          <w:szCs w:val="22"/>
        </w:rPr>
        <w:t xml:space="preserve"> </w:t>
      </w:r>
      <w:r w:rsidRPr="00843160">
        <w:rPr>
          <w:rFonts w:ascii="Calibri" w:hAnsi="Calibri" w:cs="Calibri"/>
          <w:sz w:val="22"/>
          <w:szCs w:val="22"/>
        </w:rPr>
        <w:t xml:space="preserve">medium </w:t>
      </w:r>
      <w:r w:rsidR="00AE06B8">
        <w:rPr>
          <w:rFonts w:ascii="Calibri" w:hAnsi="Calibri" w:cs="Calibri"/>
          <w:sz w:val="22"/>
          <w:szCs w:val="22"/>
        </w:rPr>
        <w:t xml:space="preserve">size </w:t>
      </w:r>
      <w:r w:rsidRPr="00843160">
        <w:rPr>
          <w:rFonts w:ascii="Calibri" w:hAnsi="Calibri" w:cs="Calibri"/>
          <w:sz w:val="22"/>
          <w:szCs w:val="22"/>
        </w:rPr>
        <w:t>enterprise</w:t>
      </w:r>
      <w:r w:rsidR="00AE06B8">
        <w:rPr>
          <w:rFonts w:ascii="Calibri" w:hAnsi="Calibri" w:cs="Calibri"/>
          <w:sz w:val="22"/>
          <w:szCs w:val="22"/>
        </w:rPr>
        <w:t xml:space="preserve"> (SMEs)</w:t>
      </w:r>
      <w:r w:rsidR="00B322ED">
        <w:rPr>
          <w:rFonts w:ascii="Calibri" w:hAnsi="Calibri" w:cs="Calibri"/>
          <w:sz w:val="22"/>
          <w:szCs w:val="22"/>
        </w:rPr>
        <w:t xml:space="preserve">, </w:t>
      </w:r>
      <w:hyperlink r:id="rId13" w:history="1">
        <w:r w:rsidR="002D20D2" w:rsidRPr="002D20D2">
          <w:rPr>
            <w:rStyle w:val="Hyperlink"/>
            <w:rFonts w:ascii="Calibri" w:hAnsi="Calibri" w:cs="Calibri"/>
            <w:sz w:val="22"/>
            <w:szCs w:val="22"/>
          </w:rPr>
          <w:t>social enterprise groups</w:t>
        </w:r>
      </w:hyperlink>
      <w:r w:rsidR="00B322ED">
        <w:rPr>
          <w:rFonts w:ascii="Calibri" w:hAnsi="Calibri" w:cs="Calibri"/>
          <w:sz w:val="22"/>
          <w:szCs w:val="22"/>
        </w:rPr>
        <w:t xml:space="preserve"> etc.</w:t>
      </w:r>
      <w:r w:rsidRPr="00843160">
        <w:rPr>
          <w:rFonts w:ascii="Calibri" w:hAnsi="Calibri" w:cs="Calibri"/>
          <w:sz w:val="22"/>
          <w:szCs w:val="22"/>
        </w:rPr>
        <w:t>;</w:t>
      </w:r>
    </w:p>
    <w:p w14:paraId="71FA61F0" w14:textId="77777777" w:rsidR="00843160" w:rsidRPr="00843160" w:rsidRDefault="00843160" w:rsidP="00843160">
      <w:pPr>
        <w:numPr>
          <w:ilvl w:val="0"/>
          <w:numId w:val="6"/>
        </w:numPr>
        <w:spacing w:before="100" w:after="100" w:line="260" w:lineRule="atLeast"/>
        <w:contextualSpacing/>
        <w:rPr>
          <w:rFonts w:ascii="Calibri" w:hAnsi="Calibri" w:cs="Calibri"/>
          <w:sz w:val="22"/>
          <w:szCs w:val="22"/>
        </w:rPr>
      </w:pPr>
      <w:r w:rsidRPr="00843160">
        <w:rPr>
          <w:rFonts w:ascii="Calibri" w:hAnsi="Calibri" w:cs="Calibri"/>
          <w:sz w:val="22"/>
          <w:szCs w:val="22"/>
        </w:rPr>
        <w:t>environmental management; and</w:t>
      </w:r>
    </w:p>
    <w:p w14:paraId="2D8C2302" w14:textId="77777777" w:rsidR="00843160" w:rsidRDefault="00843160" w:rsidP="000C2F5B">
      <w:pPr>
        <w:numPr>
          <w:ilvl w:val="0"/>
          <w:numId w:val="6"/>
        </w:numPr>
        <w:spacing w:before="100" w:after="100" w:line="260" w:lineRule="atLeast"/>
        <w:ind w:left="714" w:hanging="357"/>
        <w:rPr>
          <w:rFonts w:ascii="Calibri" w:hAnsi="Calibri" w:cs="Calibri"/>
          <w:sz w:val="22"/>
          <w:szCs w:val="22"/>
        </w:rPr>
      </w:pPr>
      <w:r w:rsidRPr="00843160">
        <w:rPr>
          <w:rFonts w:ascii="Calibri" w:hAnsi="Calibri" w:cs="Calibri"/>
          <w:sz w:val="22"/>
          <w:szCs w:val="22"/>
        </w:rPr>
        <w:t>industry development</w:t>
      </w:r>
      <w:r w:rsidR="003648ED">
        <w:rPr>
          <w:rFonts w:ascii="Calibri" w:hAnsi="Calibri" w:cs="Calibri"/>
          <w:sz w:val="22"/>
          <w:szCs w:val="22"/>
        </w:rPr>
        <w:t xml:space="preserve"> opportunities</w:t>
      </w:r>
      <w:r w:rsidRPr="00843160">
        <w:rPr>
          <w:rFonts w:ascii="Calibri" w:hAnsi="Calibri" w:cs="Calibri"/>
          <w:sz w:val="22"/>
          <w:szCs w:val="22"/>
        </w:rPr>
        <w:t>.</w:t>
      </w:r>
    </w:p>
    <w:p w14:paraId="58EE32AD" w14:textId="66C60699" w:rsidR="00A16221" w:rsidRDefault="00C942FC" w:rsidP="000C2F5B">
      <w:pPr>
        <w:spacing w:before="100" w:after="100" w:line="260" w:lineRule="atLeast"/>
        <w:rPr>
          <w:rFonts w:ascii="Calibri" w:hAnsi="Calibri" w:cs="Calibri"/>
          <w:sz w:val="22"/>
          <w:szCs w:val="22"/>
        </w:rPr>
      </w:pPr>
      <w:r>
        <w:rPr>
          <w:rFonts w:ascii="Calibri" w:hAnsi="Calibri" w:cs="Calibri"/>
          <w:sz w:val="22"/>
          <w:szCs w:val="22"/>
        </w:rPr>
        <w:t xml:space="preserve">The Victorian government already has a policy in </w:t>
      </w:r>
      <w:r w:rsidR="009778AC">
        <w:rPr>
          <w:rFonts w:ascii="Calibri" w:hAnsi="Calibri" w:cs="Calibri"/>
          <w:sz w:val="22"/>
          <w:szCs w:val="22"/>
        </w:rPr>
        <w:t xml:space="preserve">to ensure that Australia and New Zealand </w:t>
      </w:r>
      <w:r w:rsidR="00AE06B8">
        <w:rPr>
          <w:rFonts w:ascii="Calibri" w:hAnsi="Calibri" w:cs="Calibri"/>
          <w:sz w:val="22"/>
          <w:szCs w:val="22"/>
        </w:rPr>
        <w:t>SMEs</w:t>
      </w:r>
      <w:r w:rsidR="009778AC">
        <w:rPr>
          <w:rFonts w:ascii="Calibri" w:hAnsi="Calibri" w:cs="Calibri"/>
          <w:sz w:val="22"/>
          <w:szCs w:val="22"/>
        </w:rPr>
        <w:t xml:space="preserve"> are given full and fair opportunity to compete for government contracts</w:t>
      </w:r>
      <w:r>
        <w:rPr>
          <w:rFonts w:ascii="Calibri" w:hAnsi="Calibri" w:cs="Calibri"/>
          <w:sz w:val="22"/>
          <w:szCs w:val="22"/>
        </w:rPr>
        <w:t xml:space="preserve">. </w:t>
      </w:r>
      <w:r w:rsidR="00A16221">
        <w:rPr>
          <w:rFonts w:ascii="Calibri" w:hAnsi="Calibri" w:cs="Calibri"/>
          <w:sz w:val="22"/>
          <w:szCs w:val="22"/>
        </w:rPr>
        <w:t xml:space="preserve">The </w:t>
      </w:r>
      <w:hyperlink r:id="rId14" w:history="1">
        <w:r w:rsidR="00A16221" w:rsidRPr="00A16221">
          <w:rPr>
            <w:rStyle w:val="Hyperlink"/>
            <w:rFonts w:ascii="Calibri" w:hAnsi="Calibri" w:cs="Calibri"/>
            <w:sz w:val="22"/>
            <w:szCs w:val="22"/>
          </w:rPr>
          <w:t xml:space="preserve">Victorian industry Participation Policy </w:t>
        </w:r>
        <w:r w:rsidR="00A16221" w:rsidRPr="00A16221">
          <w:rPr>
            <w:rStyle w:val="Hyperlink"/>
            <w:rFonts w:ascii="Calibri" w:hAnsi="Calibri" w:cs="Calibri"/>
            <w:sz w:val="22"/>
            <w:szCs w:val="22"/>
          </w:rPr>
          <w:lastRenderedPageBreak/>
          <w:t>(VIPP)</w:t>
        </w:r>
      </w:hyperlink>
      <w:r w:rsidR="00A16221">
        <w:rPr>
          <w:rFonts w:ascii="Calibri" w:hAnsi="Calibri" w:cs="Calibri"/>
          <w:sz w:val="22"/>
          <w:szCs w:val="22"/>
        </w:rPr>
        <w:t xml:space="preserve"> requires departments and agencies to consider opportunities for competitive </w:t>
      </w:r>
      <w:r w:rsidR="00760DD6">
        <w:rPr>
          <w:rFonts w:ascii="Calibri" w:hAnsi="Calibri" w:cs="Calibri"/>
          <w:sz w:val="22"/>
          <w:szCs w:val="22"/>
        </w:rPr>
        <w:t>Australia and New Zealand SME’s</w:t>
      </w:r>
      <w:r w:rsidR="00A16221">
        <w:rPr>
          <w:rFonts w:ascii="Calibri" w:hAnsi="Calibri" w:cs="Calibri"/>
          <w:sz w:val="22"/>
          <w:szCs w:val="22"/>
        </w:rPr>
        <w:t xml:space="preserve"> when awarding contracts</w:t>
      </w:r>
      <w:r w:rsidR="009778AC">
        <w:rPr>
          <w:rFonts w:ascii="Calibri" w:hAnsi="Calibri" w:cs="Calibri"/>
          <w:sz w:val="22"/>
          <w:szCs w:val="22"/>
        </w:rPr>
        <w:t xml:space="preserve"> above relevant threshold values</w:t>
      </w:r>
      <w:r w:rsidR="00A16221">
        <w:rPr>
          <w:rFonts w:ascii="Calibri" w:hAnsi="Calibri" w:cs="Calibri"/>
          <w:sz w:val="22"/>
          <w:szCs w:val="22"/>
        </w:rPr>
        <w:t xml:space="preserve">. </w:t>
      </w:r>
    </w:p>
    <w:p w14:paraId="076ED782" w14:textId="77777777" w:rsidR="00844DEB" w:rsidRDefault="00843160" w:rsidP="00843160">
      <w:pPr>
        <w:spacing w:before="100" w:after="100" w:line="260" w:lineRule="atLeast"/>
        <w:rPr>
          <w:rFonts w:ascii="Calibri" w:hAnsi="Calibri" w:cs="Calibri"/>
          <w:sz w:val="22"/>
          <w:szCs w:val="22"/>
        </w:rPr>
      </w:pPr>
      <w:r w:rsidRPr="00843160">
        <w:rPr>
          <w:rFonts w:ascii="Calibri" w:hAnsi="Calibri" w:cs="Calibri"/>
          <w:sz w:val="22"/>
          <w:szCs w:val="22"/>
        </w:rPr>
        <w:t>For more information on building social procurement into your procurement activity refer to</w:t>
      </w:r>
      <w:r w:rsidR="00844DEB">
        <w:rPr>
          <w:rFonts w:ascii="Calibri" w:hAnsi="Calibri" w:cs="Calibri"/>
          <w:sz w:val="22"/>
          <w:szCs w:val="22"/>
        </w:rPr>
        <w:t>:</w:t>
      </w:r>
    </w:p>
    <w:p w14:paraId="2E4BB7E3" w14:textId="77777777" w:rsidR="00844DEB" w:rsidRPr="00844DEB" w:rsidRDefault="002F2B91" w:rsidP="00844DEB">
      <w:pPr>
        <w:pStyle w:val="ListParagraph"/>
        <w:numPr>
          <w:ilvl w:val="0"/>
          <w:numId w:val="13"/>
        </w:numPr>
        <w:spacing w:before="100" w:after="100" w:line="260" w:lineRule="atLeast"/>
        <w:rPr>
          <w:rFonts w:ascii="Calibri" w:hAnsi="Calibri" w:cs="Calibri"/>
          <w:sz w:val="22"/>
          <w:szCs w:val="22"/>
        </w:rPr>
      </w:pPr>
      <w:hyperlink r:id="rId15" w:history="1">
        <w:r w:rsidR="00843160" w:rsidRPr="00844DEB">
          <w:rPr>
            <w:rFonts w:ascii="Calibri" w:hAnsi="Calibri" w:cs="Calibri"/>
            <w:color w:val="660B68"/>
            <w:sz w:val="22"/>
            <w:szCs w:val="22"/>
          </w:rPr>
          <w:t>Social Procurement – A guide for the Victorian Local Government</w:t>
        </w:r>
      </w:hyperlink>
      <w:r w:rsidR="00A16221" w:rsidRPr="00844DEB">
        <w:rPr>
          <w:rFonts w:ascii="Calibri" w:hAnsi="Calibri" w:cs="Calibri"/>
          <w:color w:val="660B68"/>
          <w:sz w:val="22"/>
          <w:szCs w:val="22"/>
        </w:rPr>
        <w:t xml:space="preserve"> </w:t>
      </w:r>
    </w:p>
    <w:p w14:paraId="353A257D" w14:textId="13349431" w:rsidR="00843160" w:rsidRPr="00844DEB" w:rsidRDefault="002F2B91" w:rsidP="00844DEB">
      <w:pPr>
        <w:pStyle w:val="ListParagraph"/>
        <w:numPr>
          <w:ilvl w:val="0"/>
          <w:numId w:val="13"/>
        </w:numPr>
        <w:spacing w:before="100" w:after="100" w:line="260" w:lineRule="atLeast"/>
        <w:rPr>
          <w:rFonts w:ascii="Calibri" w:hAnsi="Calibri" w:cs="Calibri"/>
          <w:sz w:val="22"/>
          <w:szCs w:val="22"/>
        </w:rPr>
      </w:pPr>
      <w:hyperlink r:id="rId16" w:history="1">
        <w:r w:rsidR="00A16221" w:rsidRPr="00844DEB">
          <w:rPr>
            <w:rStyle w:val="Hyperlink"/>
            <w:rFonts w:ascii="Calibri" w:hAnsi="Calibri" w:cs="Calibri"/>
            <w:sz w:val="22"/>
            <w:szCs w:val="22"/>
          </w:rPr>
          <w:t>Industry Capability Network (ICN) Victoria</w:t>
        </w:r>
      </w:hyperlink>
    </w:p>
    <w:p w14:paraId="12BD0E58" w14:textId="2BD5ABC4" w:rsidR="00843160" w:rsidRPr="00843160" w:rsidRDefault="006D3C56" w:rsidP="00843160">
      <w:pPr>
        <w:spacing w:before="100" w:after="100" w:line="260" w:lineRule="atLeast"/>
        <w:rPr>
          <w:rFonts w:ascii="Calibri" w:hAnsi="Calibri" w:cs="Calibri"/>
          <w:sz w:val="22"/>
          <w:szCs w:val="22"/>
        </w:rPr>
      </w:pPr>
      <w:r w:rsidRPr="00A16221">
        <w:rPr>
          <w:rFonts w:ascii="Calibri" w:hAnsi="Calibri" w:cs="Calibri"/>
          <w:sz w:val="22"/>
          <w:szCs w:val="22"/>
        </w:rPr>
        <w:t>ICN is a non-profit organisation that introduces Australian and New Zealand companies to the supply chains of projects, government procurement and commercial developments</w:t>
      </w:r>
      <w:r>
        <w:rPr>
          <w:rFonts w:ascii="Calibri" w:hAnsi="Calibri" w:cs="Calibri"/>
          <w:sz w:val="22"/>
          <w:szCs w:val="22"/>
        </w:rPr>
        <w:t>.</w:t>
      </w:r>
    </w:p>
    <w:p w14:paraId="0C5A3AA1" w14:textId="77777777" w:rsidR="00155F37" w:rsidRPr="00E5613E" w:rsidRDefault="00155F37" w:rsidP="00155F37">
      <w:pPr>
        <w:pStyle w:val="Heading2"/>
        <w:keepLines w:val="0"/>
        <w:spacing w:before="120" w:after="120" w:line="240" w:lineRule="auto"/>
        <w:rPr>
          <w:rFonts w:ascii="Calibri" w:eastAsia="Times New Roman" w:hAnsi="Calibri" w:cs="Calibri"/>
          <w:bCs w:val="0"/>
          <w:color w:val="7030A0"/>
          <w:spacing w:val="0"/>
          <w:szCs w:val="22"/>
          <w:lang w:eastAsia="en-US"/>
        </w:rPr>
      </w:pPr>
      <w:r w:rsidRPr="00E5613E">
        <w:rPr>
          <w:rFonts w:ascii="Calibri" w:eastAsia="Times New Roman" w:hAnsi="Calibri" w:cs="Calibri"/>
          <w:bCs w:val="0"/>
          <w:color w:val="7030A0"/>
          <w:spacing w:val="0"/>
          <w:szCs w:val="22"/>
          <w:lang w:eastAsia="en-US"/>
        </w:rPr>
        <w:t>Using this guide</w:t>
      </w:r>
    </w:p>
    <w:p w14:paraId="7C87DBEC" w14:textId="2A6536B1" w:rsidR="00155F37" w:rsidRPr="00D879F1" w:rsidRDefault="00155F37" w:rsidP="00832AB9">
      <w:pPr>
        <w:spacing w:before="100" w:after="100" w:line="260" w:lineRule="atLeast"/>
        <w:rPr>
          <w:rFonts w:ascii="Calibri" w:hAnsi="Calibri" w:cs="Calibri"/>
          <w:sz w:val="22"/>
          <w:szCs w:val="22"/>
        </w:rPr>
      </w:pPr>
      <w:r w:rsidRPr="00D879F1">
        <w:rPr>
          <w:rFonts w:ascii="Calibri" w:hAnsi="Calibri" w:cs="Calibri"/>
          <w:sz w:val="22"/>
          <w:szCs w:val="22"/>
        </w:rPr>
        <w:t xml:space="preserve">This guide accompanies the </w:t>
      </w:r>
      <w:hyperlink r:id="rId17" w:history="1">
        <w:r w:rsidRPr="007462A5">
          <w:rPr>
            <w:rStyle w:val="Hyperlink"/>
            <w:rFonts w:ascii="Calibri" w:hAnsi="Calibri" w:cs="Calibri"/>
            <w:sz w:val="22"/>
            <w:szCs w:val="22"/>
          </w:rPr>
          <w:t>goods and services supply policies</w:t>
        </w:r>
      </w:hyperlink>
      <w:r w:rsidRPr="00D879F1">
        <w:rPr>
          <w:rFonts w:ascii="Calibri" w:hAnsi="Calibri" w:cs="Calibri"/>
          <w:sz w:val="22"/>
          <w:szCs w:val="22"/>
        </w:rPr>
        <w:t>. There are 5 supplies policies:</w:t>
      </w:r>
    </w:p>
    <w:p w14:paraId="030CD7BC" w14:textId="77777777" w:rsidR="00155F37" w:rsidRPr="00D879F1" w:rsidRDefault="00155F37" w:rsidP="00832AB9">
      <w:pPr>
        <w:pStyle w:val="ListParagraph"/>
        <w:numPr>
          <w:ilvl w:val="0"/>
          <w:numId w:val="14"/>
        </w:numPr>
        <w:spacing w:before="100" w:after="100" w:line="260" w:lineRule="atLeast"/>
        <w:rPr>
          <w:rFonts w:ascii="Calibri" w:hAnsi="Calibri" w:cs="Calibri"/>
          <w:sz w:val="22"/>
          <w:szCs w:val="22"/>
        </w:rPr>
      </w:pPr>
      <w:r w:rsidRPr="00D879F1">
        <w:rPr>
          <w:rFonts w:ascii="Calibri" w:hAnsi="Calibri" w:cs="Calibri"/>
          <w:sz w:val="22"/>
          <w:szCs w:val="22"/>
        </w:rPr>
        <w:t>Governance policy</w:t>
      </w:r>
    </w:p>
    <w:p w14:paraId="65765469" w14:textId="77777777" w:rsidR="00FA0A71" w:rsidRPr="00FA0A71" w:rsidRDefault="00FA0A71" w:rsidP="00FA0A71">
      <w:pPr>
        <w:pStyle w:val="ListParagraph"/>
        <w:numPr>
          <w:ilvl w:val="0"/>
          <w:numId w:val="14"/>
        </w:numPr>
        <w:spacing w:before="100" w:after="100" w:line="260" w:lineRule="atLeast"/>
        <w:rPr>
          <w:rFonts w:ascii="Calibri" w:hAnsi="Calibri" w:cs="Calibri"/>
          <w:sz w:val="22"/>
          <w:szCs w:val="22"/>
        </w:rPr>
      </w:pPr>
      <w:r w:rsidRPr="00FA0A71">
        <w:rPr>
          <w:rFonts w:ascii="Calibri" w:hAnsi="Calibri" w:cs="Calibri"/>
          <w:sz w:val="22"/>
          <w:szCs w:val="22"/>
        </w:rPr>
        <w:t>Complexity and capability assessment policy</w:t>
      </w:r>
    </w:p>
    <w:p w14:paraId="5520B641" w14:textId="77777777" w:rsidR="00155F37" w:rsidRPr="00D879F1" w:rsidRDefault="00155F37" w:rsidP="00832AB9">
      <w:pPr>
        <w:pStyle w:val="ListParagraph"/>
        <w:numPr>
          <w:ilvl w:val="0"/>
          <w:numId w:val="14"/>
        </w:numPr>
        <w:spacing w:before="100" w:after="100" w:line="260" w:lineRule="atLeast"/>
        <w:rPr>
          <w:rFonts w:ascii="Calibri" w:hAnsi="Calibri" w:cs="Calibri"/>
          <w:sz w:val="22"/>
          <w:szCs w:val="22"/>
        </w:rPr>
      </w:pPr>
      <w:r w:rsidRPr="00D879F1">
        <w:rPr>
          <w:rFonts w:ascii="Calibri" w:hAnsi="Calibri" w:cs="Calibri"/>
          <w:sz w:val="22"/>
          <w:szCs w:val="22"/>
        </w:rPr>
        <w:t>Market analysis and review policy</w:t>
      </w:r>
    </w:p>
    <w:p w14:paraId="62FCC9E8" w14:textId="77777777" w:rsidR="00155F37" w:rsidRPr="00D879F1" w:rsidRDefault="00155F37" w:rsidP="00832AB9">
      <w:pPr>
        <w:pStyle w:val="ListParagraph"/>
        <w:numPr>
          <w:ilvl w:val="0"/>
          <w:numId w:val="14"/>
        </w:numPr>
        <w:spacing w:before="100" w:after="100" w:line="260" w:lineRule="atLeast"/>
        <w:rPr>
          <w:rFonts w:ascii="Calibri" w:hAnsi="Calibri" w:cs="Calibri"/>
          <w:sz w:val="22"/>
          <w:szCs w:val="22"/>
        </w:rPr>
      </w:pPr>
      <w:r w:rsidRPr="00D879F1">
        <w:rPr>
          <w:rFonts w:ascii="Calibri" w:hAnsi="Calibri" w:cs="Calibri"/>
          <w:sz w:val="22"/>
          <w:szCs w:val="22"/>
        </w:rPr>
        <w:t>Market approach policy</w:t>
      </w:r>
    </w:p>
    <w:p w14:paraId="16DAB182" w14:textId="77777777" w:rsidR="00155F37" w:rsidRPr="00D879F1" w:rsidRDefault="00155F37" w:rsidP="00832AB9">
      <w:pPr>
        <w:pStyle w:val="ListParagraph"/>
        <w:numPr>
          <w:ilvl w:val="0"/>
          <w:numId w:val="14"/>
        </w:numPr>
        <w:spacing w:before="100" w:after="100" w:line="260" w:lineRule="atLeast"/>
        <w:rPr>
          <w:rFonts w:ascii="Calibri" w:hAnsi="Calibri" w:cs="Calibri"/>
          <w:sz w:val="22"/>
          <w:szCs w:val="22"/>
        </w:rPr>
      </w:pPr>
      <w:r w:rsidRPr="00D879F1">
        <w:rPr>
          <w:rFonts w:ascii="Calibri" w:hAnsi="Calibri" w:cs="Calibri"/>
          <w:sz w:val="22"/>
          <w:szCs w:val="22"/>
        </w:rPr>
        <w:t>Contract management and disclosure policy</w:t>
      </w:r>
    </w:p>
    <w:p w14:paraId="5ED8951A" w14:textId="2DA8C291" w:rsidR="00155F37" w:rsidRPr="00D879F1" w:rsidRDefault="00155F37" w:rsidP="00832AB9">
      <w:pPr>
        <w:spacing w:before="100" w:after="100" w:line="260" w:lineRule="atLeast"/>
        <w:rPr>
          <w:rFonts w:ascii="Calibri" w:hAnsi="Calibri" w:cs="Calibri"/>
          <w:sz w:val="22"/>
          <w:szCs w:val="22"/>
        </w:rPr>
      </w:pPr>
      <w:r w:rsidRPr="00D879F1">
        <w:rPr>
          <w:rFonts w:ascii="Calibri" w:hAnsi="Calibri" w:cs="Calibri"/>
          <w:sz w:val="22"/>
          <w:szCs w:val="22"/>
        </w:rPr>
        <w:t xml:space="preserve">This guide supports the </w:t>
      </w:r>
      <w:hyperlink r:id="rId18" w:history="1">
        <w:r w:rsidRPr="007462A5">
          <w:rPr>
            <w:rStyle w:val="Hyperlink"/>
            <w:rFonts w:ascii="Calibri" w:hAnsi="Calibri" w:cs="Calibri"/>
            <w:sz w:val="22"/>
            <w:szCs w:val="22"/>
          </w:rPr>
          <w:t>Market analysis and review policy</w:t>
        </w:r>
      </w:hyperlink>
      <w:r w:rsidRPr="00D879F1">
        <w:rPr>
          <w:rFonts w:ascii="Calibri" w:hAnsi="Calibri" w:cs="Calibri"/>
          <w:sz w:val="22"/>
          <w:szCs w:val="22"/>
        </w:rPr>
        <w:t>.</w:t>
      </w:r>
    </w:p>
    <w:p w14:paraId="0476328A" w14:textId="77777777" w:rsidR="00832AB9" w:rsidRPr="00832AB9" w:rsidRDefault="00832AB9" w:rsidP="00832AB9">
      <w:pPr>
        <w:spacing w:before="100" w:after="100" w:line="260" w:lineRule="atLeast"/>
        <w:rPr>
          <w:rFonts w:ascii="Calibri" w:hAnsi="Calibri" w:cs="Calibri"/>
          <w:sz w:val="22"/>
          <w:szCs w:val="22"/>
        </w:rPr>
      </w:pPr>
      <w:r w:rsidRPr="00832AB9">
        <w:rPr>
          <w:rFonts w:ascii="Calibri" w:hAnsi="Calibri" w:cs="Calibri"/>
          <w:sz w:val="22"/>
          <w:szCs w:val="22"/>
        </w:rPr>
        <w:t>This guide accompanies the:</w:t>
      </w:r>
    </w:p>
    <w:p w14:paraId="457D853D" w14:textId="36EA4223" w:rsidR="00832AB9" w:rsidRPr="00832AB9" w:rsidRDefault="007462A5" w:rsidP="00832AB9">
      <w:pPr>
        <w:pStyle w:val="ListParagraph"/>
        <w:numPr>
          <w:ilvl w:val="0"/>
          <w:numId w:val="14"/>
        </w:numPr>
        <w:spacing w:before="100" w:after="100" w:line="260" w:lineRule="atLeast"/>
        <w:rPr>
          <w:rFonts w:ascii="Calibri" w:hAnsi="Calibri" w:cs="Calibri"/>
          <w:sz w:val="22"/>
          <w:szCs w:val="22"/>
        </w:rPr>
      </w:pPr>
      <w:hyperlink r:id="rId19" w:history="1">
        <w:r w:rsidR="00832AB9" w:rsidRPr="007462A5">
          <w:rPr>
            <w:rStyle w:val="Hyperlink"/>
            <w:rFonts w:ascii="Calibri" w:hAnsi="Calibri" w:cs="Calibri"/>
            <w:sz w:val="22"/>
            <w:szCs w:val="22"/>
          </w:rPr>
          <w:t>Market analysis and review – Goods and services procurement guide</w:t>
        </w:r>
      </w:hyperlink>
    </w:p>
    <w:p w14:paraId="7B6D5C55" w14:textId="18056372" w:rsidR="00832AB9" w:rsidRPr="00832AB9" w:rsidRDefault="007462A5" w:rsidP="00832AB9">
      <w:pPr>
        <w:pStyle w:val="ListParagraph"/>
        <w:numPr>
          <w:ilvl w:val="0"/>
          <w:numId w:val="14"/>
        </w:numPr>
        <w:spacing w:before="100" w:after="100" w:line="260" w:lineRule="atLeast"/>
        <w:rPr>
          <w:rFonts w:ascii="Calibri" w:hAnsi="Calibri" w:cs="Calibri"/>
          <w:sz w:val="22"/>
          <w:szCs w:val="22"/>
        </w:rPr>
      </w:pPr>
      <w:hyperlink r:id="rId20" w:history="1">
        <w:r w:rsidR="00832AB9" w:rsidRPr="007462A5">
          <w:rPr>
            <w:rStyle w:val="Hyperlink"/>
            <w:rFonts w:ascii="Calibri" w:hAnsi="Calibri" w:cs="Calibri"/>
            <w:sz w:val="22"/>
            <w:szCs w:val="22"/>
          </w:rPr>
          <w:t>Improving access to government for SMEs – Goods and services procurement guide</w:t>
        </w:r>
      </w:hyperlink>
    </w:p>
    <w:p w14:paraId="2D7C2DA7" w14:textId="64DEB69E" w:rsidR="00832AB9" w:rsidRPr="00832AB9" w:rsidRDefault="007462A5" w:rsidP="00832AB9">
      <w:pPr>
        <w:pStyle w:val="ListParagraph"/>
        <w:numPr>
          <w:ilvl w:val="0"/>
          <w:numId w:val="14"/>
        </w:numPr>
        <w:spacing w:before="100" w:after="100" w:line="260" w:lineRule="atLeast"/>
        <w:rPr>
          <w:rFonts w:ascii="Calibri" w:hAnsi="Calibri" w:cs="Calibri"/>
          <w:sz w:val="22"/>
          <w:szCs w:val="22"/>
        </w:rPr>
      </w:pPr>
      <w:hyperlink r:id="rId21" w:history="1">
        <w:r w:rsidR="00832AB9" w:rsidRPr="007462A5">
          <w:rPr>
            <w:rStyle w:val="Hyperlink"/>
            <w:rFonts w:ascii="Calibri" w:hAnsi="Calibri" w:cs="Calibri"/>
            <w:sz w:val="22"/>
            <w:szCs w:val="22"/>
          </w:rPr>
          <w:t>Value for money – goods and services procurement guide</w:t>
        </w:r>
      </w:hyperlink>
    </w:p>
    <w:p w14:paraId="79DC08F4" w14:textId="77777777" w:rsidR="00843160" w:rsidRDefault="00843160" w:rsidP="00843160">
      <w:pPr>
        <w:spacing w:before="100" w:after="100" w:line="260" w:lineRule="atLeast"/>
        <w:rPr>
          <w:rFonts w:ascii="Calibri" w:hAnsi="Calibri" w:cs="Calibri"/>
          <w:sz w:val="22"/>
          <w:szCs w:val="22"/>
        </w:rPr>
      </w:pPr>
    </w:p>
    <w:p w14:paraId="09506152" w14:textId="77777777" w:rsidR="00B6118E" w:rsidRDefault="00B6118E" w:rsidP="00843160">
      <w:pPr>
        <w:spacing w:before="100" w:after="100" w:line="260" w:lineRule="atLeast"/>
        <w:rPr>
          <w:rFonts w:ascii="Calibri" w:hAnsi="Calibri" w:cs="Calibri"/>
          <w:sz w:val="22"/>
          <w:szCs w:val="22"/>
        </w:rPr>
      </w:pPr>
    </w:p>
    <w:p w14:paraId="6BB230D2" w14:textId="40BC226D" w:rsidR="00B6118E" w:rsidRDefault="00B6118E" w:rsidP="00843160">
      <w:pPr>
        <w:spacing w:before="100" w:after="100" w:line="260" w:lineRule="atLeast"/>
        <w:rPr>
          <w:rFonts w:ascii="Calibri" w:hAnsi="Calibri" w:cs="Calibri"/>
          <w:sz w:val="22"/>
          <w:szCs w:val="22"/>
        </w:rPr>
      </w:pPr>
    </w:p>
    <w:p w14:paraId="0C8195A7" w14:textId="6256EA47" w:rsidR="00242CCF" w:rsidRDefault="00242CCF" w:rsidP="00843160">
      <w:pPr>
        <w:spacing w:before="100" w:after="100" w:line="260" w:lineRule="atLeast"/>
        <w:rPr>
          <w:rFonts w:ascii="Calibri" w:hAnsi="Calibri" w:cs="Calibri"/>
          <w:sz w:val="22"/>
          <w:szCs w:val="22"/>
        </w:rPr>
      </w:pPr>
      <w:bookmarkStart w:id="0" w:name="_GoBack"/>
      <w:bookmarkEnd w:id="0"/>
    </w:p>
    <w:p w14:paraId="3B6691FD" w14:textId="68FB7BD6" w:rsidR="00242CCF" w:rsidRDefault="00242CCF" w:rsidP="00843160">
      <w:pPr>
        <w:spacing w:before="100" w:after="100" w:line="260" w:lineRule="atLeast"/>
        <w:rPr>
          <w:rFonts w:ascii="Calibri" w:hAnsi="Calibri" w:cs="Calibri"/>
          <w:sz w:val="22"/>
          <w:szCs w:val="22"/>
        </w:rPr>
      </w:pPr>
    </w:p>
    <w:p w14:paraId="12CAB449" w14:textId="05730B72" w:rsidR="00242CCF" w:rsidRDefault="00242CCF" w:rsidP="00843160">
      <w:pPr>
        <w:spacing w:before="100" w:after="100" w:line="260" w:lineRule="atLeast"/>
        <w:rPr>
          <w:rFonts w:ascii="Calibri" w:hAnsi="Calibri" w:cs="Calibri"/>
          <w:sz w:val="22"/>
          <w:szCs w:val="22"/>
        </w:rPr>
      </w:pPr>
    </w:p>
    <w:p w14:paraId="298ACD5C" w14:textId="4CF51E0F" w:rsidR="00242CCF" w:rsidRDefault="00242CCF" w:rsidP="00843160">
      <w:pPr>
        <w:spacing w:before="100" w:after="100" w:line="260" w:lineRule="atLeast"/>
        <w:rPr>
          <w:rFonts w:ascii="Calibri" w:hAnsi="Calibri" w:cs="Calibri"/>
          <w:sz w:val="22"/>
          <w:szCs w:val="22"/>
        </w:rPr>
      </w:pPr>
    </w:p>
    <w:p w14:paraId="3DA989A1" w14:textId="2C11B7FC" w:rsidR="00242CCF" w:rsidRDefault="00242CCF" w:rsidP="00843160">
      <w:pPr>
        <w:spacing w:before="100" w:after="100" w:line="260" w:lineRule="atLeast"/>
        <w:rPr>
          <w:rFonts w:ascii="Calibri" w:hAnsi="Calibri" w:cs="Calibri"/>
          <w:sz w:val="22"/>
          <w:szCs w:val="22"/>
        </w:rPr>
      </w:pPr>
    </w:p>
    <w:p w14:paraId="3ECC17DD" w14:textId="36BC408B" w:rsidR="00242CCF" w:rsidRDefault="00242CCF" w:rsidP="00843160">
      <w:pPr>
        <w:spacing w:before="100" w:after="100" w:line="260" w:lineRule="atLeast"/>
        <w:rPr>
          <w:rFonts w:ascii="Calibri" w:hAnsi="Calibri" w:cs="Calibri"/>
          <w:sz w:val="22"/>
          <w:szCs w:val="22"/>
        </w:rPr>
      </w:pPr>
    </w:p>
    <w:p w14:paraId="6F04E45E" w14:textId="29B9DC1E" w:rsidR="00242CCF" w:rsidRDefault="00242CCF" w:rsidP="00843160">
      <w:pPr>
        <w:spacing w:before="100" w:after="100" w:line="260" w:lineRule="atLeast"/>
        <w:rPr>
          <w:rFonts w:ascii="Calibri" w:hAnsi="Calibri" w:cs="Calibri"/>
          <w:sz w:val="22"/>
          <w:szCs w:val="22"/>
        </w:rPr>
      </w:pPr>
    </w:p>
    <w:p w14:paraId="41B602B9" w14:textId="77777777" w:rsidR="00242CCF" w:rsidRDefault="00242CCF" w:rsidP="00843160">
      <w:pPr>
        <w:spacing w:before="100" w:after="100" w:line="260" w:lineRule="atLeast"/>
        <w:rPr>
          <w:rFonts w:ascii="Calibri" w:hAnsi="Calibri" w:cs="Calibri"/>
          <w:sz w:val="22"/>
          <w:szCs w:val="22"/>
        </w:rPr>
      </w:pPr>
    </w:p>
    <w:p w14:paraId="2E07E4AC" w14:textId="77777777" w:rsidR="00B6118E" w:rsidRPr="00843160" w:rsidRDefault="00B6118E" w:rsidP="00843160">
      <w:pPr>
        <w:spacing w:before="100" w:after="100" w:line="260" w:lineRule="atLeast"/>
        <w:rPr>
          <w:rFonts w:ascii="Calibri" w:hAnsi="Calibri" w:cs="Calibri"/>
          <w:sz w:val="22"/>
          <w:szCs w:val="22"/>
        </w:rPr>
      </w:pPr>
    </w:p>
    <w:p w14:paraId="7FDC620A" w14:textId="65817A6F" w:rsidR="00BD45F5" w:rsidRPr="00BD45F5" w:rsidRDefault="00D93CDB" w:rsidP="00BD45F5">
      <w:pPr>
        <w:spacing w:before="100" w:after="100" w:line="260" w:lineRule="atLeast"/>
        <w:rPr>
          <w:rFonts w:ascii="Calibri" w:hAnsi="Calibri" w:cs="Calibri"/>
          <w:sz w:val="22"/>
          <w:szCs w:val="22"/>
          <w:lang w:eastAsia="en-AU"/>
        </w:rPr>
      </w:pPr>
      <w:r>
        <w:rPr>
          <w:rFonts w:ascii="Calibri" w:hAnsi="Calibri" w:cs="Calibri"/>
          <w:sz w:val="22"/>
          <w:szCs w:val="22"/>
          <w:lang w:eastAsia="en-AU"/>
        </w:rPr>
        <w:t xml:space="preserve">© </w:t>
      </w:r>
      <w:r w:rsidR="00BD45F5" w:rsidRPr="00BD45F5">
        <w:rPr>
          <w:rFonts w:ascii="Calibri" w:hAnsi="Calibri" w:cs="Calibri"/>
          <w:sz w:val="22"/>
          <w:szCs w:val="22"/>
          <w:lang w:eastAsia="en-AU"/>
        </w:rPr>
        <w:t>State of Victoria 2018</w:t>
      </w:r>
      <w:r>
        <w:rPr>
          <w:rFonts w:ascii="Calibri" w:hAnsi="Calibri" w:cs="Calibri"/>
          <w:sz w:val="22"/>
          <w:szCs w:val="22"/>
          <w:lang w:eastAsia="en-AU"/>
        </w:rPr>
        <w:t xml:space="preserve"> (Victorian Government Purchasing Board)</w:t>
      </w:r>
    </w:p>
    <w:p w14:paraId="44AA0561" w14:textId="77777777" w:rsidR="00BD45F5" w:rsidRPr="00BD45F5" w:rsidRDefault="00BD45F5" w:rsidP="00BD45F5">
      <w:pPr>
        <w:spacing w:before="100" w:after="100" w:line="260" w:lineRule="atLeast"/>
        <w:rPr>
          <w:rFonts w:ascii="Calibri" w:hAnsi="Calibri" w:cs="Calibri"/>
          <w:sz w:val="22"/>
          <w:szCs w:val="22"/>
          <w:lang w:eastAsia="en-AU"/>
        </w:rPr>
      </w:pPr>
      <w:r w:rsidRPr="00BD45F5">
        <w:rPr>
          <w:rFonts w:ascii="Calibri" w:hAnsi="Calibri" w:cs="Calibri"/>
          <w:noProof/>
          <w:sz w:val="22"/>
          <w:szCs w:val="22"/>
          <w:lang w:eastAsia="en-AU"/>
        </w:rPr>
        <w:drawing>
          <wp:inline distT="0" distB="0" distL="0" distR="0" wp14:anchorId="4A6B7514" wp14:editId="17775D67">
            <wp:extent cx="1117460" cy="393651"/>
            <wp:effectExtent l="0" t="0" r="6985" b="6985"/>
            <wp:docPr id="2" name="Picture 2">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23">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BD45F5">
        <w:rPr>
          <w:rFonts w:ascii="Calibri" w:hAnsi="Calibri" w:cs="Calibri"/>
          <w:sz w:val="22"/>
          <w:szCs w:val="22"/>
          <w:lang w:eastAsia="en-AU"/>
        </w:rPr>
        <w:t xml:space="preserve"> </w:t>
      </w:r>
    </w:p>
    <w:p w14:paraId="499D3BDF" w14:textId="77777777" w:rsidR="00BD45F5" w:rsidRPr="00BD45F5" w:rsidRDefault="00BD45F5" w:rsidP="00BD45F5">
      <w:pPr>
        <w:spacing w:before="100" w:after="100" w:line="260" w:lineRule="atLeast"/>
        <w:rPr>
          <w:rFonts w:ascii="Calibri" w:hAnsi="Calibri" w:cs="Calibri"/>
          <w:sz w:val="22"/>
          <w:szCs w:val="22"/>
          <w:lang w:eastAsia="en-AU"/>
        </w:rPr>
      </w:pPr>
      <w:r w:rsidRPr="00BD45F5">
        <w:rPr>
          <w:rFonts w:ascii="Calibri" w:hAnsi="Calibri" w:cs="Calibri"/>
          <w:sz w:val="22"/>
          <w:szCs w:val="22"/>
          <w:lang w:eastAsia="en-AU"/>
        </w:rPr>
        <w:t xml:space="preserve">This work is licensed under a </w:t>
      </w:r>
      <w:hyperlink r:id="rId24" w:history="1">
        <w:r w:rsidRPr="00BD45F5">
          <w:rPr>
            <w:rFonts w:asciiTheme="minorHAnsi" w:hAnsiTheme="minorHAnsi" w:cs="Calibri"/>
            <w:color w:val="660B68"/>
            <w:sz w:val="22"/>
            <w:szCs w:val="22"/>
            <w:lang w:eastAsia="en-AU"/>
          </w:rPr>
          <w:t>Creative Commons Attribution 4.0 licence</w:t>
        </w:r>
      </w:hyperlink>
      <w:r w:rsidRPr="00BD45F5">
        <w:rPr>
          <w:rFonts w:asciiTheme="minorHAnsi" w:hAnsiTheme="minorHAnsi" w:cs="Calibri"/>
          <w:sz w:val="22"/>
          <w:szCs w:val="22"/>
          <w:lang w:eastAsia="en-AU"/>
        </w:rPr>
        <w:t>.</w:t>
      </w:r>
      <w:r w:rsidRPr="00BD45F5">
        <w:rPr>
          <w:rFonts w:ascii="Calibri" w:hAnsi="Calibri" w:cs="Calibri"/>
          <w:sz w:val="22"/>
          <w:szCs w:val="22"/>
          <w:lang w:eastAsia="en-AU"/>
        </w:rPr>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300EA77D" w14:textId="77777777" w:rsidR="00BD45F5" w:rsidRPr="00BD45F5" w:rsidRDefault="00BD45F5" w:rsidP="00BD45F5">
      <w:pPr>
        <w:spacing w:before="100" w:after="100" w:line="260" w:lineRule="atLeast"/>
        <w:rPr>
          <w:rFonts w:ascii="Calibri" w:hAnsi="Calibri" w:cs="Calibri"/>
          <w:color w:val="660B68"/>
          <w:sz w:val="22"/>
          <w:szCs w:val="22"/>
          <w:lang w:eastAsia="en-AU"/>
        </w:rPr>
      </w:pPr>
      <w:r w:rsidRPr="00BD45F5">
        <w:rPr>
          <w:rFonts w:ascii="Calibri" w:hAnsi="Calibri" w:cs="Calibri"/>
          <w:sz w:val="22"/>
          <w:szCs w:val="22"/>
          <w:lang w:eastAsia="en-AU"/>
        </w:rPr>
        <w:t xml:space="preserve">Copyright queries may be directed to </w:t>
      </w:r>
      <w:hyperlink r:id="rId25" w:history="1">
        <w:r w:rsidRPr="00BD45F5">
          <w:rPr>
            <w:rFonts w:ascii="Calibri" w:hAnsi="Calibri" w:cs="Calibri"/>
            <w:color w:val="660B68"/>
            <w:sz w:val="22"/>
            <w:szCs w:val="22"/>
            <w:lang w:eastAsia="en-AU"/>
          </w:rPr>
          <w:t>IPpolicy@dtf.vic.gov.au</w:t>
        </w:r>
      </w:hyperlink>
    </w:p>
    <w:p w14:paraId="3D3C3935" w14:textId="77777777" w:rsidR="006F1468" w:rsidRPr="00B6118E" w:rsidRDefault="006F1468" w:rsidP="00843160">
      <w:pPr>
        <w:rPr>
          <w:rFonts w:ascii="Calibri" w:hAnsi="Calibri" w:cs="Calibri"/>
          <w:sz w:val="22"/>
          <w:szCs w:val="22"/>
          <w:lang w:eastAsia="en-AU"/>
        </w:rPr>
      </w:pPr>
    </w:p>
    <w:sectPr w:rsidR="006F1468" w:rsidRPr="00B6118E" w:rsidSect="00AC4E1C">
      <w:headerReference w:type="default" r:id="rId26"/>
      <w:footerReference w:type="even" r:id="rId27"/>
      <w:footerReference w:type="default" r:id="rId28"/>
      <w:headerReference w:type="first" r:id="rId29"/>
      <w:footerReference w:type="first" r:id="rId30"/>
      <w:pgSz w:w="11901" w:h="16840" w:code="9"/>
      <w:pgMar w:top="1560" w:right="986" w:bottom="1418" w:left="1152" w:header="567" w:footer="75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E128C" w14:textId="77777777" w:rsidR="002F2B91" w:rsidRDefault="002F2B91" w:rsidP="00843160">
      <w:r>
        <w:separator/>
      </w:r>
    </w:p>
  </w:endnote>
  <w:endnote w:type="continuationSeparator" w:id="0">
    <w:p w14:paraId="6B4E24D9" w14:textId="77777777" w:rsidR="002F2B91" w:rsidRDefault="002F2B91" w:rsidP="00843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96A89" w14:textId="77777777" w:rsidR="0015260C" w:rsidRDefault="0015260C" w:rsidP="0015260C">
    <w:pPr>
      <w:pStyle w:val="Footer"/>
      <w:rPr>
        <w:rFonts w:ascii="Arial" w:hAnsi="Arial" w:cs="Arial"/>
        <w:b/>
        <w:color w:val="3F3F3F"/>
      </w:rPr>
    </w:pPr>
    <w:bookmarkStart w:id="1" w:name="aliashNonProtectiveMarki1FooterEvenPages"/>
  </w:p>
  <w:p w14:paraId="40F8C2B7" w14:textId="77777777" w:rsidR="00507503" w:rsidRDefault="002F2B91">
    <w:pPr>
      <w:pStyle w:val="Footer"/>
      <w:rPr>
        <w:rFonts w:ascii="Arial" w:hAnsi="Arial" w:cs="Arial"/>
        <w:b/>
        <w:color w:val="3F3F3F"/>
      </w:rPr>
    </w:pPr>
  </w:p>
  <w:bookmarkEnd w:id="1"/>
  <w:p w14:paraId="2252C21F" w14:textId="77777777" w:rsidR="00843160" w:rsidRDefault="008431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A602C" w14:textId="1FA9237C" w:rsidR="00D93CDB" w:rsidRDefault="00D93CDB" w:rsidP="00AC4E1C">
    <w:pPr>
      <w:pStyle w:val="Footer"/>
      <w:tabs>
        <w:tab w:val="clear" w:pos="9026"/>
        <w:tab w:val="right" w:pos="9639"/>
      </w:tabs>
      <w:rPr>
        <w:rFonts w:ascii="Calibri" w:hAnsi="Calibri" w:cs="Calibri"/>
      </w:rPr>
    </w:pPr>
    <w:r w:rsidRPr="00D93CDB">
      <w:rPr>
        <w:rFonts w:ascii="Calibri" w:hAnsi="Calibri" w:cs="Calibri"/>
      </w:rPr>
      <w:t>Victorian Government Purchasing Board</w:t>
    </w:r>
  </w:p>
  <w:p w14:paraId="4E9204A2" w14:textId="4CC3B883" w:rsidR="0098787E" w:rsidRPr="00AC4E1C" w:rsidRDefault="00D71186" w:rsidP="00AC4E1C">
    <w:pPr>
      <w:pStyle w:val="Footer"/>
      <w:tabs>
        <w:tab w:val="clear" w:pos="9026"/>
        <w:tab w:val="right" w:pos="9639"/>
      </w:tabs>
      <w:rPr>
        <w:rFonts w:ascii="Calibri" w:hAnsi="Calibri" w:cs="Calibri"/>
      </w:rPr>
    </w:pPr>
    <w:r>
      <w:rPr>
        <w:rFonts w:ascii="Calibri" w:hAnsi="Calibri" w:cs="Calibri"/>
        <w:noProof/>
      </w:rPr>
      <mc:AlternateContent>
        <mc:Choice Requires="wps">
          <w:drawing>
            <wp:anchor distT="0" distB="0" distL="114300" distR="114300" simplePos="0" relativeHeight="251657216" behindDoc="0" locked="0" layoutInCell="0" allowOverlap="1" wp14:anchorId="39C3F430" wp14:editId="0849FADD">
              <wp:simplePos x="0" y="0"/>
              <wp:positionH relativeFrom="page">
                <wp:posOffset>0</wp:posOffset>
              </wp:positionH>
              <wp:positionV relativeFrom="page">
                <wp:posOffset>10236200</wp:posOffset>
              </wp:positionV>
              <wp:extent cx="7557135" cy="266700"/>
              <wp:effectExtent l="0" t="0" r="0" b="0"/>
              <wp:wrapNone/>
              <wp:docPr id="61" name="MSIPCM3a22433397dc6c230ebfd545"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4F1980" w14:textId="38D3D4E6" w:rsidR="00D71186" w:rsidRPr="00D71186" w:rsidRDefault="00D71186" w:rsidP="00D71186">
                          <w:pPr>
                            <w:rPr>
                              <w:rFonts w:ascii="Calibri" w:hAnsi="Calibri" w:cs="Calibri"/>
                              <w:color w:val="000000"/>
                              <w:sz w:val="22"/>
                            </w:rPr>
                          </w:pPr>
                          <w:r w:rsidRPr="00D71186">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9C3F430" id="_x0000_t202" coordsize="21600,21600" o:spt="202" path="m,l,21600r21600,l21600,xe">
              <v:stroke joinstyle="miter"/>
              <v:path gradientshapeok="t" o:connecttype="rect"/>
            </v:shapetype>
            <v:shape id="MSIPCM3a22433397dc6c230ebfd545"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" o:allowincell="f" filled="f" stroked="f" strokeweight=".5pt">
              <v:textbox inset="20pt,0,,0">
                <w:txbxContent>
                  <w:p w14:paraId="2A4F1980" w14:textId="38D3D4E6" w:rsidR="00D71186" w:rsidRPr="00D71186" w:rsidRDefault="00D71186" w:rsidP="00D71186">
                    <w:pPr>
                      <w:rPr>
                        <w:rFonts w:ascii="Calibri" w:hAnsi="Calibri" w:cs="Calibri"/>
                        <w:color w:val="000000"/>
                        <w:sz w:val="22"/>
                      </w:rPr>
                    </w:pPr>
                    <w:r w:rsidRPr="00D71186">
                      <w:rPr>
                        <w:rFonts w:ascii="Calibri" w:hAnsi="Calibri" w:cs="Calibri"/>
                        <w:color w:val="000000"/>
                        <w:sz w:val="22"/>
                      </w:rPr>
                      <w:t>OFFICIAL</w:t>
                    </w:r>
                  </w:p>
                </w:txbxContent>
              </v:textbox>
              <w10:wrap anchorx="page" anchory="page"/>
            </v:shape>
          </w:pict>
        </mc:Fallback>
      </mc:AlternateContent>
    </w:r>
    <w:sdt>
      <w:sdtPr>
        <w:rPr>
          <w:rFonts w:ascii="Calibri" w:hAnsi="Calibri" w:cs="Calibri"/>
        </w:rPr>
        <w:id w:val="-522404660"/>
        <w:docPartObj>
          <w:docPartGallery w:val="Page Numbers (Bottom of Page)"/>
          <w:docPartUnique/>
        </w:docPartObj>
      </w:sdtPr>
      <w:sdtEndPr/>
      <w:sdtContent>
        <w:sdt>
          <w:sdtPr>
            <w:rPr>
              <w:rFonts w:ascii="Calibri" w:hAnsi="Calibri" w:cs="Calibri"/>
            </w:rPr>
            <w:id w:val="851995950"/>
            <w:docPartObj>
              <w:docPartGallery w:val="Page Numbers (Top of Page)"/>
              <w:docPartUnique/>
            </w:docPartObj>
          </w:sdtPr>
          <w:sdtEndPr/>
          <w:sdtContent>
            <w:r w:rsidR="00AC4E1C">
              <w:rPr>
                <w:rFonts w:ascii="Calibri" w:hAnsi="Calibri" w:cs="Calibri"/>
              </w:rPr>
              <w:t>Understanding the supply chain – Goods and services supply chain</w:t>
            </w:r>
            <w:r w:rsidR="00AC4E1C">
              <w:rPr>
                <w:rFonts w:ascii="Calibri" w:hAnsi="Calibri" w:cs="Calibri"/>
              </w:rPr>
              <w:br/>
              <w:t>December 2018</w:t>
            </w:r>
            <w:r w:rsidR="00AC4E1C">
              <w:rPr>
                <w:rFonts w:ascii="Calibri" w:hAnsi="Calibri" w:cs="Calibri"/>
              </w:rPr>
              <w:tab/>
            </w:r>
            <w:r w:rsidR="00AC4E1C">
              <w:rPr>
                <w:rFonts w:ascii="Calibri" w:hAnsi="Calibri" w:cs="Calibri"/>
              </w:rPr>
              <w:tab/>
            </w:r>
            <w:r w:rsidR="00AC4E1C" w:rsidRPr="00AC4E1C">
              <w:rPr>
                <w:rFonts w:ascii="Calibri" w:hAnsi="Calibri" w:cs="Calibri"/>
              </w:rPr>
              <w:t xml:space="preserve">Page </w:t>
            </w:r>
            <w:r w:rsidR="00AC4E1C" w:rsidRPr="00AC4E1C">
              <w:rPr>
                <w:rFonts w:ascii="Calibri" w:hAnsi="Calibri" w:cs="Calibri"/>
                <w:b/>
                <w:bCs/>
              </w:rPr>
              <w:fldChar w:fldCharType="begin"/>
            </w:r>
            <w:r w:rsidR="00AC4E1C" w:rsidRPr="00AC4E1C">
              <w:rPr>
                <w:rFonts w:ascii="Calibri" w:hAnsi="Calibri" w:cs="Calibri"/>
                <w:b/>
                <w:bCs/>
              </w:rPr>
              <w:instrText xml:space="preserve"> PAGE </w:instrText>
            </w:r>
            <w:r w:rsidR="00AC4E1C" w:rsidRPr="00AC4E1C">
              <w:rPr>
                <w:rFonts w:ascii="Calibri" w:hAnsi="Calibri" w:cs="Calibri"/>
                <w:b/>
                <w:bCs/>
              </w:rPr>
              <w:fldChar w:fldCharType="separate"/>
            </w:r>
            <w:r w:rsidR="00AC4E1C" w:rsidRPr="00AC4E1C">
              <w:rPr>
                <w:rFonts w:ascii="Calibri" w:hAnsi="Calibri" w:cs="Calibri"/>
                <w:b/>
                <w:bCs/>
                <w:noProof/>
              </w:rPr>
              <w:t>2</w:t>
            </w:r>
            <w:r w:rsidR="00AC4E1C" w:rsidRPr="00AC4E1C">
              <w:rPr>
                <w:rFonts w:ascii="Calibri" w:hAnsi="Calibri" w:cs="Calibri"/>
                <w:b/>
                <w:bCs/>
              </w:rPr>
              <w:fldChar w:fldCharType="end"/>
            </w:r>
            <w:r w:rsidR="00AC4E1C" w:rsidRPr="00AC4E1C">
              <w:rPr>
                <w:rFonts w:ascii="Calibri" w:hAnsi="Calibri" w:cs="Calibri"/>
              </w:rPr>
              <w:t xml:space="preserve"> of </w:t>
            </w:r>
            <w:r w:rsidR="00AC4E1C" w:rsidRPr="00AC4E1C">
              <w:rPr>
                <w:rFonts w:ascii="Calibri" w:hAnsi="Calibri" w:cs="Calibri"/>
                <w:b/>
                <w:bCs/>
              </w:rPr>
              <w:fldChar w:fldCharType="begin"/>
            </w:r>
            <w:r w:rsidR="00AC4E1C" w:rsidRPr="00AC4E1C">
              <w:rPr>
                <w:rFonts w:ascii="Calibri" w:hAnsi="Calibri" w:cs="Calibri"/>
                <w:b/>
                <w:bCs/>
              </w:rPr>
              <w:instrText xml:space="preserve"> NUMPAGES  </w:instrText>
            </w:r>
            <w:r w:rsidR="00AC4E1C" w:rsidRPr="00AC4E1C">
              <w:rPr>
                <w:rFonts w:ascii="Calibri" w:hAnsi="Calibri" w:cs="Calibri"/>
                <w:b/>
                <w:bCs/>
              </w:rPr>
              <w:fldChar w:fldCharType="separate"/>
            </w:r>
            <w:r w:rsidR="00AC4E1C" w:rsidRPr="00AC4E1C">
              <w:rPr>
                <w:rFonts w:ascii="Calibri" w:hAnsi="Calibri" w:cs="Calibri"/>
                <w:b/>
                <w:bCs/>
                <w:noProof/>
              </w:rPr>
              <w:t>2</w:t>
            </w:r>
            <w:r w:rsidR="00AC4E1C" w:rsidRPr="00AC4E1C">
              <w:rPr>
                <w:rFonts w:ascii="Calibri" w:hAnsi="Calibri" w:cs="Calibri"/>
                <w:b/>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848570514"/>
      <w:docPartObj>
        <w:docPartGallery w:val="Page Numbers (Bottom of Page)"/>
        <w:docPartUnique/>
      </w:docPartObj>
    </w:sdtPr>
    <w:sdtEndPr/>
    <w:sdtContent>
      <w:p w14:paraId="0EB6741D" w14:textId="77777777" w:rsidR="0098787E" w:rsidRPr="005A509C" w:rsidRDefault="005A509C" w:rsidP="005A509C">
        <w:pPr>
          <w:pStyle w:val="Footer"/>
          <w:tabs>
            <w:tab w:val="clear" w:pos="4513"/>
            <w:tab w:val="clear" w:pos="9026"/>
            <w:tab w:val="left" w:pos="0"/>
            <w:tab w:val="right" w:pos="9498"/>
          </w:tabs>
          <w:rPr>
            <w:rFonts w:ascii="Arial" w:hAnsi="Arial" w:cs="Arial"/>
            <w:lang w:eastAsia="en-AU"/>
          </w:rPr>
        </w:pPr>
        <w:r w:rsidRPr="005A509C">
          <w:rPr>
            <w:rFonts w:ascii="Arial" w:hAnsi="Arial" w:cs="Arial"/>
          </w:rPr>
          <w:t>Updated 24/12/18</w:t>
        </w:r>
        <w:r w:rsidRPr="005A509C">
          <w:rPr>
            <w:rFonts w:ascii="Arial" w:hAnsi="Arial" w:cs="Arial"/>
          </w:rPr>
          <w:tab/>
        </w:r>
        <w:r w:rsidRPr="005A509C">
          <w:rPr>
            <w:rFonts w:ascii="Arial" w:hAnsi="Arial" w:cs="Arial"/>
            <w:noProof/>
          </w:rPr>
          <w:drawing>
            <wp:inline distT="0" distB="0" distL="0" distR="0" wp14:anchorId="7F3D0810" wp14:editId="636B385C">
              <wp:extent cx="790575" cy="457200"/>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457200"/>
                      </a:xfrm>
                      <a:prstGeom prst="rect">
                        <a:avLst/>
                      </a:prstGeom>
                      <a:noFill/>
                      <a:ln>
                        <a:noFill/>
                      </a:ln>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7162D" w14:textId="77777777" w:rsidR="002F2B91" w:rsidRDefault="002F2B91" w:rsidP="00843160">
      <w:r>
        <w:separator/>
      </w:r>
    </w:p>
  </w:footnote>
  <w:footnote w:type="continuationSeparator" w:id="0">
    <w:p w14:paraId="0E928422" w14:textId="77777777" w:rsidR="002F2B91" w:rsidRDefault="002F2B91" w:rsidP="00843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F6871" w14:textId="77777777" w:rsidR="0098787E" w:rsidRPr="00AC4E1C" w:rsidRDefault="00AC4E1C" w:rsidP="00AC4E1C">
    <w:pPr>
      <w:pStyle w:val="Header"/>
      <w:tabs>
        <w:tab w:val="clear" w:pos="9026"/>
        <w:tab w:val="right" w:pos="9781"/>
      </w:tabs>
      <w:spacing w:before="240"/>
      <w:ind w:right="-18"/>
      <w:jc w:val="right"/>
      <w:rPr>
        <w:rFonts w:ascii="Calibri" w:hAnsi="Calibri" w:cs="Calibri"/>
      </w:rPr>
    </w:pPr>
    <w:r w:rsidRPr="00AC4E1C">
      <w:rPr>
        <w:rFonts w:ascii="Calibri" w:hAnsi="Calibri" w:cs="Calibri"/>
      </w:rPr>
      <w:t>Department of Treasury and Finance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8807F" w14:textId="77777777" w:rsidR="0098787E" w:rsidRPr="007602D7" w:rsidRDefault="00843160" w:rsidP="00B54F88">
    <w:pPr>
      <w:pStyle w:val="Header"/>
      <w:spacing w:before="240"/>
      <w:ind w:right="-461"/>
    </w:pPr>
    <w:r w:rsidRPr="000E286D">
      <w:rPr>
        <w:noProof/>
        <w:lang w:eastAsia="en-AU"/>
      </w:rPr>
      <w:drawing>
        <wp:anchor distT="0" distB="0" distL="114300" distR="114300" simplePos="0" relativeHeight="251658240" behindDoc="1" locked="0" layoutInCell="1" allowOverlap="1" wp14:anchorId="737D7866" wp14:editId="2F80E77A">
          <wp:simplePos x="0" y="0"/>
          <wp:positionH relativeFrom="column">
            <wp:posOffset>-731520</wp:posOffset>
          </wp:positionH>
          <wp:positionV relativeFrom="paragraph">
            <wp:posOffset>-200133</wp:posOffset>
          </wp:positionV>
          <wp:extent cx="560717" cy="10717356"/>
          <wp:effectExtent l="0" t="0" r="0" b="825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23D7"/>
    <w:multiLevelType w:val="hybridMultilevel"/>
    <w:tmpl w:val="5F54A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076981"/>
    <w:multiLevelType w:val="hybridMultilevel"/>
    <w:tmpl w:val="B0FE9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8C3E26"/>
    <w:multiLevelType w:val="hybridMultilevel"/>
    <w:tmpl w:val="CE705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235D15"/>
    <w:multiLevelType w:val="hybridMultilevel"/>
    <w:tmpl w:val="5C8827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4624ED"/>
    <w:multiLevelType w:val="hybridMultilevel"/>
    <w:tmpl w:val="A7F02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2D27BC"/>
    <w:multiLevelType w:val="hybridMultilevel"/>
    <w:tmpl w:val="1B004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605349"/>
    <w:multiLevelType w:val="hybridMultilevel"/>
    <w:tmpl w:val="9BD0E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5B619E"/>
    <w:multiLevelType w:val="hybridMultilevel"/>
    <w:tmpl w:val="4C5E4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070168"/>
    <w:multiLevelType w:val="hybridMultilevel"/>
    <w:tmpl w:val="27C87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FD64E4"/>
    <w:multiLevelType w:val="hybridMultilevel"/>
    <w:tmpl w:val="B7608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F67990"/>
    <w:multiLevelType w:val="hybridMultilevel"/>
    <w:tmpl w:val="D5BAD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6C0D84"/>
    <w:multiLevelType w:val="hybridMultilevel"/>
    <w:tmpl w:val="EAE87B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62C65F1"/>
    <w:multiLevelType w:val="hybridMultilevel"/>
    <w:tmpl w:val="2C809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F571B34"/>
    <w:multiLevelType w:val="hybridMultilevel"/>
    <w:tmpl w:val="A5205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3"/>
  </w:num>
  <w:num w:numId="4">
    <w:abstractNumId w:val="10"/>
  </w:num>
  <w:num w:numId="5">
    <w:abstractNumId w:val="8"/>
  </w:num>
  <w:num w:numId="6">
    <w:abstractNumId w:val="9"/>
  </w:num>
  <w:num w:numId="7">
    <w:abstractNumId w:val="11"/>
  </w:num>
  <w:num w:numId="8">
    <w:abstractNumId w:val="2"/>
  </w:num>
  <w:num w:numId="9">
    <w:abstractNumId w:val="7"/>
  </w:num>
  <w:num w:numId="10">
    <w:abstractNumId w:val="1"/>
  </w:num>
  <w:num w:numId="11">
    <w:abstractNumId w:val="0"/>
  </w:num>
  <w:num w:numId="12">
    <w:abstractNumId w:val="4"/>
  </w:num>
  <w:num w:numId="13">
    <w:abstractNumId w:val="13"/>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472"/>
    <w:rsid w:val="00005C0D"/>
    <w:rsid w:val="0004086D"/>
    <w:rsid w:val="000503B6"/>
    <w:rsid w:val="00070BA9"/>
    <w:rsid w:val="00071E4D"/>
    <w:rsid w:val="00072A42"/>
    <w:rsid w:val="000B65A3"/>
    <w:rsid w:val="000C2F5B"/>
    <w:rsid w:val="000E1AC1"/>
    <w:rsid w:val="000E5F63"/>
    <w:rsid w:val="000F4F8A"/>
    <w:rsid w:val="001153AA"/>
    <w:rsid w:val="00123477"/>
    <w:rsid w:val="0015260C"/>
    <w:rsid w:val="00155F37"/>
    <w:rsid w:val="00164638"/>
    <w:rsid w:val="00196E70"/>
    <w:rsid w:val="001B404A"/>
    <w:rsid w:val="00210A6E"/>
    <w:rsid w:val="002421FB"/>
    <w:rsid w:val="00242CCF"/>
    <w:rsid w:val="00252745"/>
    <w:rsid w:val="00261655"/>
    <w:rsid w:val="00276429"/>
    <w:rsid w:val="002D20D2"/>
    <w:rsid w:val="002D3516"/>
    <w:rsid w:val="002F2A41"/>
    <w:rsid w:val="002F2B91"/>
    <w:rsid w:val="00304ABA"/>
    <w:rsid w:val="0032172C"/>
    <w:rsid w:val="00334999"/>
    <w:rsid w:val="003648ED"/>
    <w:rsid w:val="00380935"/>
    <w:rsid w:val="003C6A40"/>
    <w:rsid w:val="003D4DB4"/>
    <w:rsid w:val="0040470D"/>
    <w:rsid w:val="00416B7B"/>
    <w:rsid w:val="00420CB4"/>
    <w:rsid w:val="00430954"/>
    <w:rsid w:val="00474A18"/>
    <w:rsid w:val="004752AC"/>
    <w:rsid w:val="005002C9"/>
    <w:rsid w:val="0051058E"/>
    <w:rsid w:val="005270EB"/>
    <w:rsid w:val="00531A38"/>
    <w:rsid w:val="0054379B"/>
    <w:rsid w:val="00550539"/>
    <w:rsid w:val="00554F38"/>
    <w:rsid w:val="00593077"/>
    <w:rsid w:val="005A509C"/>
    <w:rsid w:val="005E0AF5"/>
    <w:rsid w:val="005F0667"/>
    <w:rsid w:val="005F5D7B"/>
    <w:rsid w:val="00600CCB"/>
    <w:rsid w:val="006133A3"/>
    <w:rsid w:val="0064790B"/>
    <w:rsid w:val="00671D3D"/>
    <w:rsid w:val="006811C4"/>
    <w:rsid w:val="006A29A9"/>
    <w:rsid w:val="006A6C4D"/>
    <w:rsid w:val="006B2AB4"/>
    <w:rsid w:val="006D2398"/>
    <w:rsid w:val="006D3C56"/>
    <w:rsid w:val="006D5645"/>
    <w:rsid w:val="006F1468"/>
    <w:rsid w:val="007410E7"/>
    <w:rsid w:val="007462A5"/>
    <w:rsid w:val="0075560C"/>
    <w:rsid w:val="00760DD6"/>
    <w:rsid w:val="00777EDD"/>
    <w:rsid w:val="00797128"/>
    <w:rsid w:val="007A70A0"/>
    <w:rsid w:val="007C0370"/>
    <w:rsid w:val="007D4EB8"/>
    <w:rsid w:val="00813E1C"/>
    <w:rsid w:val="00832AB9"/>
    <w:rsid w:val="0083425C"/>
    <w:rsid w:val="00843160"/>
    <w:rsid w:val="00844DEB"/>
    <w:rsid w:val="008B15CB"/>
    <w:rsid w:val="00930C0B"/>
    <w:rsid w:val="00952C9F"/>
    <w:rsid w:val="00954B2B"/>
    <w:rsid w:val="00960C5E"/>
    <w:rsid w:val="00961335"/>
    <w:rsid w:val="00975137"/>
    <w:rsid w:val="009778AC"/>
    <w:rsid w:val="009B1A5F"/>
    <w:rsid w:val="009C3E32"/>
    <w:rsid w:val="009F5E8B"/>
    <w:rsid w:val="00A16221"/>
    <w:rsid w:val="00A34EBE"/>
    <w:rsid w:val="00A62908"/>
    <w:rsid w:val="00A91B45"/>
    <w:rsid w:val="00AC4E1C"/>
    <w:rsid w:val="00AC62C6"/>
    <w:rsid w:val="00AD7277"/>
    <w:rsid w:val="00AE06B8"/>
    <w:rsid w:val="00AF727B"/>
    <w:rsid w:val="00B076DE"/>
    <w:rsid w:val="00B23368"/>
    <w:rsid w:val="00B322ED"/>
    <w:rsid w:val="00B6118E"/>
    <w:rsid w:val="00BD45F5"/>
    <w:rsid w:val="00BF1EDE"/>
    <w:rsid w:val="00C04827"/>
    <w:rsid w:val="00C33512"/>
    <w:rsid w:val="00C42974"/>
    <w:rsid w:val="00C942FC"/>
    <w:rsid w:val="00CF7F3B"/>
    <w:rsid w:val="00D34BE5"/>
    <w:rsid w:val="00D61FA4"/>
    <w:rsid w:val="00D64472"/>
    <w:rsid w:val="00D6761B"/>
    <w:rsid w:val="00D71186"/>
    <w:rsid w:val="00D93CDB"/>
    <w:rsid w:val="00D977A5"/>
    <w:rsid w:val="00E05967"/>
    <w:rsid w:val="00E24835"/>
    <w:rsid w:val="00E93CDF"/>
    <w:rsid w:val="00E94887"/>
    <w:rsid w:val="00EA29D6"/>
    <w:rsid w:val="00EA347E"/>
    <w:rsid w:val="00EB588B"/>
    <w:rsid w:val="00ED156D"/>
    <w:rsid w:val="00EE45F9"/>
    <w:rsid w:val="00F73E4F"/>
    <w:rsid w:val="00FA0A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E06A7"/>
  <w15:docId w15:val="{2021F3F7-9A22-4F2F-8261-FB01BEC5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3"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qFormat/>
    <w:rsid w:val="00AC4E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3"/>
    <w:qFormat/>
    <w:rsid w:val="00AC4E1C"/>
    <w:pPr>
      <w:keepNext/>
      <w:keepLines/>
      <w:spacing w:before="280" w:after="240" w:line="276" w:lineRule="auto"/>
      <w:outlineLvl w:val="1"/>
    </w:pPr>
    <w:rPr>
      <w:rFonts w:asciiTheme="majorHAnsi" w:eastAsiaTheme="majorEastAsia" w:hAnsiTheme="majorHAnsi" w:cstheme="majorBidi"/>
      <w:b/>
      <w:bCs/>
      <w:color w:val="53565A"/>
      <w:spacing w:val="2"/>
      <w:sz w:val="28"/>
      <w:szCs w:val="26"/>
      <w:lang w:eastAsia="en-AU"/>
    </w:rPr>
  </w:style>
  <w:style w:type="paragraph" w:styleId="Heading3">
    <w:name w:val="heading 3"/>
    <w:basedOn w:val="Normal"/>
    <w:next w:val="Normal"/>
    <w:link w:val="Heading3Char"/>
    <w:qFormat/>
    <w:rsid w:val="002D3516"/>
    <w:pPr>
      <w:keepNext/>
      <w:keepLines/>
      <w:spacing w:before="240" w:after="120" w:line="276" w:lineRule="auto"/>
      <w:outlineLvl w:val="2"/>
    </w:pPr>
    <w:rPr>
      <w:rFonts w:asciiTheme="majorHAnsi" w:eastAsiaTheme="majorEastAsia" w:hAnsiTheme="majorHAnsi" w:cstheme="majorBidi"/>
      <w:b/>
      <w:bCs/>
      <w:color w:val="4F81BD" w:themeColor="accent1"/>
      <w:spacing w:val="2"/>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843160"/>
  </w:style>
  <w:style w:type="character" w:customStyle="1" w:styleId="CommentTextChar">
    <w:name w:val="Comment Text Char"/>
    <w:basedOn w:val="DefaultParagraphFont"/>
    <w:link w:val="CommentText"/>
    <w:uiPriority w:val="99"/>
    <w:rsid w:val="00843160"/>
    <w:rPr>
      <w:lang w:eastAsia="en-US"/>
    </w:rPr>
  </w:style>
  <w:style w:type="paragraph" w:styleId="Footer">
    <w:name w:val="footer"/>
    <w:basedOn w:val="Normal"/>
    <w:link w:val="FooterChar"/>
    <w:uiPriority w:val="99"/>
    <w:rsid w:val="00843160"/>
    <w:pPr>
      <w:tabs>
        <w:tab w:val="center" w:pos="4513"/>
        <w:tab w:val="right" w:pos="9026"/>
      </w:tabs>
    </w:pPr>
  </w:style>
  <w:style w:type="character" w:customStyle="1" w:styleId="FooterChar">
    <w:name w:val="Footer Char"/>
    <w:basedOn w:val="DefaultParagraphFont"/>
    <w:link w:val="Footer"/>
    <w:uiPriority w:val="99"/>
    <w:rsid w:val="00843160"/>
    <w:rPr>
      <w:lang w:eastAsia="en-US"/>
    </w:rPr>
  </w:style>
  <w:style w:type="paragraph" w:styleId="Header">
    <w:name w:val="header"/>
    <w:basedOn w:val="Normal"/>
    <w:link w:val="HeaderChar"/>
    <w:rsid w:val="00843160"/>
    <w:pPr>
      <w:tabs>
        <w:tab w:val="center" w:pos="4513"/>
        <w:tab w:val="right" w:pos="9026"/>
      </w:tabs>
    </w:pPr>
  </w:style>
  <w:style w:type="character" w:customStyle="1" w:styleId="HeaderChar">
    <w:name w:val="Header Char"/>
    <w:basedOn w:val="DefaultParagraphFont"/>
    <w:link w:val="Header"/>
    <w:rsid w:val="00843160"/>
    <w:rPr>
      <w:lang w:eastAsia="en-US"/>
    </w:rPr>
  </w:style>
  <w:style w:type="character" w:styleId="CommentReference">
    <w:name w:val="annotation reference"/>
    <w:uiPriority w:val="99"/>
    <w:rsid w:val="00843160"/>
    <w:rPr>
      <w:rFonts w:ascii="Calibri" w:hAnsi="Calibri"/>
      <w:sz w:val="16"/>
    </w:rPr>
  </w:style>
  <w:style w:type="character" w:styleId="PageNumber">
    <w:name w:val="page number"/>
    <w:uiPriority w:val="49"/>
    <w:rsid w:val="00843160"/>
    <w:rPr>
      <w:b/>
      <w:color w:val="4C4C4C"/>
      <w:sz w:val="28"/>
    </w:rPr>
  </w:style>
  <w:style w:type="table" w:styleId="TableGrid">
    <w:name w:val="Table Grid"/>
    <w:basedOn w:val="TableNormal"/>
    <w:rsid w:val="00843160"/>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customStyle="1" w:styleId="Spacer">
    <w:name w:val="Spacer"/>
    <w:basedOn w:val="Normal"/>
    <w:uiPriority w:val="13"/>
    <w:qFormat/>
    <w:rsid w:val="00843160"/>
    <w:pPr>
      <w:spacing w:line="120" w:lineRule="atLeast"/>
    </w:pPr>
    <w:rPr>
      <w:rFonts w:ascii="Calibri" w:hAnsi="Calibri" w:cs="Calibri"/>
      <w:sz w:val="12"/>
      <w:szCs w:val="22"/>
      <w:lang w:eastAsia="en-AU"/>
    </w:rPr>
  </w:style>
  <w:style w:type="paragraph" w:styleId="BalloonText">
    <w:name w:val="Balloon Text"/>
    <w:basedOn w:val="Normal"/>
    <w:link w:val="BalloonTextChar"/>
    <w:rsid w:val="00843160"/>
    <w:rPr>
      <w:rFonts w:ascii="Tahoma" w:hAnsi="Tahoma" w:cs="Tahoma"/>
      <w:sz w:val="16"/>
      <w:szCs w:val="16"/>
    </w:rPr>
  </w:style>
  <w:style w:type="character" w:customStyle="1" w:styleId="BalloonTextChar">
    <w:name w:val="Balloon Text Char"/>
    <w:basedOn w:val="DefaultParagraphFont"/>
    <w:link w:val="BalloonText"/>
    <w:rsid w:val="00843160"/>
    <w:rPr>
      <w:rFonts w:ascii="Tahoma" w:hAnsi="Tahoma" w:cs="Tahoma"/>
      <w:sz w:val="16"/>
      <w:szCs w:val="16"/>
      <w:lang w:eastAsia="en-US"/>
    </w:rPr>
  </w:style>
  <w:style w:type="paragraph" w:styleId="CommentSubject">
    <w:name w:val="annotation subject"/>
    <w:basedOn w:val="CommentText"/>
    <w:next w:val="CommentText"/>
    <w:link w:val="CommentSubjectChar"/>
    <w:rsid w:val="00671D3D"/>
    <w:rPr>
      <w:b/>
      <w:bCs/>
    </w:rPr>
  </w:style>
  <w:style w:type="character" w:customStyle="1" w:styleId="CommentSubjectChar">
    <w:name w:val="Comment Subject Char"/>
    <w:basedOn w:val="CommentTextChar"/>
    <w:link w:val="CommentSubject"/>
    <w:rsid w:val="00671D3D"/>
    <w:rPr>
      <w:b/>
      <w:bCs/>
      <w:lang w:eastAsia="en-US"/>
    </w:rPr>
  </w:style>
  <w:style w:type="character" w:styleId="Hyperlink">
    <w:name w:val="Hyperlink"/>
    <w:basedOn w:val="DefaultParagraphFont"/>
    <w:rsid w:val="002D20D2"/>
    <w:rPr>
      <w:color w:val="0000FF" w:themeColor="hyperlink"/>
      <w:u w:val="single"/>
    </w:rPr>
  </w:style>
  <w:style w:type="paragraph" w:styleId="ListParagraph">
    <w:name w:val="List Paragraph"/>
    <w:basedOn w:val="Normal"/>
    <w:uiPriority w:val="34"/>
    <w:qFormat/>
    <w:rsid w:val="00BF1EDE"/>
    <w:pPr>
      <w:ind w:left="720"/>
      <w:contextualSpacing/>
    </w:pPr>
  </w:style>
  <w:style w:type="character" w:styleId="FollowedHyperlink">
    <w:name w:val="FollowedHyperlink"/>
    <w:basedOn w:val="DefaultParagraphFont"/>
    <w:rsid w:val="00961335"/>
    <w:rPr>
      <w:color w:val="800080" w:themeColor="followedHyperlink"/>
      <w:u w:val="single"/>
    </w:rPr>
  </w:style>
  <w:style w:type="character" w:customStyle="1" w:styleId="Heading1Char">
    <w:name w:val="Heading 1 Char"/>
    <w:basedOn w:val="DefaultParagraphFont"/>
    <w:link w:val="Heading1"/>
    <w:rsid w:val="00AC4E1C"/>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rsid w:val="00AC4E1C"/>
    <w:rPr>
      <w:rFonts w:asciiTheme="majorHAnsi" w:eastAsiaTheme="majorEastAsia" w:hAnsiTheme="majorHAnsi" w:cstheme="majorBidi"/>
      <w:b/>
      <w:bCs/>
      <w:color w:val="53565A"/>
      <w:spacing w:val="2"/>
      <w:sz w:val="28"/>
      <w:szCs w:val="26"/>
    </w:rPr>
  </w:style>
  <w:style w:type="character" w:customStyle="1" w:styleId="Heading3Char">
    <w:name w:val="Heading 3 Char"/>
    <w:basedOn w:val="DefaultParagraphFont"/>
    <w:link w:val="Heading3"/>
    <w:rsid w:val="002D3516"/>
    <w:rPr>
      <w:rFonts w:asciiTheme="majorHAnsi" w:eastAsiaTheme="majorEastAsia" w:hAnsiTheme="majorHAnsi" w:cstheme="majorBidi"/>
      <w:b/>
      <w:bCs/>
      <w:color w:val="4F81BD" w:themeColor="accent1"/>
      <w:spacing w:val="2"/>
      <w:sz w:val="22"/>
      <w:szCs w:val="22"/>
    </w:rPr>
  </w:style>
  <w:style w:type="character" w:styleId="UnresolvedMention">
    <w:name w:val="Unresolved Mention"/>
    <w:basedOn w:val="DefaultParagraphFont"/>
    <w:uiPriority w:val="99"/>
    <w:semiHidden/>
    <w:unhideWhenUsed/>
    <w:rsid w:val="00746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87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cialtraders.com.au/buy/dsp-default.cfm?loadref=88" TargetMode="External"/><Relationship Id="rId18" Type="http://schemas.openxmlformats.org/officeDocument/2006/relationships/hyperlink" Target="https://buyingfor.vic.gov.au/market-analysis-and-review-goods-and-services-policy-and-guides"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buyingfor.vic.gov.au/achieving-value-money-goods-and-services-procurement-guide" TargetMode="External"/><Relationship Id="rId7" Type="http://schemas.openxmlformats.org/officeDocument/2006/relationships/footnotes" Target="footnotes.xml"/><Relationship Id="rId12" Type="http://schemas.openxmlformats.org/officeDocument/2006/relationships/hyperlink" Target="https://buyingfor.vic.gov.au/develop-offer-template-goods-and-services-procurement-guide" TargetMode="External"/><Relationship Id="rId17" Type="http://schemas.openxmlformats.org/officeDocument/2006/relationships/hyperlink" Target="https://buyingfor.vic.gov.au/goods-services-supply-policies" TargetMode="External"/><Relationship Id="rId25" Type="http://schemas.openxmlformats.org/officeDocument/2006/relationships/hyperlink" Target="mailto:IPpolicy@dtf.vic.gov.au" TargetMode="External"/><Relationship Id="rId2" Type="http://schemas.openxmlformats.org/officeDocument/2006/relationships/customXml" Target="../customXml/item2.xml"/><Relationship Id="rId16" Type="http://schemas.openxmlformats.org/officeDocument/2006/relationships/hyperlink" Target="http://economicdevelopment.vic.gov.au/about-us/strategies-and-initiatives/victorian-industry-participation-policy/industry-capability-network-icn-victoria" TargetMode="External"/><Relationship Id="rId20" Type="http://schemas.openxmlformats.org/officeDocument/2006/relationships/hyperlink" Target="https://buyingfor.vic.gov.au/improving-access-government-business-small-and-medium-enterprises-goods-and-services-procuremen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yingfor.vic.gov.au/specification-writing-goods-and-services-procurement-guide" TargetMode="External"/><Relationship Id="rId24" Type="http://schemas.openxmlformats.org/officeDocument/2006/relationships/hyperlink" Target="http://creativecommons.org/licenses/by/4.0/"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dtpli.vic.gov.au/local-government/strengthening-councils/social-procurement" TargetMode="External"/><Relationship Id="rId23" Type="http://schemas.openxmlformats.org/officeDocument/2006/relationships/image" Target="media/image1.png"/><Relationship Id="rId28" Type="http://schemas.openxmlformats.org/officeDocument/2006/relationships/footer" Target="footer2.xml"/><Relationship Id="rId10" Type="http://schemas.openxmlformats.org/officeDocument/2006/relationships/hyperlink" Target="https://buyingfor.vic.gov.au/achieving-value-money-goods-and-services-procurement-guide" TargetMode="External"/><Relationship Id="rId19" Type="http://schemas.openxmlformats.org/officeDocument/2006/relationships/hyperlink" Target="https://buyingfor.vic.gov.au/market-analysis-and-review-goods-and-services-policy-and-guides"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buyingfor.vic.gov.au/complexity-goods-and-services-procurement-guide" TargetMode="External"/><Relationship Id="rId14" Type="http://schemas.openxmlformats.org/officeDocument/2006/relationships/hyperlink" Target="http://economicdevelopment.vic.gov.au/about-us/strategies-and-initiatives/victorian-industry-participation-policy/about-the-vipphttp:/economicdevelopment.vic.gov.au/about-us/strategies-and-initiatives/victorian-industry-participation-policy/about-the-vipp" TargetMode="External"/><Relationship Id="rId22" Type="http://schemas.openxmlformats.org/officeDocument/2006/relationships/hyperlink" Target="http://creativecommons.org/licenses/by/3.0/au/" TargetMode="External"/><Relationship Id="rId27" Type="http://schemas.openxmlformats.org/officeDocument/2006/relationships/footer" Target="footer1.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6A186-B081-4BA4-BE4E-E677A4D4831A}">
  <ds:schemaRefs>
    <ds:schemaRef ds:uri="http://www.w3.org/2001/XMLSchema"/>
  </ds:schemaRefs>
</ds:datastoreItem>
</file>

<file path=customXml/itemProps2.xml><?xml version="1.0" encoding="utf-8"?>
<ds:datastoreItem xmlns:ds="http://schemas.openxmlformats.org/officeDocument/2006/customXml" ds:itemID="{4182CB3F-DF9B-47E3-B588-3633544D1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2357</Words>
  <Characters>13436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Young</dc:creator>
  <cp:lastModifiedBy>Lucy Wilby (DPC)</cp:lastModifiedBy>
  <cp:revision>19</cp:revision>
  <cp:lastPrinted>2018-12-13T00:01:00Z</cp:lastPrinted>
  <dcterms:created xsi:type="dcterms:W3CDTF">2019-08-31T11:49:00Z</dcterms:created>
  <dcterms:modified xsi:type="dcterms:W3CDTF">2019-11-25T01:58:00Z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ed45dc47-b573-410b-8e3a-31ebef476f78</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Owner">
    <vt:lpwstr>athena.rozenberg@dtf.vic.gov.au</vt:lpwstr>
  </property>
  <property fmtid="{D5CDD505-2E9C-101B-9397-08002B2CF9AE}" pid="8" name="MSIP_Label_7158ebbd-6c5e-441f-bfc9-4eb8c11e3978_SetDate">
    <vt:lpwstr>2019-08-31T12:08:26.1687450Z</vt:lpwstr>
  </property>
  <property fmtid="{D5CDD505-2E9C-101B-9397-08002B2CF9AE}" pid="9" name="MSIP_Label_7158ebbd-6c5e-441f-bfc9-4eb8c11e3978_Name">
    <vt:lpwstr>OFFICIAL</vt:lpwstr>
  </property>
  <property fmtid="{D5CDD505-2E9C-101B-9397-08002B2CF9AE}" pid="10" name="MSIP_Label_7158ebbd-6c5e-441f-bfc9-4eb8c11e3978_Application">
    <vt:lpwstr>Microsoft Azure Information Protection</vt:lpwstr>
  </property>
  <property fmtid="{D5CDD505-2E9C-101B-9397-08002B2CF9AE}" pid="11" name="MSIP_Label_7158ebbd-6c5e-441f-bfc9-4eb8c11e3978_Extended_MSFT_Method">
    <vt:lpwstr>Manual</vt:lpwstr>
  </property>
  <property fmtid="{D5CDD505-2E9C-101B-9397-08002B2CF9AE}" pid="12" name="Sensitivity">
    <vt:lpwstr>OFFICIAL</vt:lpwstr>
  </property>
</Properties>
</file>