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1D497" w14:textId="77777777" w:rsidR="00B114CC" w:rsidRDefault="00B114CC" w:rsidP="003403E5">
      <w:pPr>
        <w:pStyle w:val="Heading1"/>
        <w:rPr>
          <w:b/>
          <w:color w:val="7030A0"/>
          <w:sz w:val="36"/>
          <w:szCs w:val="36"/>
        </w:rPr>
      </w:pPr>
      <w:r w:rsidRPr="003403E5">
        <w:rPr>
          <w:b/>
          <w:color w:val="7030A0"/>
          <w:sz w:val="36"/>
          <w:szCs w:val="36"/>
        </w:rPr>
        <w:t xml:space="preserve">Application of complexity drivers to the </w:t>
      </w:r>
      <w:r w:rsidR="003403E5">
        <w:rPr>
          <w:b/>
          <w:color w:val="7030A0"/>
          <w:sz w:val="36"/>
          <w:szCs w:val="36"/>
        </w:rPr>
        <w:br/>
      </w:r>
      <w:r w:rsidRPr="003403E5">
        <w:rPr>
          <w:b/>
          <w:color w:val="7030A0"/>
          <w:sz w:val="36"/>
          <w:szCs w:val="36"/>
        </w:rPr>
        <w:t>four complexity quadrants</w:t>
      </w:r>
      <w:r w:rsidR="000508F6">
        <w:rPr>
          <w:b/>
          <w:color w:val="7030A0"/>
          <w:sz w:val="36"/>
          <w:szCs w:val="36"/>
        </w:rPr>
        <w:t xml:space="preserve"> checklist</w:t>
      </w:r>
    </w:p>
    <w:p w14:paraId="4D457A46" w14:textId="77777777" w:rsidR="002E0643" w:rsidRDefault="007513A8" w:rsidP="007513A8">
      <w:pPr>
        <w:spacing w:after="120" w:line="240" w:lineRule="auto"/>
      </w:pPr>
      <w:r w:rsidRPr="001300D0">
        <w:rPr>
          <w:b/>
        </w:rPr>
        <w:t>Application of complexity drivers to the four complexity quadrants checklist</w:t>
      </w:r>
      <w:r>
        <w:t xml:space="preserve"> describes the typical characteristics of goods and services in each quadrant</w:t>
      </w:r>
      <w:r w:rsidR="002E0643">
        <w:t>.</w:t>
      </w:r>
    </w:p>
    <w:p w14:paraId="7D70ABF6" w14:textId="77777777" w:rsidR="007513A8" w:rsidRDefault="002E0643" w:rsidP="007513A8">
      <w:pPr>
        <w:spacing w:after="120" w:line="240" w:lineRule="auto"/>
      </w:pPr>
      <w:r>
        <w:t>P</w:t>
      </w:r>
      <w:r w:rsidR="007513A8">
        <w:t>lease note that characteristics may vary across procurement categories and are indicative only.</w:t>
      </w:r>
    </w:p>
    <w:p w14:paraId="66820915" w14:textId="77777777" w:rsidR="003403E5" w:rsidRPr="003403E5" w:rsidRDefault="003403E5" w:rsidP="003403E5">
      <w:pPr>
        <w:rPr>
          <w:lang w:eastAsia="en-US"/>
        </w:rPr>
      </w:pPr>
    </w:p>
    <w:tbl>
      <w:tblPr>
        <w:tblStyle w:val="TableGrid"/>
        <w:tblW w:w="0" w:type="auto"/>
        <w:tblLook w:val="04A0" w:firstRow="1" w:lastRow="0" w:firstColumn="1" w:lastColumn="0" w:noHBand="0" w:noVBand="1"/>
      </w:tblPr>
      <w:tblGrid>
        <w:gridCol w:w="1274"/>
        <w:gridCol w:w="2198"/>
        <w:gridCol w:w="2212"/>
        <w:gridCol w:w="2005"/>
        <w:gridCol w:w="2109"/>
      </w:tblGrid>
      <w:tr w:rsidR="00B114CC" w:rsidRPr="00603BFC" w14:paraId="36EB321D" w14:textId="77777777" w:rsidTr="003403E5">
        <w:trPr>
          <w:cnfStyle w:val="100000000000" w:firstRow="1" w:lastRow="0" w:firstColumn="0" w:lastColumn="0" w:oddVBand="0" w:evenVBand="0" w:oddHBand="0" w:evenHBand="0" w:firstRowFirstColumn="0" w:firstRowLastColumn="0" w:lastRowFirstColumn="0" w:lastRowLastColumn="0"/>
          <w:trHeight w:val="210"/>
          <w:tblHeader/>
        </w:trPr>
        <w:tc>
          <w:tcPr>
            <w:cnfStyle w:val="001000000000" w:firstRow="0" w:lastRow="0" w:firstColumn="1" w:lastColumn="0" w:oddVBand="0" w:evenVBand="0" w:oddHBand="0" w:evenHBand="0" w:firstRowFirstColumn="0" w:firstRowLastColumn="0" w:lastRowFirstColumn="0" w:lastRowLastColumn="0"/>
            <w:tcW w:w="1274" w:type="dxa"/>
            <w:tcBorders>
              <w:right w:val="nil"/>
            </w:tcBorders>
            <w:shd w:val="clear" w:color="auto" w:fill="650B68"/>
            <w:hideMark/>
          </w:tcPr>
          <w:p w14:paraId="25A34944" w14:textId="77777777" w:rsidR="00B114CC" w:rsidRPr="00B114CC" w:rsidRDefault="00B114CC" w:rsidP="00B114CC">
            <w:pPr>
              <w:pStyle w:val="TableHeader"/>
            </w:pPr>
            <w:r w:rsidRPr="004A6F08">
              <w:t xml:space="preserve">Complexity </w:t>
            </w:r>
            <w:r w:rsidRPr="00A61165">
              <w:t>driver</w:t>
            </w:r>
          </w:p>
        </w:tc>
        <w:tc>
          <w:tcPr>
            <w:tcW w:w="2198" w:type="dxa"/>
            <w:tcBorders>
              <w:left w:val="nil"/>
              <w:right w:val="nil"/>
            </w:tcBorders>
            <w:hideMark/>
          </w:tcPr>
          <w:p w14:paraId="043E78FE" w14:textId="77777777" w:rsidR="00B114CC" w:rsidRPr="00822BFF" w:rsidRDefault="00B114CC" w:rsidP="00B114CC">
            <w:pPr>
              <w:pStyle w:val="TableHeader"/>
              <w:cnfStyle w:val="100000000000" w:firstRow="1" w:lastRow="0" w:firstColumn="0" w:lastColumn="0" w:oddVBand="0" w:evenVBand="0" w:oddHBand="0" w:evenHBand="0" w:firstRowFirstColumn="0" w:firstRowLastColumn="0" w:lastRowFirstColumn="0" w:lastRowLastColumn="0"/>
              <w:rPr>
                <w:bCs/>
                <w:szCs w:val="20"/>
              </w:rPr>
            </w:pPr>
            <w:r w:rsidRPr="00822BFF">
              <w:rPr>
                <w:bCs/>
                <w:sz w:val="22"/>
              </w:rPr>
              <w:t xml:space="preserve">Transactional </w:t>
            </w:r>
            <w:r w:rsidRPr="00822BFF">
              <w:rPr>
                <w:bCs/>
                <w:szCs w:val="20"/>
              </w:rPr>
              <w:t>(quadrant 1)</w:t>
            </w:r>
          </w:p>
        </w:tc>
        <w:tc>
          <w:tcPr>
            <w:tcW w:w="2212" w:type="dxa"/>
            <w:tcBorders>
              <w:left w:val="nil"/>
              <w:right w:val="nil"/>
            </w:tcBorders>
            <w:hideMark/>
          </w:tcPr>
          <w:p w14:paraId="6BB46018" w14:textId="77777777" w:rsidR="00B114CC" w:rsidRPr="00822BFF" w:rsidRDefault="00B114CC" w:rsidP="00B114CC">
            <w:pPr>
              <w:pStyle w:val="TableHeader"/>
              <w:cnfStyle w:val="100000000000" w:firstRow="1" w:lastRow="0" w:firstColumn="0" w:lastColumn="0" w:oddVBand="0" w:evenVBand="0" w:oddHBand="0" w:evenHBand="0" w:firstRowFirstColumn="0" w:firstRowLastColumn="0" w:lastRowFirstColumn="0" w:lastRowLastColumn="0"/>
              <w:rPr>
                <w:bCs/>
                <w:szCs w:val="20"/>
              </w:rPr>
            </w:pPr>
            <w:r w:rsidRPr="00822BFF">
              <w:rPr>
                <w:bCs/>
                <w:sz w:val="22"/>
              </w:rPr>
              <w:t xml:space="preserve">Leverage </w:t>
            </w:r>
            <w:r>
              <w:rPr>
                <w:bCs/>
                <w:sz w:val="22"/>
              </w:rPr>
              <w:br/>
            </w:r>
            <w:r w:rsidRPr="00822BFF">
              <w:rPr>
                <w:bCs/>
                <w:szCs w:val="20"/>
              </w:rPr>
              <w:t>(quadrant 2)</w:t>
            </w:r>
          </w:p>
        </w:tc>
        <w:tc>
          <w:tcPr>
            <w:tcW w:w="2005" w:type="dxa"/>
            <w:tcBorders>
              <w:left w:val="nil"/>
              <w:right w:val="nil"/>
            </w:tcBorders>
            <w:hideMark/>
          </w:tcPr>
          <w:p w14:paraId="01D75EED" w14:textId="77777777" w:rsidR="00B114CC" w:rsidRPr="00822BFF" w:rsidRDefault="00B114CC" w:rsidP="00B114CC">
            <w:pPr>
              <w:pStyle w:val="TableHeader"/>
              <w:cnfStyle w:val="100000000000" w:firstRow="1" w:lastRow="0" w:firstColumn="0" w:lastColumn="0" w:oddVBand="0" w:evenVBand="0" w:oddHBand="0" w:evenHBand="0" w:firstRowFirstColumn="0" w:firstRowLastColumn="0" w:lastRowFirstColumn="0" w:lastRowLastColumn="0"/>
              <w:rPr>
                <w:bCs/>
                <w:szCs w:val="20"/>
              </w:rPr>
            </w:pPr>
            <w:r w:rsidRPr="00822BFF">
              <w:rPr>
                <w:bCs/>
                <w:sz w:val="22"/>
              </w:rPr>
              <w:t xml:space="preserve">Focused </w:t>
            </w:r>
            <w:r>
              <w:rPr>
                <w:bCs/>
                <w:sz w:val="22"/>
              </w:rPr>
              <w:br/>
            </w:r>
            <w:r w:rsidRPr="00822BFF">
              <w:rPr>
                <w:bCs/>
                <w:szCs w:val="20"/>
              </w:rPr>
              <w:t>(quadrant 3)</w:t>
            </w:r>
          </w:p>
        </w:tc>
        <w:tc>
          <w:tcPr>
            <w:tcW w:w="2109" w:type="dxa"/>
            <w:tcBorders>
              <w:left w:val="nil"/>
            </w:tcBorders>
            <w:hideMark/>
          </w:tcPr>
          <w:p w14:paraId="3E615448" w14:textId="77777777" w:rsidR="00B114CC" w:rsidRPr="00822BFF" w:rsidRDefault="00B114CC" w:rsidP="00B114CC">
            <w:pPr>
              <w:pStyle w:val="TableHeader"/>
              <w:cnfStyle w:val="100000000000" w:firstRow="1" w:lastRow="0" w:firstColumn="0" w:lastColumn="0" w:oddVBand="0" w:evenVBand="0" w:oddHBand="0" w:evenHBand="0" w:firstRowFirstColumn="0" w:firstRowLastColumn="0" w:lastRowFirstColumn="0" w:lastRowLastColumn="0"/>
              <w:rPr>
                <w:bCs/>
                <w:szCs w:val="20"/>
              </w:rPr>
            </w:pPr>
            <w:r w:rsidRPr="00822BFF">
              <w:rPr>
                <w:bCs/>
                <w:sz w:val="22"/>
              </w:rPr>
              <w:t xml:space="preserve">Strategic </w:t>
            </w:r>
            <w:r>
              <w:rPr>
                <w:bCs/>
                <w:sz w:val="22"/>
              </w:rPr>
              <w:br/>
            </w:r>
            <w:r w:rsidRPr="00822BFF">
              <w:rPr>
                <w:bCs/>
                <w:szCs w:val="20"/>
              </w:rPr>
              <w:t>(quadrant 4)</w:t>
            </w:r>
          </w:p>
        </w:tc>
      </w:tr>
      <w:tr w:rsidR="00B114CC" w:rsidRPr="003403E5" w14:paraId="3B96BCBC" w14:textId="77777777" w:rsidTr="00C50C27">
        <w:trPr>
          <w:trHeight w:val="527"/>
        </w:trPr>
        <w:tc>
          <w:tcPr>
            <w:cnfStyle w:val="001000000000" w:firstRow="0" w:lastRow="0" w:firstColumn="1" w:lastColumn="0" w:oddVBand="0" w:evenVBand="0" w:oddHBand="0" w:evenHBand="0" w:firstRowFirstColumn="0" w:firstRowLastColumn="0" w:lastRowFirstColumn="0" w:lastRowLastColumn="0"/>
            <w:tcW w:w="1274" w:type="dxa"/>
            <w:tcBorders>
              <w:top w:val="single" w:sz="6" w:space="0" w:color="660B68"/>
              <w:left w:val="single" w:sz="6" w:space="0" w:color="660B68"/>
              <w:bottom w:val="nil"/>
              <w:right w:val="single" w:sz="6" w:space="0" w:color="660B68"/>
            </w:tcBorders>
            <w:shd w:val="clear" w:color="auto" w:fill="650B68"/>
            <w:hideMark/>
          </w:tcPr>
          <w:p w14:paraId="77EE58D9" w14:textId="77777777" w:rsidR="00B114CC" w:rsidRPr="003403E5" w:rsidRDefault="00B114CC" w:rsidP="008052FC">
            <w:pPr>
              <w:pStyle w:val="TableText"/>
              <w:spacing w:before="40" w:after="40"/>
              <w:rPr>
                <w:caps/>
                <w:color w:val="auto"/>
                <w:szCs w:val="20"/>
              </w:rPr>
            </w:pPr>
            <w:r w:rsidRPr="003403E5">
              <w:rPr>
                <w:color w:val="auto"/>
                <w:szCs w:val="20"/>
              </w:rPr>
              <w:t>How customised are the requirements</w:t>
            </w:r>
          </w:p>
        </w:tc>
        <w:tc>
          <w:tcPr>
            <w:tcW w:w="2198" w:type="dxa"/>
            <w:tcBorders>
              <w:top w:val="single" w:sz="6" w:space="0" w:color="660B68"/>
              <w:left w:val="single" w:sz="6" w:space="0" w:color="660B68"/>
            </w:tcBorders>
            <w:hideMark/>
          </w:tcPr>
          <w:p w14:paraId="0DD386A1"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Standard good or service.</w:t>
            </w:r>
          </w:p>
          <w:p w14:paraId="06E08377" w14:textId="77777777" w:rsidR="003403E5" w:rsidRPr="003403E5" w:rsidRDefault="00B114CC" w:rsidP="003403E5">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Typically an ‘off</w:t>
            </w:r>
            <w:r w:rsidR="008052FC" w:rsidRPr="003403E5">
              <w:rPr>
                <w:szCs w:val="20"/>
              </w:rPr>
              <w:noBreakHyphen/>
            </w:r>
            <w:r w:rsidRPr="003403E5">
              <w:rPr>
                <w:szCs w:val="20"/>
              </w:rPr>
              <w:t>the</w:t>
            </w:r>
            <w:r w:rsidR="008052FC" w:rsidRPr="003403E5">
              <w:rPr>
                <w:szCs w:val="20"/>
              </w:rPr>
              <w:noBreakHyphen/>
            </w:r>
            <w:r w:rsidRPr="003403E5">
              <w:rPr>
                <w:szCs w:val="20"/>
              </w:rPr>
              <w:t>shelf’ good.</w:t>
            </w:r>
          </w:p>
        </w:tc>
        <w:tc>
          <w:tcPr>
            <w:tcW w:w="2212" w:type="dxa"/>
            <w:tcBorders>
              <w:top w:val="single" w:sz="6" w:space="0" w:color="660B68"/>
            </w:tcBorders>
            <w:hideMark/>
          </w:tcPr>
          <w:p w14:paraId="6E202FD0"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Commoditised good/service, generally requiring no or a low level of customisation.</w:t>
            </w:r>
          </w:p>
        </w:tc>
        <w:tc>
          <w:tcPr>
            <w:tcW w:w="2005" w:type="dxa"/>
            <w:tcBorders>
              <w:top w:val="single" w:sz="6" w:space="0" w:color="660B68"/>
            </w:tcBorders>
            <w:hideMark/>
          </w:tcPr>
          <w:p w14:paraId="63D7389E"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Complex/novel specifications.</w:t>
            </w:r>
          </w:p>
          <w:p w14:paraId="52A4018E"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May include project specific requirements.</w:t>
            </w:r>
          </w:p>
        </w:tc>
        <w:tc>
          <w:tcPr>
            <w:tcW w:w="2109" w:type="dxa"/>
            <w:tcBorders>
              <w:top w:val="single" w:sz="6" w:space="0" w:color="660B68"/>
            </w:tcBorders>
            <w:hideMark/>
          </w:tcPr>
          <w:p w14:paraId="78DC7D99"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 xml:space="preserve">Complex/novel specifications. </w:t>
            </w:r>
          </w:p>
          <w:p w14:paraId="3DCB4EB1"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Scope of specifications may not be fully known i.e., supplier innovation required.</w:t>
            </w:r>
          </w:p>
        </w:tc>
      </w:tr>
      <w:tr w:rsidR="00B114CC" w:rsidRPr="003403E5" w14:paraId="5D3B1982" w14:textId="77777777" w:rsidTr="00C50C27">
        <w:trPr>
          <w:cnfStyle w:val="000000010000" w:firstRow="0" w:lastRow="0" w:firstColumn="0" w:lastColumn="0" w:oddVBand="0" w:evenVBand="0" w:oddHBand="0" w:evenHBand="1"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274" w:type="dxa"/>
            <w:tcBorders>
              <w:top w:val="nil"/>
              <w:left w:val="single" w:sz="6" w:space="0" w:color="660B68"/>
              <w:bottom w:val="nil"/>
              <w:right w:val="single" w:sz="6" w:space="0" w:color="660B68"/>
            </w:tcBorders>
            <w:shd w:val="clear" w:color="auto" w:fill="650B68"/>
            <w:hideMark/>
          </w:tcPr>
          <w:p w14:paraId="20D3495F" w14:textId="77777777" w:rsidR="00B114CC" w:rsidRPr="003403E5" w:rsidRDefault="00B114CC" w:rsidP="008052FC">
            <w:pPr>
              <w:pStyle w:val="TableText"/>
              <w:spacing w:before="40" w:after="40"/>
              <w:rPr>
                <w:caps/>
                <w:color w:val="auto"/>
                <w:szCs w:val="20"/>
              </w:rPr>
            </w:pPr>
            <w:r w:rsidRPr="003403E5">
              <w:rPr>
                <w:color w:val="auto"/>
                <w:szCs w:val="20"/>
              </w:rPr>
              <w:t>Critical to business</w:t>
            </w:r>
          </w:p>
        </w:tc>
        <w:tc>
          <w:tcPr>
            <w:tcW w:w="2198" w:type="dxa"/>
            <w:tcBorders>
              <w:left w:val="single" w:sz="6" w:space="0" w:color="660B68"/>
            </w:tcBorders>
            <w:hideMark/>
          </w:tcPr>
          <w:p w14:paraId="64B28984"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Low criticality to business.</w:t>
            </w:r>
          </w:p>
          <w:p w14:paraId="30527C26"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Goods/services generally used in back</w:t>
            </w:r>
            <w:r w:rsidR="008052FC" w:rsidRPr="003403E5">
              <w:rPr>
                <w:szCs w:val="20"/>
              </w:rPr>
              <w:noBreakHyphen/>
            </w:r>
            <w:r w:rsidRPr="003403E5">
              <w:rPr>
                <w:szCs w:val="20"/>
              </w:rPr>
              <w:t>office functions or are consumables.</w:t>
            </w:r>
          </w:p>
          <w:p w14:paraId="6771868F"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Good/service easily replaced if supplier defaults.</w:t>
            </w:r>
          </w:p>
          <w:p w14:paraId="0944041A"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Limited security implications.</w:t>
            </w:r>
          </w:p>
        </w:tc>
        <w:tc>
          <w:tcPr>
            <w:tcW w:w="2212" w:type="dxa"/>
            <w:hideMark/>
          </w:tcPr>
          <w:p w14:paraId="115E1F5B"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Low criticality to</w:t>
            </w:r>
            <w:r w:rsidR="008052FC" w:rsidRPr="003403E5">
              <w:rPr>
                <w:szCs w:val="20"/>
              </w:rPr>
              <w:t xml:space="preserve"> </w:t>
            </w:r>
            <w:r w:rsidRPr="003403E5">
              <w:rPr>
                <w:szCs w:val="20"/>
              </w:rPr>
              <w:t>business.</w:t>
            </w:r>
          </w:p>
          <w:p w14:paraId="62E5AB97"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Goods/services generally used in back</w:t>
            </w:r>
            <w:r w:rsidR="008052FC" w:rsidRPr="003403E5">
              <w:rPr>
                <w:szCs w:val="20"/>
              </w:rPr>
              <w:noBreakHyphen/>
            </w:r>
            <w:r w:rsidRPr="003403E5">
              <w:rPr>
                <w:szCs w:val="20"/>
              </w:rPr>
              <w:t>office functions or are consumables.</w:t>
            </w:r>
          </w:p>
          <w:p w14:paraId="1FF4AF47"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Good/service easily replaced if supplier defaults.</w:t>
            </w:r>
          </w:p>
          <w:p w14:paraId="08F4EE18"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Limited security implications.</w:t>
            </w:r>
          </w:p>
        </w:tc>
        <w:tc>
          <w:tcPr>
            <w:tcW w:w="2005" w:type="dxa"/>
            <w:hideMark/>
          </w:tcPr>
          <w:p w14:paraId="375EC425"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Medium to high criticality to</w:t>
            </w:r>
            <w:r w:rsidR="008052FC" w:rsidRPr="003403E5">
              <w:rPr>
                <w:szCs w:val="20"/>
              </w:rPr>
              <w:t xml:space="preserve"> </w:t>
            </w:r>
            <w:r w:rsidRPr="003403E5">
              <w:rPr>
                <w:szCs w:val="20"/>
              </w:rPr>
              <w:t>business.</w:t>
            </w:r>
          </w:p>
          <w:p w14:paraId="49978679"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 xml:space="preserve">May involve servicing or maintaining a critical asset. </w:t>
            </w:r>
          </w:p>
          <w:p w14:paraId="550EB14A"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 xml:space="preserve">An interruption to core services would occur where supplier defaults. </w:t>
            </w:r>
          </w:p>
          <w:p w14:paraId="2FB43BDA"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Potential for security implications.</w:t>
            </w:r>
          </w:p>
        </w:tc>
        <w:tc>
          <w:tcPr>
            <w:tcW w:w="2109" w:type="dxa"/>
            <w:hideMark/>
          </w:tcPr>
          <w:p w14:paraId="3068D71D"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High criticality to</w:t>
            </w:r>
            <w:r w:rsidR="008052FC" w:rsidRPr="003403E5">
              <w:rPr>
                <w:szCs w:val="20"/>
              </w:rPr>
              <w:t xml:space="preserve"> </w:t>
            </w:r>
            <w:r w:rsidRPr="003403E5">
              <w:rPr>
                <w:szCs w:val="20"/>
              </w:rPr>
              <w:t>business.</w:t>
            </w:r>
          </w:p>
          <w:p w14:paraId="411140DD"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Significant interruption to core services where supplier defaults.</w:t>
            </w:r>
          </w:p>
          <w:p w14:paraId="4DF22325"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Potential for significant security implications.</w:t>
            </w:r>
          </w:p>
        </w:tc>
      </w:tr>
      <w:tr w:rsidR="00B114CC" w:rsidRPr="003403E5" w14:paraId="10429908" w14:textId="77777777" w:rsidTr="00C50C27">
        <w:trPr>
          <w:trHeight w:val="1036"/>
        </w:trPr>
        <w:tc>
          <w:tcPr>
            <w:cnfStyle w:val="001000000000" w:firstRow="0" w:lastRow="0" w:firstColumn="1" w:lastColumn="0" w:oddVBand="0" w:evenVBand="0" w:oddHBand="0" w:evenHBand="0" w:firstRowFirstColumn="0" w:firstRowLastColumn="0" w:lastRowFirstColumn="0" w:lastRowLastColumn="0"/>
            <w:tcW w:w="1274" w:type="dxa"/>
            <w:tcBorders>
              <w:top w:val="nil"/>
              <w:left w:val="single" w:sz="6" w:space="0" w:color="660B68"/>
              <w:bottom w:val="nil"/>
              <w:right w:val="single" w:sz="6" w:space="0" w:color="660B68"/>
            </w:tcBorders>
            <w:shd w:val="clear" w:color="auto" w:fill="650B68"/>
            <w:hideMark/>
          </w:tcPr>
          <w:p w14:paraId="3F4E6C9D" w14:textId="77777777" w:rsidR="00B114CC" w:rsidRPr="003403E5" w:rsidRDefault="00B114CC" w:rsidP="008052FC">
            <w:pPr>
              <w:pStyle w:val="TableText"/>
              <w:spacing w:before="40" w:after="40"/>
              <w:rPr>
                <w:caps/>
                <w:color w:val="auto"/>
                <w:szCs w:val="20"/>
              </w:rPr>
            </w:pPr>
            <w:r w:rsidRPr="003403E5">
              <w:rPr>
                <w:color w:val="auto"/>
                <w:szCs w:val="20"/>
              </w:rPr>
              <w:t>Substitutes/ suppliers</w:t>
            </w:r>
          </w:p>
        </w:tc>
        <w:tc>
          <w:tcPr>
            <w:tcW w:w="2198" w:type="dxa"/>
            <w:tcBorders>
              <w:left w:val="single" w:sz="6" w:space="0" w:color="660B68"/>
            </w:tcBorders>
            <w:hideMark/>
          </w:tcPr>
          <w:p w14:paraId="3EA99B73"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Competitive supply market exists, typically with many alternate goods/services or suppliers.</w:t>
            </w:r>
          </w:p>
        </w:tc>
        <w:tc>
          <w:tcPr>
            <w:tcW w:w="2212" w:type="dxa"/>
            <w:hideMark/>
          </w:tcPr>
          <w:p w14:paraId="0BBD7182"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 xml:space="preserve">Competitive supply market exists, typically with many alternate goods/services or suppliers. </w:t>
            </w:r>
          </w:p>
        </w:tc>
        <w:tc>
          <w:tcPr>
            <w:tcW w:w="2005" w:type="dxa"/>
            <w:hideMark/>
          </w:tcPr>
          <w:p w14:paraId="7DB83CD3"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 xml:space="preserve">Limited number of alternate goods/services or suppliers exist. </w:t>
            </w:r>
          </w:p>
          <w:p w14:paraId="20025820"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Sometimes prior intellectual property has been co</w:t>
            </w:r>
            <w:r w:rsidR="008052FC" w:rsidRPr="003403E5">
              <w:rPr>
                <w:szCs w:val="20"/>
              </w:rPr>
              <w:noBreakHyphen/>
            </w:r>
            <w:r w:rsidRPr="003403E5">
              <w:rPr>
                <w:szCs w:val="20"/>
              </w:rPr>
              <w:t>developed with vendor.</w:t>
            </w:r>
          </w:p>
        </w:tc>
        <w:tc>
          <w:tcPr>
            <w:tcW w:w="2109" w:type="dxa"/>
            <w:hideMark/>
          </w:tcPr>
          <w:p w14:paraId="14FB85A4"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Competitive marketplace or volume of spend creates competitive leverage with a smaller number of suppliers</w:t>
            </w:r>
            <w:r w:rsidR="008052FC" w:rsidRPr="003403E5">
              <w:rPr>
                <w:szCs w:val="20"/>
              </w:rPr>
              <w:t xml:space="preserve">. </w:t>
            </w:r>
          </w:p>
        </w:tc>
      </w:tr>
      <w:tr w:rsidR="00B114CC" w:rsidRPr="003403E5" w14:paraId="063477AA" w14:textId="77777777" w:rsidTr="00C50C27">
        <w:trPr>
          <w:cnfStyle w:val="000000010000" w:firstRow="0" w:lastRow="0" w:firstColumn="0" w:lastColumn="0" w:oddVBand="0" w:evenVBand="0" w:oddHBand="0" w:evenHBand="1"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1274" w:type="dxa"/>
            <w:tcBorders>
              <w:top w:val="nil"/>
              <w:left w:val="single" w:sz="6" w:space="0" w:color="660B68"/>
              <w:bottom w:val="nil"/>
              <w:right w:val="single" w:sz="6" w:space="0" w:color="660B68"/>
            </w:tcBorders>
            <w:shd w:val="clear" w:color="auto" w:fill="650B68"/>
            <w:hideMark/>
          </w:tcPr>
          <w:p w14:paraId="65F58113" w14:textId="77777777" w:rsidR="00B114CC" w:rsidRPr="003403E5" w:rsidRDefault="00B114CC" w:rsidP="008052FC">
            <w:pPr>
              <w:pStyle w:val="TableText"/>
              <w:spacing w:before="40" w:after="40"/>
              <w:rPr>
                <w:caps/>
                <w:color w:val="auto"/>
                <w:szCs w:val="20"/>
              </w:rPr>
            </w:pPr>
            <w:r w:rsidRPr="003403E5">
              <w:rPr>
                <w:color w:val="auto"/>
                <w:szCs w:val="20"/>
              </w:rPr>
              <w:t>Supply market dynamics</w:t>
            </w:r>
          </w:p>
        </w:tc>
        <w:tc>
          <w:tcPr>
            <w:tcW w:w="2198" w:type="dxa"/>
            <w:tcBorders>
              <w:left w:val="single" w:sz="6" w:space="0" w:color="660B68"/>
            </w:tcBorders>
            <w:hideMark/>
          </w:tcPr>
          <w:p w14:paraId="1665A673"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 xml:space="preserve">Procurement will have no material impact on competition or financial sustainability of the market. </w:t>
            </w:r>
          </w:p>
          <w:p w14:paraId="54AF3682"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 xml:space="preserve">Typically no impact on </w:t>
            </w:r>
            <w:r w:rsidR="000C395D" w:rsidRPr="003403E5">
              <w:rPr>
                <w:szCs w:val="20"/>
              </w:rPr>
              <w:t>small to medium</w:t>
            </w:r>
            <w:r w:rsidR="00251598" w:rsidRPr="003403E5">
              <w:rPr>
                <w:szCs w:val="20"/>
              </w:rPr>
              <w:t xml:space="preserve"> size </w:t>
            </w:r>
            <w:r w:rsidR="000C395D" w:rsidRPr="003403E5">
              <w:rPr>
                <w:szCs w:val="20"/>
              </w:rPr>
              <w:t xml:space="preserve"> enterprises (SMEs) in the market</w:t>
            </w:r>
          </w:p>
        </w:tc>
        <w:tc>
          <w:tcPr>
            <w:tcW w:w="2212" w:type="dxa"/>
            <w:hideMark/>
          </w:tcPr>
          <w:p w14:paraId="60CB03EC"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 xml:space="preserve">Procurement will be material to the market but may not impact the competitive landscape. </w:t>
            </w:r>
          </w:p>
          <w:p w14:paraId="676267BF"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 xml:space="preserve">Potential for impact on </w:t>
            </w:r>
            <w:r w:rsidR="000C395D" w:rsidRPr="003403E5">
              <w:rPr>
                <w:szCs w:val="20"/>
              </w:rPr>
              <w:t>SMEs</w:t>
            </w:r>
            <w:r w:rsidRPr="003403E5">
              <w:rPr>
                <w:szCs w:val="20"/>
              </w:rPr>
              <w:t>.</w:t>
            </w:r>
          </w:p>
        </w:tc>
        <w:tc>
          <w:tcPr>
            <w:tcW w:w="2005" w:type="dxa"/>
            <w:hideMark/>
          </w:tcPr>
          <w:p w14:paraId="4533039F"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 xml:space="preserve">Procurement may result in a significant impact on the market, reducing competition. </w:t>
            </w:r>
          </w:p>
          <w:p w14:paraId="511EC08E"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 xml:space="preserve">Potential for impact on </w:t>
            </w:r>
            <w:r w:rsidR="000C395D" w:rsidRPr="003403E5">
              <w:rPr>
                <w:szCs w:val="20"/>
              </w:rPr>
              <w:t>SMEs</w:t>
            </w:r>
            <w:r w:rsidRPr="003403E5">
              <w:rPr>
                <w:szCs w:val="20"/>
              </w:rPr>
              <w:t>.</w:t>
            </w:r>
          </w:p>
        </w:tc>
        <w:tc>
          <w:tcPr>
            <w:tcW w:w="2109" w:type="dxa"/>
            <w:hideMark/>
          </w:tcPr>
          <w:p w14:paraId="23CDE09A"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Procurement may result in the creation of a monopoly or potential gain in market power by government.</w:t>
            </w:r>
          </w:p>
          <w:p w14:paraId="2C2E45B2"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 xml:space="preserve">Potential for impact on </w:t>
            </w:r>
            <w:r w:rsidR="000C395D" w:rsidRPr="003403E5">
              <w:rPr>
                <w:szCs w:val="20"/>
              </w:rPr>
              <w:t>SMEs</w:t>
            </w:r>
            <w:r w:rsidRPr="003403E5">
              <w:rPr>
                <w:szCs w:val="20"/>
              </w:rPr>
              <w:t>.</w:t>
            </w:r>
          </w:p>
        </w:tc>
      </w:tr>
      <w:tr w:rsidR="00B114CC" w:rsidRPr="003403E5" w14:paraId="0AE07C78" w14:textId="77777777" w:rsidTr="00C50C27">
        <w:trPr>
          <w:trHeight w:val="2236"/>
        </w:trPr>
        <w:tc>
          <w:tcPr>
            <w:cnfStyle w:val="001000000000" w:firstRow="0" w:lastRow="0" w:firstColumn="1" w:lastColumn="0" w:oddVBand="0" w:evenVBand="0" w:oddHBand="0" w:evenHBand="0" w:firstRowFirstColumn="0" w:firstRowLastColumn="0" w:lastRowFirstColumn="0" w:lastRowLastColumn="0"/>
            <w:tcW w:w="1274" w:type="dxa"/>
            <w:tcBorders>
              <w:top w:val="nil"/>
              <w:left w:val="single" w:sz="6" w:space="0" w:color="660B68"/>
              <w:bottom w:val="nil"/>
              <w:right w:val="single" w:sz="6" w:space="0" w:color="660B68"/>
            </w:tcBorders>
            <w:shd w:val="clear" w:color="auto" w:fill="650B68"/>
            <w:hideMark/>
          </w:tcPr>
          <w:p w14:paraId="25DF5880" w14:textId="77777777" w:rsidR="00B114CC" w:rsidRPr="003403E5" w:rsidRDefault="00B114CC" w:rsidP="008052FC">
            <w:pPr>
              <w:pStyle w:val="TableText"/>
              <w:spacing w:before="40" w:after="40"/>
              <w:rPr>
                <w:caps/>
                <w:color w:val="auto"/>
                <w:szCs w:val="20"/>
              </w:rPr>
            </w:pPr>
            <w:r w:rsidRPr="003403E5">
              <w:rPr>
                <w:color w:val="auto"/>
                <w:szCs w:val="20"/>
              </w:rPr>
              <w:lastRenderedPageBreak/>
              <w:t>Procurement spend/cost</w:t>
            </w:r>
          </w:p>
        </w:tc>
        <w:tc>
          <w:tcPr>
            <w:tcW w:w="2198" w:type="dxa"/>
            <w:tcBorders>
              <w:left w:val="single" w:sz="6" w:space="0" w:color="660B68"/>
            </w:tcBorders>
            <w:hideMark/>
          </w:tcPr>
          <w:p w14:paraId="0452F2A2"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Total cost of ownership (TCO) is low.</w:t>
            </w:r>
          </w:p>
          <w:p w14:paraId="7D32D2F1"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Minimal support or maintenance requirements.</w:t>
            </w:r>
          </w:p>
        </w:tc>
        <w:tc>
          <w:tcPr>
            <w:tcW w:w="2212" w:type="dxa"/>
            <w:hideMark/>
          </w:tcPr>
          <w:p w14:paraId="21D35A31"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 xml:space="preserve">TCO is typically large value, usually made up of a high volume of low to medium value individual transactions. </w:t>
            </w:r>
          </w:p>
          <w:p w14:paraId="4437E058"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Minimal support or maintenance requirements.</w:t>
            </w:r>
          </w:p>
          <w:p w14:paraId="2EA661F1"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Cost of implementing new vendor across multiple departments should be incorporated.</w:t>
            </w:r>
          </w:p>
        </w:tc>
        <w:tc>
          <w:tcPr>
            <w:tcW w:w="2005" w:type="dxa"/>
            <w:hideMark/>
          </w:tcPr>
          <w:p w14:paraId="40082973"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 xml:space="preserve">TCO is typically a medium to large value. </w:t>
            </w:r>
          </w:p>
          <w:p w14:paraId="142B04E2"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Can require ongoing support or specialised/dedicated skills to manage procurement activity.</w:t>
            </w:r>
          </w:p>
        </w:tc>
        <w:tc>
          <w:tcPr>
            <w:tcW w:w="2109" w:type="dxa"/>
            <w:hideMark/>
          </w:tcPr>
          <w:p w14:paraId="51671F5A"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 xml:space="preserve">TCO is typically a large value. </w:t>
            </w:r>
          </w:p>
          <w:p w14:paraId="7C2AA3F2"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Can require ongoing support or specialised/dedicated skills to manage procurement activity.</w:t>
            </w:r>
          </w:p>
        </w:tc>
      </w:tr>
      <w:tr w:rsidR="00B114CC" w:rsidRPr="003403E5" w14:paraId="6E3EF39A" w14:textId="77777777" w:rsidTr="00C50C27">
        <w:trPr>
          <w:cnfStyle w:val="000000010000" w:firstRow="0" w:lastRow="0" w:firstColumn="0" w:lastColumn="0" w:oddVBand="0" w:evenVBand="0" w:oddHBand="0" w:evenHBand="1"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274" w:type="dxa"/>
            <w:tcBorders>
              <w:top w:val="nil"/>
              <w:left w:val="single" w:sz="6" w:space="0" w:color="660B68"/>
              <w:right w:val="single" w:sz="6" w:space="0" w:color="660B68"/>
            </w:tcBorders>
            <w:shd w:val="clear" w:color="auto" w:fill="650B68"/>
            <w:hideMark/>
          </w:tcPr>
          <w:p w14:paraId="6113BD51" w14:textId="77777777" w:rsidR="00B114CC" w:rsidRPr="003403E5" w:rsidRDefault="00B114CC" w:rsidP="008052FC">
            <w:pPr>
              <w:pStyle w:val="TableText"/>
              <w:spacing w:before="40" w:after="40"/>
              <w:rPr>
                <w:caps/>
                <w:color w:val="auto"/>
                <w:szCs w:val="20"/>
              </w:rPr>
            </w:pPr>
            <w:r w:rsidRPr="003403E5">
              <w:rPr>
                <w:color w:val="auto"/>
                <w:szCs w:val="20"/>
              </w:rPr>
              <w:t>Impact of demand aggregation</w:t>
            </w:r>
          </w:p>
        </w:tc>
        <w:tc>
          <w:tcPr>
            <w:tcW w:w="2198" w:type="dxa"/>
            <w:tcBorders>
              <w:left w:val="single" w:sz="6" w:space="0" w:color="660B68"/>
            </w:tcBorders>
            <w:hideMark/>
          </w:tcPr>
          <w:p w14:paraId="4D52AF55"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Size/volume of procurement activity is usually too low to offset the cost of the demand aggregation process.</w:t>
            </w:r>
          </w:p>
        </w:tc>
        <w:tc>
          <w:tcPr>
            <w:tcW w:w="2212" w:type="dxa"/>
            <w:hideMark/>
          </w:tcPr>
          <w:p w14:paraId="781D20B9"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Commercial involvement and/or pooled demand can impact price and/or service quality of good/service.</w:t>
            </w:r>
          </w:p>
        </w:tc>
        <w:tc>
          <w:tcPr>
            <w:tcW w:w="2005" w:type="dxa"/>
            <w:hideMark/>
          </w:tcPr>
          <w:p w14:paraId="107D590A"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 xml:space="preserve">Complex or novel specifications limits ability to leverage volume as requirements generally only apply to one organisation, business unit or project. </w:t>
            </w:r>
          </w:p>
        </w:tc>
        <w:tc>
          <w:tcPr>
            <w:tcW w:w="2109" w:type="dxa"/>
            <w:hideMark/>
          </w:tcPr>
          <w:p w14:paraId="33CD839D" w14:textId="77777777" w:rsidR="00B114CC" w:rsidRPr="003403E5" w:rsidRDefault="00B114CC" w:rsidP="008052FC">
            <w:pPr>
              <w:pStyle w:val="TableText"/>
              <w:spacing w:before="40" w:after="40"/>
              <w:cnfStyle w:val="000000010000" w:firstRow="0" w:lastRow="0" w:firstColumn="0" w:lastColumn="0" w:oddVBand="0" w:evenVBand="0" w:oddHBand="0" w:evenHBand="1" w:firstRowFirstColumn="0" w:firstRowLastColumn="0" w:lastRowFirstColumn="0" w:lastRowLastColumn="0"/>
              <w:rPr>
                <w:szCs w:val="20"/>
              </w:rPr>
            </w:pPr>
            <w:r w:rsidRPr="003403E5">
              <w:rPr>
                <w:szCs w:val="20"/>
              </w:rPr>
              <w:t>Volume/size of spend may create market leverage, but good/service may be organisation</w:t>
            </w:r>
            <w:r w:rsidR="008052FC" w:rsidRPr="003403E5">
              <w:rPr>
                <w:szCs w:val="20"/>
              </w:rPr>
              <w:noBreakHyphen/>
            </w:r>
            <w:r w:rsidRPr="003403E5">
              <w:rPr>
                <w:szCs w:val="20"/>
              </w:rPr>
              <w:t>specific with limited benefit of demand aggregation.</w:t>
            </w:r>
          </w:p>
        </w:tc>
      </w:tr>
      <w:tr w:rsidR="00B114CC" w:rsidRPr="003403E5" w14:paraId="65D093C9" w14:textId="77777777" w:rsidTr="008052FC">
        <w:trPr>
          <w:trHeight w:val="1499"/>
        </w:trPr>
        <w:tc>
          <w:tcPr>
            <w:cnfStyle w:val="001000000000" w:firstRow="0" w:lastRow="0" w:firstColumn="1" w:lastColumn="0" w:oddVBand="0" w:evenVBand="0" w:oddHBand="0" w:evenHBand="0" w:firstRowFirstColumn="0" w:firstRowLastColumn="0" w:lastRowFirstColumn="0" w:lastRowLastColumn="0"/>
            <w:tcW w:w="1274" w:type="dxa"/>
            <w:shd w:val="clear" w:color="auto" w:fill="E1BFFD"/>
            <w:hideMark/>
          </w:tcPr>
          <w:p w14:paraId="0014456C" w14:textId="77777777" w:rsidR="00B114CC" w:rsidRPr="003403E5" w:rsidRDefault="00B114CC" w:rsidP="008052FC">
            <w:pPr>
              <w:pStyle w:val="TableText"/>
              <w:spacing w:before="40" w:after="40"/>
              <w:rPr>
                <w:caps/>
                <w:color w:val="auto"/>
                <w:szCs w:val="20"/>
              </w:rPr>
            </w:pPr>
            <w:r w:rsidRPr="003403E5">
              <w:rPr>
                <w:color w:val="auto"/>
                <w:szCs w:val="20"/>
              </w:rPr>
              <w:t>Indirect impacts</w:t>
            </w:r>
          </w:p>
        </w:tc>
        <w:tc>
          <w:tcPr>
            <w:tcW w:w="2198" w:type="dxa"/>
            <w:hideMark/>
          </w:tcPr>
          <w:p w14:paraId="24B7F80F"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Procurement aligns with all objectives of an organisation’s environment, social</w:t>
            </w:r>
            <w:r w:rsidR="000C395D" w:rsidRPr="003403E5">
              <w:rPr>
                <w:szCs w:val="20"/>
              </w:rPr>
              <w:t>, including social procurement</w:t>
            </w:r>
            <w:r w:rsidRPr="003403E5">
              <w:rPr>
                <w:szCs w:val="20"/>
              </w:rPr>
              <w:t xml:space="preserve"> and/or economic policies.</w:t>
            </w:r>
          </w:p>
        </w:tc>
        <w:tc>
          <w:tcPr>
            <w:tcW w:w="2212" w:type="dxa"/>
            <w:hideMark/>
          </w:tcPr>
          <w:p w14:paraId="40B4174A"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Procurement aligns with all objectives of an organisation’s environment, social and/or economic policies.</w:t>
            </w:r>
          </w:p>
        </w:tc>
        <w:tc>
          <w:tcPr>
            <w:tcW w:w="2005" w:type="dxa"/>
            <w:hideMark/>
          </w:tcPr>
          <w:p w14:paraId="57EE5011"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Some consideration may be required of potential trade</w:t>
            </w:r>
            <w:r w:rsidR="008052FC" w:rsidRPr="003403E5">
              <w:rPr>
                <w:szCs w:val="20"/>
              </w:rPr>
              <w:noBreakHyphen/>
            </w:r>
            <w:r w:rsidRPr="003403E5">
              <w:rPr>
                <w:szCs w:val="20"/>
              </w:rPr>
              <w:t>off between objectives of the procurement for the organisation and the objectives of an organisation’s environment, social and/or economic policies.</w:t>
            </w:r>
          </w:p>
        </w:tc>
        <w:tc>
          <w:tcPr>
            <w:tcW w:w="2109" w:type="dxa"/>
            <w:hideMark/>
          </w:tcPr>
          <w:p w14:paraId="6C828260" w14:textId="77777777" w:rsidR="00B114CC" w:rsidRPr="003403E5" w:rsidRDefault="00B114CC" w:rsidP="008052FC">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3403E5">
              <w:rPr>
                <w:szCs w:val="20"/>
              </w:rPr>
              <w:t>Some consideration may be required of potential trade</w:t>
            </w:r>
            <w:r w:rsidR="008052FC" w:rsidRPr="003403E5">
              <w:rPr>
                <w:szCs w:val="20"/>
              </w:rPr>
              <w:noBreakHyphen/>
            </w:r>
            <w:r w:rsidRPr="003403E5">
              <w:rPr>
                <w:szCs w:val="20"/>
              </w:rPr>
              <w:t>off between objectives of the procurement for the organisation and the objectives of an organisation’s environment, social and/or economic policies.</w:t>
            </w:r>
          </w:p>
        </w:tc>
      </w:tr>
    </w:tbl>
    <w:p w14:paraId="0DC26A0D" w14:textId="77777777" w:rsidR="006828FC" w:rsidRDefault="006828FC" w:rsidP="003403E5">
      <w:pPr>
        <w:pStyle w:val="Heading1"/>
        <w:rPr>
          <w:rFonts w:asciiTheme="minorHAnsi" w:hAnsiTheme="minorHAnsi" w:cstheme="minorHAnsi"/>
        </w:rPr>
      </w:pPr>
    </w:p>
    <w:p w14:paraId="766B3B01" w14:textId="77777777" w:rsidR="00FA7D60" w:rsidRPr="004C364C" w:rsidRDefault="00FA7D60" w:rsidP="00FA7D60">
      <w:pPr>
        <w:pStyle w:val="Heading2"/>
        <w:rPr>
          <w:b w:val="0"/>
          <w:bCs/>
          <w:color w:val="7030A0"/>
          <w:spacing w:val="2"/>
        </w:rPr>
      </w:pPr>
      <w:r w:rsidRPr="004C364C">
        <w:rPr>
          <w:bCs/>
          <w:color w:val="7030A0"/>
          <w:spacing w:val="2"/>
        </w:rPr>
        <w:t>Using this tool</w:t>
      </w:r>
    </w:p>
    <w:p w14:paraId="0AC37DBE" w14:textId="6810ADFF" w:rsidR="00FA7D60" w:rsidRPr="007A19E6" w:rsidRDefault="00FA7D60" w:rsidP="00FA7D60">
      <w:pPr>
        <w:spacing w:before="0" w:after="200"/>
      </w:pPr>
      <w:r w:rsidRPr="00D56617">
        <w:t xml:space="preserve">This </w:t>
      </w:r>
      <w:r>
        <w:t xml:space="preserve">tool </w:t>
      </w:r>
      <w:r w:rsidRPr="00D56617">
        <w:t xml:space="preserve">accompanies </w:t>
      </w:r>
      <w:r>
        <w:t xml:space="preserve">the </w:t>
      </w:r>
      <w:hyperlink r:id="rId9" w:history="1">
        <w:r w:rsidRPr="003A7A7D">
          <w:rPr>
            <w:rStyle w:val="Hyperlink"/>
          </w:rPr>
          <w:t>Complexity - Goods and services procurement guide.</w:t>
        </w:r>
      </w:hyperlink>
    </w:p>
    <w:p w14:paraId="08BB968D" w14:textId="6365F683" w:rsidR="00FA7D60" w:rsidRDefault="00FA7D60" w:rsidP="00FA7D60">
      <w:pPr>
        <w:rPr>
          <w:lang w:eastAsia="en-US"/>
        </w:rPr>
      </w:pPr>
    </w:p>
    <w:p w14:paraId="59AEF65A" w14:textId="629BD014" w:rsidR="00394C9C" w:rsidRDefault="00394C9C">
      <w:pPr>
        <w:spacing w:before="0" w:after="0" w:line="240" w:lineRule="auto"/>
        <w:rPr>
          <w:lang w:eastAsia="en-US"/>
        </w:rPr>
      </w:pPr>
      <w:bookmarkStart w:id="0" w:name="_GoBack"/>
      <w:bookmarkEnd w:id="0"/>
      <w:r>
        <w:rPr>
          <w:lang w:eastAsia="en-US"/>
        </w:rPr>
        <w:br w:type="page"/>
      </w:r>
    </w:p>
    <w:p w14:paraId="0E8A7638" w14:textId="70E60BD9" w:rsidR="00394C9C" w:rsidRDefault="00394C9C" w:rsidP="00FA7D60">
      <w:pPr>
        <w:rPr>
          <w:lang w:eastAsia="en-US"/>
        </w:rPr>
      </w:pPr>
    </w:p>
    <w:p w14:paraId="446164F0" w14:textId="676A349C" w:rsidR="00394C9C" w:rsidRDefault="00394C9C" w:rsidP="00FA7D60">
      <w:pPr>
        <w:rPr>
          <w:lang w:eastAsia="en-US"/>
        </w:rPr>
      </w:pPr>
    </w:p>
    <w:p w14:paraId="70713450" w14:textId="41F0D3A1" w:rsidR="00394C9C" w:rsidRDefault="00394C9C" w:rsidP="00FA7D60">
      <w:pPr>
        <w:rPr>
          <w:lang w:eastAsia="en-US"/>
        </w:rPr>
      </w:pPr>
    </w:p>
    <w:p w14:paraId="4EF396FD" w14:textId="71F43708" w:rsidR="00394C9C" w:rsidRDefault="00394C9C" w:rsidP="00FA7D60">
      <w:pPr>
        <w:rPr>
          <w:lang w:eastAsia="en-US"/>
        </w:rPr>
      </w:pPr>
    </w:p>
    <w:p w14:paraId="40F026EA" w14:textId="5811C655" w:rsidR="00394C9C" w:rsidRDefault="00394C9C" w:rsidP="00FA7D60">
      <w:pPr>
        <w:rPr>
          <w:lang w:eastAsia="en-US"/>
        </w:rPr>
      </w:pPr>
    </w:p>
    <w:p w14:paraId="3CF2973A" w14:textId="41A05893" w:rsidR="00394C9C" w:rsidRDefault="00394C9C" w:rsidP="00FA7D60">
      <w:pPr>
        <w:rPr>
          <w:lang w:eastAsia="en-US"/>
        </w:rPr>
      </w:pPr>
    </w:p>
    <w:p w14:paraId="3F72C456" w14:textId="30E2F547" w:rsidR="00394C9C" w:rsidRDefault="00394C9C" w:rsidP="00FA7D60">
      <w:pPr>
        <w:rPr>
          <w:lang w:eastAsia="en-US"/>
        </w:rPr>
      </w:pPr>
    </w:p>
    <w:p w14:paraId="0DE87D10" w14:textId="2B12813E" w:rsidR="00394C9C" w:rsidRDefault="00394C9C" w:rsidP="00FA7D60">
      <w:pPr>
        <w:rPr>
          <w:lang w:eastAsia="en-US"/>
        </w:rPr>
      </w:pPr>
    </w:p>
    <w:p w14:paraId="7FF4E45D" w14:textId="70E9B081" w:rsidR="00394C9C" w:rsidRDefault="00394C9C" w:rsidP="00FA7D60">
      <w:pPr>
        <w:rPr>
          <w:lang w:eastAsia="en-US"/>
        </w:rPr>
      </w:pPr>
    </w:p>
    <w:p w14:paraId="50253448" w14:textId="3E538BE4" w:rsidR="00394C9C" w:rsidRDefault="00394C9C" w:rsidP="00FA7D60">
      <w:pPr>
        <w:rPr>
          <w:lang w:eastAsia="en-US"/>
        </w:rPr>
      </w:pPr>
    </w:p>
    <w:p w14:paraId="262A8C96" w14:textId="49601967" w:rsidR="00394C9C" w:rsidRDefault="00394C9C" w:rsidP="00FA7D60">
      <w:pPr>
        <w:rPr>
          <w:lang w:eastAsia="en-US"/>
        </w:rPr>
      </w:pPr>
    </w:p>
    <w:p w14:paraId="06BB6621" w14:textId="5E49AE11" w:rsidR="00394C9C" w:rsidRDefault="00394C9C" w:rsidP="00FA7D60">
      <w:pPr>
        <w:rPr>
          <w:lang w:eastAsia="en-US"/>
        </w:rPr>
      </w:pPr>
    </w:p>
    <w:p w14:paraId="4BA7B737" w14:textId="7C2C882D" w:rsidR="00394C9C" w:rsidRDefault="00394C9C" w:rsidP="00FA7D60">
      <w:pPr>
        <w:rPr>
          <w:lang w:eastAsia="en-US"/>
        </w:rPr>
      </w:pPr>
    </w:p>
    <w:p w14:paraId="53712653" w14:textId="36D82149" w:rsidR="00394C9C" w:rsidRDefault="00394C9C" w:rsidP="00FA7D60">
      <w:pPr>
        <w:rPr>
          <w:lang w:eastAsia="en-US"/>
        </w:rPr>
      </w:pPr>
    </w:p>
    <w:p w14:paraId="1C81ACE9" w14:textId="35D333BF" w:rsidR="00394C9C" w:rsidRDefault="00394C9C" w:rsidP="00FA7D60">
      <w:pPr>
        <w:rPr>
          <w:lang w:eastAsia="en-US"/>
        </w:rPr>
      </w:pPr>
    </w:p>
    <w:p w14:paraId="0274FCB5" w14:textId="5D0F68D2" w:rsidR="00394C9C" w:rsidRDefault="00394C9C" w:rsidP="00FA7D60">
      <w:pPr>
        <w:rPr>
          <w:lang w:eastAsia="en-US"/>
        </w:rPr>
      </w:pPr>
    </w:p>
    <w:p w14:paraId="33351B8E" w14:textId="176EEA35" w:rsidR="00394C9C" w:rsidRDefault="00394C9C" w:rsidP="00FA7D60">
      <w:pPr>
        <w:rPr>
          <w:lang w:eastAsia="en-US"/>
        </w:rPr>
      </w:pPr>
    </w:p>
    <w:p w14:paraId="151BC202" w14:textId="64EE7687" w:rsidR="00394C9C" w:rsidRDefault="00394C9C" w:rsidP="00FA7D60">
      <w:pPr>
        <w:rPr>
          <w:lang w:eastAsia="en-US"/>
        </w:rPr>
      </w:pPr>
    </w:p>
    <w:p w14:paraId="2B4614E7" w14:textId="3A9C9F0F" w:rsidR="00394C9C" w:rsidRDefault="00394C9C" w:rsidP="00FA7D60">
      <w:pPr>
        <w:rPr>
          <w:lang w:eastAsia="en-US"/>
        </w:rPr>
      </w:pPr>
    </w:p>
    <w:p w14:paraId="258EE4AF" w14:textId="75E7C611" w:rsidR="00394C9C" w:rsidRDefault="00394C9C" w:rsidP="00FA7D60">
      <w:pPr>
        <w:rPr>
          <w:lang w:eastAsia="en-US"/>
        </w:rPr>
      </w:pPr>
    </w:p>
    <w:p w14:paraId="57A678BB" w14:textId="28726FD5" w:rsidR="00394C9C" w:rsidRDefault="00394C9C" w:rsidP="00FA7D60">
      <w:pPr>
        <w:rPr>
          <w:lang w:eastAsia="en-US"/>
        </w:rPr>
      </w:pPr>
    </w:p>
    <w:p w14:paraId="4939064F" w14:textId="2BB3ECED" w:rsidR="00394C9C" w:rsidRDefault="00394C9C" w:rsidP="00FA7D60">
      <w:pPr>
        <w:rPr>
          <w:lang w:eastAsia="en-US"/>
        </w:rPr>
      </w:pPr>
    </w:p>
    <w:p w14:paraId="30950CFA" w14:textId="611F943B" w:rsidR="00394C9C" w:rsidRDefault="00394C9C" w:rsidP="00FA7D60">
      <w:pPr>
        <w:rPr>
          <w:lang w:eastAsia="en-US"/>
        </w:rPr>
      </w:pPr>
    </w:p>
    <w:p w14:paraId="13868B3B" w14:textId="2B980A36" w:rsidR="00394C9C" w:rsidRDefault="00394C9C" w:rsidP="00FA7D60">
      <w:pPr>
        <w:rPr>
          <w:lang w:eastAsia="en-US"/>
        </w:rPr>
      </w:pPr>
    </w:p>
    <w:p w14:paraId="02CC80CE" w14:textId="7A760160" w:rsidR="00394C9C" w:rsidRDefault="00394C9C" w:rsidP="00FA7D60">
      <w:pPr>
        <w:rPr>
          <w:lang w:eastAsia="en-US"/>
        </w:rPr>
      </w:pPr>
    </w:p>
    <w:p w14:paraId="1C1FB5F8" w14:textId="0794997A" w:rsidR="00394C9C" w:rsidRDefault="00394C9C" w:rsidP="00FA7D60">
      <w:pPr>
        <w:rPr>
          <w:lang w:eastAsia="en-US"/>
        </w:rPr>
      </w:pPr>
    </w:p>
    <w:p w14:paraId="6AD0A181" w14:textId="77777777" w:rsidR="00394C9C" w:rsidRDefault="00394C9C" w:rsidP="00FA7D60">
      <w:pPr>
        <w:rPr>
          <w:lang w:eastAsia="en-US"/>
        </w:rPr>
      </w:pPr>
    </w:p>
    <w:p w14:paraId="7BE12409" w14:textId="77777777" w:rsidR="00394C9C" w:rsidRDefault="00394C9C" w:rsidP="00FA7D60">
      <w:pPr>
        <w:rPr>
          <w:lang w:eastAsia="en-US"/>
        </w:rPr>
      </w:pPr>
    </w:p>
    <w:p w14:paraId="132287E7" w14:textId="77777777" w:rsidR="00394C9C" w:rsidRPr="0071619F" w:rsidRDefault="00394C9C" w:rsidP="00394C9C">
      <w:pPr>
        <w:rPr>
          <w:sz w:val="18"/>
          <w:szCs w:val="18"/>
        </w:rPr>
      </w:pPr>
      <w:r w:rsidRPr="004048E9">
        <w:rPr>
          <w:sz w:val="18"/>
          <w:szCs w:val="18"/>
        </w:rPr>
        <w:t>© State of Victoria 201</w:t>
      </w:r>
      <w:r>
        <w:rPr>
          <w:sz w:val="18"/>
          <w:szCs w:val="18"/>
        </w:rPr>
        <w:t>8</w:t>
      </w:r>
      <w:r w:rsidRPr="004048E9">
        <w:rPr>
          <w:sz w:val="18"/>
          <w:szCs w:val="18"/>
        </w:rPr>
        <w:t xml:space="preserve"> (Victorian Government Purchasing Board</w:t>
      </w:r>
      <w:r>
        <w:rPr>
          <w:sz w:val="18"/>
          <w:szCs w:val="18"/>
        </w:rPr>
        <w:t>)</w:t>
      </w:r>
    </w:p>
    <w:p w14:paraId="2EC46503" w14:textId="77777777" w:rsidR="00394C9C" w:rsidRPr="0071619F" w:rsidRDefault="00394C9C" w:rsidP="00394C9C">
      <w:pPr>
        <w:rPr>
          <w:sz w:val="18"/>
          <w:szCs w:val="18"/>
        </w:rPr>
      </w:pPr>
      <w:r w:rsidRPr="0071619F">
        <w:rPr>
          <w:noProof/>
          <w:sz w:val="18"/>
          <w:szCs w:val="18"/>
        </w:rPr>
        <w:drawing>
          <wp:inline distT="0" distB="0" distL="0" distR="0" wp14:anchorId="06B8F8E5" wp14:editId="01311FAB">
            <wp:extent cx="1117460" cy="393651"/>
            <wp:effectExtent l="0" t="0" r="6985" b="6985"/>
            <wp:docPr id="14" name="Picture 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71619F">
        <w:rPr>
          <w:sz w:val="18"/>
          <w:szCs w:val="18"/>
        </w:rPr>
        <w:t xml:space="preserve"> </w:t>
      </w:r>
    </w:p>
    <w:p w14:paraId="3F63F17E" w14:textId="77777777" w:rsidR="00394C9C" w:rsidRPr="0071619F" w:rsidRDefault="00394C9C" w:rsidP="00394C9C">
      <w:pPr>
        <w:rPr>
          <w:sz w:val="18"/>
          <w:szCs w:val="18"/>
        </w:rPr>
      </w:pPr>
      <w:r w:rsidRPr="0071619F">
        <w:rPr>
          <w:sz w:val="18"/>
          <w:szCs w:val="18"/>
        </w:rPr>
        <w:t xml:space="preserve">This work is licensed under a </w:t>
      </w:r>
      <w:hyperlink r:id="rId12" w:history="1">
        <w:r w:rsidRPr="0071619F">
          <w:rPr>
            <w:rStyle w:val="Hyperlink"/>
            <w:sz w:val="18"/>
            <w:szCs w:val="18"/>
          </w:rPr>
          <w:t>Creative Commons Attribution 4.0 licence</w:t>
        </w:r>
      </w:hyperlink>
      <w:r w:rsidRPr="0071619F">
        <w:rPr>
          <w:sz w:val="18"/>
          <w:szCs w:val="18"/>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1F8B5F5D" w14:textId="07305905" w:rsidR="00FA7D60" w:rsidRPr="00FA7D60" w:rsidRDefault="00394C9C" w:rsidP="00FA7D60">
      <w:r w:rsidRPr="0071619F">
        <w:rPr>
          <w:sz w:val="18"/>
          <w:szCs w:val="18"/>
        </w:rPr>
        <w:t xml:space="preserve">Copyright queries may be directed to </w:t>
      </w:r>
      <w:hyperlink r:id="rId13" w:history="1">
        <w:r w:rsidRPr="0071619F">
          <w:rPr>
            <w:rStyle w:val="Hyperlink"/>
            <w:sz w:val="18"/>
            <w:szCs w:val="18"/>
          </w:rPr>
          <w:t>IPpolicy@dtf.vic.gov.au</w:t>
        </w:r>
      </w:hyperlink>
    </w:p>
    <w:sectPr w:rsidR="00FA7D60" w:rsidRPr="00FA7D60" w:rsidSect="00225DC6">
      <w:headerReference w:type="default" r:id="rId14"/>
      <w:footerReference w:type="default" r:id="rId15"/>
      <w:headerReference w:type="first" r:id="rId16"/>
      <w:footerReference w:type="first" r:id="rId17"/>
      <w:pgSz w:w="11901" w:h="16840" w:code="9"/>
      <w:pgMar w:top="1560" w:right="1008" w:bottom="1560" w:left="1152" w:header="567" w:footer="81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FC88C" w14:textId="77777777" w:rsidR="002F7D07" w:rsidRDefault="002F7D07">
      <w:r>
        <w:separator/>
      </w:r>
    </w:p>
    <w:p w14:paraId="6CFD6CA9" w14:textId="77777777" w:rsidR="002F7D07" w:rsidRDefault="002F7D07"/>
  </w:endnote>
  <w:endnote w:type="continuationSeparator" w:id="0">
    <w:p w14:paraId="679C17D0" w14:textId="77777777" w:rsidR="002F7D07" w:rsidRDefault="002F7D07">
      <w:r>
        <w:continuationSeparator/>
      </w:r>
    </w:p>
    <w:p w14:paraId="6A4A77B4" w14:textId="77777777" w:rsidR="002F7D07" w:rsidRDefault="002F7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FBE5" w14:textId="79FBFBEA" w:rsidR="00394C9C" w:rsidRDefault="00394C9C" w:rsidP="00225DC6">
    <w:pPr>
      <w:pStyle w:val="Footer"/>
      <w:tabs>
        <w:tab w:val="clear" w:pos="8220"/>
        <w:tab w:val="right" w:pos="9639"/>
      </w:tabs>
      <w:jc w:val="left"/>
    </w:pPr>
    <w:r w:rsidRPr="00394C9C">
      <w:t>Victorian Government Purchasing Board</w:t>
    </w:r>
  </w:p>
  <w:p w14:paraId="499C178C" w14:textId="66FB5DA8" w:rsidR="00225DC6" w:rsidRDefault="000508F6" w:rsidP="00225DC6">
    <w:pPr>
      <w:pStyle w:val="Footer"/>
      <w:tabs>
        <w:tab w:val="clear" w:pos="8220"/>
        <w:tab w:val="right" w:pos="9639"/>
      </w:tabs>
      <w:jc w:val="left"/>
    </w:pPr>
    <w:r>
      <mc:AlternateContent>
        <mc:Choice Requires="wps">
          <w:drawing>
            <wp:anchor distT="0" distB="0" distL="114300" distR="114300" simplePos="0" relativeHeight="251658240" behindDoc="0" locked="0" layoutInCell="0" allowOverlap="1" wp14:anchorId="1E2580E9" wp14:editId="12BE9E6D">
              <wp:simplePos x="0" y="0"/>
              <wp:positionH relativeFrom="page">
                <wp:posOffset>0</wp:posOffset>
              </wp:positionH>
              <wp:positionV relativeFrom="page">
                <wp:posOffset>10236200</wp:posOffset>
              </wp:positionV>
              <wp:extent cx="7557135" cy="266700"/>
              <wp:effectExtent l="0" t="0" r="0" b="0"/>
              <wp:wrapNone/>
              <wp:docPr id="1" name="MSIPCM0ca14be099a00669dac8cc9c"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A4BDB9" w14:textId="77777777" w:rsidR="000508F6" w:rsidRPr="000508F6" w:rsidRDefault="000508F6" w:rsidP="000508F6">
                          <w:pPr>
                            <w:spacing w:before="0" w:after="0"/>
                            <w:rPr>
                              <w:color w:val="000000"/>
                            </w:rPr>
                          </w:pPr>
                          <w:r w:rsidRPr="000508F6">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2580E9" id="_x0000_t202" coordsize="21600,21600" o:spt="202" path="m,l,21600r21600,l21600,xe">
              <v:stroke joinstyle="miter"/>
              <v:path gradientshapeok="t" o:connecttype="rect"/>
            </v:shapetype>
            <v:shape id="MSIPCM0ca14be099a00669dac8cc9c"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" o:allowincell="f" filled="f" stroked="f" strokeweight=".5pt">
              <v:textbox inset="20pt,0,,0">
                <w:txbxContent>
                  <w:p w14:paraId="44A4BDB9" w14:textId="77777777" w:rsidR="000508F6" w:rsidRPr="000508F6" w:rsidRDefault="000508F6" w:rsidP="000508F6">
                    <w:pPr>
                      <w:spacing w:before="0" w:after="0"/>
                      <w:rPr>
                        <w:color w:val="000000"/>
                      </w:rPr>
                    </w:pPr>
                    <w:r w:rsidRPr="000508F6">
                      <w:rPr>
                        <w:color w:val="000000"/>
                      </w:rPr>
                      <w:t>OFFICIAL</w:t>
                    </w:r>
                  </w:p>
                </w:txbxContent>
              </v:textbox>
              <w10:wrap anchorx="page" anchory="page"/>
            </v:shape>
          </w:pict>
        </mc:Fallback>
      </mc:AlternateContent>
    </w:r>
    <w:sdt>
      <w:sdtPr>
        <w:id w:val="-1933968733"/>
        <w:docPartObj>
          <w:docPartGallery w:val="Page Numbers (Bottom of Page)"/>
          <w:docPartUnique/>
        </w:docPartObj>
      </w:sdtPr>
      <w:sdtEndPr/>
      <w:sdtContent>
        <w:sdt>
          <w:sdtPr>
            <w:id w:val="-1769616900"/>
            <w:docPartObj>
              <w:docPartGallery w:val="Page Numbers (Top of Page)"/>
              <w:docPartUnique/>
            </w:docPartObj>
          </w:sdtPr>
          <w:sdtEndPr/>
          <w:sdtContent>
            <w:r w:rsidR="003403E5" w:rsidRPr="003403E5">
              <w:t>Application of complexity drivers to four complexity quadrants checklist</w:t>
            </w:r>
            <w:r w:rsidR="003403E5">
              <w:t xml:space="preserve"> – Goods and services</w:t>
            </w:r>
            <w:r w:rsidR="00225DC6">
              <w:br/>
            </w:r>
            <w:r w:rsidR="00394C9C">
              <w:t>December 2018</w:t>
            </w:r>
            <w:r w:rsidR="00225DC6">
              <w:t xml:space="preserve"> </w:t>
            </w:r>
            <w:r w:rsidR="00225DC6">
              <w:tab/>
              <w:t xml:space="preserve">Page </w:t>
            </w:r>
            <w:r w:rsidR="00225DC6">
              <w:rPr>
                <w:b/>
                <w:bCs/>
                <w:sz w:val="24"/>
                <w:szCs w:val="24"/>
              </w:rPr>
              <w:fldChar w:fldCharType="begin"/>
            </w:r>
            <w:r w:rsidR="00225DC6">
              <w:rPr>
                <w:b/>
                <w:bCs/>
              </w:rPr>
              <w:instrText xml:space="preserve"> PAGE </w:instrText>
            </w:r>
            <w:r w:rsidR="00225DC6">
              <w:rPr>
                <w:b/>
                <w:bCs/>
                <w:sz w:val="24"/>
                <w:szCs w:val="24"/>
              </w:rPr>
              <w:fldChar w:fldCharType="separate"/>
            </w:r>
            <w:r w:rsidR="00225DC6">
              <w:rPr>
                <w:b/>
                <w:bCs/>
              </w:rPr>
              <w:t>2</w:t>
            </w:r>
            <w:r w:rsidR="00225DC6">
              <w:rPr>
                <w:b/>
                <w:bCs/>
                <w:sz w:val="24"/>
                <w:szCs w:val="24"/>
              </w:rPr>
              <w:fldChar w:fldCharType="end"/>
            </w:r>
            <w:r w:rsidR="00225DC6">
              <w:t xml:space="preserve"> of </w:t>
            </w:r>
            <w:r w:rsidR="00225DC6">
              <w:rPr>
                <w:b/>
                <w:bCs/>
                <w:sz w:val="24"/>
                <w:szCs w:val="24"/>
              </w:rPr>
              <w:fldChar w:fldCharType="begin"/>
            </w:r>
            <w:r w:rsidR="00225DC6">
              <w:rPr>
                <w:b/>
                <w:bCs/>
              </w:rPr>
              <w:instrText xml:space="preserve"> NUMPAGES  </w:instrText>
            </w:r>
            <w:r w:rsidR="00225DC6">
              <w:rPr>
                <w:b/>
                <w:bCs/>
                <w:sz w:val="24"/>
                <w:szCs w:val="24"/>
              </w:rPr>
              <w:fldChar w:fldCharType="separate"/>
            </w:r>
            <w:r w:rsidR="00225DC6">
              <w:rPr>
                <w:b/>
                <w:bCs/>
              </w:rPr>
              <w:t>2</w:t>
            </w:r>
            <w:r w:rsidR="00225DC6">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7854" w14:textId="77777777" w:rsidR="005E77C6" w:rsidRDefault="00691C25" w:rsidP="003C0F49">
    <w:pPr>
      <w:pStyle w:val="Footer"/>
    </w:pPr>
    <w:r>
      <mc:AlternateContent>
        <mc:Choice Requires="wps">
          <w:drawing>
            <wp:anchor distT="0" distB="0" distL="114300" distR="114300" simplePos="0" relativeHeight="251658752" behindDoc="0" locked="0" layoutInCell="0" allowOverlap="1" wp14:anchorId="6E94C0F6" wp14:editId="36C8E6E6">
              <wp:simplePos x="0" y="0"/>
              <wp:positionH relativeFrom="page">
                <wp:posOffset>0</wp:posOffset>
              </wp:positionH>
              <wp:positionV relativeFrom="page">
                <wp:posOffset>10236200</wp:posOffset>
              </wp:positionV>
              <wp:extent cx="7557135" cy="266700"/>
              <wp:effectExtent l="0" t="0" r="0" b="0"/>
              <wp:wrapNone/>
              <wp:docPr id="5" name="MSIPCM710a46bb934fce4f7be1cc6b"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E0FA21" w14:textId="77777777" w:rsidR="00691C25" w:rsidRPr="00691C25" w:rsidRDefault="00691C25" w:rsidP="00691C25">
                          <w:pPr>
                            <w:spacing w:before="0" w:after="0"/>
                            <w:rPr>
                              <w:color w:val="000000"/>
                            </w:rPr>
                          </w:pPr>
                          <w:r w:rsidRPr="00691C25">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94C0F6" id="_x0000_t202" coordsize="21600,21600" o:spt="202" path="m,l,21600r21600,l21600,xe">
              <v:stroke joinstyle="miter"/>
              <v:path gradientshapeok="t" o:connecttype="rect"/>
            </v:shapetype>
            <v:shape id="MSIPCM710a46bb934fce4f7be1cc6b"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" o:allowincell="f" filled="f" stroked="f" strokeweight=".5pt">
              <v:textbox inset="20pt,0,,0">
                <w:txbxContent>
                  <w:p w14:paraId="07E0FA21" w14:textId="77777777" w:rsidR="00691C25" w:rsidRPr="00691C25" w:rsidRDefault="00691C25" w:rsidP="00691C25">
                    <w:pPr>
                      <w:spacing w:before="0" w:after="0"/>
                      <w:rPr>
                        <w:color w:val="000000"/>
                      </w:rPr>
                    </w:pPr>
                    <w:r w:rsidRPr="00691C25">
                      <w:rPr>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AA172" w14:textId="77777777" w:rsidR="002F7D07" w:rsidRDefault="002F7D07">
      <w:r>
        <w:separator/>
      </w:r>
    </w:p>
    <w:p w14:paraId="1C607BC4" w14:textId="77777777" w:rsidR="002F7D07" w:rsidRDefault="002F7D07"/>
  </w:footnote>
  <w:footnote w:type="continuationSeparator" w:id="0">
    <w:p w14:paraId="01E9E806" w14:textId="77777777" w:rsidR="002F7D07" w:rsidRDefault="002F7D07">
      <w:r>
        <w:continuationSeparator/>
      </w:r>
    </w:p>
    <w:p w14:paraId="0576CEA1" w14:textId="77777777" w:rsidR="002F7D07" w:rsidRDefault="002F7D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9ECBE" w14:textId="77777777" w:rsidR="005E77C6" w:rsidRPr="00225DC6" w:rsidRDefault="00225DC6" w:rsidP="00225DC6">
    <w:pPr>
      <w:pStyle w:val="Header"/>
      <w:tabs>
        <w:tab w:val="clear" w:pos="10350"/>
        <w:tab w:val="right" w:pos="9639"/>
      </w:tabs>
      <w:spacing w:before="240"/>
      <w:ind w:right="102"/>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29258" w14:textId="77777777" w:rsidR="005E77C6" w:rsidRPr="007602D7" w:rsidRDefault="005E77C6" w:rsidP="00B54F88">
    <w:pPr>
      <w:pStyle w:val="Header"/>
      <w:spacing w:before="240"/>
      <w:ind w:right="-461"/>
    </w:pPr>
    <w:r w:rsidRPr="000E286D">
      <w:drawing>
        <wp:anchor distT="0" distB="0" distL="114300" distR="114300" simplePos="0" relativeHeight="251656704" behindDoc="1" locked="0" layoutInCell="1" allowOverlap="1" wp14:anchorId="6A21E1A5" wp14:editId="35D06A34">
          <wp:simplePos x="0" y="0"/>
          <wp:positionH relativeFrom="column">
            <wp:posOffset>-731520</wp:posOffset>
          </wp:positionH>
          <wp:positionV relativeFrom="paragraph">
            <wp:posOffset>-200133</wp:posOffset>
          </wp:positionV>
          <wp:extent cx="560717" cy="10717356"/>
          <wp:effectExtent l="0" t="0" r="0" b="8255"/>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443424FD" wp14:editId="178725FC">
          <wp:extent cx="2162175" cy="133350"/>
          <wp:effectExtent l="0" t="0" r="0" b="0"/>
          <wp:docPr id="3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51E0B91"/>
    <w:multiLevelType w:val="hybridMultilevel"/>
    <w:tmpl w:val="F620E2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06F45EEB"/>
    <w:multiLevelType w:val="hybridMultilevel"/>
    <w:tmpl w:val="6B889AA6"/>
    <w:lvl w:ilvl="0" w:tplc="73608680">
      <w:start w:val="1"/>
      <w:numFmt w:val="bullet"/>
      <w:lvlText w:val=""/>
      <w:lvlJc w:val="left"/>
      <w:pPr>
        <w:tabs>
          <w:tab w:val="num" w:pos="720"/>
        </w:tabs>
        <w:ind w:left="720" w:hanging="360"/>
      </w:pPr>
      <w:rPr>
        <w:rFonts w:ascii="Symbol" w:hAnsi="Symbol" w:hint="default"/>
        <w:sz w:val="20"/>
      </w:rPr>
    </w:lvl>
    <w:lvl w:ilvl="1" w:tplc="4F76DA00">
      <w:start w:val="1"/>
      <w:numFmt w:val="bullet"/>
      <w:lvlText w:val="o"/>
      <w:lvlJc w:val="left"/>
      <w:pPr>
        <w:tabs>
          <w:tab w:val="num" w:pos="1440"/>
        </w:tabs>
        <w:ind w:left="1440" w:hanging="360"/>
      </w:pPr>
      <w:rPr>
        <w:rFonts w:ascii="Courier New" w:hAnsi="Courier New" w:cs="Times New Roman" w:hint="default"/>
        <w:sz w:val="20"/>
      </w:rPr>
    </w:lvl>
    <w:lvl w:ilvl="2" w:tplc="EE4214FC">
      <w:start w:val="1"/>
      <w:numFmt w:val="bullet"/>
      <w:lvlText w:val=""/>
      <w:lvlJc w:val="left"/>
      <w:pPr>
        <w:tabs>
          <w:tab w:val="num" w:pos="2160"/>
        </w:tabs>
        <w:ind w:left="2160" w:hanging="360"/>
      </w:pPr>
      <w:rPr>
        <w:rFonts w:ascii="Wingdings" w:hAnsi="Wingdings" w:hint="default"/>
        <w:sz w:val="20"/>
      </w:rPr>
    </w:lvl>
    <w:lvl w:ilvl="3" w:tplc="73D895FE">
      <w:start w:val="1"/>
      <w:numFmt w:val="bullet"/>
      <w:lvlText w:val=""/>
      <w:lvlJc w:val="left"/>
      <w:pPr>
        <w:tabs>
          <w:tab w:val="num" w:pos="2880"/>
        </w:tabs>
        <w:ind w:left="2880" w:hanging="360"/>
      </w:pPr>
      <w:rPr>
        <w:rFonts w:ascii="Wingdings" w:hAnsi="Wingdings" w:hint="default"/>
        <w:sz w:val="20"/>
      </w:rPr>
    </w:lvl>
    <w:lvl w:ilvl="4" w:tplc="DFBE01B0">
      <w:start w:val="1"/>
      <w:numFmt w:val="bullet"/>
      <w:lvlText w:val=""/>
      <w:lvlJc w:val="left"/>
      <w:pPr>
        <w:tabs>
          <w:tab w:val="num" w:pos="3600"/>
        </w:tabs>
        <w:ind w:left="3600" w:hanging="360"/>
      </w:pPr>
      <w:rPr>
        <w:rFonts w:ascii="Wingdings" w:hAnsi="Wingdings" w:hint="default"/>
        <w:sz w:val="20"/>
      </w:rPr>
    </w:lvl>
    <w:lvl w:ilvl="5" w:tplc="25EAF604">
      <w:start w:val="1"/>
      <w:numFmt w:val="bullet"/>
      <w:lvlText w:val=""/>
      <w:lvlJc w:val="left"/>
      <w:pPr>
        <w:tabs>
          <w:tab w:val="num" w:pos="4320"/>
        </w:tabs>
        <w:ind w:left="4320" w:hanging="360"/>
      </w:pPr>
      <w:rPr>
        <w:rFonts w:ascii="Wingdings" w:hAnsi="Wingdings" w:hint="default"/>
        <w:sz w:val="20"/>
      </w:rPr>
    </w:lvl>
    <w:lvl w:ilvl="6" w:tplc="A39874CC">
      <w:start w:val="1"/>
      <w:numFmt w:val="bullet"/>
      <w:lvlText w:val=""/>
      <w:lvlJc w:val="left"/>
      <w:pPr>
        <w:tabs>
          <w:tab w:val="num" w:pos="5040"/>
        </w:tabs>
        <w:ind w:left="5040" w:hanging="360"/>
      </w:pPr>
      <w:rPr>
        <w:rFonts w:ascii="Wingdings" w:hAnsi="Wingdings" w:hint="default"/>
        <w:sz w:val="20"/>
      </w:rPr>
    </w:lvl>
    <w:lvl w:ilvl="7" w:tplc="455C479C">
      <w:start w:val="1"/>
      <w:numFmt w:val="bullet"/>
      <w:lvlText w:val=""/>
      <w:lvlJc w:val="left"/>
      <w:pPr>
        <w:tabs>
          <w:tab w:val="num" w:pos="5760"/>
        </w:tabs>
        <w:ind w:left="5760" w:hanging="360"/>
      </w:pPr>
      <w:rPr>
        <w:rFonts w:ascii="Wingdings" w:hAnsi="Wingdings" w:hint="default"/>
        <w:sz w:val="20"/>
      </w:rPr>
    </w:lvl>
    <w:lvl w:ilvl="8" w:tplc="81B0DE94">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083B68"/>
    <w:multiLevelType w:val="hybridMultilevel"/>
    <w:tmpl w:val="A36E3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3"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4"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23D3EF9"/>
    <w:multiLevelType w:val="hybridMultilevel"/>
    <w:tmpl w:val="7F80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8" w15:restartNumberingAfterBreak="0">
    <w:nsid w:val="28C075FE"/>
    <w:multiLevelType w:val="hybridMultilevel"/>
    <w:tmpl w:val="E5A6C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1"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2" w15:restartNumberingAfterBreak="0">
    <w:nsid w:val="3F590CBC"/>
    <w:multiLevelType w:val="hybridMultilevel"/>
    <w:tmpl w:val="83362B26"/>
    <w:lvl w:ilvl="0" w:tplc="AADC6954">
      <w:start w:val="1"/>
      <w:numFmt w:val="bullet"/>
      <w:lvlText w:val=""/>
      <w:lvlJc w:val="left"/>
      <w:pPr>
        <w:tabs>
          <w:tab w:val="num" w:pos="720"/>
        </w:tabs>
        <w:ind w:left="720" w:hanging="360"/>
      </w:pPr>
      <w:rPr>
        <w:rFonts w:ascii="Symbol" w:hAnsi="Symbol" w:hint="default"/>
        <w:sz w:val="20"/>
      </w:rPr>
    </w:lvl>
    <w:lvl w:ilvl="1" w:tplc="1FECF6D0">
      <w:start w:val="1"/>
      <w:numFmt w:val="bullet"/>
      <w:lvlText w:val="o"/>
      <w:lvlJc w:val="left"/>
      <w:pPr>
        <w:tabs>
          <w:tab w:val="num" w:pos="1440"/>
        </w:tabs>
        <w:ind w:left="1440" w:hanging="360"/>
      </w:pPr>
      <w:rPr>
        <w:rFonts w:ascii="Courier New" w:hAnsi="Courier New" w:cs="Times New Roman" w:hint="default"/>
        <w:sz w:val="20"/>
      </w:rPr>
    </w:lvl>
    <w:lvl w:ilvl="2" w:tplc="2C8A1CD2">
      <w:start w:val="1"/>
      <w:numFmt w:val="bullet"/>
      <w:lvlText w:val=""/>
      <w:lvlJc w:val="left"/>
      <w:pPr>
        <w:tabs>
          <w:tab w:val="num" w:pos="2160"/>
        </w:tabs>
        <w:ind w:left="2160" w:hanging="360"/>
      </w:pPr>
      <w:rPr>
        <w:rFonts w:ascii="Wingdings" w:hAnsi="Wingdings" w:hint="default"/>
        <w:sz w:val="20"/>
      </w:rPr>
    </w:lvl>
    <w:lvl w:ilvl="3" w:tplc="295E5708">
      <w:start w:val="1"/>
      <w:numFmt w:val="bullet"/>
      <w:lvlText w:val=""/>
      <w:lvlJc w:val="left"/>
      <w:pPr>
        <w:tabs>
          <w:tab w:val="num" w:pos="2880"/>
        </w:tabs>
        <w:ind w:left="2880" w:hanging="360"/>
      </w:pPr>
      <w:rPr>
        <w:rFonts w:ascii="Wingdings" w:hAnsi="Wingdings" w:hint="default"/>
        <w:sz w:val="20"/>
      </w:rPr>
    </w:lvl>
    <w:lvl w:ilvl="4" w:tplc="54A804B0">
      <w:start w:val="1"/>
      <w:numFmt w:val="bullet"/>
      <w:lvlText w:val=""/>
      <w:lvlJc w:val="left"/>
      <w:pPr>
        <w:tabs>
          <w:tab w:val="num" w:pos="3600"/>
        </w:tabs>
        <w:ind w:left="3600" w:hanging="360"/>
      </w:pPr>
      <w:rPr>
        <w:rFonts w:ascii="Wingdings" w:hAnsi="Wingdings" w:hint="default"/>
        <w:sz w:val="20"/>
      </w:rPr>
    </w:lvl>
    <w:lvl w:ilvl="5" w:tplc="39DCFDA0">
      <w:start w:val="1"/>
      <w:numFmt w:val="bullet"/>
      <w:lvlText w:val=""/>
      <w:lvlJc w:val="left"/>
      <w:pPr>
        <w:tabs>
          <w:tab w:val="num" w:pos="4320"/>
        </w:tabs>
        <w:ind w:left="4320" w:hanging="360"/>
      </w:pPr>
      <w:rPr>
        <w:rFonts w:ascii="Wingdings" w:hAnsi="Wingdings" w:hint="default"/>
        <w:sz w:val="20"/>
      </w:rPr>
    </w:lvl>
    <w:lvl w:ilvl="6" w:tplc="6B785106">
      <w:start w:val="1"/>
      <w:numFmt w:val="bullet"/>
      <w:lvlText w:val=""/>
      <w:lvlJc w:val="left"/>
      <w:pPr>
        <w:tabs>
          <w:tab w:val="num" w:pos="5040"/>
        </w:tabs>
        <w:ind w:left="5040" w:hanging="360"/>
      </w:pPr>
      <w:rPr>
        <w:rFonts w:ascii="Wingdings" w:hAnsi="Wingdings" w:hint="default"/>
        <w:sz w:val="20"/>
      </w:rPr>
    </w:lvl>
    <w:lvl w:ilvl="7" w:tplc="CB82BF28">
      <w:start w:val="1"/>
      <w:numFmt w:val="bullet"/>
      <w:lvlText w:val=""/>
      <w:lvlJc w:val="left"/>
      <w:pPr>
        <w:tabs>
          <w:tab w:val="num" w:pos="5760"/>
        </w:tabs>
        <w:ind w:left="5760" w:hanging="360"/>
      </w:pPr>
      <w:rPr>
        <w:rFonts w:ascii="Wingdings" w:hAnsi="Wingdings" w:hint="default"/>
        <w:sz w:val="20"/>
      </w:rPr>
    </w:lvl>
    <w:lvl w:ilvl="8" w:tplc="E0AE039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EB2B6A"/>
    <w:multiLevelType w:val="hybridMultilevel"/>
    <w:tmpl w:val="64EAE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20201ED"/>
    <w:multiLevelType w:val="hybridMultilevel"/>
    <w:tmpl w:val="09D45EF4"/>
    <w:lvl w:ilvl="0" w:tplc="3C329644">
      <w:start w:val="1"/>
      <w:numFmt w:val="bullet"/>
      <w:lvlText w:val=""/>
      <w:lvlJc w:val="left"/>
      <w:pPr>
        <w:tabs>
          <w:tab w:val="num" w:pos="720"/>
        </w:tabs>
        <w:ind w:left="720" w:hanging="360"/>
      </w:pPr>
      <w:rPr>
        <w:rFonts w:ascii="Symbol" w:hAnsi="Symbol" w:hint="default"/>
        <w:sz w:val="20"/>
      </w:rPr>
    </w:lvl>
    <w:lvl w:ilvl="1" w:tplc="32601B64">
      <w:start w:val="1"/>
      <w:numFmt w:val="bullet"/>
      <w:lvlText w:val="o"/>
      <w:lvlJc w:val="left"/>
      <w:pPr>
        <w:tabs>
          <w:tab w:val="num" w:pos="1440"/>
        </w:tabs>
        <w:ind w:left="1440" w:hanging="360"/>
      </w:pPr>
      <w:rPr>
        <w:rFonts w:ascii="Courier New" w:hAnsi="Courier New" w:cs="Times New Roman" w:hint="default"/>
        <w:sz w:val="20"/>
      </w:rPr>
    </w:lvl>
    <w:lvl w:ilvl="2" w:tplc="3D3207CC">
      <w:start w:val="1"/>
      <w:numFmt w:val="bullet"/>
      <w:lvlText w:val=""/>
      <w:lvlJc w:val="left"/>
      <w:pPr>
        <w:tabs>
          <w:tab w:val="num" w:pos="2160"/>
        </w:tabs>
        <w:ind w:left="2160" w:hanging="360"/>
      </w:pPr>
      <w:rPr>
        <w:rFonts w:ascii="Wingdings" w:hAnsi="Wingdings" w:hint="default"/>
        <w:sz w:val="20"/>
      </w:rPr>
    </w:lvl>
    <w:lvl w:ilvl="3" w:tplc="699AB548">
      <w:start w:val="1"/>
      <w:numFmt w:val="bullet"/>
      <w:lvlText w:val=""/>
      <w:lvlJc w:val="left"/>
      <w:pPr>
        <w:tabs>
          <w:tab w:val="num" w:pos="2880"/>
        </w:tabs>
        <w:ind w:left="2880" w:hanging="360"/>
      </w:pPr>
      <w:rPr>
        <w:rFonts w:ascii="Wingdings" w:hAnsi="Wingdings" w:hint="default"/>
        <w:sz w:val="20"/>
      </w:rPr>
    </w:lvl>
    <w:lvl w:ilvl="4" w:tplc="3A7C2EB0">
      <w:start w:val="1"/>
      <w:numFmt w:val="bullet"/>
      <w:lvlText w:val=""/>
      <w:lvlJc w:val="left"/>
      <w:pPr>
        <w:tabs>
          <w:tab w:val="num" w:pos="3600"/>
        </w:tabs>
        <w:ind w:left="3600" w:hanging="360"/>
      </w:pPr>
      <w:rPr>
        <w:rFonts w:ascii="Wingdings" w:hAnsi="Wingdings" w:hint="default"/>
        <w:sz w:val="20"/>
      </w:rPr>
    </w:lvl>
    <w:lvl w:ilvl="5" w:tplc="731A3A76">
      <w:start w:val="1"/>
      <w:numFmt w:val="bullet"/>
      <w:lvlText w:val=""/>
      <w:lvlJc w:val="left"/>
      <w:pPr>
        <w:tabs>
          <w:tab w:val="num" w:pos="4320"/>
        </w:tabs>
        <w:ind w:left="4320" w:hanging="360"/>
      </w:pPr>
      <w:rPr>
        <w:rFonts w:ascii="Wingdings" w:hAnsi="Wingdings" w:hint="default"/>
        <w:sz w:val="20"/>
      </w:rPr>
    </w:lvl>
    <w:lvl w:ilvl="6" w:tplc="16506398">
      <w:start w:val="1"/>
      <w:numFmt w:val="bullet"/>
      <w:lvlText w:val=""/>
      <w:lvlJc w:val="left"/>
      <w:pPr>
        <w:tabs>
          <w:tab w:val="num" w:pos="5040"/>
        </w:tabs>
        <w:ind w:left="5040" w:hanging="360"/>
      </w:pPr>
      <w:rPr>
        <w:rFonts w:ascii="Wingdings" w:hAnsi="Wingdings" w:hint="default"/>
        <w:sz w:val="20"/>
      </w:rPr>
    </w:lvl>
    <w:lvl w:ilvl="7" w:tplc="56E895FE">
      <w:start w:val="1"/>
      <w:numFmt w:val="bullet"/>
      <w:lvlText w:val=""/>
      <w:lvlJc w:val="left"/>
      <w:pPr>
        <w:tabs>
          <w:tab w:val="num" w:pos="5760"/>
        </w:tabs>
        <w:ind w:left="5760" w:hanging="360"/>
      </w:pPr>
      <w:rPr>
        <w:rFonts w:ascii="Wingdings" w:hAnsi="Wingdings" w:hint="default"/>
        <w:sz w:val="20"/>
      </w:rPr>
    </w:lvl>
    <w:lvl w:ilvl="8" w:tplc="D4788E84">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5216AE"/>
    <w:multiLevelType w:val="hybridMultilevel"/>
    <w:tmpl w:val="A63CBC52"/>
    <w:lvl w:ilvl="0" w:tplc="3AFC4E72">
      <w:start w:val="1"/>
      <w:numFmt w:val="bullet"/>
      <w:lvlText w:val=""/>
      <w:lvlJc w:val="left"/>
      <w:pPr>
        <w:tabs>
          <w:tab w:val="num" w:pos="720"/>
        </w:tabs>
        <w:ind w:left="720" w:hanging="360"/>
      </w:pPr>
      <w:rPr>
        <w:rFonts w:ascii="Symbol" w:hAnsi="Symbol" w:hint="default"/>
        <w:sz w:val="20"/>
      </w:rPr>
    </w:lvl>
    <w:lvl w:ilvl="1" w:tplc="E152A9A2">
      <w:start w:val="1"/>
      <w:numFmt w:val="bullet"/>
      <w:lvlText w:val="o"/>
      <w:lvlJc w:val="left"/>
      <w:pPr>
        <w:tabs>
          <w:tab w:val="num" w:pos="1440"/>
        </w:tabs>
        <w:ind w:left="1440" w:hanging="360"/>
      </w:pPr>
      <w:rPr>
        <w:rFonts w:ascii="Courier New" w:hAnsi="Courier New" w:cs="Times New Roman" w:hint="default"/>
        <w:sz w:val="20"/>
      </w:rPr>
    </w:lvl>
    <w:lvl w:ilvl="2" w:tplc="35684EA0">
      <w:start w:val="1"/>
      <w:numFmt w:val="bullet"/>
      <w:lvlText w:val=""/>
      <w:lvlJc w:val="left"/>
      <w:pPr>
        <w:tabs>
          <w:tab w:val="num" w:pos="2160"/>
        </w:tabs>
        <w:ind w:left="2160" w:hanging="360"/>
      </w:pPr>
      <w:rPr>
        <w:rFonts w:ascii="Wingdings" w:hAnsi="Wingdings" w:hint="default"/>
        <w:sz w:val="20"/>
      </w:rPr>
    </w:lvl>
    <w:lvl w:ilvl="3" w:tplc="C3BEEDF2">
      <w:start w:val="1"/>
      <w:numFmt w:val="bullet"/>
      <w:lvlText w:val=""/>
      <w:lvlJc w:val="left"/>
      <w:pPr>
        <w:tabs>
          <w:tab w:val="num" w:pos="2880"/>
        </w:tabs>
        <w:ind w:left="2880" w:hanging="360"/>
      </w:pPr>
      <w:rPr>
        <w:rFonts w:ascii="Wingdings" w:hAnsi="Wingdings" w:hint="default"/>
        <w:sz w:val="20"/>
      </w:rPr>
    </w:lvl>
    <w:lvl w:ilvl="4" w:tplc="F5FC81A4">
      <w:start w:val="1"/>
      <w:numFmt w:val="bullet"/>
      <w:lvlText w:val=""/>
      <w:lvlJc w:val="left"/>
      <w:pPr>
        <w:tabs>
          <w:tab w:val="num" w:pos="3600"/>
        </w:tabs>
        <w:ind w:left="3600" w:hanging="360"/>
      </w:pPr>
      <w:rPr>
        <w:rFonts w:ascii="Wingdings" w:hAnsi="Wingdings" w:hint="default"/>
        <w:sz w:val="20"/>
      </w:rPr>
    </w:lvl>
    <w:lvl w:ilvl="5" w:tplc="ED14B294">
      <w:start w:val="1"/>
      <w:numFmt w:val="bullet"/>
      <w:lvlText w:val=""/>
      <w:lvlJc w:val="left"/>
      <w:pPr>
        <w:tabs>
          <w:tab w:val="num" w:pos="4320"/>
        </w:tabs>
        <w:ind w:left="4320" w:hanging="360"/>
      </w:pPr>
      <w:rPr>
        <w:rFonts w:ascii="Wingdings" w:hAnsi="Wingdings" w:hint="default"/>
        <w:sz w:val="20"/>
      </w:rPr>
    </w:lvl>
    <w:lvl w:ilvl="6" w:tplc="8D92B1CE">
      <w:start w:val="1"/>
      <w:numFmt w:val="bullet"/>
      <w:lvlText w:val=""/>
      <w:lvlJc w:val="left"/>
      <w:pPr>
        <w:tabs>
          <w:tab w:val="num" w:pos="5040"/>
        </w:tabs>
        <w:ind w:left="5040" w:hanging="360"/>
      </w:pPr>
      <w:rPr>
        <w:rFonts w:ascii="Wingdings" w:hAnsi="Wingdings" w:hint="default"/>
        <w:sz w:val="20"/>
      </w:rPr>
    </w:lvl>
    <w:lvl w:ilvl="7" w:tplc="C562DCFC">
      <w:start w:val="1"/>
      <w:numFmt w:val="bullet"/>
      <w:lvlText w:val=""/>
      <w:lvlJc w:val="left"/>
      <w:pPr>
        <w:tabs>
          <w:tab w:val="num" w:pos="5760"/>
        </w:tabs>
        <w:ind w:left="5760" w:hanging="360"/>
      </w:pPr>
      <w:rPr>
        <w:rFonts w:ascii="Wingdings" w:hAnsi="Wingdings" w:hint="default"/>
        <w:sz w:val="20"/>
      </w:rPr>
    </w:lvl>
    <w:lvl w:ilvl="8" w:tplc="2834C34A">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5F4A7E"/>
    <w:multiLevelType w:val="hybridMultilevel"/>
    <w:tmpl w:val="0464B250"/>
    <w:lvl w:ilvl="0" w:tplc="303E0432">
      <w:start w:val="1"/>
      <w:numFmt w:val="bullet"/>
      <w:lvlText w:val=""/>
      <w:lvlJc w:val="left"/>
      <w:pPr>
        <w:tabs>
          <w:tab w:val="num" w:pos="720"/>
        </w:tabs>
        <w:ind w:left="720" w:hanging="360"/>
      </w:pPr>
      <w:rPr>
        <w:rFonts w:ascii="Symbol" w:hAnsi="Symbol" w:hint="default"/>
        <w:sz w:val="20"/>
      </w:rPr>
    </w:lvl>
    <w:lvl w:ilvl="1" w:tplc="4734EC7C">
      <w:start w:val="1"/>
      <w:numFmt w:val="bullet"/>
      <w:lvlText w:val="o"/>
      <w:lvlJc w:val="left"/>
      <w:pPr>
        <w:tabs>
          <w:tab w:val="num" w:pos="1440"/>
        </w:tabs>
        <w:ind w:left="1440" w:hanging="360"/>
      </w:pPr>
      <w:rPr>
        <w:rFonts w:ascii="Courier New" w:hAnsi="Courier New" w:cs="Times New Roman" w:hint="default"/>
        <w:sz w:val="20"/>
      </w:rPr>
    </w:lvl>
    <w:lvl w:ilvl="2" w:tplc="E278A0C2">
      <w:start w:val="1"/>
      <w:numFmt w:val="bullet"/>
      <w:lvlText w:val=""/>
      <w:lvlJc w:val="left"/>
      <w:pPr>
        <w:tabs>
          <w:tab w:val="num" w:pos="2160"/>
        </w:tabs>
        <w:ind w:left="2160" w:hanging="360"/>
      </w:pPr>
      <w:rPr>
        <w:rFonts w:ascii="Wingdings" w:hAnsi="Wingdings" w:hint="default"/>
        <w:sz w:val="20"/>
      </w:rPr>
    </w:lvl>
    <w:lvl w:ilvl="3" w:tplc="C1FED3BC">
      <w:start w:val="1"/>
      <w:numFmt w:val="bullet"/>
      <w:lvlText w:val=""/>
      <w:lvlJc w:val="left"/>
      <w:pPr>
        <w:tabs>
          <w:tab w:val="num" w:pos="2880"/>
        </w:tabs>
        <w:ind w:left="2880" w:hanging="360"/>
      </w:pPr>
      <w:rPr>
        <w:rFonts w:ascii="Wingdings" w:hAnsi="Wingdings" w:hint="default"/>
        <w:sz w:val="20"/>
      </w:rPr>
    </w:lvl>
    <w:lvl w:ilvl="4" w:tplc="5B649804">
      <w:start w:val="1"/>
      <w:numFmt w:val="bullet"/>
      <w:lvlText w:val=""/>
      <w:lvlJc w:val="left"/>
      <w:pPr>
        <w:tabs>
          <w:tab w:val="num" w:pos="3600"/>
        </w:tabs>
        <w:ind w:left="3600" w:hanging="360"/>
      </w:pPr>
      <w:rPr>
        <w:rFonts w:ascii="Wingdings" w:hAnsi="Wingdings" w:hint="default"/>
        <w:sz w:val="20"/>
      </w:rPr>
    </w:lvl>
    <w:lvl w:ilvl="5" w:tplc="5B7E6B6C">
      <w:start w:val="1"/>
      <w:numFmt w:val="bullet"/>
      <w:lvlText w:val=""/>
      <w:lvlJc w:val="left"/>
      <w:pPr>
        <w:tabs>
          <w:tab w:val="num" w:pos="4320"/>
        </w:tabs>
        <w:ind w:left="4320" w:hanging="360"/>
      </w:pPr>
      <w:rPr>
        <w:rFonts w:ascii="Wingdings" w:hAnsi="Wingdings" w:hint="default"/>
        <w:sz w:val="20"/>
      </w:rPr>
    </w:lvl>
    <w:lvl w:ilvl="6" w:tplc="68F0446C">
      <w:start w:val="1"/>
      <w:numFmt w:val="bullet"/>
      <w:lvlText w:val=""/>
      <w:lvlJc w:val="left"/>
      <w:pPr>
        <w:tabs>
          <w:tab w:val="num" w:pos="5040"/>
        </w:tabs>
        <w:ind w:left="5040" w:hanging="360"/>
      </w:pPr>
      <w:rPr>
        <w:rFonts w:ascii="Wingdings" w:hAnsi="Wingdings" w:hint="default"/>
        <w:sz w:val="20"/>
      </w:rPr>
    </w:lvl>
    <w:lvl w:ilvl="7" w:tplc="564CFED2">
      <w:start w:val="1"/>
      <w:numFmt w:val="bullet"/>
      <w:lvlText w:val=""/>
      <w:lvlJc w:val="left"/>
      <w:pPr>
        <w:tabs>
          <w:tab w:val="num" w:pos="5760"/>
        </w:tabs>
        <w:ind w:left="5760" w:hanging="360"/>
      </w:pPr>
      <w:rPr>
        <w:rFonts w:ascii="Wingdings" w:hAnsi="Wingdings" w:hint="default"/>
        <w:sz w:val="20"/>
      </w:rPr>
    </w:lvl>
    <w:lvl w:ilvl="8" w:tplc="7DD4A286">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3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E8639D8"/>
    <w:multiLevelType w:val="hybridMultilevel"/>
    <w:tmpl w:val="9FFC114A"/>
    <w:lvl w:ilvl="0" w:tplc="B5D075CC">
      <w:start w:val="1"/>
      <w:numFmt w:val="bullet"/>
      <w:lvlText w:val=""/>
      <w:lvlJc w:val="left"/>
      <w:pPr>
        <w:tabs>
          <w:tab w:val="num" w:pos="720"/>
        </w:tabs>
        <w:ind w:left="720" w:hanging="360"/>
      </w:pPr>
      <w:rPr>
        <w:rFonts w:ascii="Symbol" w:hAnsi="Symbol" w:hint="default"/>
        <w:sz w:val="20"/>
      </w:rPr>
    </w:lvl>
    <w:lvl w:ilvl="1" w:tplc="91C0DBDA">
      <w:start w:val="1"/>
      <w:numFmt w:val="bullet"/>
      <w:lvlText w:val="o"/>
      <w:lvlJc w:val="left"/>
      <w:pPr>
        <w:tabs>
          <w:tab w:val="num" w:pos="1440"/>
        </w:tabs>
        <w:ind w:left="1440" w:hanging="360"/>
      </w:pPr>
      <w:rPr>
        <w:rFonts w:ascii="Courier New" w:hAnsi="Courier New" w:cs="Times New Roman" w:hint="default"/>
        <w:sz w:val="20"/>
      </w:rPr>
    </w:lvl>
    <w:lvl w:ilvl="2" w:tplc="CE32D360">
      <w:start w:val="1"/>
      <w:numFmt w:val="bullet"/>
      <w:lvlText w:val=""/>
      <w:lvlJc w:val="left"/>
      <w:pPr>
        <w:tabs>
          <w:tab w:val="num" w:pos="2160"/>
        </w:tabs>
        <w:ind w:left="2160" w:hanging="360"/>
      </w:pPr>
      <w:rPr>
        <w:rFonts w:ascii="Wingdings" w:hAnsi="Wingdings" w:hint="default"/>
        <w:sz w:val="20"/>
      </w:rPr>
    </w:lvl>
    <w:lvl w:ilvl="3" w:tplc="BB22AED8">
      <w:start w:val="1"/>
      <w:numFmt w:val="bullet"/>
      <w:lvlText w:val=""/>
      <w:lvlJc w:val="left"/>
      <w:pPr>
        <w:tabs>
          <w:tab w:val="num" w:pos="2880"/>
        </w:tabs>
        <w:ind w:left="2880" w:hanging="360"/>
      </w:pPr>
      <w:rPr>
        <w:rFonts w:ascii="Wingdings" w:hAnsi="Wingdings" w:hint="default"/>
        <w:sz w:val="20"/>
      </w:rPr>
    </w:lvl>
    <w:lvl w:ilvl="4" w:tplc="45124734">
      <w:start w:val="1"/>
      <w:numFmt w:val="bullet"/>
      <w:lvlText w:val=""/>
      <w:lvlJc w:val="left"/>
      <w:pPr>
        <w:tabs>
          <w:tab w:val="num" w:pos="3600"/>
        </w:tabs>
        <w:ind w:left="3600" w:hanging="360"/>
      </w:pPr>
      <w:rPr>
        <w:rFonts w:ascii="Wingdings" w:hAnsi="Wingdings" w:hint="default"/>
        <w:sz w:val="20"/>
      </w:rPr>
    </w:lvl>
    <w:lvl w:ilvl="5" w:tplc="232CCF82">
      <w:start w:val="1"/>
      <w:numFmt w:val="bullet"/>
      <w:lvlText w:val=""/>
      <w:lvlJc w:val="left"/>
      <w:pPr>
        <w:tabs>
          <w:tab w:val="num" w:pos="4320"/>
        </w:tabs>
        <w:ind w:left="4320" w:hanging="360"/>
      </w:pPr>
      <w:rPr>
        <w:rFonts w:ascii="Wingdings" w:hAnsi="Wingdings" w:hint="default"/>
        <w:sz w:val="20"/>
      </w:rPr>
    </w:lvl>
    <w:lvl w:ilvl="6" w:tplc="3F003ED2">
      <w:start w:val="1"/>
      <w:numFmt w:val="bullet"/>
      <w:lvlText w:val=""/>
      <w:lvlJc w:val="left"/>
      <w:pPr>
        <w:tabs>
          <w:tab w:val="num" w:pos="5040"/>
        </w:tabs>
        <w:ind w:left="5040" w:hanging="360"/>
      </w:pPr>
      <w:rPr>
        <w:rFonts w:ascii="Wingdings" w:hAnsi="Wingdings" w:hint="default"/>
        <w:sz w:val="20"/>
      </w:rPr>
    </w:lvl>
    <w:lvl w:ilvl="7" w:tplc="9356C334">
      <w:start w:val="1"/>
      <w:numFmt w:val="bullet"/>
      <w:lvlText w:val=""/>
      <w:lvlJc w:val="left"/>
      <w:pPr>
        <w:tabs>
          <w:tab w:val="num" w:pos="5760"/>
        </w:tabs>
        <w:ind w:left="5760" w:hanging="360"/>
      </w:pPr>
      <w:rPr>
        <w:rFonts w:ascii="Wingdings" w:hAnsi="Wingdings" w:hint="default"/>
        <w:sz w:val="20"/>
      </w:rPr>
    </w:lvl>
    <w:lvl w:ilvl="8" w:tplc="35069324">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B42026"/>
    <w:multiLevelType w:val="hybridMultilevel"/>
    <w:tmpl w:val="1E48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0A70B1"/>
    <w:multiLevelType w:val="hybridMultilevel"/>
    <w:tmpl w:val="1AB274DE"/>
    <w:lvl w:ilvl="0" w:tplc="04B28CD4">
      <w:start w:val="1"/>
      <w:numFmt w:val="bullet"/>
      <w:lvlText w:val=""/>
      <w:lvlJc w:val="left"/>
      <w:pPr>
        <w:tabs>
          <w:tab w:val="num" w:pos="720"/>
        </w:tabs>
        <w:ind w:left="720" w:hanging="360"/>
      </w:pPr>
      <w:rPr>
        <w:rFonts w:ascii="Symbol" w:hAnsi="Symbol" w:hint="default"/>
        <w:sz w:val="20"/>
      </w:rPr>
    </w:lvl>
    <w:lvl w:ilvl="1" w:tplc="2482D74C">
      <w:start w:val="1"/>
      <w:numFmt w:val="bullet"/>
      <w:lvlText w:val="o"/>
      <w:lvlJc w:val="left"/>
      <w:pPr>
        <w:tabs>
          <w:tab w:val="num" w:pos="1440"/>
        </w:tabs>
        <w:ind w:left="1440" w:hanging="360"/>
      </w:pPr>
      <w:rPr>
        <w:rFonts w:ascii="Courier New" w:hAnsi="Courier New" w:cs="Times New Roman" w:hint="default"/>
        <w:sz w:val="20"/>
      </w:rPr>
    </w:lvl>
    <w:lvl w:ilvl="2" w:tplc="25023A98">
      <w:start w:val="1"/>
      <w:numFmt w:val="bullet"/>
      <w:lvlText w:val=""/>
      <w:lvlJc w:val="left"/>
      <w:pPr>
        <w:tabs>
          <w:tab w:val="num" w:pos="2160"/>
        </w:tabs>
        <w:ind w:left="2160" w:hanging="360"/>
      </w:pPr>
      <w:rPr>
        <w:rFonts w:ascii="Wingdings" w:hAnsi="Wingdings" w:hint="default"/>
        <w:sz w:val="20"/>
      </w:rPr>
    </w:lvl>
    <w:lvl w:ilvl="3" w:tplc="2774D6C0">
      <w:start w:val="1"/>
      <w:numFmt w:val="bullet"/>
      <w:lvlText w:val=""/>
      <w:lvlJc w:val="left"/>
      <w:pPr>
        <w:tabs>
          <w:tab w:val="num" w:pos="2880"/>
        </w:tabs>
        <w:ind w:left="2880" w:hanging="360"/>
      </w:pPr>
      <w:rPr>
        <w:rFonts w:ascii="Wingdings" w:hAnsi="Wingdings" w:hint="default"/>
        <w:sz w:val="20"/>
      </w:rPr>
    </w:lvl>
    <w:lvl w:ilvl="4" w:tplc="290CFE8E">
      <w:start w:val="1"/>
      <w:numFmt w:val="bullet"/>
      <w:lvlText w:val=""/>
      <w:lvlJc w:val="left"/>
      <w:pPr>
        <w:tabs>
          <w:tab w:val="num" w:pos="3600"/>
        </w:tabs>
        <w:ind w:left="3600" w:hanging="360"/>
      </w:pPr>
      <w:rPr>
        <w:rFonts w:ascii="Wingdings" w:hAnsi="Wingdings" w:hint="default"/>
        <w:sz w:val="20"/>
      </w:rPr>
    </w:lvl>
    <w:lvl w:ilvl="5" w:tplc="408C850C">
      <w:start w:val="1"/>
      <w:numFmt w:val="bullet"/>
      <w:lvlText w:val=""/>
      <w:lvlJc w:val="left"/>
      <w:pPr>
        <w:tabs>
          <w:tab w:val="num" w:pos="4320"/>
        </w:tabs>
        <w:ind w:left="4320" w:hanging="360"/>
      </w:pPr>
      <w:rPr>
        <w:rFonts w:ascii="Wingdings" w:hAnsi="Wingdings" w:hint="default"/>
        <w:sz w:val="20"/>
      </w:rPr>
    </w:lvl>
    <w:lvl w:ilvl="6" w:tplc="C11C00F6">
      <w:start w:val="1"/>
      <w:numFmt w:val="bullet"/>
      <w:lvlText w:val=""/>
      <w:lvlJc w:val="left"/>
      <w:pPr>
        <w:tabs>
          <w:tab w:val="num" w:pos="5040"/>
        </w:tabs>
        <w:ind w:left="5040" w:hanging="360"/>
      </w:pPr>
      <w:rPr>
        <w:rFonts w:ascii="Wingdings" w:hAnsi="Wingdings" w:hint="default"/>
        <w:sz w:val="20"/>
      </w:rPr>
    </w:lvl>
    <w:lvl w:ilvl="7" w:tplc="1C007272">
      <w:start w:val="1"/>
      <w:numFmt w:val="bullet"/>
      <w:lvlText w:val=""/>
      <w:lvlJc w:val="left"/>
      <w:pPr>
        <w:tabs>
          <w:tab w:val="num" w:pos="5760"/>
        </w:tabs>
        <w:ind w:left="5760" w:hanging="360"/>
      </w:pPr>
      <w:rPr>
        <w:rFonts w:ascii="Wingdings" w:hAnsi="Wingdings" w:hint="default"/>
        <w:sz w:val="20"/>
      </w:rPr>
    </w:lvl>
    <w:lvl w:ilvl="8" w:tplc="F56E47B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2760CF"/>
    <w:multiLevelType w:val="hybridMultilevel"/>
    <w:tmpl w:val="511E4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047611"/>
    <w:multiLevelType w:val="hybridMultilevel"/>
    <w:tmpl w:val="8C029C9A"/>
    <w:lvl w:ilvl="0" w:tplc="46129934">
      <w:start w:val="1"/>
      <w:numFmt w:val="bullet"/>
      <w:lvlText w:val=""/>
      <w:lvlJc w:val="left"/>
      <w:pPr>
        <w:tabs>
          <w:tab w:val="num" w:pos="720"/>
        </w:tabs>
        <w:ind w:left="720" w:hanging="360"/>
      </w:pPr>
      <w:rPr>
        <w:rFonts w:ascii="Symbol" w:hAnsi="Symbol" w:hint="default"/>
        <w:sz w:val="20"/>
      </w:rPr>
    </w:lvl>
    <w:lvl w:ilvl="1" w:tplc="D8C450DC">
      <w:start w:val="1"/>
      <w:numFmt w:val="bullet"/>
      <w:lvlText w:val="o"/>
      <w:lvlJc w:val="left"/>
      <w:pPr>
        <w:tabs>
          <w:tab w:val="num" w:pos="1440"/>
        </w:tabs>
        <w:ind w:left="1440" w:hanging="360"/>
      </w:pPr>
      <w:rPr>
        <w:rFonts w:ascii="Courier New" w:hAnsi="Courier New" w:cs="Times New Roman" w:hint="default"/>
        <w:sz w:val="20"/>
      </w:rPr>
    </w:lvl>
    <w:lvl w:ilvl="2" w:tplc="8200DBAE">
      <w:start w:val="1"/>
      <w:numFmt w:val="bullet"/>
      <w:lvlText w:val=""/>
      <w:lvlJc w:val="left"/>
      <w:pPr>
        <w:tabs>
          <w:tab w:val="num" w:pos="2160"/>
        </w:tabs>
        <w:ind w:left="2160" w:hanging="360"/>
      </w:pPr>
      <w:rPr>
        <w:rFonts w:ascii="Wingdings" w:hAnsi="Wingdings" w:hint="default"/>
        <w:sz w:val="20"/>
      </w:rPr>
    </w:lvl>
    <w:lvl w:ilvl="3" w:tplc="62FA79C8">
      <w:start w:val="1"/>
      <w:numFmt w:val="bullet"/>
      <w:lvlText w:val=""/>
      <w:lvlJc w:val="left"/>
      <w:pPr>
        <w:tabs>
          <w:tab w:val="num" w:pos="2880"/>
        </w:tabs>
        <w:ind w:left="2880" w:hanging="360"/>
      </w:pPr>
      <w:rPr>
        <w:rFonts w:ascii="Wingdings" w:hAnsi="Wingdings" w:hint="default"/>
        <w:sz w:val="20"/>
      </w:rPr>
    </w:lvl>
    <w:lvl w:ilvl="4" w:tplc="72A0027E">
      <w:start w:val="1"/>
      <w:numFmt w:val="bullet"/>
      <w:lvlText w:val=""/>
      <w:lvlJc w:val="left"/>
      <w:pPr>
        <w:tabs>
          <w:tab w:val="num" w:pos="3600"/>
        </w:tabs>
        <w:ind w:left="3600" w:hanging="360"/>
      </w:pPr>
      <w:rPr>
        <w:rFonts w:ascii="Wingdings" w:hAnsi="Wingdings" w:hint="default"/>
        <w:sz w:val="20"/>
      </w:rPr>
    </w:lvl>
    <w:lvl w:ilvl="5" w:tplc="0914B2F0">
      <w:start w:val="1"/>
      <w:numFmt w:val="bullet"/>
      <w:lvlText w:val=""/>
      <w:lvlJc w:val="left"/>
      <w:pPr>
        <w:tabs>
          <w:tab w:val="num" w:pos="4320"/>
        </w:tabs>
        <w:ind w:left="4320" w:hanging="360"/>
      </w:pPr>
      <w:rPr>
        <w:rFonts w:ascii="Wingdings" w:hAnsi="Wingdings" w:hint="default"/>
        <w:sz w:val="20"/>
      </w:rPr>
    </w:lvl>
    <w:lvl w:ilvl="6" w:tplc="50AC6C1A">
      <w:start w:val="1"/>
      <w:numFmt w:val="bullet"/>
      <w:lvlText w:val=""/>
      <w:lvlJc w:val="left"/>
      <w:pPr>
        <w:tabs>
          <w:tab w:val="num" w:pos="5040"/>
        </w:tabs>
        <w:ind w:left="5040" w:hanging="360"/>
      </w:pPr>
      <w:rPr>
        <w:rFonts w:ascii="Wingdings" w:hAnsi="Wingdings" w:hint="default"/>
        <w:sz w:val="20"/>
      </w:rPr>
    </w:lvl>
    <w:lvl w:ilvl="7" w:tplc="8BEE92A0">
      <w:start w:val="1"/>
      <w:numFmt w:val="bullet"/>
      <w:lvlText w:val=""/>
      <w:lvlJc w:val="left"/>
      <w:pPr>
        <w:tabs>
          <w:tab w:val="num" w:pos="5760"/>
        </w:tabs>
        <w:ind w:left="5760" w:hanging="360"/>
      </w:pPr>
      <w:rPr>
        <w:rFonts w:ascii="Wingdings" w:hAnsi="Wingdings" w:hint="default"/>
        <w:sz w:val="20"/>
      </w:rPr>
    </w:lvl>
    <w:lvl w:ilvl="8" w:tplc="B068FD00">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56F30332"/>
    <w:multiLevelType w:val="hybridMultilevel"/>
    <w:tmpl w:val="ABD48E96"/>
    <w:lvl w:ilvl="0" w:tplc="9FBC6D12">
      <w:start w:val="1"/>
      <w:numFmt w:val="bullet"/>
      <w:lvlText w:val=""/>
      <w:lvlJc w:val="left"/>
      <w:pPr>
        <w:tabs>
          <w:tab w:val="num" w:pos="720"/>
        </w:tabs>
        <w:ind w:left="720" w:hanging="360"/>
      </w:pPr>
      <w:rPr>
        <w:rFonts w:ascii="Symbol" w:hAnsi="Symbol" w:hint="default"/>
        <w:sz w:val="20"/>
      </w:rPr>
    </w:lvl>
    <w:lvl w:ilvl="1" w:tplc="A97431E2">
      <w:start w:val="1"/>
      <w:numFmt w:val="bullet"/>
      <w:lvlText w:val="o"/>
      <w:lvlJc w:val="left"/>
      <w:pPr>
        <w:tabs>
          <w:tab w:val="num" w:pos="1440"/>
        </w:tabs>
        <w:ind w:left="1440" w:hanging="360"/>
      </w:pPr>
      <w:rPr>
        <w:rFonts w:ascii="Courier New" w:hAnsi="Courier New" w:cs="Times New Roman" w:hint="default"/>
        <w:sz w:val="20"/>
      </w:rPr>
    </w:lvl>
    <w:lvl w:ilvl="2" w:tplc="11A67E36">
      <w:start w:val="1"/>
      <w:numFmt w:val="bullet"/>
      <w:lvlText w:val=""/>
      <w:lvlJc w:val="left"/>
      <w:pPr>
        <w:tabs>
          <w:tab w:val="num" w:pos="2160"/>
        </w:tabs>
        <w:ind w:left="2160" w:hanging="360"/>
      </w:pPr>
      <w:rPr>
        <w:rFonts w:ascii="Wingdings" w:hAnsi="Wingdings" w:hint="default"/>
        <w:sz w:val="20"/>
      </w:rPr>
    </w:lvl>
    <w:lvl w:ilvl="3" w:tplc="61D0EE64">
      <w:start w:val="1"/>
      <w:numFmt w:val="bullet"/>
      <w:lvlText w:val=""/>
      <w:lvlJc w:val="left"/>
      <w:pPr>
        <w:tabs>
          <w:tab w:val="num" w:pos="2880"/>
        </w:tabs>
        <w:ind w:left="2880" w:hanging="360"/>
      </w:pPr>
      <w:rPr>
        <w:rFonts w:ascii="Wingdings" w:hAnsi="Wingdings" w:hint="default"/>
        <w:sz w:val="20"/>
      </w:rPr>
    </w:lvl>
    <w:lvl w:ilvl="4" w:tplc="00481B72">
      <w:start w:val="1"/>
      <w:numFmt w:val="bullet"/>
      <w:lvlText w:val=""/>
      <w:lvlJc w:val="left"/>
      <w:pPr>
        <w:tabs>
          <w:tab w:val="num" w:pos="3600"/>
        </w:tabs>
        <w:ind w:left="3600" w:hanging="360"/>
      </w:pPr>
      <w:rPr>
        <w:rFonts w:ascii="Wingdings" w:hAnsi="Wingdings" w:hint="default"/>
        <w:sz w:val="20"/>
      </w:rPr>
    </w:lvl>
    <w:lvl w:ilvl="5" w:tplc="32427342">
      <w:start w:val="1"/>
      <w:numFmt w:val="bullet"/>
      <w:lvlText w:val=""/>
      <w:lvlJc w:val="left"/>
      <w:pPr>
        <w:tabs>
          <w:tab w:val="num" w:pos="4320"/>
        </w:tabs>
        <w:ind w:left="4320" w:hanging="360"/>
      </w:pPr>
      <w:rPr>
        <w:rFonts w:ascii="Wingdings" w:hAnsi="Wingdings" w:hint="default"/>
        <w:sz w:val="20"/>
      </w:rPr>
    </w:lvl>
    <w:lvl w:ilvl="6" w:tplc="28A48B1A">
      <w:start w:val="1"/>
      <w:numFmt w:val="bullet"/>
      <w:lvlText w:val=""/>
      <w:lvlJc w:val="left"/>
      <w:pPr>
        <w:tabs>
          <w:tab w:val="num" w:pos="5040"/>
        </w:tabs>
        <w:ind w:left="5040" w:hanging="360"/>
      </w:pPr>
      <w:rPr>
        <w:rFonts w:ascii="Wingdings" w:hAnsi="Wingdings" w:hint="default"/>
        <w:sz w:val="20"/>
      </w:rPr>
    </w:lvl>
    <w:lvl w:ilvl="7" w:tplc="D2F45FA2">
      <w:start w:val="1"/>
      <w:numFmt w:val="bullet"/>
      <w:lvlText w:val=""/>
      <w:lvlJc w:val="left"/>
      <w:pPr>
        <w:tabs>
          <w:tab w:val="num" w:pos="5760"/>
        </w:tabs>
        <w:ind w:left="5760" w:hanging="360"/>
      </w:pPr>
      <w:rPr>
        <w:rFonts w:ascii="Wingdings" w:hAnsi="Wingdings" w:hint="default"/>
        <w:sz w:val="20"/>
      </w:rPr>
    </w:lvl>
    <w:lvl w:ilvl="8" w:tplc="28607594">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1"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2"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2C6BAC"/>
    <w:multiLevelType w:val="hybridMultilevel"/>
    <w:tmpl w:val="D0CA4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45"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6"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7"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95522DA"/>
    <w:multiLevelType w:val="hybridMultilevel"/>
    <w:tmpl w:val="692AFB88"/>
    <w:lvl w:ilvl="0" w:tplc="46408CEA">
      <w:start w:val="1"/>
      <w:numFmt w:val="bullet"/>
      <w:lvlText w:val=""/>
      <w:lvlJc w:val="left"/>
      <w:pPr>
        <w:tabs>
          <w:tab w:val="num" w:pos="720"/>
        </w:tabs>
        <w:ind w:left="720" w:hanging="360"/>
      </w:pPr>
      <w:rPr>
        <w:rFonts w:ascii="Symbol" w:hAnsi="Symbol" w:hint="default"/>
        <w:sz w:val="20"/>
      </w:rPr>
    </w:lvl>
    <w:lvl w:ilvl="1" w:tplc="8538261C">
      <w:start w:val="1"/>
      <w:numFmt w:val="bullet"/>
      <w:lvlText w:val="o"/>
      <w:lvlJc w:val="left"/>
      <w:pPr>
        <w:tabs>
          <w:tab w:val="num" w:pos="1440"/>
        </w:tabs>
        <w:ind w:left="1440" w:hanging="360"/>
      </w:pPr>
      <w:rPr>
        <w:rFonts w:ascii="Courier New" w:hAnsi="Courier New" w:cs="Times New Roman" w:hint="default"/>
        <w:sz w:val="20"/>
      </w:rPr>
    </w:lvl>
    <w:lvl w:ilvl="2" w:tplc="65C22374">
      <w:start w:val="1"/>
      <w:numFmt w:val="bullet"/>
      <w:lvlText w:val=""/>
      <w:lvlJc w:val="left"/>
      <w:pPr>
        <w:tabs>
          <w:tab w:val="num" w:pos="2160"/>
        </w:tabs>
        <w:ind w:left="2160" w:hanging="360"/>
      </w:pPr>
      <w:rPr>
        <w:rFonts w:ascii="Wingdings" w:hAnsi="Wingdings" w:hint="default"/>
        <w:sz w:val="20"/>
      </w:rPr>
    </w:lvl>
    <w:lvl w:ilvl="3" w:tplc="5E4C1AF2">
      <w:start w:val="1"/>
      <w:numFmt w:val="bullet"/>
      <w:lvlText w:val=""/>
      <w:lvlJc w:val="left"/>
      <w:pPr>
        <w:tabs>
          <w:tab w:val="num" w:pos="2880"/>
        </w:tabs>
        <w:ind w:left="2880" w:hanging="360"/>
      </w:pPr>
      <w:rPr>
        <w:rFonts w:ascii="Wingdings" w:hAnsi="Wingdings" w:hint="default"/>
        <w:sz w:val="20"/>
      </w:rPr>
    </w:lvl>
    <w:lvl w:ilvl="4" w:tplc="0DF60052">
      <w:start w:val="1"/>
      <w:numFmt w:val="bullet"/>
      <w:lvlText w:val=""/>
      <w:lvlJc w:val="left"/>
      <w:pPr>
        <w:tabs>
          <w:tab w:val="num" w:pos="3600"/>
        </w:tabs>
        <w:ind w:left="3600" w:hanging="360"/>
      </w:pPr>
      <w:rPr>
        <w:rFonts w:ascii="Wingdings" w:hAnsi="Wingdings" w:hint="default"/>
        <w:sz w:val="20"/>
      </w:rPr>
    </w:lvl>
    <w:lvl w:ilvl="5" w:tplc="AF96857C">
      <w:start w:val="1"/>
      <w:numFmt w:val="bullet"/>
      <w:lvlText w:val=""/>
      <w:lvlJc w:val="left"/>
      <w:pPr>
        <w:tabs>
          <w:tab w:val="num" w:pos="4320"/>
        </w:tabs>
        <w:ind w:left="4320" w:hanging="360"/>
      </w:pPr>
      <w:rPr>
        <w:rFonts w:ascii="Wingdings" w:hAnsi="Wingdings" w:hint="default"/>
        <w:sz w:val="20"/>
      </w:rPr>
    </w:lvl>
    <w:lvl w:ilvl="6" w:tplc="8032774E">
      <w:start w:val="1"/>
      <w:numFmt w:val="bullet"/>
      <w:lvlText w:val=""/>
      <w:lvlJc w:val="left"/>
      <w:pPr>
        <w:tabs>
          <w:tab w:val="num" w:pos="5040"/>
        </w:tabs>
        <w:ind w:left="5040" w:hanging="360"/>
      </w:pPr>
      <w:rPr>
        <w:rFonts w:ascii="Wingdings" w:hAnsi="Wingdings" w:hint="default"/>
        <w:sz w:val="20"/>
      </w:rPr>
    </w:lvl>
    <w:lvl w:ilvl="7" w:tplc="7868BB62">
      <w:start w:val="1"/>
      <w:numFmt w:val="bullet"/>
      <w:lvlText w:val=""/>
      <w:lvlJc w:val="left"/>
      <w:pPr>
        <w:tabs>
          <w:tab w:val="num" w:pos="5760"/>
        </w:tabs>
        <w:ind w:left="5760" w:hanging="360"/>
      </w:pPr>
      <w:rPr>
        <w:rFonts w:ascii="Wingdings" w:hAnsi="Wingdings" w:hint="default"/>
        <w:sz w:val="20"/>
      </w:rPr>
    </w:lvl>
    <w:lvl w:ilvl="8" w:tplc="0D721300">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50"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51"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2" w15:restartNumberingAfterBreak="0">
    <w:nsid w:val="7698683F"/>
    <w:multiLevelType w:val="hybridMultilevel"/>
    <w:tmpl w:val="1DB29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44"/>
  </w:num>
  <w:num w:numId="4">
    <w:abstractNumId w:val="28"/>
  </w:num>
  <w:num w:numId="5">
    <w:abstractNumId w:val="6"/>
  </w:num>
  <w:num w:numId="6">
    <w:abstractNumId w:val="5"/>
  </w:num>
  <w:num w:numId="7">
    <w:abstractNumId w:val="4"/>
  </w:num>
  <w:num w:numId="8">
    <w:abstractNumId w:val="50"/>
  </w:num>
  <w:num w:numId="9">
    <w:abstractNumId w:val="30"/>
  </w:num>
  <w:num w:numId="10">
    <w:abstractNumId w:val="14"/>
  </w:num>
  <w:num w:numId="11">
    <w:abstractNumId w:val="17"/>
  </w:num>
  <w:num w:numId="12">
    <w:abstractNumId w:val="49"/>
  </w:num>
  <w:num w:numId="13">
    <w:abstractNumId w:val="19"/>
  </w:num>
  <w:num w:numId="14">
    <w:abstractNumId w:val="39"/>
  </w:num>
  <w:num w:numId="15">
    <w:abstractNumId w:val="31"/>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15"/>
  </w:num>
  <w:num w:numId="19">
    <w:abstractNumId w:val="2"/>
  </w:num>
  <w:num w:numId="20">
    <w:abstractNumId w:val="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40"/>
    <w:lvlOverride w:ilvl="0">
      <w:startOverride w:val="1"/>
    </w:lvlOverride>
  </w:num>
  <w:num w:numId="24">
    <w:abstractNumId w:val="40"/>
    <w:lvlOverride w:ilvl="0">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0"/>
  </w:num>
  <w:num w:numId="30">
    <w:abstractNumId w:val="23"/>
  </w:num>
  <w:num w:numId="31">
    <w:abstractNumId w:val="24"/>
  </w:num>
  <w:num w:numId="32">
    <w:abstractNumId w:val="48"/>
  </w:num>
  <w:num w:numId="33">
    <w:abstractNumId w:val="18"/>
  </w:num>
  <w:num w:numId="34">
    <w:abstractNumId w:val="43"/>
  </w:num>
  <w:num w:numId="35">
    <w:abstractNumId w:val="34"/>
  </w:num>
  <w:num w:numId="36">
    <w:abstractNumId w:val="38"/>
  </w:num>
  <w:num w:numId="37">
    <w:abstractNumId w:val="9"/>
  </w:num>
  <w:num w:numId="38">
    <w:abstractNumId w:val="27"/>
  </w:num>
  <w:num w:numId="39">
    <w:abstractNumId w:val="26"/>
  </w:num>
  <w:num w:numId="40">
    <w:abstractNumId w:val="22"/>
  </w:num>
  <w:num w:numId="41">
    <w:abstractNumId w:val="36"/>
  </w:num>
  <w:num w:numId="42">
    <w:abstractNumId w:val="32"/>
  </w:num>
  <w:num w:numId="43">
    <w:abstractNumId w:val="33"/>
  </w:num>
  <w:num w:numId="44">
    <w:abstractNumId w:val="42"/>
  </w:num>
  <w:num w:numId="45">
    <w:abstractNumId w:val="16"/>
  </w:num>
  <w:num w:numId="46">
    <w:abstractNumId w:val="52"/>
  </w:num>
  <w:num w:numId="47">
    <w:abstractNumId w:val="35"/>
  </w:num>
  <w:num w:numId="4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6385">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63A1"/>
    <w:rsid w:val="00006544"/>
    <w:rsid w:val="00010BD3"/>
    <w:rsid w:val="0001144C"/>
    <w:rsid w:val="00016492"/>
    <w:rsid w:val="00026C82"/>
    <w:rsid w:val="0004698A"/>
    <w:rsid w:val="0004759C"/>
    <w:rsid w:val="000508F6"/>
    <w:rsid w:val="00063BFD"/>
    <w:rsid w:val="00086691"/>
    <w:rsid w:val="00086AD6"/>
    <w:rsid w:val="000949CB"/>
    <w:rsid w:val="000C141A"/>
    <w:rsid w:val="000C1C01"/>
    <w:rsid w:val="000C3368"/>
    <w:rsid w:val="000C3814"/>
    <w:rsid w:val="000C395D"/>
    <w:rsid w:val="000E4881"/>
    <w:rsid w:val="000E5B4E"/>
    <w:rsid w:val="000F54E7"/>
    <w:rsid w:val="00102BFC"/>
    <w:rsid w:val="00104077"/>
    <w:rsid w:val="001213BE"/>
    <w:rsid w:val="00122EAB"/>
    <w:rsid w:val="00123B95"/>
    <w:rsid w:val="001251C4"/>
    <w:rsid w:val="00126C86"/>
    <w:rsid w:val="001300D0"/>
    <w:rsid w:val="00135230"/>
    <w:rsid w:val="00143A23"/>
    <w:rsid w:val="001444C3"/>
    <w:rsid w:val="00155B48"/>
    <w:rsid w:val="0015674B"/>
    <w:rsid w:val="00157448"/>
    <w:rsid w:val="00164424"/>
    <w:rsid w:val="00181844"/>
    <w:rsid w:val="001819E2"/>
    <w:rsid w:val="00184E1A"/>
    <w:rsid w:val="0018749C"/>
    <w:rsid w:val="001A7B19"/>
    <w:rsid w:val="001B0B3F"/>
    <w:rsid w:val="001C0319"/>
    <w:rsid w:val="001C351D"/>
    <w:rsid w:val="001C6970"/>
    <w:rsid w:val="001D0547"/>
    <w:rsid w:val="001D5E05"/>
    <w:rsid w:val="001D60E6"/>
    <w:rsid w:val="001E0A43"/>
    <w:rsid w:val="001E67A9"/>
    <w:rsid w:val="00205B35"/>
    <w:rsid w:val="002063AC"/>
    <w:rsid w:val="00214CA0"/>
    <w:rsid w:val="00217487"/>
    <w:rsid w:val="00225175"/>
    <w:rsid w:val="00225DC6"/>
    <w:rsid w:val="002344F7"/>
    <w:rsid w:val="00251598"/>
    <w:rsid w:val="00252F44"/>
    <w:rsid w:val="002578C1"/>
    <w:rsid w:val="00260106"/>
    <w:rsid w:val="00267317"/>
    <w:rsid w:val="00267638"/>
    <w:rsid w:val="00283A24"/>
    <w:rsid w:val="002844E0"/>
    <w:rsid w:val="00296B08"/>
    <w:rsid w:val="002A18C2"/>
    <w:rsid w:val="002A4C3E"/>
    <w:rsid w:val="002C4EC9"/>
    <w:rsid w:val="002C6424"/>
    <w:rsid w:val="002D3826"/>
    <w:rsid w:val="002E0643"/>
    <w:rsid w:val="002E1673"/>
    <w:rsid w:val="002E7EFC"/>
    <w:rsid w:val="002F2549"/>
    <w:rsid w:val="002F64DF"/>
    <w:rsid w:val="002F709A"/>
    <w:rsid w:val="002F7AEB"/>
    <w:rsid w:val="002F7D07"/>
    <w:rsid w:val="00304E7F"/>
    <w:rsid w:val="00306CBA"/>
    <w:rsid w:val="00307CC0"/>
    <w:rsid w:val="00322500"/>
    <w:rsid w:val="003235CB"/>
    <w:rsid w:val="003403E5"/>
    <w:rsid w:val="00351035"/>
    <w:rsid w:val="0035331C"/>
    <w:rsid w:val="00370867"/>
    <w:rsid w:val="003738EE"/>
    <w:rsid w:val="00386859"/>
    <w:rsid w:val="00391977"/>
    <w:rsid w:val="00392E0C"/>
    <w:rsid w:val="00394C9C"/>
    <w:rsid w:val="00394D1C"/>
    <w:rsid w:val="00394EA9"/>
    <w:rsid w:val="003969A2"/>
    <w:rsid w:val="003A32E0"/>
    <w:rsid w:val="003A4A87"/>
    <w:rsid w:val="003A7A7D"/>
    <w:rsid w:val="003B0731"/>
    <w:rsid w:val="003B401C"/>
    <w:rsid w:val="003B5700"/>
    <w:rsid w:val="003B5EDB"/>
    <w:rsid w:val="003B6A2C"/>
    <w:rsid w:val="003C0F49"/>
    <w:rsid w:val="003C2275"/>
    <w:rsid w:val="003C4879"/>
    <w:rsid w:val="003D01BD"/>
    <w:rsid w:val="003E230C"/>
    <w:rsid w:val="003E66B9"/>
    <w:rsid w:val="003F016E"/>
    <w:rsid w:val="003F45D9"/>
    <w:rsid w:val="003F4E27"/>
    <w:rsid w:val="004113E1"/>
    <w:rsid w:val="00416EF6"/>
    <w:rsid w:val="0042000C"/>
    <w:rsid w:val="00422FAB"/>
    <w:rsid w:val="00427659"/>
    <w:rsid w:val="00430A03"/>
    <w:rsid w:val="004455A7"/>
    <w:rsid w:val="00451758"/>
    <w:rsid w:val="00456B6B"/>
    <w:rsid w:val="00462DB3"/>
    <w:rsid w:val="00466D77"/>
    <w:rsid w:val="00467979"/>
    <w:rsid w:val="00474471"/>
    <w:rsid w:val="00475FC8"/>
    <w:rsid w:val="00480708"/>
    <w:rsid w:val="004907E5"/>
    <w:rsid w:val="004A2DD7"/>
    <w:rsid w:val="004A40EB"/>
    <w:rsid w:val="004A460D"/>
    <w:rsid w:val="004A6A50"/>
    <w:rsid w:val="004B0978"/>
    <w:rsid w:val="004B534D"/>
    <w:rsid w:val="004C7E27"/>
    <w:rsid w:val="004D12E1"/>
    <w:rsid w:val="004D7D40"/>
    <w:rsid w:val="004F1A9B"/>
    <w:rsid w:val="005013B3"/>
    <w:rsid w:val="00505FD8"/>
    <w:rsid w:val="00506E38"/>
    <w:rsid w:val="00510D53"/>
    <w:rsid w:val="0051295C"/>
    <w:rsid w:val="005155EC"/>
    <w:rsid w:val="0053456F"/>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9414E"/>
    <w:rsid w:val="005A2294"/>
    <w:rsid w:val="005A51DC"/>
    <w:rsid w:val="005B7317"/>
    <w:rsid w:val="005C69CC"/>
    <w:rsid w:val="005D3801"/>
    <w:rsid w:val="005D502E"/>
    <w:rsid w:val="005E006C"/>
    <w:rsid w:val="005E32AE"/>
    <w:rsid w:val="005E77C6"/>
    <w:rsid w:val="005F0BBF"/>
    <w:rsid w:val="005F6958"/>
    <w:rsid w:val="00607B1D"/>
    <w:rsid w:val="00610AFF"/>
    <w:rsid w:val="00613540"/>
    <w:rsid w:val="00621790"/>
    <w:rsid w:val="00645ADA"/>
    <w:rsid w:val="00647E27"/>
    <w:rsid w:val="00662658"/>
    <w:rsid w:val="00662F3F"/>
    <w:rsid w:val="006666E4"/>
    <w:rsid w:val="0066682B"/>
    <w:rsid w:val="00670B66"/>
    <w:rsid w:val="00677AD1"/>
    <w:rsid w:val="006828ED"/>
    <w:rsid w:val="006828FC"/>
    <w:rsid w:val="0068495A"/>
    <w:rsid w:val="006866A7"/>
    <w:rsid w:val="006913E2"/>
    <w:rsid w:val="00691C25"/>
    <w:rsid w:val="00692CFF"/>
    <w:rsid w:val="00694E47"/>
    <w:rsid w:val="006A627F"/>
    <w:rsid w:val="006A7D93"/>
    <w:rsid w:val="006A7ED6"/>
    <w:rsid w:val="006B074A"/>
    <w:rsid w:val="006B11CE"/>
    <w:rsid w:val="006B75D4"/>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13A8"/>
    <w:rsid w:val="00752AD5"/>
    <w:rsid w:val="00752F36"/>
    <w:rsid w:val="0075637D"/>
    <w:rsid w:val="007602D7"/>
    <w:rsid w:val="00771EC3"/>
    <w:rsid w:val="0077373E"/>
    <w:rsid w:val="00773ACE"/>
    <w:rsid w:val="0077512D"/>
    <w:rsid w:val="007809B7"/>
    <w:rsid w:val="00782E8F"/>
    <w:rsid w:val="00782F61"/>
    <w:rsid w:val="00784401"/>
    <w:rsid w:val="00785F89"/>
    <w:rsid w:val="0078774E"/>
    <w:rsid w:val="007924CA"/>
    <w:rsid w:val="007A6388"/>
    <w:rsid w:val="007B0E7B"/>
    <w:rsid w:val="007B4F5D"/>
    <w:rsid w:val="007B511D"/>
    <w:rsid w:val="007B546A"/>
    <w:rsid w:val="007C0F87"/>
    <w:rsid w:val="007C35C1"/>
    <w:rsid w:val="007C7C80"/>
    <w:rsid w:val="007D6194"/>
    <w:rsid w:val="00803B4C"/>
    <w:rsid w:val="008052FC"/>
    <w:rsid w:val="00810AB4"/>
    <w:rsid w:val="00813444"/>
    <w:rsid w:val="00813D23"/>
    <w:rsid w:val="00820D82"/>
    <w:rsid w:val="00821B10"/>
    <w:rsid w:val="0082304B"/>
    <w:rsid w:val="0082311D"/>
    <w:rsid w:val="00834307"/>
    <w:rsid w:val="00840293"/>
    <w:rsid w:val="008410D5"/>
    <w:rsid w:val="00841B02"/>
    <w:rsid w:val="008433CF"/>
    <w:rsid w:val="00846677"/>
    <w:rsid w:val="008645CD"/>
    <w:rsid w:val="0087108A"/>
    <w:rsid w:val="00872CD7"/>
    <w:rsid w:val="00886A1C"/>
    <w:rsid w:val="008A3BC9"/>
    <w:rsid w:val="008A3BE3"/>
    <w:rsid w:val="008B00A2"/>
    <w:rsid w:val="008B2BD7"/>
    <w:rsid w:val="008B7C35"/>
    <w:rsid w:val="008C5DD9"/>
    <w:rsid w:val="008D2825"/>
    <w:rsid w:val="008D74B1"/>
    <w:rsid w:val="008E5070"/>
    <w:rsid w:val="008E7403"/>
    <w:rsid w:val="008F1C0C"/>
    <w:rsid w:val="00900A09"/>
    <w:rsid w:val="009074D9"/>
    <w:rsid w:val="00915450"/>
    <w:rsid w:val="0091711E"/>
    <w:rsid w:val="0092029B"/>
    <w:rsid w:val="00925CAA"/>
    <w:rsid w:val="00925F83"/>
    <w:rsid w:val="00933996"/>
    <w:rsid w:val="009342B3"/>
    <w:rsid w:val="00951F3D"/>
    <w:rsid w:val="00956416"/>
    <w:rsid w:val="009572B6"/>
    <w:rsid w:val="009647C8"/>
    <w:rsid w:val="00967F9A"/>
    <w:rsid w:val="0098017E"/>
    <w:rsid w:val="00980547"/>
    <w:rsid w:val="0098787E"/>
    <w:rsid w:val="00993D1E"/>
    <w:rsid w:val="009A419F"/>
    <w:rsid w:val="009A6A13"/>
    <w:rsid w:val="009C2652"/>
    <w:rsid w:val="009C2923"/>
    <w:rsid w:val="009C3719"/>
    <w:rsid w:val="009C51C5"/>
    <w:rsid w:val="009C759C"/>
    <w:rsid w:val="009D19FA"/>
    <w:rsid w:val="009D34EB"/>
    <w:rsid w:val="009E1D0E"/>
    <w:rsid w:val="009E5467"/>
    <w:rsid w:val="009E5F72"/>
    <w:rsid w:val="00A05AA8"/>
    <w:rsid w:val="00A135CF"/>
    <w:rsid w:val="00A170DF"/>
    <w:rsid w:val="00A23384"/>
    <w:rsid w:val="00A26015"/>
    <w:rsid w:val="00A37A4F"/>
    <w:rsid w:val="00A40F98"/>
    <w:rsid w:val="00A5202A"/>
    <w:rsid w:val="00A6456E"/>
    <w:rsid w:val="00A67EEB"/>
    <w:rsid w:val="00A8571E"/>
    <w:rsid w:val="00A87845"/>
    <w:rsid w:val="00A90F14"/>
    <w:rsid w:val="00AA5A6B"/>
    <w:rsid w:val="00AC27DA"/>
    <w:rsid w:val="00AC476E"/>
    <w:rsid w:val="00AD1F5B"/>
    <w:rsid w:val="00AD2349"/>
    <w:rsid w:val="00AE6C2E"/>
    <w:rsid w:val="00AE7BC6"/>
    <w:rsid w:val="00AF3197"/>
    <w:rsid w:val="00AF63CF"/>
    <w:rsid w:val="00AF7E39"/>
    <w:rsid w:val="00B013E4"/>
    <w:rsid w:val="00B02B89"/>
    <w:rsid w:val="00B10361"/>
    <w:rsid w:val="00B114CC"/>
    <w:rsid w:val="00B12BD8"/>
    <w:rsid w:val="00B217D9"/>
    <w:rsid w:val="00B3351E"/>
    <w:rsid w:val="00B44C41"/>
    <w:rsid w:val="00B51083"/>
    <w:rsid w:val="00B54F88"/>
    <w:rsid w:val="00B57C72"/>
    <w:rsid w:val="00B60925"/>
    <w:rsid w:val="00B71063"/>
    <w:rsid w:val="00B82136"/>
    <w:rsid w:val="00B96F20"/>
    <w:rsid w:val="00BA277B"/>
    <w:rsid w:val="00BA7830"/>
    <w:rsid w:val="00BC0888"/>
    <w:rsid w:val="00BC60A9"/>
    <w:rsid w:val="00BD45AA"/>
    <w:rsid w:val="00BE09D0"/>
    <w:rsid w:val="00BE1393"/>
    <w:rsid w:val="00C00E7D"/>
    <w:rsid w:val="00C01977"/>
    <w:rsid w:val="00C057BA"/>
    <w:rsid w:val="00C16FF3"/>
    <w:rsid w:val="00C252AE"/>
    <w:rsid w:val="00C3191D"/>
    <w:rsid w:val="00C41C46"/>
    <w:rsid w:val="00C50C27"/>
    <w:rsid w:val="00C71D9D"/>
    <w:rsid w:val="00C81316"/>
    <w:rsid w:val="00C841B8"/>
    <w:rsid w:val="00C850E0"/>
    <w:rsid w:val="00C96FBA"/>
    <w:rsid w:val="00CA4310"/>
    <w:rsid w:val="00CA4484"/>
    <w:rsid w:val="00CB307B"/>
    <w:rsid w:val="00CB4E50"/>
    <w:rsid w:val="00CB72F7"/>
    <w:rsid w:val="00CB793A"/>
    <w:rsid w:val="00CD4CC5"/>
    <w:rsid w:val="00CE2166"/>
    <w:rsid w:val="00D000C1"/>
    <w:rsid w:val="00D06C25"/>
    <w:rsid w:val="00D25E99"/>
    <w:rsid w:val="00D31E02"/>
    <w:rsid w:val="00D355EE"/>
    <w:rsid w:val="00D40B9E"/>
    <w:rsid w:val="00D456E5"/>
    <w:rsid w:val="00D465CB"/>
    <w:rsid w:val="00D50F70"/>
    <w:rsid w:val="00D57AA5"/>
    <w:rsid w:val="00D75112"/>
    <w:rsid w:val="00D75501"/>
    <w:rsid w:val="00D80AEE"/>
    <w:rsid w:val="00D83962"/>
    <w:rsid w:val="00D90B1F"/>
    <w:rsid w:val="00D9401A"/>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3EC0"/>
    <w:rsid w:val="00E3726E"/>
    <w:rsid w:val="00E46801"/>
    <w:rsid w:val="00E47A3E"/>
    <w:rsid w:val="00E500D1"/>
    <w:rsid w:val="00E5224A"/>
    <w:rsid w:val="00E54015"/>
    <w:rsid w:val="00E557E9"/>
    <w:rsid w:val="00E7585E"/>
    <w:rsid w:val="00E97E50"/>
    <w:rsid w:val="00EA07C3"/>
    <w:rsid w:val="00EB2189"/>
    <w:rsid w:val="00EC1C00"/>
    <w:rsid w:val="00EC708F"/>
    <w:rsid w:val="00ED03A1"/>
    <w:rsid w:val="00ED45BB"/>
    <w:rsid w:val="00ED62D4"/>
    <w:rsid w:val="00EE7442"/>
    <w:rsid w:val="00EF03B9"/>
    <w:rsid w:val="00EF17FB"/>
    <w:rsid w:val="00EF637C"/>
    <w:rsid w:val="00F006B6"/>
    <w:rsid w:val="00F00827"/>
    <w:rsid w:val="00F031EB"/>
    <w:rsid w:val="00F046F4"/>
    <w:rsid w:val="00F15703"/>
    <w:rsid w:val="00F2123A"/>
    <w:rsid w:val="00F23055"/>
    <w:rsid w:val="00F23661"/>
    <w:rsid w:val="00F2435D"/>
    <w:rsid w:val="00F2502B"/>
    <w:rsid w:val="00F25823"/>
    <w:rsid w:val="00F26F35"/>
    <w:rsid w:val="00F31235"/>
    <w:rsid w:val="00F355BA"/>
    <w:rsid w:val="00F42424"/>
    <w:rsid w:val="00F42854"/>
    <w:rsid w:val="00F52F0F"/>
    <w:rsid w:val="00F55634"/>
    <w:rsid w:val="00F57633"/>
    <w:rsid w:val="00F67E0A"/>
    <w:rsid w:val="00F75426"/>
    <w:rsid w:val="00F82C16"/>
    <w:rsid w:val="00F85551"/>
    <w:rsid w:val="00F85923"/>
    <w:rsid w:val="00F96802"/>
    <w:rsid w:val="00FA0273"/>
    <w:rsid w:val="00FA1DF1"/>
    <w:rsid w:val="00FA7D60"/>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39,#4d4d4d,maroon"/>
    </o:shapedefaults>
    <o:shapelayout v:ext="edit">
      <o:idmap v:ext="edit" data="1"/>
    </o:shapelayout>
  </w:shapeDefaults>
  <w:decimalSymbol w:val="."/>
  <w:listSeparator w:val=","/>
  <w14:docId w14:val="44A626D7"/>
  <w15:docId w15:val="{B188EFC6-BBD2-46C3-9601-9CCADC17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E47A3E"/>
    <w:pPr>
      <w:spacing w:before="180" w:after="60" w:line="240" w:lineRule="auto"/>
      <w:outlineLvl w:val="1"/>
    </w:pPr>
    <w:rPr>
      <w:b/>
      <w:color w:val="4D4D4D"/>
      <w:sz w:val="28"/>
      <w:lang w:eastAsia="en-US"/>
    </w:rPr>
  </w:style>
  <w:style w:type="paragraph" w:styleId="Heading3">
    <w:name w:val="heading 3"/>
    <w:basedOn w:val="Heading2"/>
    <w:next w:val="Normal"/>
    <w:uiPriority w:val="3"/>
    <w:qFormat/>
    <w:rsid w:val="00E47A3E"/>
    <w:pPr>
      <w:keepNext/>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607B1D"/>
    <w:pPr>
      <w:spacing w:before="0" w:line="240" w:lineRule="auto"/>
    </w:pPr>
    <w:rPr>
      <w:noProof/>
      <w:color w:val="4C4C4C"/>
      <w:sz w:val="32"/>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SubtitleChar">
    <w:name w:val="Subtitle Char"/>
    <w:basedOn w:val="DefaultParagraphFont"/>
    <w:link w:val="Subtitle"/>
    <w:uiPriority w:val="29"/>
    <w:rsid w:val="00607B1D"/>
    <w:rPr>
      <w:rFonts w:ascii="Calibri" w:hAnsi="Calibri" w:cs="Calibri"/>
      <w:noProof/>
      <w:color w:val="4C4C4C"/>
      <w:sz w:val="32"/>
      <w:szCs w:val="24"/>
    </w:rPr>
  </w:style>
  <w:style w:type="paragraph" w:customStyle="1" w:styleId="TableBulletDash">
    <w:name w:val="Table Bullet Dash"/>
    <w:basedOn w:val="Normal"/>
    <w:uiPriority w:val="10"/>
    <w:rsid w:val="00304E7F"/>
    <w:pPr>
      <w:tabs>
        <w:tab w:val="num" w:pos="454"/>
      </w:tabs>
      <w:spacing w:before="0" w:after="0" w:line="240" w:lineRule="auto"/>
      <w:ind w:left="454" w:hanging="227"/>
    </w:pPr>
    <w:rPr>
      <w:sz w:val="20"/>
    </w:rPr>
  </w:style>
  <w:style w:type="paragraph" w:customStyle="1" w:styleId="NoteNormalshaded">
    <w:name w:val="Note Normal shaded"/>
    <w:basedOn w:val="NoteNormal"/>
    <w:qFormat/>
    <w:rsid w:val="00370867"/>
    <w:pPr>
      <w:shd w:val="clear" w:color="auto" w:fill="D9D9D9" w:themeFill="background1" w:themeFillShade="D9"/>
    </w:pPr>
    <w:rPr>
      <w:sz w:val="20"/>
    </w:rPr>
  </w:style>
  <w:style w:type="paragraph" w:customStyle="1" w:styleId="NoteNormalshadedbullet">
    <w:name w:val="Note Normal shaded bullet"/>
    <w:basedOn w:val="NoteNormalshaded"/>
    <w:qFormat/>
    <w:rsid w:val="00CD4CC5"/>
    <w:pPr>
      <w:numPr>
        <w:numId w:val="44"/>
      </w:numPr>
      <w:ind w:left="360"/>
    </w:pPr>
  </w:style>
  <w:style w:type="paragraph" w:customStyle="1" w:styleId="TableTextBold">
    <w:name w:val="Table Text Bold"/>
    <w:basedOn w:val="TableText"/>
    <w:qFormat/>
    <w:rsid w:val="00D465CB"/>
    <w:pPr>
      <w:spacing w:before="20" w:after="20"/>
    </w:pPr>
    <w:rPr>
      <w:b/>
      <w:sz w:val="18"/>
    </w:rPr>
  </w:style>
  <w:style w:type="paragraph" w:styleId="Revision">
    <w:name w:val="Revision"/>
    <w:hidden/>
    <w:uiPriority w:val="99"/>
    <w:semiHidden/>
    <w:rsid w:val="00ED62D4"/>
    <w:rPr>
      <w:rFonts w:ascii="Calibri" w:hAnsi="Calibri" w:cs="Calibri"/>
      <w:sz w:val="22"/>
      <w:szCs w:val="22"/>
    </w:rPr>
  </w:style>
  <w:style w:type="character" w:customStyle="1" w:styleId="CommentTextChar">
    <w:name w:val="Comment Text Char"/>
    <w:basedOn w:val="DefaultParagraphFont"/>
    <w:link w:val="CommentText"/>
    <w:uiPriority w:val="99"/>
    <w:rsid w:val="00FA7D60"/>
    <w:rPr>
      <w:rFonts w:ascii="Calibri" w:hAnsi="Calibri" w:cs="Calibri"/>
      <w:sz w:val="22"/>
      <w:szCs w:val="22"/>
    </w:rPr>
  </w:style>
  <w:style w:type="character" w:styleId="UnresolvedMention">
    <w:name w:val="Unresolved Mention"/>
    <w:basedOn w:val="DefaultParagraphFont"/>
    <w:uiPriority w:val="99"/>
    <w:semiHidden/>
    <w:unhideWhenUsed/>
    <w:rsid w:val="003A7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complexity-goods-and-services-procurement-gui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6ACD2-885A-4F39-9767-BD02E7235DA7}">
  <ds:schemaRefs>
    <ds:schemaRef ds:uri="http://www.w3.org/2001/XMLSchema"/>
  </ds:schemaRefs>
</ds:datastoreItem>
</file>

<file path=customXml/itemProps2.xml><?xml version="1.0" encoding="utf-8"?>
<ds:datastoreItem xmlns:ds="http://schemas.openxmlformats.org/officeDocument/2006/customXml" ds:itemID="{F12E8BE9-C2BF-4538-9EBA-FE46D071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4439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2</cp:revision>
  <cp:lastPrinted>2018-12-12T23:59:00Z</cp:lastPrinted>
  <dcterms:created xsi:type="dcterms:W3CDTF">2019-12-16T04:18:00Z</dcterms:created>
  <dcterms:modified xsi:type="dcterms:W3CDTF">2019-12-16T04:18:00Z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2019-08-31T04:08:51.1870617Z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