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05BEB" w14:textId="77777777" w:rsidR="00E500D1" w:rsidRPr="007D65D4" w:rsidRDefault="00236EE1" w:rsidP="007D65D4">
      <w:pPr>
        <w:pStyle w:val="Heading1"/>
        <w:rPr>
          <w:b/>
          <w:color w:val="7030A0"/>
          <w:sz w:val="36"/>
          <w:szCs w:val="36"/>
        </w:rPr>
      </w:pPr>
      <w:r w:rsidRPr="007D65D4">
        <w:rPr>
          <w:b/>
          <w:color w:val="7030A0"/>
          <w:sz w:val="36"/>
          <w:szCs w:val="36"/>
        </w:rPr>
        <w:t>Detailed complexity assessment tool</w:t>
      </w:r>
    </w:p>
    <w:p w14:paraId="4F632741" w14:textId="77777777" w:rsidR="00236EE1" w:rsidRDefault="00236EE1" w:rsidP="00236EE1">
      <w:r>
        <w:t>The detailed complexity assessment tool evaluates the complexity level of non-transactional procurement categories.</w:t>
      </w:r>
    </w:p>
    <w:p w14:paraId="29E5CB85" w14:textId="77777777" w:rsidR="00236EE1" w:rsidRDefault="00236EE1" w:rsidP="00236EE1">
      <w:r>
        <w:t xml:space="preserve">Complexity assessments should also be completed for individual procurement activities outside the procurement categories which are critical to the business </w:t>
      </w:r>
      <w:r w:rsidR="00E32EDE">
        <w:br/>
      </w:r>
      <w:r>
        <w:t>or high risk to your organisation.</w:t>
      </w:r>
    </w:p>
    <w:p w14:paraId="6FBD7E29" w14:textId="77777777" w:rsidR="00236EE1" w:rsidRPr="007D65D4" w:rsidRDefault="00BD7032" w:rsidP="007D65D4">
      <w:pPr>
        <w:pStyle w:val="Heading2"/>
        <w:rPr>
          <w:color w:val="7030A0"/>
        </w:rPr>
      </w:pPr>
      <w:r w:rsidRPr="007D65D4">
        <w:rPr>
          <w:color w:val="7030A0"/>
        </w:rPr>
        <w:t>Complexity assessment process</w:t>
      </w:r>
    </w:p>
    <w:p w14:paraId="539DEAB9" w14:textId="77777777" w:rsidR="00FA5DF4" w:rsidRDefault="00236EE1" w:rsidP="00FA5DF4">
      <w:r>
        <w:t xml:space="preserve">The detailed complexity assessment tool and template is used in Step 6: Perform detailed complexity assessment.  </w:t>
      </w:r>
      <w:r w:rsidR="00FA5DF4" w:rsidRPr="00236EE1">
        <w:t>The key steps within step 6 are outlined below.</w:t>
      </w:r>
    </w:p>
    <w:p w14:paraId="6C42908C" w14:textId="77777777" w:rsidR="00236EE1" w:rsidRDefault="00236EE1" w:rsidP="00BD7032">
      <w:pPr>
        <w:pStyle w:val="Caption"/>
      </w:pPr>
      <w:r>
        <w:t xml:space="preserve">Figure: </w:t>
      </w:r>
      <w:r w:rsidR="00FA5DF4">
        <w:t>The complexity assessment process</w:t>
      </w:r>
    </w:p>
    <w:p w14:paraId="50B046CA" w14:textId="77777777" w:rsidR="00236EE1" w:rsidRDefault="00C8495B" w:rsidP="00236EE1">
      <w:r>
        <w:object w:dxaOrig="15514" w:dyaOrig="3288" w14:anchorId="273AF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25pt;height:154.5pt" o:ole="">
            <v:imagedata r:id="rId8" o:title=""/>
          </v:shape>
          <o:OLEObject Type="Embed" ProgID="Visio.Drawing.11" ShapeID="_x0000_i1025" DrawAspect="Content" ObjectID="_1638014581" r:id="rId9"/>
        </w:object>
      </w:r>
    </w:p>
    <w:p w14:paraId="15989E02" w14:textId="77777777" w:rsidR="00FA5DF4" w:rsidRDefault="00FA5DF4" w:rsidP="00FA5DF4">
      <w:r>
        <w:t>The figure is a flow chart.  The flow chart has 8 steps, as follows:</w:t>
      </w:r>
    </w:p>
    <w:tbl>
      <w:tblPr>
        <w:tblStyle w:val="TableGrid"/>
        <w:tblW w:w="0" w:type="auto"/>
        <w:tblLook w:val="04A0" w:firstRow="1" w:lastRow="0" w:firstColumn="1" w:lastColumn="0" w:noHBand="0" w:noVBand="1"/>
      </w:tblPr>
      <w:tblGrid>
        <w:gridCol w:w="723"/>
        <w:gridCol w:w="9075"/>
      </w:tblGrid>
      <w:tr w:rsidR="00FA5DF4" w:rsidRPr="0010724E" w14:paraId="653DB322" w14:textId="77777777" w:rsidTr="00F22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right w:val="single" w:sz="6" w:space="0" w:color="660B68"/>
            </w:tcBorders>
            <w:shd w:val="clear" w:color="auto" w:fill="auto"/>
          </w:tcPr>
          <w:p w14:paraId="1AF2786A" w14:textId="77777777" w:rsidR="00FA5DF4" w:rsidRPr="0010724E" w:rsidRDefault="00FA5DF4" w:rsidP="00F22436">
            <w:pPr>
              <w:rPr>
                <w:b/>
                <w:color w:val="auto"/>
              </w:rPr>
            </w:pPr>
            <w:r w:rsidRPr="0010724E">
              <w:rPr>
                <w:b/>
                <w:color w:val="auto"/>
              </w:rPr>
              <w:t>Step</w:t>
            </w:r>
          </w:p>
        </w:tc>
        <w:tc>
          <w:tcPr>
            <w:tcW w:w="9075" w:type="dxa"/>
            <w:tcBorders>
              <w:left w:val="single" w:sz="6" w:space="0" w:color="660B68"/>
            </w:tcBorders>
            <w:shd w:val="clear" w:color="auto" w:fill="auto"/>
          </w:tcPr>
          <w:p w14:paraId="63022B22" w14:textId="77777777" w:rsidR="00FA5DF4" w:rsidRPr="0010724E" w:rsidRDefault="00FA5DF4" w:rsidP="00F22436">
            <w:pPr>
              <w:cnfStyle w:val="100000000000" w:firstRow="1" w:lastRow="0" w:firstColumn="0" w:lastColumn="0" w:oddVBand="0" w:evenVBand="0" w:oddHBand="0" w:evenHBand="0" w:firstRowFirstColumn="0" w:firstRowLastColumn="0" w:lastRowFirstColumn="0" w:lastRowLastColumn="0"/>
              <w:rPr>
                <w:b/>
                <w:color w:val="auto"/>
              </w:rPr>
            </w:pPr>
            <w:r w:rsidRPr="0010724E">
              <w:rPr>
                <w:b/>
                <w:color w:val="auto"/>
              </w:rPr>
              <w:t>Action</w:t>
            </w:r>
          </w:p>
        </w:tc>
      </w:tr>
      <w:tr w:rsidR="00FA5DF4" w14:paraId="373C4569" w14:textId="77777777" w:rsidTr="00F22436">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bottom w:val="single" w:sz="6" w:space="0" w:color="660B68"/>
              <w:right w:val="single" w:sz="6" w:space="0" w:color="660B68"/>
            </w:tcBorders>
          </w:tcPr>
          <w:p w14:paraId="0B0DFBE4" w14:textId="77777777" w:rsidR="00FA5DF4" w:rsidRDefault="00FA5DF4" w:rsidP="00F22436">
            <w:r>
              <w:t>1</w:t>
            </w:r>
          </w:p>
        </w:tc>
        <w:tc>
          <w:tcPr>
            <w:tcW w:w="9075" w:type="dxa"/>
            <w:tcBorders>
              <w:left w:val="single" w:sz="6" w:space="0" w:color="660B68"/>
              <w:bottom w:val="single" w:sz="6" w:space="0" w:color="660B68"/>
              <w:right w:val="single" w:sz="6" w:space="0" w:color="660B68"/>
            </w:tcBorders>
          </w:tcPr>
          <w:p w14:paraId="328519D1" w14:textId="77777777" w:rsidR="00FA5DF4" w:rsidRDefault="00FA5DF4" w:rsidP="00F22436">
            <w:pPr>
              <w:cnfStyle w:val="000000000000" w:firstRow="0" w:lastRow="0" w:firstColumn="0" w:lastColumn="0" w:oddVBand="0" w:evenVBand="0" w:oddHBand="0" w:evenHBand="0" w:firstRowFirstColumn="0" w:firstRowLastColumn="0" w:lastRowFirstColumn="0" w:lastRowLastColumn="0"/>
            </w:pPr>
            <w:r>
              <w:t>Select the category for assessment.</w:t>
            </w:r>
          </w:p>
        </w:tc>
      </w:tr>
      <w:tr w:rsidR="00FA5DF4" w:rsidRPr="0010724E" w14:paraId="11B00EA9" w14:textId="77777777" w:rsidTr="00F224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1E3FA8DC" w14:textId="77777777" w:rsidR="00FA5DF4" w:rsidRDefault="00FA5DF4" w:rsidP="00F22436">
            <w:r>
              <w:t>2</w:t>
            </w:r>
          </w:p>
        </w:tc>
        <w:tc>
          <w:tcPr>
            <w:tcW w:w="9075" w:type="dxa"/>
            <w:tcBorders>
              <w:left w:val="single" w:sz="6" w:space="0" w:color="660B68"/>
              <w:right w:val="single" w:sz="6" w:space="0" w:color="660B68"/>
            </w:tcBorders>
          </w:tcPr>
          <w:p w14:paraId="0B3DBFFD" w14:textId="77777777" w:rsidR="00FA5DF4" w:rsidRDefault="00FA5DF4" w:rsidP="00F22436">
            <w:pPr>
              <w:cnfStyle w:val="000000010000" w:firstRow="0" w:lastRow="0" w:firstColumn="0" w:lastColumn="0" w:oddVBand="0" w:evenVBand="0" w:oddHBand="0" w:evenHBand="1" w:firstRowFirstColumn="0" w:firstRowLastColumn="0" w:lastRowFirstColumn="0" w:lastRowLastColumn="0"/>
            </w:pPr>
            <w:r>
              <w:t>Is complexity assessment required?</w:t>
            </w:r>
          </w:p>
          <w:p w14:paraId="5AFB0C00" w14:textId="77777777" w:rsidR="00FA5DF4" w:rsidRDefault="00FA5DF4" w:rsidP="00F22436">
            <w:pPr>
              <w:cnfStyle w:val="000000010000" w:firstRow="0" w:lastRow="0" w:firstColumn="0" w:lastColumn="0" w:oddVBand="0" w:evenVBand="0" w:oddHBand="0" w:evenHBand="1" w:firstRowFirstColumn="0" w:firstRowLastColumn="0" w:lastRowFirstColumn="0" w:lastRowLastColumn="0"/>
            </w:pPr>
            <w:r>
              <w:t>If yes, go to step 3.</w:t>
            </w:r>
          </w:p>
          <w:p w14:paraId="6C083397" w14:textId="77777777" w:rsidR="00FA5DF4" w:rsidRDefault="00FA5DF4" w:rsidP="00F22436">
            <w:pPr>
              <w:cnfStyle w:val="000000010000" w:firstRow="0" w:lastRow="0" w:firstColumn="0" w:lastColumn="0" w:oddVBand="0" w:evenVBand="0" w:oddHBand="0" w:evenHBand="1" w:firstRowFirstColumn="0" w:firstRowLastColumn="0" w:lastRowFirstColumn="0" w:lastRowLastColumn="0"/>
            </w:pPr>
            <w:r>
              <w:t>If no, complexity assessment not required (documentation of reason(s) required).</w:t>
            </w:r>
          </w:p>
        </w:tc>
      </w:tr>
      <w:tr w:rsidR="00FA5DF4" w:rsidRPr="0010724E" w14:paraId="44A6557B" w14:textId="77777777" w:rsidTr="00F22436">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2A2F24F7" w14:textId="77777777" w:rsidR="00FA5DF4" w:rsidRDefault="00FA5DF4" w:rsidP="00F22436">
            <w:r>
              <w:lastRenderedPageBreak/>
              <w:t>3</w:t>
            </w:r>
          </w:p>
        </w:tc>
        <w:tc>
          <w:tcPr>
            <w:tcW w:w="9075" w:type="dxa"/>
            <w:tcBorders>
              <w:left w:val="single" w:sz="6" w:space="0" w:color="660B68"/>
              <w:right w:val="single" w:sz="6" w:space="0" w:color="660B68"/>
            </w:tcBorders>
          </w:tcPr>
          <w:p w14:paraId="6DA9DAB7" w14:textId="77777777" w:rsidR="00FA5DF4" w:rsidRDefault="00FA5DF4" w:rsidP="00F22436">
            <w:pPr>
              <w:cnfStyle w:val="000000000000" w:firstRow="0" w:lastRow="0" w:firstColumn="0" w:lastColumn="0" w:oddVBand="0" w:evenVBand="0" w:oddHBand="0" w:evenHBand="0" w:firstRowFirstColumn="0" w:firstRowLastColumn="0" w:lastRowFirstColumn="0" w:lastRowLastColumn="0"/>
            </w:pPr>
            <w:r>
              <w:t>Review categories to I.D. likely transactional categories.</w:t>
            </w:r>
          </w:p>
          <w:p w14:paraId="28388728" w14:textId="77777777" w:rsidR="00FA5DF4" w:rsidRDefault="00FA5DF4" w:rsidP="00F22436">
            <w:pPr>
              <w:cnfStyle w:val="000000000000" w:firstRow="0" w:lastRow="0" w:firstColumn="0" w:lastColumn="0" w:oddVBand="0" w:evenVBand="0" w:oddHBand="0" w:evenHBand="0" w:firstRowFirstColumn="0" w:firstRowLastColumn="0" w:lastRowFirstColumn="0" w:lastRowLastColumn="0"/>
            </w:pPr>
            <w:r>
              <w:t>If transactional, go to step 6.</w:t>
            </w:r>
          </w:p>
          <w:p w14:paraId="1BA5D9EF" w14:textId="77777777" w:rsidR="00FA5DF4" w:rsidRDefault="00FA5DF4" w:rsidP="00F22436">
            <w:pPr>
              <w:cnfStyle w:val="000000000000" w:firstRow="0" w:lastRow="0" w:firstColumn="0" w:lastColumn="0" w:oddVBand="0" w:evenVBand="0" w:oddHBand="0" w:evenHBand="0" w:firstRowFirstColumn="0" w:firstRowLastColumn="0" w:lastRowFirstColumn="0" w:lastRowLastColumn="0"/>
            </w:pPr>
            <w:r>
              <w:t>If non transactional, go to step 6.</w:t>
            </w:r>
          </w:p>
        </w:tc>
      </w:tr>
      <w:tr w:rsidR="00FA5DF4" w:rsidRPr="0010724E" w14:paraId="317427C4" w14:textId="77777777" w:rsidTr="00F224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3C2A173E" w14:textId="77777777" w:rsidR="00FA5DF4" w:rsidRDefault="00FA5DF4" w:rsidP="00F22436">
            <w:r>
              <w:t>4</w:t>
            </w:r>
          </w:p>
        </w:tc>
        <w:tc>
          <w:tcPr>
            <w:tcW w:w="9075" w:type="dxa"/>
            <w:tcBorders>
              <w:left w:val="single" w:sz="6" w:space="0" w:color="660B68"/>
              <w:right w:val="single" w:sz="6" w:space="0" w:color="660B68"/>
            </w:tcBorders>
          </w:tcPr>
          <w:p w14:paraId="35CA6AE8" w14:textId="77777777" w:rsidR="00FA5DF4" w:rsidRDefault="00FA5DF4" w:rsidP="00F22436">
            <w:pPr>
              <w:cnfStyle w:val="000000010000" w:firstRow="0" w:lastRow="0" w:firstColumn="0" w:lastColumn="0" w:oddVBand="0" w:evenVBand="0" w:oddHBand="0" w:evenHBand="1" w:firstRowFirstColumn="0" w:firstRowLastColumn="0" w:lastRowFirstColumn="0" w:lastRowLastColumn="0"/>
            </w:pPr>
            <w:r>
              <w:t>Perform initial complexity assessment.</w:t>
            </w:r>
          </w:p>
        </w:tc>
      </w:tr>
      <w:tr w:rsidR="00FA5DF4" w:rsidRPr="0010724E" w14:paraId="7A451E28" w14:textId="77777777" w:rsidTr="00F22436">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502649BE" w14:textId="77777777" w:rsidR="00FA5DF4" w:rsidRDefault="00FA5DF4" w:rsidP="00F22436">
            <w:r>
              <w:t>5</w:t>
            </w:r>
          </w:p>
        </w:tc>
        <w:tc>
          <w:tcPr>
            <w:tcW w:w="9075" w:type="dxa"/>
            <w:tcBorders>
              <w:left w:val="single" w:sz="6" w:space="0" w:color="660B68"/>
              <w:right w:val="single" w:sz="6" w:space="0" w:color="660B68"/>
            </w:tcBorders>
          </w:tcPr>
          <w:p w14:paraId="67E7D90F" w14:textId="77777777" w:rsidR="00FA5DF4" w:rsidRDefault="00FA5DF4" w:rsidP="00F22436">
            <w:pPr>
              <w:cnfStyle w:val="000000000000" w:firstRow="0" w:lastRow="0" w:firstColumn="0" w:lastColumn="0" w:oddVBand="0" w:evenVBand="0" w:oddHBand="0" w:evenHBand="0" w:firstRowFirstColumn="0" w:firstRowLastColumn="0" w:lastRowFirstColumn="0" w:lastRowLastColumn="0"/>
            </w:pPr>
            <w:r>
              <w:t>Is the procurement category assessed as transactional?</w:t>
            </w:r>
          </w:p>
          <w:p w14:paraId="447F08E3" w14:textId="77777777" w:rsidR="00FA5DF4" w:rsidRDefault="00FA5DF4" w:rsidP="00F22436">
            <w:pPr>
              <w:cnfStyle w:val="000000000000" w:firstRow="0" w:lastRow="0" w:firstColumn="0" w:lastColumn="0" w:oddVBand="0" w:evenVBand="0" w:oddHBand="0" w:evenHBand="0" w:firstRowFirstColumn="0" w:firstRowLastColumn="0" w:lastRowFirstColumn="0" w:lastRowLastColumn="0"/>
            </w:pPr>
            <w:r>
              <w:t>If yes, go to step 7.</w:t>
            </w:r>
          </w:p>
          <w:p w14:paraId="5884D0A5" w14:textId="77777777" w:rsidR="00FA5DF4" w:rsidRDefault="00FA5DF4" w:rsidP="00F22436">
            <w:pPr>
              <w:cnfStyle w:val="000000000000" w:firstRow="0" w:lastRow="0" w:firstColumn="0" w:lastColumn="0" w:oddVBand="0" w:evenVBand="0" w:oddHBand="0" w:evenHBand="0" w:firstRowFirstColumn="0" w:firstRowLastColumn="0" w:lastRowFirstColumn="0" w:lastRowLastColumn="0"/>
            </w:pPr>
            <w:r>
              <w:t>If no, go to step 6.</w:t>
            </w:r>
          </w:p>
        </w:tc>
      </w:tr>
      <w:tr w:rsidR="00FA5DF4" w:rsidRPr="0010724E" w14:paraId="23FA8F2C" w14:textId="77777777" w:rsidTr="00F224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48A2EB07" w14:textId="77777777" w:rsidR="00FA5DF4" w:rsidRDefault="00FA5DF4" w:rsidP="00F22436">
            <w:r>
              <w:t>6</w:t>
            </w:r>
          </w:p>
        </w:tc>
        <w:tc>
          <w:tcPr>
            <w:tcW w:w="9075" w:type="dxa"/>
            <w:tcBorders>
              <w:left w:val="single" w:sz="6" w:space="0" w:color="660B68"/>
              <w:right w:val="single" w:sz="6" w:space="0" w:color="660B68"/>
            </w:tcBorders>
          </w:tcPr>
          <w:p w14:paraId="2D1F472F" w14:textId="77777777" w:rsidR="00FA5DF4" w:rsidRDefault="00FA5DF4" w:rsidP="00F22436">
            <w:pPr>
              <w:cnfStyle w:val="000000010000" w:firstRow="0" w:lastRow="0" w:firstColumn="0" w:lastColumn="0" w:oddVBand="0" w:evenVBand="0" w:oddHBand="0" w:evenHBand="1" w:firstRowFirstColumn="0" w:firstRowLastColumn="0" w:lastRowFirstColumn="0" w:lastRowLastColumn="0"/>
            </w:pPr>
            <w:r>
              <w:t>Perform detailed complexity assessment.</w:t>
            </w:r>
          </w:p>
        </w:tc>
      </w:tr>
      <w:tr w:rsidR="00FA5DF4" w:rsidRPr="0010724E" w14:paraId="381A9290" w14:textId="77777777" w:rsidTr="00F22436">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5E534E32" w14:textId="77777777" w:rsidR="00FA5DF4" w:rsidRDefault="00FA5DF4" w:rsidP="00F22436">
            <w:r>
              <w:t>7</w:t>
            </w:r>
          </w:p>
        </w:tc>
        <w:tc>
          <w:tcPr>
            <w:tcW w:w="9075" w:type="dxa"/>
            <w:tcBorders>
              <w:left w:val="single" w:sz="6" w:space="0" w:color="660B68"/>
              <w:right w:val="single" w:sz="6" w:space="0" w:color="660B68"/>
            </w:tcBorders>
          </w:tcPr>
          <w:p w14:paraId="3CEBAB62" w14:textId="77777777" w:rsidR="00FA5DF4" w:rsidRDefault="00FA5DF4" w:rsidP="00F22436">
            <w:pPr>
              <w:cnfStyle w:val="000000000000" w:firstRow="0" w:lastRow="0" w:firstColumn="0" w:lastColumn="0" w:oddVBand="0" w:evenVBand="0" w:oddHBand="0" w:evenHBand="0" w:firstRowFirstColumn="0" w:firstRowLastColumn="0" w:lastRowFirstColumn="0" w:lastRowLastColumn="0"/>
            </w:pPr>
            <w:r>
              <w:t>Identify appropriate sourcing strategies.</w:t>
            </w:r>
          </w:p>
        </w:tc>
      </w:tr>
      <w:tr w:rsidR="00FA5DF4" w:rsidRPr="0010724E" w14:paraId="206252AD" w14:textId="77777777" w:rsidTr="00F224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6E756E7C" w14:textId="77777777" w:rsidR="00FA5DF4" w:rsidRDefault="00FA5DF4" w:rsidP="00F22436">
            <w:r>
              <w:t>8</w:t>
            </w:r>
          </w:p>
        </w:tc>
        <w:tc>
          <w:tcPr>
            <w:tcW w:w="9075" w:type="dxa"/>
            <w:tcBorders>
              <w:left w:val="single" w:sz="6" w:space="0" w:color="660B68"/>
              <w:right w:val="single" w:sz="6" w:space="0" w:color="660B68"/>
            </w:tcBorders>
          </w:tcPr>
          <w:p w14:paraId="2A1C7286" w14:textId="77777777" w:rsidR="00FA5DF4" w:rsidRDefault="00FA5DF4" w:rsidP="00F22436">
            <w:pPr>
              <w:cnfStyle w:val="000000010000" w:firstRow="0" w:lastRow="0" w:firstColumn="0" w:lastColumn="0" w:oddVBand="0" w:evenVBand="0" w:oddHBand="0" w:evenHBand="1" w:firstRowFirstColumn="0" w:firstRowLastColumn="0" w:lastRowFirstColumn="0" w:lastRowLastColumn="0"/>
            </w:pPr>
            <w:r>
              <w:t>Procurement process continues.</w:t>
            </w:r>
          </w:p>
        </w:tc>
      </w:tr>
    </w:tbl>
    <w:p w14:paraId="770A8213" w14:textId="77777777" w:rsidR="00FA5DF4" w:rsidRDefault="00FA5DF4" w:rsidP="00FA5DF4"/>
    <w:p w14:paraId="692CFAD3" w14:textId="77777777" w:rsidR="00236EE1" w:rsidRPr="00FA5DF4" w:rsidRDefault="00236EE1" w:rsidP="00FA5DF4">
      <w:pPr>
        <w:pStyle w:val="Heading2"/>
        <w:rPr>
          <w:color w:val="7030A0"/>
        </w:rPr>
      </w:pPr>
      <w:r w:rsidRPr="00FA5DF4">
        <w:rPr>
          <w:color w:val="7030A0"/>
        </w:rPr>
        <w:t>Key steps in performing a detailed complexity assessment</w:t>
      </w:r>
    </w:p>
    <w:p w14:paraId="7D9F6E74" w14:textId="77777777" w:rsidR="00236EE1" w:rsidRDefault="00236EE1" w:rsidP="00FA5DF4">
      <w:r>
        <w:t>Key steps in performing a detailed complexity assessment (Step 6 of the complexity assessment process)</w:t>
      </w:r>
      <w:r w:rsidR="00F2617F">
        <w:t>.</w:t>
      </w:r>
    </w:p>
    <w:p w14:paraId="685D575E" w14:textId="77777777" w:rsidR="00236EE1" w:rsidRPr="00FA5DF4" w:rsidRDefault="00F74802" w:rsidP="006A2E63">
      <w:pPr>
        <w:pStyle w:val="NoteNormal"/>
        <w:rPr>
          <w:sz w:val="22"/>
        </w:rPr>
      </w:pPr>
      <w:r w:rsidRPr="00FA5DF4">
        <w:rPr>
          <w:sz w:val="22"/>
        </w:rPr>
        <w:t>(</w:t>
      </w:r>
      <w:r w:rsidR="00236EE1" w:rsidRPr="00FA5DF4">
        <w:rPr>
          <w:sz w:val="22"/>
        </w:rPr>
        <w:t>a)</w:t>
      </w:r>
      <w:r w:rsidRPr="00FA5DF4">
        <w:rPr>
          <w:sz w:val="22"/>
        </w:rPr>
        <w:t xml:space="preserve"> </w:t>
      </w:r>
      <w:r w:rsidR="00236EE1" w:rsidRPr="00FA5DF4">
        <w:rPr>
          <w:sz w:val="22"/>
        </w:rPr>
        <w:t xml:space="preserve">Obtain a listing of procurement categories initially assessed as unlikely to be transactional or where the initial complexity assessment determined the procurement category to be non-transactional. </w:t>
      </w:r>
    </w:p>
    <w:p w14:paraId="5FED9B78" w14:textId="77777777" w:rsidR="00236EE1" w:rsidRPr="00FA5DF4" w:rsidRDefault="00F74802" w:rsidP="006A2E63">
      <w:pPr>
        <w:pStyle w:val="NoteNormal"/>
        <w:rPr>
          <w:sz w:val="22"/>
        </w:rPr>
      </w:pPr>
      <w:r w:rsidRPr="00FA5DF4">
        <w:rPr>
          <w:sz w:val="22"/>
        </w:rPr>
        <w:t>(</w:t>
      </w:r>
      <w:r w:rsidR="00236EE1" w:rsidRPr="00FA5DF4">
        <w:rPr>
          <w:sz w:val="22"/>
        </w:rPr>
        <w:t>b)</w:t>
      </w:r>
      <w:r w:rsidRPr="00FA5DF4">
        <w:rPr>
          <w:sz w:val="22"/>
        </w:rPr>
        <w:t xml:space="preserve"> </w:t>
      </w:r>
      <w:r w:rsidR="00236EE1" w:rsidRPr="00FA5DF4">
        <w:rPr>
          <w:sz w:val="22"/>
        </w:rPr>
        <w:t xml:space="preserve">Insert the procurement category to be assessed in the detailed complexity assessment template in the attachment. </w:t>
      </w:r>
    </w:p>
    <w:p w14:paraId="39724122" w14:textId="77777777" w:rsidR="00236EE1" w:rsidRPr="00FA5DF4" w:rsidRDefault="00F74802" w:rsidP="006A2E63">
      <w:pPr>
        <w:pStyle w:val="NoteNormal"/>
        <w:rPr>
          <w:sz w:val="22"/>
        </w:rPr>
      </w:pPr>
      <w:r w:rsidRPr="00FA5DF4">
        <w:rPr>
          <w:sz w:val="22"/>
        </w:rPr>
        <w:t>(</w:t>
      </w:r>
      <w:r w:rsidR="00236EE1" w:rsidRPr="00FA5DF4">
        <w:rPr>
          <w:sz w:val="22"/>
        </w:rPr>
        <w:t>c)</w:t>
      </w:r>
      <w:r w:rsidRPr="00FA5DF4">
        <w:rPr>
          <w:sz w:val="22"/>
        </w:rPr>
        <w:t xml:space="preserve"> </w:t>
      </w:r>
      <w:r w:rsidR="00236EE1" w:rsidRPr="00FA5DF4">
        <w:rPr>
          <w:sz w:val="22"/>
        </w:rPr>
        <w:t xml:space="preserve">Gather relevant information for the procurement category that may be required to undertake the complexity assessment. Information may include market and supply factors for the procurement category. For example the number of suppliers who have the capacity to deliver and are willing to conduct business with the department/public body should be identified prior to addressing the question “Is the good/service being purchased from a competitive market?”. </w:t>
      </w:r>
    </w:p>
    <w:p w14:paraId="6F397676" w14:textId="77777777" w:rsidR="00236EE1" w:rsidRPr="00FA5DF4" w:rsidRDefault="00F74802" w:rsidP="006A2E63">
      <w:pPr>
        <w:pStyle w:val="NoteNormal"/>
        <w:rPr>
          <w:sz w:val="22"/>
        </w:rPr>
      </w:pPr>
      <w:r w:rsidRPr="00FA5DF4">
        <w:rPr>
          <w:sz w:val="22"/>
        </w:rPr>
        <w:t>(</w:t>
      </w:r>
      <w:r w:rsidR="00236EE1" w:rsidRPr="00FA5DF4">
        <w:rPr>
          <w:sz w:val="22"/>
        </w:rPr>
        <w:t>d)</w:t>
      </w:r>
      <w:r w:rsidRPr="00FA5DF4">
        <w:rPr>
          <w:sz w:val="22"/>
        </w:rPr>
        <w:t xml:space="preserve"> </w:t>
      </w:r>
      <w:r w:rsidR="00236EE1" w:rsidRPr="00FA5DF4">
        <w:rPr>
          <w:sz w:val="22"/>
        </w:rPr>
        <w:t xml:space="preserve">Assess the procurement category against the detailed complexity assessment questions outlined in the template in the attachment.  </w:t>
      </w:r>
    </w:p>
    <w:p w14:paraId="0A828727" w14:textId="77777777" w:rsidR="00236EE1" w:rsidRPr="00FA5DF4" w:rsidRDefault="00F74802" w:rsidP="006A2E63">
      <w:pPr>
        <w:pStyle w:val="NoteNormal"/>
        <w:rPr>
          <w:sz w:val="22"/>
        </w:rPr>
      </w:pPr>
      <w:r w:rsidRPr="00FA5DF4">
        <w:rPr>
          <w:sz w:val="22"/>
        </w:rPr>
        <w:t>(</w:t>
      </w:r>
      <w:r w:rsidR="00236EE1" w:rsidRPr="00FA5DF4">
        <w:rPr>
          <w:sz w:val="22"/>
        </w:rPr>
        <w:t>e)</w:t>
      </w:r>
      <w:r w:rsidRPr="00FA5DF4">
        <w:rPr>
          <w:sz w:val="22"/>
        </w:rPr>
        <w:t xml:space="preserve"> </w:t>
      </w:r>
      <w:r w:rsidR="00236EE1" w:rsidRPr="00FA5DF4">
        <w:rPr>
          <w:sz w:val="22"/>
        </w:rPr>
        <w:t>Record the corresponding score of the response in the “Score of selected response” column.   Where relevant, record an explanation to justify the selection of a particular response in the “Comments” column of the template.</w:t>
      </w:r>
    </w:p>
    <w:p w14:paraId="4C87A76D" w14:textId="77777777" w:rsidR="00236EE1" w:rsidRPr="00FA5DF4" w:rsidRDefault="00F74802" w:rsidP="006A2E63">
      <w:pPr>
        <w:pStyle w:val="NoteNormal"/>
        <w:rPr>
          <w:sz w:val="22"/>
        </w:rPr>
      </w:pPr>
      <w:r w:rsidRPr="00FA5DF4">
        <w:rPr>
          <w:sz w:val="22"/>
        </w:rPr>
        <w:t>(</w:t>
      </w:r>
      <w:r w:rsidR="00236EE1" w:rsidRPr="00FA5DF4">
        <w:rPr>
          <w:sz w:val="22"/>
        </w:rPr>
        <w:t>f)</w:t>
      </w:r>
      <w:r w:rsidRPr="00FA5DF4">
        <w:rPr>
          <w:sz w:val="22"/>
        </w:rPr>
        <w:t xml:space="preserve"> </w:t>
      </w:r>
      <w:r w:rsidR="00236EE1" w:rsidRPr="00FA5DF4">
        <w:rPr>
          <w:sz w:val="22"/>
        </w:rPr>
        <w:t>List and reference any documentation which has supported the selection of the response in the “Supporting documentation” column.</w:t>
      </w:r>
    </w:p>
    <w:p w14:paraId="0B2EECA6" w14:textId="77777777" w:rsidR="00236EE1" w:rsidRPr="00FA5DF4" w:rsidRDefault="00F74802" w:rsidP="006A2E63">
      <w:pPr>
        <w:pStyle w:val="NoteNormal"/>
        <w:rPr>
          <w:sz w:val="22"/>
        </w:rPr>
      </w:pPr>
      <w:r w:rsidRPr="00FA5DF4">
        <w:rPr>
          <w:sz w:val="22"/>
        </w:rPr>
        <w:lastRenderedPageBreak/>
        <w:t>(</w:t>
      </w:r>
      <w:r w:rsidR="00236EE1" w:rsidRPr="00FA5DF4">
        <w:rPr>
          <w:sz w:val="22"/>
        </w:rPr>
        <w:t>g)</w:t>
      </w:r>
      <w:r w:rsidRPr="00FA5DF4">
        <w:rPr>
          <w:sz w:val="22"/>
        </w:rPr>
        <w:t xml:space="preserve"> </w:t>
      </w:r>
      <w:r w:rsidR="00236EE1" w:rsidRPr="00FA5DF4">
        <w:rPr>
          <w:sz w:val="22"/>
        </w:rPr>
        <w:t xml:space="preserve">Based on the responses selected, total the scores for the X Axis: Goods/Services/Markets and the Y Axis: Value created through procurement.  Insert the total scores in the relevant row in the tool and in the “Summary of outputs” table within the template. </w:t>
      </w:r>
    </w:p>
    <w:p w14:paraId="22394CEF" w14:textId="77777777" w:rsidR="00236EE1" w:rsidRPr="00FA5DF4" w:rsidRDefault="00F74802" w:rsidP="006A2E63">
      <w:pPr>
        <w:pStyle w:val="NoteNormal"/>
        <w:rPr>
          <w:sz w:val="22"/>
        </w:rPr>
      </w:pPr>
      <w:r w:rsidRPr="00FA5DF4">
        <w:rPr>
          <w:sz w:val="22"/>
        </w:rPr>
        <w:t>(</w:t>
      </w:r>
      <w:r w:rsidR="00236EE1" w:rsidRPr="00FA5DF4">
        <w:rPr>
          <w:sz w:val="22"/>
        </w:rPr>
        <w:t>h)</w:t>
      </w:r>
      <w:r w:rsidRPr="00FA5DF4">
        <w:rPr>
          <w:sz w:val="22"/>
        </w:rPr>
        <w:t xml:space="preserve"> </w:t>
      </w:r>
      <w:r w:rsidR="00236EE1" w:rsidRPr="00FA5DF4">
        <w:rPr>
          <w:sz w:val="22"/>
        </w:rPr>
        <w:t xml:space="preserve">Using the total scores for each axis, identify the level of complexity for a procurement category using the decision tree in Figure 1 of the attachment. </w:t>
      </w:r>
    </w:p>
    <w:p w14:paraId="0B49423F" w14:textId="77777777" w:rsidR="00236EE1" w:rsidRPr="00FA5DF4" w:rsidRDefault="00F74802" w:rsidP="006A2E63">
      <w:pPr>
        <w:pStyle w:val="NoteNormal"/>
        <w:rPr>
          <w:sz w:val="22"/>
        </w:rPr>
      </w:pPr>
      <w:r w:rsidRPr="00FA5DF4">
        <w:rPr>
          <w:sz w:val="22"/>
        </w:rPr>
        <w:t>(</w:t>
      </w:r>
      <w:r w:rsidR="00236EE1" w:rsidRPr="00FA5DF4">
        <w:rPr>
          <w:sz w:val="22"/>
        </w:rPr>
        <w:t>i)</w:t>
      </w:r>
      <w:r w:rsidRPr="00FA5DF4">
        <w:rPr>
          <w:sz w:val="22"/>
        </w:rPr>
        <w:t xml:space="preserve"> </w:t>
      </w:r>
      <w:r w:rsidR="00236EE1" w:rsidRPr="00FA5DF4">
        <w:rPr>
          <w:sz w:val="22"/>
        </w:rPr>
        <w:t xml:space="preserve">Insert the complexity quadrant result in the Assessed complexity quadrant column in the Summary of outputs table at the end of the detailed complexity assessment template.   </w:t>
      </w:r>
    </w:p>
    <w:p w14:paraId="147F2110" w14:textId="77777777" w:rsidR="00236EE1" w:rsidRPr="00FA5DF4" w:rsidRDefault="00F74802" w:rsidP="006A2E63">
      <w:pPr>
        <w:pStyle w:val="NoteNormal"/>
        <w:rPr>
          <w:sz w:val="22"/>
        </w:rPr>
      </w:pPr>
      <w:r w:rsidRPr="00FA5DF4">
        <w:rPr>
          <w:sz w:val="22"/>
        </w:rPr>
        <w:t>(</w:t>
      </w:r>
      <w:r w:rsidR="00236EE1" w:rsidRPr="00FA5DF4">
        <w:rPr>
          <w:sz w:val="22"/>
        </w:rPr>
        <w:t>j)</w:t>
      </w:r>
      <w:r w:rsidRPr="00FA5DF4">
        <w:rPr>
          <w:sz w:val="22"/>
        </w:rPr>
        <w:t xml:space="preserve"> </w:t>
      </w:r>
      <w:r w:rsidR="00236EE1" w:rsidRPr="00FA5DF4">
        <w:rPr>
          <w:sz w:val="22"/>
        </w:rPr>
        <w:t xml:space="preserve">When a detailed complexity assessment has been performed on the applicable procurement categories, the assessor should revisit the requirements of the procurement before signing and dating the template. </w:t>
      </w:r>
    </w:p>
    <w:p w14:paraId="6C2422CD" w14:textId="77777777" w:rsidR="00236EE1" w:rsidRPr="00FA5DF4" w:rsidRDefault="00F74802" w:rsidP="006A2E63">
      <w:pPr>
        <w:pStyle w:val="NoteNormal"/>
        <w:rPr>
          <w:sz w:val="22"/>
        </w:rPr>
      </w:pPr>
      <w:r w:rsidRPr="00FA5DF4">
        <w:rPr>
          <w:sz w:val="22"/>
        </w:rPr>
        <w:t>(</w:t>
      </w:r>
      <w:r w:rsidR="00236EE1" w:rsidRPr="00FA5DF4">
        <w:rPr>
          <w:sz w:val="22"/>
        </w:rPr>
        <w:t>k)</w:t>
      </w:r>
      <w:r w:rsidRPr="00FA5DF4">
        <w:rPr>
          <w:sz w:val="22"/>
        </w:rPr>
        <w:t xml:space="preserve"> </w:t>
      </w:r>
      <w:r w:rsidR="00236EE1" w:rsidRPr="00FA5DF4">
        <w:rPr>
          <w:sz w:val="22"/>
        </w:rPr>
        <w:t xml:space="preserve">The assessor should provide a copy of the template to the approver for review and endorsement. </w:t>
      </w:r>
    </w:p>
    <w:p w14:paraId="4157F0F5" w14:textId="77777777" w:rsidR="00F74802" w:rsidRDefault="00F74802" w:rsidP="00F74802">
      <w:pPr>
        <w:pStyle w:val="NoteNormal"/>
      </w:pPr>
    </w:p>
    <w:p w14:paraId="65C3C2CA" w14:textId="77777777" w:rsidR="00236EE1" w:rsidRDefault="00236EE1" w:rsidP="00236EE1">
      <w:r>
        <w:t>Proceed to Step 7: Identify sourcing strategies within the complexity assessment process.</w:t>
      </w:r>
    </w:p>
    <w:p w14:paraId="2214ACC8" w14:textId="77777777" w:rsidR="00FA5DF4" w:rsidRPr="00FA5DF4" w:rsidRDefault="00FA5DF4" w:rsidP="00FA5DF4">
      <w:r>
        <w:br w:type="page"/>
      </w:r>
    </w:p>
    <w:p w14:paraId="0E352FA1" w14:textId="77777777" w:rsidR="00236EE1" w:rsidRPr="00FA5DF4" w:rsidRDefault="00236EE1" w:rsidP="00FA5DF4">
      <w:pPr>
        <w:pStyle w:val="Heading2"/>
        <w:rPr>
          <w:color w:val="7030A0"/>
        </w:rPr>
      </w:pPr>
      <w:r w:rsidRPr="00FA5DF4">
        <w:rPr>
          <w:color w:val="7030A0"/>
        </w:rPr>
        <w:lastRenderedPageBreak/>
        <w:t>Detailed complexity assessment template</w:t>
      </w:r>
    </w:p>
    <w:tbl>
      <w:tblPr>
        <w:tblStyle w:val="TableGrid"/>
        <w:tblW w:w="14864" w:type="dxa"/>
        <w:tblLook w:val="04A0" w:firstRow="1" w:lastRow="0" w:firstColumn="1" w:lastColumn="0" w:noHBand="0" w:noVBand="1"/>
      </w:tblPr>
      <w:tblGrid>
        <w:gridCol w:w="464"/>
        <w:gridCol w:w="6210"/>
        <w:gridCol w:w="822"/>
        <w:gridCol w:w="1007"/>
        <w:gridCol w:w="2941"/>
        <w:gridCol w:w="3420"/>
      </w:tblGrid>
      <w:tr w:rsidR="00F74802" w14:paraId="78F3E15A" w14:textId="77777777" w:rsidTr="00B70A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3" w:type="dxa"/>
            <w:gridSpan w:val="4"/>
            <w:tcBorders>
              <w:bottom w:val="single" w:sz="6" w:space="0" w:color="85159D"/>
            </w:tcBorders>
          </w:tcPr>
          <w:p w14:paraId="2970E518" w14:textId="77777777" w:rsidR="00F74802" w:rsidRDefault="00F74802" w:rsidP="003940A1">
            <w:pPr>
              <w:pStyle w:val="TableHeader"/>
            </w:pPr>
            <w:r>
              <w:t>Questions and response</w:t>
            </w:r>
          </w:p>
        </w:tc>
        <w:tc>
          <w:tcPr>
            <w:tcW w:w="2941" w:type="dxa"/>
            <w:tcBorders>
              <w:bottom w:val="single" w:sz="6" w:space="0" w:color="85159D"/>
            </w:tcBorders>
          </w:tcPr>
          <w:p w14:paraId="6B1186A2" w14:textId="77777777" w:rsidR="00F74802" w:rsidRDefault="00F74802" w:rsidP="003940A1">
            <w:pPr>
              <w:pStyle w:val="TableHeader"/>
              <w:cnfStyle w:val="100000000000" w:firstRow="1" w:lastRow="0" w:firstColumn="0" w:lastColumn="0" w:oddVBand="0" w:evenVBand="0" w:oddHBand="0" w:evenHBand="0" w:firstRowFirstColumn="0" w:firstRowLastColumn="0" w:lastRowFirstColumn="0" w:lastRowLastColumn="0"/>
            </w:pPr>
            <w:r>
              <w:t>Comments</w:t>
            </w:r>
          </w:p>
        </w:tc>
        <w:tc>
          <w:tcPr>
            <w:tcW w:w="3420" w:type="dxa"/>
            <w:tcBorders>
              <w:bottom w:val="single" w:sz="6" w:space="0" w:color="85159D"/>
            </w:tcBorders>
          </w:tcPr>
          <w:p w14:paraId="1A66E88B" w14:textId="77777777" w:rsidR="00F74802" w:rsidRDefault="00F74802" w:rsidP="003940A1">
            <w:pPr>
              <w:pStyle w:val="TableHeader"/>
              <w:cnfStyle w:val="100000000000" w:firstRow="1" w:lastRow="0" w:firstColumn="0" w:lastColumn="0" w:oddVBand="0" w:evenVBand="0" w:oddHBand="0" w:evenHBand="0" w:firstRowFirstColumn="0" w:firstRowLastColumn="0" w:lastRowFirstColumn="0" w:lastRowLastColumn="0"/>
            </w:pPr>
            <w:r>
              <w:t>Supporting documentation</w:t>
            </w:r>
          </w:p>
        </w:tc>
      </w:tr>
      <w:tr w:rsidR="00F74802" w14:paraId="29FE495F" w14:textId="77777777" w:rsidTr="00B70AFF">
        <w:tc>
          <w:tcPr>
            <w:cnfStyle w:val="001000000000" w:firstRow="0" w:lastRow="0" w:firstColumn="1" w:lastColumn="0" w:oddVBand="0" w:evenVBand="0" w:oddHBand="0" w:evenHBand="0" w:firstRowFirstColumn="0" w:firstRowLastColumn="0" w:lastRowFirstColumn="0" w:lastRowLastColumn="0"/>
            <w:tcW w:w="8503" w:type="dxa"/>
            <w:gridSpan w:val="4"/>
            <w:tcBorders>
              <w:top w:val="single" w:sz="6" w:space="0" w:color="85159D"/>
              <w:left w:val="single" w:sz="6" w:space="0" w:color="85159D"/>
              <w:bottom w:val="single" w:sz="6" w:space="0" w:color="85159D"/>
            </w:tcBorders>
            <w:shd w:val="clear" w:color="auto" w:fill="85159D"/>
          </w:tcPr>
          <w:p w14:paraId="3F193720" w14:textId="77777777" w:rsidR="00F74802" w:rsidRDefault="00F74802" w:rsidP="003940A1">
            <w:pPr>
              <w:pStyle w:val="TableHeader"/>
            </w:pPr>
            <w:r w:rsidRPr="00F73103">
              <w:t xml:space="preserve">X </w:t>
            </w:r>
            <w:r w:rsidR="00C7437E" w:rsidRPr="00F73103">
              <w:t>axis</w:t>
            </w:r>
            <w:r w:rsidRPr="00F73103">
              <w:t xml:space="preserve">: </w:t>
            </w:r>
            <w:r w:rsidR="00C7437E" w:rsidRPr="00F73103">
              <w:t>goods/services/markets</w:t>
            </w:r>
          </w:p>
        </w:tc>
        <w:tc>
          <w:tcPr>
            <w:tcW w:w="2941" w:type="dxa"/>
            <w:tcBorders>
              <w:top w:val="single" w:sz="6" w:space="0" w:color="85159D"/>
              <w:bottom w:val="single" w:sz="6" w:space="0" w:color="85159D"/>
            </w:tcBorders>
            <w:shd w:val="clear" w:color="auto" w:fill="85159D"/>
          </w:tcPr>
          <w:p w14:paraId="4564A329" w14:textId="77777777" w:rsidR="00F74802" w:rsidRDefault="00F74802" w:rsidP="003940A1">
            <w:pPr>
              <w:pStyle w:val="TableHeader"/>
              <w:cnfStyle w:val="000000000000" w:firstRow="0" w:lastRow="0" w:firstColumn="0" w:lastColumn="0" w:oddVBand="0" w:evenVBand="0" w:oddHBand="0" w:evenHBand="0" w:firstRowFirstColumn="0" w:firstRowLastColumn="0" w:lastRowFirstColumn="0" w:lastRowLastColumn="0"/>
            </w:pPr>
          </w:p>
        </w:tc>
        <w:tc>
          <w:tcPr>
            <w:tcW w:w="3420" w:type="dxa"/>
            <w:tcBorders>
              <w:top w:val="single" w:sz="6" w:space="0" w:color="85159D"/>
              <w:bottom w:val="single" w:sz="6" w:space="0" w:color="85159D"/>
              <w:right w:val="single" w:sz="6" w:space="0" w:color="85159D"/>
            </w:tcBorders>
            <w:shd w:val="clear" w:color="auto" w:fill="85159D"/>
          </w:tcPr>
          <w:p w14:paraId="40D4423F" w14:textId="77777777" w:rsidR="00F74802" w:rsidRDefault="00F74802" w:rsidP="003940A1">
            <w:pPr>
              <w:pStyle w:val="TableHeader"/>
              <w:cnfStyle w:val="000000000000" w:firstRow="0" w:lastRow="0" w:firstColumn="0" w:lastColumn="0" w:oddVBand="0" w:evenVBand="0" w:oddHBand="0" w:evenHBand="0" w:firstRowFirstColumn="0" w:firstRowLastColumn="0" w:lastRowFirstColumn="0" w:lastRowLastColumn="0"/>
            </w:pPr>
          </w:p>
        </w:tc>
      </w:tr>
      <w:tr w:rsidR="003940A1" w14:paraId="061381CA" w14:textId="77777777" w:rsidTr="00B70A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1B519D3A" w14:textId="77777777" w:rsidR="003940A1" w:rsidRPr="00C7437E" w:rsidRDefault="003940A1" w:rsidP="003940A1">
            <w:pPr>
              <w:pStyle w:val="TableText"/>
              <w:rPr>
                <w:b/>
              </w:rPr>
            </w:pPr>
            <w:r w:rsidRPr="00C7437E">
              <w:rPr>
                <w:b/>
              </w:rPr>
              <w:t>Ref.</w:t>
            </w:r>
          </w:p>
        </w:tc>
        <w:tc>
          <w:tcPr>
            <w:tcW w:w="6210" w:type="dxa"/>
          </w:tcPr>
          <w:p w14:paraId="25097A23" w14:textId="77777777" w:rsidR="003940A1" w:rsidRPr="00C7437E" w:rsidRDefault="003940A1" w:rsidP="003940A1">
            <w:pPr>
              <w:pStyle w:val="TableText"/>
              <w:cnfStyle w:val="000000010000" w:firstRow="0" w:lastRow="0" w:firstColumn="0" w:lastColumn="0" w:oddVBand="0" w:evenVBand="0" w:oddHBand="0" w:evenHBand="1" w:firstRowFirstColumn="0" w:firstRowLastColumn="0" w:lastRowFirstColumn="0" w:lastRowLastColumn="0"/>
              <w:rPr>
                <w:b/>
              </w:rPr>
            </w:pPr>
            <w:r w:rsidRPr="00C7437E">
              <w:rPr>
                <w:b/>
              </w:rPr>
              <w:t xml:space="preserve">Potential </w:t>
            </w:r>
            <w:r w:rsidR="00C7437E" w:rsidRPr="00C7437E">
              <w:rPr>
                <w:b/>
              </w:rPr>
              <w:t>responses</w:t>
            </w:r>
          </w:p>
        </w:tc>
        <w:tc>
          <w:tcPr>
            <w:tcW w:w="822" w:type="dxa"/>
          </w:tcPr>
          <w:p w14:paraId="779F4FCD" w14:textId="77777777" w:rsidR="003940A1" w:rsidRPr="003940A1" w:rsidRDefault="003940A1" w:rsidP="003940A1">
            <w:pPr>
              <w:pStyle w:val="TableText"/>
              <w:jc w:val="center"/>
              <w:cnfStyle w:val="000000010000" w:firstRow="0" w:lastRow="0" w:firstColumn="0" w:lastColumn="0" w:oddVBand="0" w:evenVBand="0" w:oddHBand="0" w:evenHBand="1" w:firstRowFirstColumn="0" w:firstRowLastColumn="0" w:lastRowFirstColumn="0" w:lastRowLastColumn="0"/>
              <w:rPr>
                <w:b/>
              </w:rPr>
            </w:pPr>
            <w:r w:rsidRPr="003940A1">
              <w:rPr>
                <w:b/>
              </w:rPr>
              <w:t>Score</w:t>
            </w:r>
          </w:p>
        </w:tc>
        <w:tc>
          <w:tcPr>
            <w:tcW w:w="1007" w:type="dxa"/>
          </w:tcPr>
          <w:p w14:paraId="35C5696E" w14:textId="77777777" w:rsidR="003940A1" w:rsidRPr="003940A1" w:rsidRDefault="003940A1" w:rsidP="003940A1">
            <w:pPr>
              <w:pStyle w:val="TableText"/>
              <w:jc w:val="center"/>
              <w:cnfStyle w:val="000000010000" w:firstRow="0" w:lastRow="0" w:firstColumn="0" w:lastColumn="0" w:oddVBand="0" w:evenVBand="0" w:oddHBand="0" w:evenHBand="1" w:firstRowFirstColumn="0" w:firstRowLastColumn="0" w:lastRowFirstColumn="0" w:lastRowLastColumn="0"/>
              <w:rPr>
                <w:b/>
              </w:rPr>
            </w:pPr>
            <w:r w:rsidRPr="003940A1">
              <w:rPr>
                <w:b/>
              </w:rPr>
              <w:t>Score of selected response</w:t>
            </w:r>
          </w:p>
        </w:tc>
        <w:tc>
          <w:tcPr>
            <w:tcW w:w="2941" w:type="dxa"/>
          </w:tcPr>
          <w:p w14:paraId="716A6179" w14:textId="77777777" w:rsidR="003940A1" w:rsidRDefault="003940A1" w:rsidP="003940A1">
            <w:pPr>
              <w:pStyle w:val="TableText"/>
              <w:cnfStyle w:val="000000010000" w:firstRow="0" w:lastRow="0" w:firstColumn="0" w:lastColumn="0" w:oddVBand="0" w:evenVBand="0" w:oddHBand="0" w:evenHBand="1" w:firstRowFirstColumn="0" w:firstRowLastColumn="0" w:lastRowFirstColumn="0" w:lastRowLastColumn="0"/>
            </w:pPr>
          </w:p>
        </w:tc>
        <w:tc>
          <w:tcPr>
            <w:tcW w:w="3420" w:type="dxa"/>
          </w:tcPr>
          <w:p w14:paraId="192A47DC" w14:textId="77777777" w:rsidR="003940A1" w:rsidRDefault="003940A1" w:rsidP="003940A1">
            <w:pPr>
              <w:pStyle w:val="TableText"/>
              <w:cnfStyle w:val="000000010000" w:firstRow="0" w:lastRow="0" w:firstColumn="0" w:lastColumn="0" w:oddVBand="0" w:evenVBand="0" w:oddHBand="0" w:evenHBand="1" w:firstRowFirstColumn="0" w:firstRowLastColumn="0" w:lastRowFirstColumn="0" w:lastRowLastColumn="0"/>
            </w:pPr>
          </w:p>
        </w:tc>
      </w:tr>
      <w:tr w:rsidR="00B70AFF" w:rsidRPr="003940A1" w14:paraId="6A1AE20E" w14:textId="77777777" w:rsidTr="00954D3D">
        <w:tc>
          <w:tcPr>
            <w:cnfStyle w:val="001000000000" w:firstRow="0" w:lastRow="0" w:firstColumn="1" w:lastColumn="0" w:oddVBand="0" w:evenVBand="0" w:oddHBand="0" w:evenHBand="0" w:firstRowFirstColumn="0" w:firstRowLastColumn="0" w:lastRowFirstColumn="0" w:lastRowLastColumn="0"/>
            <w:tcW w:w="8503" w:type="dxa"/>
            <w:gridSpan w:val="4"/>
            <w:tcBorders>
              <w:top w:val="single" w:sz="6" w:space="0" w:color="85159D"/>
            </w:tcBorders>
            <w:shd w:val="clear" w:color="auto" w:fill="D1BFFD"/>
          </w:tcPr>
          <w:p w14:paraId="3566E512" w14:textId="77777777" w:rsidR="00B70AFF" w:rsidRPr="003940A1" w:rsidRDefault="00B70AFF" w:rsidP="005A0EF4">
            <w:pPr>
              <w:pStyle w:val="TableText"/>
              <w:rPr>
                <w:color w:val="auto"/>
              </w:rPr>
            </w:pPr>
            <w:r w:rsidRPr="003940A1">
              <w:rPr>
                <w:color w:val="auto"/>
              </w:rPr>
              <w:t>Do the specifications of the good/service require customisation?</w:t>
            </w:r>
          </w:p>
        </w:tc>
        <w:tc>
          <w:tcPr>
            <w:tcW w:w="2941" w:type="dxa"/>
            <w:tcBorders>
              <w:top w:val="single" w:sz="6" w:space="0" w:color="85159D"/>
            </w:tcBorders>
            <w:shd w:val="clear" w:color="auto" w:fill="D1BFFD"/>
          </w:tcPr>
          <w:p w14:paraId="476EB057" w14:textId="77777777" w:rsidR="00B70AFF" w:rsidRPr="003940A1" w:rsidRDefault="00B70AFF" w:rsidP="005A0EF4">
            <w:pPr>
              <w:pStyle w:val="TableText"/>
              <w:cnfStyle w:val="000000000000" w:firstRow="0" w:lastRow="0" w:firstColumn="0" w:lastColumn="0" w:oddVBand="0" w:evenVBand="0" w:oddHBand="0" w:evenHBand="0" w:firstRowFirstColumn="0" w:firstRowLastColumn="0" w:lastRowFirstColumn="0" w:lastRowLastColumn="0"/>
            </w:pPr>
          </w:p>
        </w:tc>
        <w:tc>
          <w:tcPr>
            <w:tcW w:w="3420" w:type="dxa"/>
            <w:tcBorders>
              <w:top w:val="single" w:sz="6" w:space="0" w:color="85159D"/>
            </w:tcBorders>
            <w:shd w:val="clear" w:color="auto" w:fill="D1BFFD"/>
          </w:tcPr>
          <w:p w14:paraId="7C6FDA69" w14:textId="77777777" w:rsidR="00B70AFF" w:rsidRPr="003940A1" w:rsidRDefault="00B70AFF" w:rsidP="005A0EF4">
            <w:pPr>
              <w:pStyle w:val="TableText"/>
              <w:cnfStyle w:val="000000000000" w:firstRow="0" w:lastRow="0" w:firstColumn="0" w:lastColumn="0" w:oddVBand="0" w:evenVBand="0" w:oddHBand="0" w:evenHBand="0" w:firstRowFirstColumn="0" w:firstRowLastColumn="0" w:lastRowFirstColumn="0" w:lastRowLastColumn="0"/>
            </w:pPr>
          </w:p>
        </w:tc>
      </w:tr>
      <w:tr w:rsidR="00B70AFF" w14:paraId="33897AAD"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245F334A" w14:textId="77777777" w:rsidR="00B70AFF" w:rsidRPr="00A010B9" w:rsidRDefault="00B70AFF" w:rsidP="003940A1">
            <w:pPr>
              <w:pStyle w:val="TableText"/>
            </w:pPr>
            <w:r>
              <w:t>(</w:t>
            </w:r>
            <w:r w:rsidRPr="00A010B9">
              <w:t>a)</w:t>
            </w:r>
          </w:p>
        </w:tc>
        <w:tc>
          <w:tcPr>
            <w:tcW w:w="6210" w:type="dxa"/>
          </w:tcPr>
          <w:p w14:paraId="733F6F8D" w14:textId="77777777" w:rsidR="00B70AFF" w:rsidRPr="00A010B9" w:rsidRDefault="00B70AFF" w:rsidP="003940A1">
            <w:pPr>
              <w:pStyle w:val="TableText"/>
              <w:cnfStyle w:val="000000010000" w:firstRow="0" w:lastRow="0" w:firstColumn="0" w:lastColumn="0" w:oddVBand="0" w:evenVBand="0" w:oddHBand="0" w:evenHBand="1" w:firstRowFirstColumn="0" w:firstRowLastColumn="0" w:lastRowFirstColumn="0" w:lastRowLastColumn="0"/>
            </w:pPr>
            <w:r w:rsidRPr="00A010B9">
              <w:t>No, good/service requirements are standard (e.g. off the shelf product, standard service)</w:t>
            </w:r>
          </w:p>
        </w:tc>
        <w:tc>
          <w:tcPr>
            <w:tcW w:w="822" w:type="dxa"/>
          </w:tcPr>
          <w:p w14:paraId="63A773F9" w14:textId="77777777" w:rsidR="00B70AFF" w:rsidRPr="00A010B9"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r w:rsidRPr="00A010B9">
              <w:t>0</w:t>
            </w:r>
          </w:p>
        </w:tc>
        <w:tc>
          <w:tcPr>
            <w:tcW w:w="1007" w:type="dxa"/>
            <w:shd w:val="clear" w:color="auto" w:fill="D1BFFD"/>
          </w:tcPr>
          <w:p w14:paraId="2A190C1F" w14:textId="77777777" w:rsidR="00B70AFF" w:rsidRPr="00A010B9"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p>
        </w:tc>
        <w:tc>
          <w:tcPr>
            <w:tcW w:w="2941" w:type="dxa"/>
            <w:vMerge w:val="restart"/>
          </w:tcPr>
          <w:p w14:paraId="1DF2D3FC"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c>
          <w:tcPr>
            <w:tcW w:w="3420" w:type="dxa"/>
            <w:vMerge w:val="restart"/>
          </w:tcPr>
          <w:p w14:paraId="07BB3268"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r>
      <w:tr w:rsidR="00B70AFF" w14:paraId="38D7DF35" w14:textId="77777777" w:rsidTr="00954D3D">
        <w:tc>
          <w:tcPr>
            <w:cnfStyle w:val="001000000000" w:firstRow="0" w:lastRow="0" w:firstColumn="1" w:lastColumn="0" w:oddVBand="0" w:evenVBand="0" w:oddHBand="0" w:evenHBand="0" w:firstRowFirstColumn="0" w:firstRowLastColumn="0" w:lastRowFirstColumn="0" w:lastRowLastColumn="0"/>
            <w:tcW w:w="464" w:type="dxa"/>
          </w:tcPr>
          <w:p w14:paraId="3C340FD8" w14:textId="77777777" w:rsidR="00B70AFF" w:rsidRPr="00A010B9" w:rsidRDefault="00B70AFF" w:rsidP="003940A1">
            <w:pPr>
              <w:pStyle w:val="TableText"/>
            </w:pPr>
            <w:r>
              <w:t>(</w:t>
            </w:r>
            <w:r w:rsidRPr="00A010B9">
              <w:t>b)</w:t>
            </w:r>
          </w:p>
        </w:tc>
        <w:tc>
          <w:tcPr>
            <w:tcW w:w="6210" w:type="dxa"/>
          </w:tcPr>
          <w:p w14:paraId="3450B8DF" w14:textId="77777777" w:rsidR="00B70AFF" w:rsidRPr="00A010B9" w:rsidRDefault="00B70AFF" w:rsidP="003940A1">
            <w:pPr>
              <w:pStyle w:val="TableText"/>
              <w:cnfStyle w:val="000000000000" w:firstRow="0" w:lastRow="0" w:firstColumn="0" w:lastColumn="0" w:oddVBand="0" w:evenVBand="0" w:oddHBand="0" w:evenHBand="0" w:firstRowFirstColumn="0" w:firstRowLastColumn="0" w:lastRowFirstColumn="0" w:lastRowLastColumn="0"/>
            </w:pPr>
            <w:r w:rsidRPr="00A010B9">
              <w:t xml:space="preserve">Yes, however good/service only requires a low level of customisation e.g. some configuration or some specialisation  </w:t>
            </w:r>
          </w:p>
        </w:tc>
        <w:tc>
          <w:tcPr>
            <w:tcW w:w="822" w:type="dxa"/>
          </w:tcPr>
          <w:p w14:paraId="17D10FF7" w14:textId="77777777" w:rsidR="00B70AFF" w:rsidRPr="00A010B9"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r w:rsidRPr="00A010B9">
              <w:t>5</w:t>
            </w:r>
          </w:p>
        </w:tc>
        <w:tc>
          <w:tcPr>
            <w:tcW w:w="1007" w:type="dxa"/>
            <w:shd w:val="clear" w:color="auto" w:fill="D1BFFD"/>
          </w:tcPr>
          <w:p w14:paraId="4A5E3F1C" w14:textId="77777777" w:rsidR="00B70AFF" w:rsidRPr="00A010B9"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p>
        </w:tc>
        <w:tc>
          <w:tcPr>
            <w:tcW w:w="2941" w:type="dxa"/>
            <w:vMerge/>
          </w:tcPr>
          <w:p w14:paraId="1CA800D9"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c>
          <w:tcPr>
            <w:tcW w:w="3420" w:type="dxa"/>
            <w:vMerge/>
          </w:tcPr>
          <w:p w14:paraId="743538FB"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r>
      <w:tr w:rsidR="00B70AFF" w14:paraId="65D88A50"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4C9ACEFE" w14:textId="77777777" w:rsidR="00B70AFF" w:rsidRPr="00A010B9" w:rsidRDefault="00B70AFF" w:rsidP="003940A1">
            <w:pPr>
              <w:pStyle w:val="TableText"/>
            </w:pPr>
            <w:r>
              <w:t>(</w:t>
            </w:r>
            <w:r w:rsidRPr="00A010B9">
              <w:t>c)</w:t>
            </w:r>
          </w:p>
        </w:tc>
        <w:tc>
          <w:tcPr>
            <w:tcW w:w="6210" w:type="dxa"/>
          </w:tcPr>
          <w:p w14:paraId="6A03BED6" w14:textId="77777777" w:rsidR="00B70AFF" w:rsidRPr="00A010B9" w:rsidRDefault="00B70AFF" w:rsidP="003940A1">
            <w:pPr>
              <w:pStyle w:val="TableText"/>
              <w:cnfStyle w:val="000000010000" w:firstRow="0" w:lastRow="0" w:firstColumn="0" w:lastColumn="0" w:oddVBand="0" w:evenVBand="0" w:oddHBand="0" w:evenHBand="1" w:firstRowFirstColumn="0" w:firstRowLastColumn="0" w:lastRowFirstColumn="0" w:lastRowLastColumn="0"/>
            </w:pPr>
            <w:r w:rsidRPr="00A010B9">
              <w:t>Yes, the good/service requires a medium level of customisation/specialisation</w:t>
            </w:r>
          </w:p>
        </w:tc>
        <w:tc>
          <w:tcPr>
            <w:tcW w:w="822" w:type="dxa"/>
          </w:tcPr>
          <w:p w14:paraId="2CBD0C68" w14:textId="77777777" w:rsidR="00B70AFF" w:rsidRPr="00A010B9"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r w:rsidRPr="00A010B9">
              <w:t>10</w:t>
            </w:r>
          </w:p>
        </w:tc>
        <w:tc>
          <w:tcPr>
            <w:tcW w:w="1007" w:type="dxa"/>
            <w:shd w:val="clear" w:color="auto" w:fill="D1BFFD"/>
          </w:tcPr>
          <w:p w14:paraId="6B91C480" w14:textId="77777777" w:rsidR="00B70AFF" w:rsidRPr="00A010B9"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p>
        </w:tc>
        <w:tc>
          <w:tcPr>
            <w:tcW w:w="2941" w:type="dxa"/>
            <w:vMerge/>
          </w:tcPr>
          <w:p w14:paraId="522C50B8"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c>
          <w:tcPr>
            <w:tcW w:w="3420" w:type="dxa"/>
            <w:vMerge/>
          </w:tcPr>
          <w:p w14:paraId="0921842E"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r>
      <w:tr w:rsidR="00B70AFF" w14:paraId="6D01545B" w14:textId="77777777" w:rsidTr="00954D3D">
        <w:tc>
          <w:tcPr>
            <w:cnfStyle w:val="001000000000" w:firstRow="0" w:lastRow="0" w:firstColumn="1" w:lastColumn="0" w:oddVBand="0" w:evenVBand="0" w:oddHBand="0" w:evenHBand="0" w:firstRowFirstColumn="0" w:firstRowLastColumn="0" w:lastRowFirstColumn="0" w:lastRowLastColumn="0"/>
            <w:tcW w:w="464" w:type="dxa"/>
          </w:tcPr>
          <w:p w14:paraId="3F3F0258" w14:textId="77777777" w:rsidR="00B70AFF" w:rsidRPr="00A010B9" w:rsidRDefault="00B70AFF" w:rsidP="003940A1">
            <w:pPr>
              <w:pStyle w:val="TableText"/>
            </w:pPr>
            <w:r>
              <w:t>(</w:t>
            </w:r>
            <w:r w:rsidRPr="00A010B9">
              <w:t>d)</w:t>
            </w:r>
          </w:p>
        </w:tc>
        <w:tc>
          <w:tcPr>
            <w:tcW w:w="6210" w:type="dxa"/>
          </w:tcPr>
          <w:p w14:paraId="6F49B74B" w14:textId="77777777" w:rsidR="00B70AFF" w:rsidRPr="00A010B9" w:rsidRDefault="00B70AFF" w:rsidP="003940A1">
            <w:pPr>
              <w:pStyle w:val="TableText"/>
              <w:cnfStyle w:val="000000000000" w:firstRow="0" w:lastRow="0" w:firstColumn="0" w:lastColumn="0" w:oddVBand="0" w:evenVBand="0" w:oddHBand="0" w:evenHBand="0" w:firstRowFirstColumn="0" w:firstRowLastColumn="0" w:lastRowFirstColumn="0" w:lastRowLastColumn="0"/>
            </w:pPr>
            <w:r w:rsidRPr="00A010B9">
              <w:t>Yes, good/service requires a high level of customisation and/or specifications are not fully known</w:t>
            </w:r>
          </w:p>
        </w:tc>
        <w:tc>
          <w:tcPr>
            <w:tcW w:w="822" w:type="dxa"/>
          </w:tcPr>
          <w:p w14:paraId="7A09A377" w14:textId="77777777" w:rsidR="00B70AFF" w:rsidRPr="00A010B9"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r w:rsidRPr="00A010B9">
              <w:t>15</w:t>
            </w:r>
          </w:p>
        </w:tc>
        <w:tc>
          <w:tcPr>
            <w:tcW w:w="1007" w:type="dxa"/>
            <w:shd w:val="clear" w:color="auto" w:fill="D1BFFD"/>
          </w:tcPr>
          <w:p w14:paraId="5ED109BC" w14:textId="77777777" w:rsidR="00B70AFF" w:rsidRPr="00A010B9"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p>
        </w:tc>
        <w:tc>
          <w:tcPr>
            <w:tcW w:w="2941" w:type="dxa"/>
            <w:vMerge/>
          </w:tcPr>
          <w:p w14:paraId="146F54BB"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c>
          <w:tcPr>
            <w:tcW w:w="3420" w:type="dxa"/>
            <w:vMerge/>
          </w:tcPr>
          <w:p w14:paraId="0E123ED6"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r>
      <w:tr w:rsidR="00261A42" w:rsidRPr="00261A42" w14:paraId="0F4CE270"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3" w:type="dxa"/>
            <w:gridSpan w:val="4"/>
            <w:shd w:val="clear" w:color="auto" w:fill="D1BFFD"/>
          </w:tcPr>
          <w:p w14:paraId="670E253C" w14:textId="77777777" w:rsidR="003940A1" w:rsidRPr="00261A42" w:rsidRDefault="003940A1" w:rsidP="003940A1">
            <w:pPr>
              <w:pStyle w:val="TableText"/>
              <w:rPr>
                <w:color w:val="auto"/>
              </w:rPr>
            </w:pPr>
            <w:r w:rsidRPr="00261A42">
              <w:rPr>
                <w:color w:val="auto"/>
              </w:rPr>
              <w:t>Is the good/service critical to the organisation and/or core operations of the organisation?</w:t>
            </w:r>
          </w:p>
        </w:tc>
        <w:tc>
          <w:tcPr>
            <w:tcW w:w="2941" w:type="dxa"/>
            <w:shd w:val="clear" w:color="auto" w:fill="D1BFFD"/>
          </w:tcPr>
          <w:p w14:paraId="24B76A81" w14:textId="77777777" w:rsidR="003940A1" w:rsidRPr="00261A42" w:rsidRDefault="003940A1" w:rsidP="003940A1">
            <w:pPr>
              <w:pStyle w:val="TableText"/>
              <w:cnfStyle w:val="000000010000" w:firstRow="0" w:lastRow="0" w:firstColumn="0" w:lastColumn="0" w:oddVBand="0" w:evenVBand="0" w:oddHBand="0" w:evenHBand="1" w:firstRowFirstColumn="0" w:firstRowLastColumn="0" w:lastRowFirstColumn="0" w:lastRowLastColumn="0"/>
            </w:pPr>
          </w:p>
        </w:tc>
        <w:tc>
          <w:tcPr>
            <w:tcW w:w="3420" w:type="dxa"/>
            <w:shd w:val="clear" w:color="auto" w:fill="D1BFFD"/>
          </w:tcPr>
          <w:p w14:paraId="2B7DAC6F" w14:textId="77777777" w:rsidR="003940A1" w:rsidRPr="00261A42" w:rsidRDefault="003940A1" w:rsidP="003940A1">
            <w:pPr>
              <w:pStyle w:val="TableText"/>
              <w:cnfStyle w:val="000000010000" w:firstRow="0" w:lastRow="0" w:firstColumn="0" w:lastColumn="0" w:oddVBand="0" w:evenVBand="0" w:oddHBand="0" w:evenHBand="1" w:firstRowFirstColumn="0" w:firstRowLastColumn="0" w:lastRowFirstColumn="0" w:lastRowLastColumn="0"/>
            </w:pPr>
          </w:p>
        </w:tc>
      </w:tr>
      <w:tr w:rsidR="00B70AFF" w14:paraId="23139B27" w14:textId="77777777" w:rsidTr="00954D3D">
        <w:tc>
          <w:tcPr>
            <w:cnfStyle w:val="001000000000" w:firstRow="0" w:lastRow="0" w:firstColumn="1" w:lastColumn="0" w:oddVBand="0" w:evenVBand="0" w:oddHBand="0" w:evenHBand="0" w:firstRowFirstColumn="0" w:firstRowLastColumn="0" w:lastRowFirstColumn="0" w:lastRowLastColumn="0"/>
            <w:tcW w:w="464" w:type="dxa"/>
          </w:tcPr>
          <w:p w14:paraId="13979A70" w14:textId="77777777" w:rsidR="00B70AFF" w:rsidRPr="003940A1" w:rsidRDefault="00B70AFF" w:rsidP="003940A1">
            <w:pPr>
              <w:pStyle w:val="TableText"/>
              <w:rPr>
                <w:color w:val="auto"/>
              </w:rPr>
            </w:pPr>
            <w:r>
              <w:rPr>
                <w:color w:val="auto"/>
              </w:rPr>
              <w:t>(</w:t>
            </w:r>
            <w:r w:rsidRPr="003940A1">
              <w:rPr>
                <w:color w:val="auto"/>
              </w:rPr>
              <w:t>a)</w:t>
            </w:r>
          </w:p>
        </w:tc>
        <w:tc>
          <w:tcPr>
            <w:tcW w:w="6210" w:type="dxa"/>
          </w:tcPr>
          <w:p w14:paraId="3A0C738F" w14:textId="77777777" w:rsidR="00B70AFF" w:rsidRPr="003940A1" w:rsidRDefault="00B70AFF" w:rsidP="003940A1">
            <w:pPr>
              <w:pStyle w:val="TableText"/>
              <w:cnfStyle w:val="000000000000" w:firstRow="0" w:lastRow="0" w:firstColumn="0" w:lastColumn="0" w:oddVBand="0" w:evenVBand="0" w:oddHBand="0" w:evenHBand="0" w:firstRowFirstColumn="0" w:firstRowLastColumn="0" w:lastRowFirstColumn="0" w:lastRowLastColumn="0"/>
            </w:pPr>
            <w:r w:rsidRPr="003940A1">
              <w:t>No, the good/service is not critical to the organisation or core operations</w:t>
            </w:r>
          </w:p>
        </w:tc>
        <w:tc>
          <w:tcPr>
            <w:tcW w:w="822" w:type="dxa"/>
          </w:tcPr>
          <w:p w14:paraId="0ABA099F" w14:textId="77777777" w:rsidR="00B70AFF" w:rsidRPr="003940A1"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r w:rsidRPr="003940A1">
              <w:t>0</w:t>
            </w:r>
          </w:p>
        </w:tc>
        <w:tc>
          <w:tcPr>
            <w:tcW w:w="1007" w:type="dxa"/>
            <w:shd w:val="clear" w:color="auto" w:fill="D1BFFD"/>
          </w:tcPr>
          <w:p w14:paraId="1E0FD5FB" w14:textId="77777777" w:rsidR="00B70AFF" w:rsidRPr="003940A1"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p>
        </w:tc>
        <w:tc>
          <w:tcPr>
            <w:tcW w:w="2941" w:type="dxa"/>
            <w:vMerge w:val="restart"/>
          </w:tcPr>
          <w:p w14:paraId="6090C105"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c>
          <w:tcPr>
            <w:tcW w:w="3420" w:type="dxa"/>
            <w:vMerge w:val="restart"/>
          </w:tcPr>
          <w:p w14:paraId="2C49B78E"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r>
      <w:tr w:rsidR="00B70AFF" w14:paraId="774729A7"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4233F578" w14:textId="77777777" w:rsidR="00B70AFF" w:rsidRPr="003940A1" w:rsidRDefault="00B70AFF" w:rsidP="003940A1">
            <w:pPr>
              <w:pStyle w:val="TableText"/>
              <w:rPr>
                <w:color w:val="auto"/>
              </w:rPr>
            </w:pPr>
            <w:r>
              <w:rPr>
                <w:color w:val="auto"/>
              </w:rPr>
              <w:t>(</w:t>
            </w:r>
            <w:r w:rsidRPr="003940A1">
              <w:rPr>
                <w:color w:val="auto"/>
              </w:rPr>
              <w:t>b)</w:t>
            </w:r>
          </w:p>
        </w:tc>
        <w:tc>
          <w:tcPr>
            <w:tcW w:w="6210" w:type="dxa"/>
          </w:tcPr>
          <w:p w14:paraId="5E5CCF50" w14:textId="77777777" w:rsidR="00B70AFF" w:rsidRPr="003940A1" w:rsidRDefault="00B70AFF" w:rsidP="003940A1">
            <w:pPr>
              <w:pStyle w:val="TableText"/>
              <w:cnfStyle w:val="000000010000" w:firstRow="0" w:lastRow="0" w:firstColumn="0" w:lastColumn="0" w:oddVBand="0" w:evenVBand="0" w:oddHBand="0" w:evenHBand="1" w:firstRowFirstColumn="0" w:firstRowLastColumn="0" w:lastRowFirstColumn="0" w:lastRowLastColumn="0"/>
            </w:pPr>
            <w:r w:rsidRPr="003940A1">
              <w:t>Yes, however the good/service is only of medium criticality to the organisation and/or core operations</w:t>
            </w:r>
          </w:p>
        </w:tc>
        <w:tc>
          <w:tcPr>
            <w:tcW w:w="822" w:type="dxa"/>
          </w:tcPr>
          <w:p w14:paraId="298A1E49" w14:textId="77777777" w:rsidR="00B70AFF" w:rsidRPr="003940A1"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r w:rsidRPr="003940A1">
              <w:t>3</w:t>
            </w:r>
          </w:p>
        </w:tc>
        <w:tc>
          <w:tcPr>
            <w:tcW w:w="1007" w:type="dxa"/>
            <w:shd w:val="clear" w:color="auto" w:fill="D1BFFD"/>
          </w:tcPr>
          <w:p w14:paraId="32B8916A" w14:textId="77777777" w:rsidR="00B70AFF" w:rsidRPr="003940A1"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p>
        </w:tc>
        <w:tc>
          <w:tcPr>
            <w:tcW w:w="2941" w:type="dxa"/>
            <w:vMerge/>
          </w:tcPr>
          <w:p w14:paraId="6DAF6081"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c>
          <w:tcPr>
            <w:tcW w:w="3420" w:type="dxa"/>
            <w:vMerge/>
          </w:tcPr>
          <w:p w14:paraId="7C161C43"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r>
      <w:tr w:rsidR="00B70AFF" w14:paraId="4096CEE4" w14:textId="77777777" w:rsidTr="00954D3D">
        <w:tc>
          <w:tcPr>
            <w:cnfStyle w:val="001000000000" w:firstRow="0" w:lastRow="0" w:firstColumn="1" w:lastColumn="0" w:oddVBand="0" w:evenVBand="0" w:oddHBand="0" w:evenHBand="0" w:firstRowFirstColumn="0" w:firstRowLastColumn="0" w:lastRowFirstColumn="0" w:lastRowLastColumn="0"/>
            <w:tcW w:w="464" w:type="dxa"/>
          </w:tcPr>
          <w:p w14:paraId="0015DA7E" w14:textId="77777777" w:rsidR="00B70AFF" w:rsidRPr="003940A1" w:rsidRDefault="00B70AFF" w:rsidP="003940A1">
            <w:pPr>
              <w:pStyle w:val="TableText"/>
              <w:rPr>
                <w:color w:val="auto"/>
              </w:rPr>
            </w:pPr>
            <w:r>
              <w:rPr>
                <w:color w:val="auto"/>
              </w:rPr>
              <w:t>(</w:t>
            </w:r>
            <w:r w:rsidRPr="003940A1">
              <w:rPr>
                <w:color w:val="auto"/>
              </w:rPr>
              <w:t>c)</w:t>
            </w:r>
          </w:p>
        </w:tc>
        <w:tc>
          <w:tcPr>
            <w:tcW w:w="6210" w:type="dxa"/>
          </w:tcPr>
          <w:p w14:paraId="616BB9C3" w14:textId="77777777" w:rsidR="00B70AFF" w:rsidRPr="003940A1" w:rsidRDefault="00B70AFF" w:rsidP="003940A1">
            <w:pPr>
              <w:pStyle w:val="TableText"/>
              <w:cnfStyle w:val="000000000000" w:firstRow="0" w:lastRow="0" w:firstColumn="0" w:lastColumn="0" w:oddVBand="0" w:evenVBand="0" w:oddHBand="0" w:evenHBand="0" w:firstRowFirstColumn="0" w:firstRowLastColumn="0" w:lastRowFirstColumn="0" w:lastRowLastColumn="0"/>
            </w:pPr>
            <w:r w:rsidRPr="003940A1">
              <w:t>Yes, the good/service is critical to the organisation and/or core operations</w:t>
            </w:r>
          </w:p>
        </w:tc>
        <w:tc>
          <w:tcPr>
            <w:tcW w:w="822" w:type="dxa"/>
          </w:tcPr>
          <w:p w14:paraId="7CC24B33" w14:textId="77777777" w:rsidR="00B70AFF" w:rsidRPr="003940A1"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r w:rsidRPr="003940A1">
              <w:t>6</w:t>
            </w:r>
          </w:p>
        </w:tc>
        <w:tc>
          <w:tcPr>
            <w:tcW w:w="1007" w:type="dxa"/>
            <w:shd w:val="clear" w:color="auto" w:fill="D1BFFD"/>
          </w:tcPr>
          <w:p w14:paraId="44CBD771" w14:textId="77777777" w:rsidR="00B70AFF" w:rsidRPr="003940A1"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p>
        </w:tc>
        <w:tc>
          <w:tcPr>
            <w:tcW w:w="2941" w:type="dxa"/>
            <w:vMerge/>
          </w:tcPr>
          <w:p w14:paraId="5B14E3E3"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c>
          <w:tcPr>
            <w:tcW w:w="3420" w:type="dxa"/>
            <w:vMerge/>
          </w:tcPr>
          <w:p w14:paraId="4B777380"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r>
      <w:tr w:rsidR="00B70AFF" w14:paraId="0F0DD260"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748BCF0D" w14:textId="77777777" w:rsidR="00B70AFF" w:rsidRPr="003940A1" w:rsidRDefault="00B70AFF" w:rsidP="003940A1">
            <w:pPr>
              <w:pStyle w:val="TableText"/>
              <w:rPr>
                <w:color w:val="auto"/>
              </w:rPr>
            </w:pPr>
            <w:r>
              <w:rPr>
                <w:color w:val="auto"/>
              </w:rPr>
              <w:t>(</w:t>
            </w:r>
            <w:r w:rsidRPr="003940A1">
              <w:rPr>
                <w:color w:val="auto"/>
              </w:rPr>
              <w:t>d)</w:t>
            </w:r>
          </w:p>
        </w:tc>
        <w:tc>
          <w:tcPr>
            <w:tcW w:w="6210" w:type="dxa"/>
          </w:tcPr>
          <w:p w14:paraId="329317D7" w14:textId="77777777" w:rsidR="00B70AFF" w:rsidRPr="003940A1" w:rsidRDefault="00B70AFF" w:rsidP="003940A1">
            <w:pPr>
              <w:pStyle w:val="TableText"/>
              <w:cnfStyle w:val="000000010000" w:firstRow="0" w:lastRow="0" w:firstColumn="0" w:lastColumn="0" w:oddVBand="0" w:evenVBand="0" w:oddHBand="0" w:evenHBand="1" w:firstRowFirstColumn="0" w:firstRowLastColumn="0" w:lastRowFirstColumn="0" w:lastRowLastColumn="0"/>
            </w:pPr>
            <w:r w:rsidRPr="003940A1">
              <w:t>Yes, the good/service is very critical to the organisation and/or core operations</w:t>
            </w:r>
          </w:p>
        </w:tc>
        <w:tc>
          <w:tcPr>
            <w:tcW w:w="822" w:type="dxa"/>
          </w:tcPr>
          <w:p w14:paraId="50065F28" w14:textId="77777777" w:rsidR="00B70AFF" w:rsidRPr="003940A1"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r w:rsidRPr="003940A1">
              <w:t>9</w:t>
            </w:r>
          </w:p>
        </w:tc>
        <w:tc>
          <w:tcPr>
            <w:tcW w:w="1007" w:type="dxa"/>
            <w:shd w:val="clear" w:color="auto" w:fill="D1BFFD"/>
          </w:tcPr>
          <w:p w14:paraId="1F7D6962" w14:textId="77777777" w:rsidR="00B70AFF" w:rsidRPr="003940A1"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p>
        </w:tc>
        <w:tc>
          <w:tcPr>
            <w:tcW w:w="2941" w:type="dxa"/>
            <w:vMerge/>
          </w:tcPr>
          <w:p w14:paraId="2940A500"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c>
          <w:tcPr>
            <w:tcW w:w="3420" w:type="dxa"/>
            <w:vMerge/>
          </w:tcPr>
          <w:p w14:paraId="3006C705"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r>
      <w:tr w:rsidR="00261A42" w:rsidRPr="00261A42" w14:paraId="11DC3F5E" w14:textId="77777777" w:rsidTr="00954D3D">
        <w:tc>
          <w:tcPr>
            <w:cnfStyle w:val="001000000000" w:firstRow="0" w:lastRow="0" w:firstColumn="1" w:lastColumn="0" w:oddVBand="0" w:evenVBand="0" w:oddHBand="0" w:evenHBand="0" w:firstRowFirstColumn="0" w:firstRowLastColumn="0" w:lastRowFirstColumn="0" w:lastRowLastColumn="0"/>
            <w:tcW w:w="8503" w:type="dxa"/>
            <w:gridSpan w:val="4"/>
            <w:shd w:val="clear" w:color="auto" w:fill="D1BFFD"/>
          </w:tcPr>
          <w:p w14:paraId="204C7243" w14:textId="77777777" w:rsidR="003940A1" w:rsidRPr="00261A42" w:rsidRDefault="003940A1" w:rsidP="00B70AFF">
            <w:pPr>
              <w:pStyle w:val="TableText"/>
              <w:rPr>
                <w:color w:val="auto"/>
                <w:vertAlign w:val="superscript"/>
              </w:rPr>
            </w:pPr>
            <w:r w:rsidRPr="00261A42">
              <w:rPr>
                <w:color w:val="auto"/>
              </w:rPr>
              <w:t xml:space="preserve">Is the good/service being purchased from a competitive market? </w:t>
            </w:r>
            <w:r w:rsidRPr="00261A42">
              <w:rPr>
                <w:color w:val="auto"/>
                <w:vertAlign w:val="superscript"/>
              </w:rPr>
              <w:t>(1)</w:t>
            </w:r>
          </w:p>
          <w:p w14:paraId="2FC82F76" w14:textId="77777777" w:rsidR="003940A1" w:rsidRPr="00261A42" w:rsidRDefault="003940A1" w:rsidP="003940A1">
            <w:pPr>
              <w:pStyle w:val="TableText"/>
              <w:rPr>
                <w:color w:val="auto"/>
                <w:sz w:val="16"/>
              </w:rPr>
            </w:pPr>
            <w:r w:rsidRPr="00261A42">
              <w:rPr>
                <w:color w:val="auto"/>
                <w:sz w:val="16"/>
              </w:rPr>
              <w:t>(1) Competitive market includes consideration of substitute goods/services and the suppliers within the market</w:t>
            </w:r>
          </w:p>
        </w:tc>
        <w:tc>
          <w:tcPr>
            <w:tcW w:w="2941" w:type="dxa"/>
            <w:shd w:val="clear" w:color="auto" w:fill="D1BFFD"/>
          </w:tcPr>
          <w:p w14:paraId="2DD18168" w14:textId="77777777" w:rsidR="003940A1" w:rsidRPr="00261A42" w:rsidRDefault="003940A1" w:rsidP="003940A1">
            <w:pPr>
              <w:pStyle w:val="TableText"/>
              <w:cnfStyle w:val="000000000000" w:firstRow="0" w:lastRow="0" w:firstColumn="0" w:lastColumn="0" w:oddVBand="0" w:evenVBand="0" w:oddHBand="0" w:evenHBand="0" w:firstRowFirstColumn="0" w:firstRowLastColumn="0" w:lastRowFirstColumn="0" w:lastRowLastColumn="0"/>
            </w:pPr>
          </w:p>
        </w:tc>
        <w:tc>
          <w:tcPr>
            <w:tcW w:w="3420" w:type="dxa"/>
            <w:shd w:val="clear" w:color="auto" w:fill="D1BFFD"/>
          </w:tcPr>
          <w:p w14:paraId="595E4DD1" w14:textId="77777777" w:rsidR="003940A1" w:rsidRPr="00261A42" w:rsidRDefault="003940A1" w:rsidP="003940A1">
            <w:pPr>
              <w:pStyle w:val="TableText"/>
              <w:cnfStyle w:val="000000000000" w:firstRow="0" w:lastRow="0" w:firstColumn="0" w:lastColumn="0" w:oddVBand="0" w:evenVBand="0" w:oddHBand="0" w:evenHBand="0" w:firstRowFirstColumn="0" w:firstRowLastColumn="0" w:lastRowFirstColumn="0" w:lastRowLastColumn="0"/>
            </w:pPr>
          </w:p>
        </w:tc>
      </w:tr>
      <w:tr w:rsidR="00B70AFF" w14:paraId="1D147930"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4977B6F7" w14:textId="77777777" w:rsidR="00B70AFF" w:rsidRPr="003940A1" w:rsidRDefault="00B70AFF" w:rsidP="003940A1">
            <w:pPr>
              <w:pStyle w:val="TableText"/>
              <w:rPr>
                <w:color w:val="auto"/>
              </w:rPr>
            </w:pPr>
            <w:r>
              <w:t>(a)</w:t>
            </w:r>
          </w:p>
        </w:tc>
        <w:tc>
          <w:tcPr>
            <w:tcW w:w="6210" w:type="dxa"/>
          </w:tcPr>
          <w:p w14:paraId="10B2F5F4" w14:textId="77777777" w:rsidR="00B70AFF" w:rsidRPr="003940A1" w:rsidRDefault="00B70AFF" w:rsidP="003940A1">
            <w:pPr>
              <w:pStyle w:val="TableText"/>
              <w:cnfStyle w:val="000000010000" w:firstRow="0" w:lastRow="0" w:firstColumn="0" w:lastColumn="0" w:oddVBand="0" w:evenVBand="0" w:oddHBand="0" w:evenHBand="1" w:firstRowFirstColumn="0" w:firstRowLastColumn="0" w:lastRowFirstColumn="0" w:lastRowLastColumn="0"/>
            </w:pPr>
            <w:r w:rsidRPr="003940A1">
              <w:t>Yes, more than 5 suitable substitute goods/services or suppliers exist</w:t>
            </w:r>
          </w:p>
        </w:tc>
        <w:tc>
          <w:tcPr>
            <w:tcW w:w="822" w:type="dxa"/>
          </w:tcPr>
          <w:p w14:paraId="3C924B69" w14:textId="77777777" w:rsidR="00B70AFF" w:rsidRPr="003940A1"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r w:rsidRPr="003940A1">
              <w:t>0</w:t>
            </w:r>
          </w:p>
        </w:tc>
        <w:tc>
          <w:tcPr>
            <w:tcW w:w="1007" w:type="dxa"/>
            <w:shd w:val="clear" w:color="auto" w:fill="D1BFFD"/>
          </w:tcPr>
          <w:p w14:paraId="5363D6B5" w14:textId="77777777" w:rsidR="00B70AFF" w:rsidRPr="003940A1"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p>
        </w:tc>
        <w:tc>
          <w:tcPr>
            <w:tcW w:w="2941" w:type="dxa"/>
            <w:vMerge w:val="restart"/>
          </w:tcPr>
          <w:p w14:paraId="3830B63F"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c>
          <w:tcPr>
            <w:tcW w:w="3420" w:type="dxa"/>
            <w:vMerge w:val="restart"/>
          </w:tcPr>
          <w:p w14:paraId="3FCC5638"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r>
      <w:tr w:rsidR="00B70AFF" w14:paraId="6144433A" w14:textId="77777777" w:rsidTr="00954D3D">
        <w:tc>
          <w:tcPr>
            <w:cnfStyle w:val="001000000000" w:firstRow="0" w:lastRow="0" w:firstColumn="1" w:lastColumn="0" w:oddVBand="0" w:evenVBand="0" w:oddHBand="0" w:evenHBand="0" w:firstRowFirstColumn="0" w:firstRowLastColumn="0" w:lastRowFirstColumn="0" w:lastRowLastColumn="0"/>
            <w:tcW w:w="464" w:type="dxa"/>
          </w:tcPr>
          <w:p w14:paraId="3579EDEC" w14:textId="77777777" w:rsidR="00B70AFF" w:rsidRPr="003940A1" w:rsidRDefault="00B70AFF" w:rsidP="003940A1">
            <w:pPr>
              <w:pStyle w:val="TableText"/>
              <w:rPr>
                <w:color w:val="auto"/>
              </w:rPr>
            </w:pPr>
            <w:r>
              <w:t>(b)</w:t>
            </w:r>
          </w:p>
        </w:tc>
        <w:tc>
          <w:tcPr>
            <w:tcW w:w="6210" w:type="dxa"/>
          </w:tcPr>
          <w:p w14:paraId="21A93527" w14:textId="77777777" w:rsidR="00B70AFF" w:rsidRPr="003940A1" w:rsidRDefault="00B70AFF" w:rsidP="003940A1">
            <w:pPr>
              <w:pStyle w:val="TableText"/>
              <w:cnfStyle w:val="000000000000" w:firstRow="0" w:lastRow="0" w:firstColumn="0" w:lastColumn="0" w:oddVBand="0" w:evenVBand="0" w:oddHBand="0" w:evenHBand="0" w:firstRowFirstColumn="0" w:firstRowLastColumn="0" w:lastRowFirstColumn="0" w:lastRowLastColumn="0"/>
            </w:pPr>
            <w:r w:rsidRPr="003940A1">
              <w:t>Yes, between 3 and 5 suitable substitute goods/services or suppliers exist</w:t>
            </w:r>
          </w:p>
        </w:tc>
        <w:tc>
          <w:tcPr>
            <w:tcW w:w="822" w:type="dxa"/>
          </w:tcPr>
          <w:p w14:paraId="7368D868" w14:textId="77777777" w:rsidR="00B70AFF" w:rsidRPr="003940A1"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r w:rsidRPr="003940A1">
              <w:t>3</w:t>
            </w:r>
          </w:p>
        </w:tc>
        <w:tc>
          <w:tcPr>
            <w:tcW w:w="1007" w:type="dxa"/>
            <w:shd w:val="clear" w:color="auto" w:fill="D1BFFD"/>
          </w:tcPr>
          <w:p w14:paraId="1842F350" w14:textId="77777777" w:rsidR="00B70AFF" w:rsidRPr="003940A1"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p>
        </w:tc>
        <w:tc>
          <w:tcPr>
            <w:tcW w:w="2941" w:type="dxa"/>
            <w:vMerge/>
          </w:tcPr>
          <w:p w14:paraId="5B7CFC55"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c>
          <w:tcPr>
            <w:tcW w:w="3420" w:type="dxa"/>
            <w:vMerge/>
          </w:tcPr>
          <w:p w14:paraId="64E93287"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r>
      <w:tr w:rsidR="00B70AFF" w14:paraId="087E417D"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12D3EE47" w14:textId="77777777" w:rsidR="00B70AFF" w:rsidRPr="003940A1" w:rsidRDefault="00B70AFF" w:rsidP="003940A1">
            <w:pPr>
              <w:pStyle w:val="TableText"/>
              <w:rPr>
                <w:color w:val="auto"/>
              </w:rPr>
            </w:pPr>
            <w:r>
              <w:lastRenderedPageBreak/>
              <w:t>(c)</w:t>
            </w:r>
          </w:p>
        </w:tc>
        <w:tc>
          <w:tcPr>
            <w:tcW w:w="6210" w:type="dxa"/>
          </w:tcPr>
          <w:p w14:paraId="6768C3FA" w14:textId="77777777" w:rsidR="00B70AFF" w:rsidRPr="003940A1" w:rsidRDefault="00E15C02" w:rsidP="003940A1">
            <w:pPr>
              <w:pStyle w:val="TableText"/>
              <w:cnfStyle w:val="000000010000" w:firstRow="0" w:lastRow="0" w:firstColumn="0" w:lastColumn="0" w:oddVBand="0" w:evenVBand="0" w:oddHBand="0" w:evenHBand="1" w:firstRowFirstColumn="0" w:firstRowLastColumn="0" w:lastRowFirstColumn="0" w:lastRowLastColumn="0"/>
            </w:pPr>
            <w:r>
              <w:t>Yes, however limited (&lt;3</w:t>
            </w:r>
            <w:r w:rsidR="00B70AFF" w:rsidRPr="003940A1">
              <w:t>) suitable substitute goods/services or suppliers exist</w:t>
            </w:r>
          </w:p>
        </w:tc>
        <w:tc>
          <w:tcPr>
            <w:tcW w:w="822" w:type="dxa"/>
          </w:tcPr>
          <w:p w14:paraId="393331C7" w14:textId="77777777" w:rsidR="00B70AFF" w:rsidRPr="003940A1"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r w:rsidRPr="003940A1">
              <w:t>6</w:t>
            </w:r>
          </w:p>
        </w:tc>
        <w:tc>
          <w:tcPr>
            <w:tcW w:w="1007" w:type="dxa"/>
            <w:shd w:val="clear" w:color="auto" w:fill="D1BFFD"/>
          </w:tcPr>
          <w:p w14:paraId="7C095E9B" w14:textId="77777777" w:rsidR="00B70AFF" w:rsidRPr="003940A1"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p>
        </w:tc>
        <w:tc>
          <w:tcPr>
            <w:tcW w:w="2941" w:type="dxa"/>
            <w:vMerge/>
          </w:tcPr>
          <w:p w14:paraId="0E7F4CCF"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c>
          <w:tcPr>
            <w:tcW w:w="3420" w:type="dxa"/>
            <w:vMerge/>
          </w:tcPr>
          <w:p w14:paraId="44B25546"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r>
      <w:tr w:rsidR="00B70AFF" w14:paraId="27C574F5" w14:textId="77777777" w:rsidTr="00954D3D">
        <w:tc>
          <w:tcPr>
            <w:cnfStyle w:val="001000000000" w:firstRow="0" w:lastRow="0" w:firstColumn="1" w:lastColumn="0" w:oddVBand="0" w:evenVBand="0" w:oddHBand="0" w:evenHBand="0" w:firstRowFirstColumn="0" w:firstRowLastColumn="0" w:lastRowFirstColumn="0" w:lastRowLastColumn="0"/>
            <w:tcW w:w="464" w:type="dxa"/>
          </w:tcPr>
          <w:p w14:paraId="6EA310D4" w14:textId="77777777" w:rsidR="00B70AFF" w:rsidRPr="003940A1" w:rsidRDefault="00B70AFF" w:rsidP="003940A1">
            <w:pPr>
              <w:pStyle w:val="TableText"/>
              <w:rPr>
                <w:color w:val="auto"/>
              </w:rPr>
            </w:pPr>
            <w:r>
              <w:t>(d)</w:t>
            </w:r>
          </w:p>
        </w:tc>
        <w:tc>
          <w:tcPr>
            <w:tcW w:w="6210" w:type="dxa"/>
          </w:tcPr>
          <w:p w14:paraId="00C98C9B" w14:textId="77777777" w:rsidR="00B70AFF" w:rsidRPr="003940A1" w:rsidRDefault="00B70AFF" w:rsidP="003940A1">
            <w:pPr>
              <w:pStyle w:val="TableText"/>
              <w:cnfStyle w:val="000000000000" w:firstRow="0" w:lastRow="0" w:firstColumn="0" w:lastColumn="0" w:oddVBand="0" w:evenVBand="0" w:oddHBand="0" w:evenHBand="0" w:firstRowFirstColumn="0" w:firstRowLastColumn="0" w:lastRowFirstColumn="0" w:lastRowLastColumn="0"/>
            </w:pPr>
            <w:r w:rsidRPr="003940A1">
              <w:t>No, only one suitable substitute good/service or supplier has been identified and qualified</w:t>
            </w:r>
          </w:p>
        </w:tc>
        <w:tc>
          <w:tcPr>
            <w:tcW w:w="822" w:type="dxa"/>
          </w:tcPr>
          <w:p w14:paraId="4F23C5E3" w14:textId="77777777" w:rsidR="00B70AFF" w:rsidRPr="003940A1"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r w:rsidRPr="003940A1">
              <w:t>9</w:t>
            </w:r>
          </w:p>
        </w:tc>
        <w:tc>
          <w:tcPr>
            <w:tcW w:w="1007" w:type="dxa"/>
            <w:shd w:val="clear" w:color="auto" w:fill="D1BFFD"/>
          </w:tcPr>
          <w:p w14:paraId="2A6B7C6B" w14:textId="77777777" w:rsidR="00B70AFF" w:rsidRPr="003940A1"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p>
        </w:tc>
        <w:tc>
          <w:tcPr>
            <w:tcW w:w="2941" w:type="dxa"/>
            <w:vMerge/>
          </w:tcPr>
          <w:p w14:paraId="7890E9D6"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c>
          <w:tcPr>
            <w:tcW w:w="3420" w:type="dxa"/>
            <w:vMerge/>
          </w:tcPr>
          <w:p w14:paraId="6A67B631"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r>
      <w:tr w:rsidR="00261A42" w:rsidRPr="00261A42" w14:paraId="06D8455A"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3" w:type="dxa"/>
            <w:gridSpan w:val="4"/>
            <w:shd w:val="clear" w:color="auto" w:fill="D1BFFD"/>
          </w:tcPr>
          <w:p w14:paraId="5D2497D8" w14:textId="77777777" w:rsidR="003940A1" w:rsidRPr="00261A42" w:rsidRDefault="003940A1" w:rsidP="003940A1">
            <w:pPr>
              <w:pStyle w:val="TableText"/>
              <w:rPr>
                <w:color w:val="auto"/>
              </w:rPr>
            </w:pPr>
            <w:r w:rsidRPr="00261A42">
              <w:rPr>
                <w:color w:val="auto"/>
              </w:rPr>
              <w:t>Would there be a significant interruption to the organisation’s core operations in the event of supplier default?</w:t>
            </w:r>
          </w:p>
        </w:tc>
        <w:tc>
          <w:tcPr>
            <w:tcW w:w="2941" w:type="dxa"/>
            <w:shd w:val="clear" w:color="auto" w:fill="D1BFFD"/>
          </w:tcPr>
          <w:p w14:paraId="5FE22630" w14:textId="77777777" w:rsidR="003940A1" w:rsidRPr="00261A42" w:rsidRDefault="003940A1" w:rsidP="003940A1">
            <w:pPr>
              <w:pStyle w:val="TableText"/>
              <w:cnfStyle w:val="000000010000" w:firstRow="0" w:lastRow="0" w:firstColumn="0" w:lastColumn="0" w:oddVBand="0" w:evenVBand="0" w:oddHBand="0" w:evenHBand="1" w:firstRowFirstColumn="0" w:firstRowLastColumn="0" w:lastRowFirstColumn="0" w:lastRowLastColumn="0"/>
            </w:pPr>
          </w:p>
        </w:tc>
        <w:tc>
          <w:tcPr>
            <w:tcW w:w="3420" w:type="dxa"/>
            <w:shd w:val="clear" w:color="auto" w:fill="D1BFFD"/>
          </w:tcPr>
          <w:p w14:paraId="01DFEEC9" w14:textId="77777777" w:rsidR="003940A1" w:rsidRPr="00261A42" w:rsidRDefault="003940A1" w:rsidP="003940A1">
            <w:pPr>
              <w:pStyle w:val="TableText"/>
              <w:cnfStyle w:val="000000010000" w:firstRow="0" w:lastRow="0" w:firstColumn="0" w:lastColumn="0" w:oddVBand="0" w:evenVBand="0" w:oddHBand="0" w:evenHBand="1" w:firstRowFirstColumn="0" w:firstRowLastColumn="0" w:lastRowFirstColumn="0" w:lastRowLastColumn="0"/>
            </w:pPr>
          </w:p>
        </w:tc>
      </w:tr>
      <w:tr w:rsidR="00B70AFF" w14:paraId="36BE58CA" w14:textId="77777777" w:rsidTr="00954D3D">
        <w:tc>
          <w:tcPr>
            <w:cnfStyle w:val="001000000000" w:firstRow="0" w:lastRow="0" w:firstColumn="1" w:lastColumn="0" w:oddVBand="0" w:evenVBand="0" w:oddHBand="0" w:evenHBand="0" w:firstRowFirstColumn="0" w:firstRowLastColumn="0" w:lastRowFirstColumn="0" w:lastRowLastColumn="0"/>
            <w:tcW w:w="464" w:type="dxa"/>
          </w:tcPr>
          <w:p w14:paraId="31E9473E" w14:textId="77777777" w:rsidR="00B70AFF" w:rsidRPr="003940A1" w:rsidRDefault="00B70AFF" w:rsidP="003940A1">
            <w:pPr>
              <w:pStyle w:val="TableText"/>
              <w:rPr>
                <w:color w:val="auto"/>
              </w:rPr>
            </w:pPr>
            <w:r>
              <w:t>(a)</w:t>
            </w:r>
          </w:p>
        </w:tc>
        <w:tc>
          <w:tcPr>
            <w:tcW w:w="6210" w:type="dxa"/>
          </w:tcPr>
          <w:p w14:paraId="5D5EF32C" w14:textId="77777777" w:rsidR="00B70AFF" w:rsidRPr="003940A1" w:rsidRDefault="00B70AFF" w:rsidP="003940A1">
            <w:pPr>
              <w:pStyle w:val="TableText"/>
              <w:cnfStyle w:val="000000000000" w:firstRow="0" w:lastRow="0" w:firstColumn="0" w:lastColumn="0" w:oddVBand="0" w:evenVBand="0" w:oddHBand="0" w:evenHBand="0" w:firstRowFirstColumn="0" w:firstRowLastColumn="0" w:lastRowFirstColumn="0" w:lastRowLastColumn="0"/>
            </w:pPr>
            <w:r w:rsidRPr="003940A1">
              <w:t xml:space="preserve">No, the transition time for an alternate supplier would be minimal or a back up supplier will be in place </w:t>
            </w:r>
          </w:p>
        </w:tc>
        <w:tc>
          <w:tcPr>
            <w:tcW w:w="822" w:type="dxa"/>
          </w:tcPr>
          <w:p w14:paraId="1EA3D1E4" w14:textId="77777777" w:rsidR="00B70AFF" w:rsidRPr="003940A1"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r w:rsidRPr="003940A1">
              <w:t>0</w:t>
            </w:r>
          </w:p>
        </w:tc>
        <w:tc>
          <w:tcPr>
            <w:tcW w:w="1007" w:type="dxa"/>
            <w:shd w:val="clear" w:color="auto" w:fill="D1BFFD"/>
          </w:tcPr>
          <w:p w14:paraId="0DB7CD08" w14:textId="77777777" w:rsidR="00B70AFF" w:rsidRPr="003940A1"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p>
        </w:tc>
        <w:tc>
          <w:tcPr>
            <w:tcW w:w="2941" w:type="dxa"/>
            <w:vMerge w:val="restart"/>
          </w:tcPr>
          <w:p w14:paraId="5F415E08"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c>
          <w:tcPr>
            <w:tcW w:w="3420" w:type="dxa"/>
            <w:vMerge w:val="restart"/>
          </w:tcPr>
          <w:p w14:paraId="69C14699"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r>
      <w:tr w:rsidR="00B70AFF" w14:paraId="70EDB70B"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3F6104DD" w14:textId="77777777" w:rsidR="00B70AFF" w:rsidRPr="003940A1" w:rsidRDefault="00B70AFF" w:rsidP="003940A1">
            <w:pPr>
              <w:pStyle w:val="TableText"/>
              <w:rPr>
                <w:color w:val="auto"/>
              </w:rPr>
            </w:pPr>
            <w:r>
              <w:t>(b)</w:t>
            </w:r>
          </w:p>
        </w:tc>
        <w:tc>
          <w:tcPr>
            <w:tcW w:w="6210" w:type="dxa"/>
          </w:tcPr>
          <w:p w14:paraId="08047711" w14:textId="77777777" w:rsidR="00B70AFF" w:rsidRPr="003940A1" w:rsidRDefault="00B70AFF" w:rsidP="003940A1">
            <w:pPr>
              <w:pStyle w:val="TableText"/>
              <w:cnfStyle w:val="000000010000" w:firstRow="0" w:lastRow="0" w:firstColumn="0" w:lastColumn="0" w:oddVBand="0" w:evenVBand="0" w:oddHBand="0" w:evenHBand="1" w:firstRowFirstColumn="0" w:firstRowLastColumn="0" w:lastRowFirstColumn="0" w:lastRowLastColumn="0"/>
            </w:pPr>
            <w:r w:rsidRPr="003940A1">
              <w:t xml:space="preserve">No, however there would be an acceptable transition time to engage an alternate supplier </w:t>
            </w:r>
          </w:p>
        </w:tc>
        <w:tc>
          <w:tcPr>
            <w:tcW w:w="822" w:type="dxa"/>
          </w:tcPr>
          <w:p w14:paraId="2E58866B" w14:textId="77777777" w:rsidR="00B70AFF" w:rsidRPr="003940A1"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r w:rsidRPr="003940A1">
              <w:t>5</w:t>
            </w:r>
          </w:p>
        </w:tc>
        <w:tc>
          <w:tcPr>
            <w:tcW w:w="1007" w:type="dxa"/>
            <w:shd w:val="clear" w:color="auto" w:fill="D1BFFD"/>
          </w:tcPr>
          <w:p w14:paraId="1529760A" w14:textId="77777777" w:rsidR="00B70AFF" w:rsidRPr="003940A1"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p>
        </w:tc>
        <w:tc>
          <w:tcPr>
            <w:tcW w:w="2941" w:type="dxa"/>
            <w:vMerge/>
          </w:tcPr>
          <w:p w14:paraId="72A215D4"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c>
          <w:tcPr>
            <w:tcW w:w="3420" w:type="dxa"/>
            <w:vMerge/>
          </w:tcPr>
          <w:p w14:paraId="4F2C48B2"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r>
      <w:tr w:rsidR="00B70AFF" w14:paraId="4CC44E39" w14:textId="77777777" w:rsidTr="00954D3D">
        <w:tc>
          <w:tcPr>
            <w:cnfStyle w:val="001000000000" w:firstRow="0" w:lastRow="0" w:firstColumn="1" w:lastColumn="0" w:oddVBand="0" w:evenVBand="0" w:oddHBand="0" w:evenHBand="0" w:firstRowFirstColumn="0" w:firstRowLastColumn="0" w:lastRowFirstColumn="0" w:lastRowLastColumn="0"/>
            <w:tcW w:w="464" w:type="dxa"/>
          </w:tcPr>
          <w:p w14:paraId="6A940DCA" w14:textId="77777777" w:rsidR="00B70AFF" w:rsidRPr="003940A1" w:rsidRDefault="00B70AFF" w:rsidP="003940A1">
            <w:pPr>
              <w:pStyle w:val="TableText"/>
              <w:rPr>
                <w:color w:val="auto"/>
              </w:rPr>
            </w:pPr>
            <w:r>
              <w:t>(c)</w:t>
            </w:r>
          </w:p>
        </w:tc>
        <w:tc>
          <w:tcPr>
            <w:tcW w:w="6210" w:type="dxa"/>
          </w:tcPr>
          <w:p w14:paraId="4CE1F4B2" w14:textId="77777777" w:rsidR="00B70AFF" w:rsidRPr="003940A1" w:rsidRDefault="00B70AFF" w:rsidP="003940A1">
            <w:pPr>
              <w:pStyle w:val="TableText"/>
              <w:cnfStyle w:val="000000000000" w:firstRow="0" w:lastRow="0" w:firstColumn="0" w:lastColumn="0" w:oddVBand="0" w:evenVBand="0" w:oddHBand="0" w:evenHBand="0" w:firstRowFirstColumn="0" w:firstRowLastColumn="0" w:lastRowFirstColumn="0" w:lastRowLastColumn="0"/>
            </w:pPr>
            <w:r w:rsidRPr="003940A1">
              <w:t xml:space="preserve">Yes, there would be an intermediate level of interruption to the organisation’s core operations, with a transition time to a new supplier </w:t>
            </w:r>
          </w:p>
        </w:tc>
        <w:tc>
          <w:tcPr>
            <w:tcW w:w="822" w:type="dxa"/>
          </w:tcPr>
          <w:p w14:paraId="1375233D" w14:textId="77777777" w:rsidR="00B70AFF" w:rsidRPr="003940A1"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r w:rsidRPr="003940A1">
              <w:t>10</w:t>
            </w:r>
          </w:p>
        </w:tc>
        <w:tc>
          <w:tcPr>
            <w:tcW w:w="1007" w:type="dxa"/>
            <w:shd w:val="clear" w:color="auto" w:fill="D1BFFD"/>
          </w:tcPr>
          <w:p w14:paraId="0FD59515" w14:textId="77777777" w:rsidR="00B70AFF" w:rsidRPr="003940A1"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p>
        </w:tc>
        <w:tc>
          <w:tcPr>
            <w:tcW w:w="2941" w:type="dxa"/>
            <w:vMerge/>
          </w:tcPr>
          <w:p w14:paraId="0FC509C5"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c>
          <w:tcPr>
            <w:tcW w:w="3420" w:type="dxa"/>
            <w:vMerge/>
          </w:tcPr>
          <w:p w14:paraId="15147474"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r>
      <w:tr w:rsidR="00B70AFF" w14:paraId="311867A8"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21F9B082" w14:textId="77777777" w:rsidR="00B70AFF" w:rsidRPr="003940A1" w:rsidRDefault="00B70AFF" w:rsidP="003940A1">
            <w:pPr>
              <w:pStyle w:val="TableText"/>
              <w:rPr>
                <w:color w:val="auto"/>
              </w:rPr>
            </w:pPr>
            <w:r>
              <w:t>(d)</w:t>
            </w:r>
          </w:p>
        </w:tc>
        <w:tc>
          <w:tcPr>
            <w:tcW w:w="6210" w:type="dxa"/>
          </w:tcPr>
          <w:p w14:paraId="02F52FDD" w14:textId="77777777" w:rsidR="00B70AFF" w:rsidRPr="003940A1" w:rsidRDefault="00B70AFF" w:rsidP="003940A1">
            <w:pPr>
              <w:pStyle w:val="TableText"/>
              <w:cnfStyle w:val="000000010000" w:firstRow="0" w:lastRow="0" w:firstColumn="0" w:lastColumn="0" w:oddVBand="0" w:evenVBand="0" w:oddHBand="0" w:evenHBand="1" w:firstRowFirstColumn="0" w:firstRowLastColumn="0" w:lastRowFirstColumn="0" w:lastRowLastColumn="0"/>
            </w:pPr>
            <w:r w:rsidRPr="003940A1">
              <w:t>Yes, there would be a significant interruption to the organisation’s core operations with a high transition time to an alternate supplier</w:t>
            </w:r>
          </w:p>
        </w:tc>
        <w:tc>
          <w:tcPr>
            <w:tcW w:w="822" w:type="dxa"/>
          </w:tcPr>
          <w:p w14:paraId="1339F373" w14:textId="77777777" w:rsidR="00B70AFF" w:rsidRPr="003940A1"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r w:rsidRPr="003940A1">
              <w:t>15</w:t>
            </w:r>
          </w:p>
        </w:tc>
        <w:tc>
          <w:tcPr>
            <w:tcW w:w="1007" w:type="dxa"/>
            <w:shd w:val="clear" w:color="auto" w:fill="D1BFFD"/>
          </w:tcPr>
          <w:p w14:paraId="313D452B" w14:textId="77777777" w:rsidR="00B70AFF" w:rsidRPr="003940A1"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p>
        </w:tc>
        <w:tc>
          <w:tcPr>
            <w:tcW w:w="2941" w:type="dxa"/>
            <w:vMerge/>
          </w:tcPr>
          <w:p w14:paraId="16934A8E"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c>
          <w:tcPr>
            <w:tcW w:w="3420" w:type="dxa"/>
            <w:vMerge/>
          </w:tcPr>
          <w:p w14:paraId="2B9FEB73"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r>
      <w:tr w:rsidR="00261A42" w:rsidRPr="00261A42" w14:paraId="44458ADB" w14:textId="77777777" w:rsidTr="00954D3D">
        <w:tc>
          <w:tcPr>
            <w:cnfStyle w:val="001000000000" w:firstRow="0" w:lastRow="0" w:firstColumn="1" w:lastColumn="0" w:oddVBand="0" w:evenVBand="0" w:oddHBand="0" w:evenHBand="0" w:firstRowFirstColumn="0" w:firstRowLastColumn="0" w:lastRowFirstColumn="0" w:lastRowLastColumn="0"/>
            <w:tcW w:w="8503" w:type="dxa"/>
            <w:gridSpan w:val="4"/>
            <w:shd w:val="clear" w:color="auto" w:fill="D1BFFD"/>
          </w:tcPr>
          <w:p w14:paraId="104D5972" w14:textId="77777777" w:rsidR="003940A1" w:rsidRPr="00261A42" w:rsidRDefault="003940A1" w:rsidP="003940A1">
            <w:pPr>
              <w:pStyle w:val="TableText"/>
              <w:rPr>
                <w:color w:val="auto"/>
              </w:rPr>
            </w:pPr>
            <w:r w:rsidRPr="00261A42">
              <w:rPr>
                <w:color w:val="auto"/>
              </w:rPr>
              <w:t>Will the Government’s purchase/s impact the market?</w:t>
            </w:r>
          </w:p>
        </w:tc>
        <w:tc>
          <w:tcPr>
            <w:tcW w:w="2941" w:type="dxa"/>
            <w:shd w:val="clear" w:color="auto" w:fill="D1BFFD"/>
          </w:tcPr>
          <w:p w14:paraId="026D33D9" w14:textId="77777777" w:rsidR="003940A1" w:rsidRPr="00261A42" w:rsidRDefault="003940A1" w:rsidP="003940A1">
            <w:pPr>
              <w:pStyle w:val="TableText"/>
              <w:cnfStyle w:val="000000000000" w:firstRow="0" w:lastRow="0" w:firstColumn="0" w:lastColumn="0" w:oddVBand="0" w:evenVBand="0" w:oddHBand="0" w:evenHBand="0" w:firstRowFirstColumn="0" w:firstRowLastColumn="0" w:lastRowFirstColumn="0" w:lastRowLastColumn="0"/>
            </w:pPr>
          </w:p>
        </w:tc>
        <w:tc>
          <w:tcPr>
            <w:tcW w:w="3420" w:type="dxa"/>
            <w:shd w:val="clear" w:color="auto" w:fill="D1BFFD"/>
          </w:tcPr>
          <w:p w14:paraId="326ABF9C" w14:textId="77777777" w:rsidR="003940A1" w:rsidRPr="00261A42" w:rsidRDefault="003940A1" w:rsidP="003940A1">
            <w:pPr>
              <w:pStyle w:val="TableText"/>
              <w:cnfStyle w:val="000000000000" w:firstRow="0" w:lastRow="0" w:firstColumn="0" w:lastColumn="0" w:oddVBand="0" w:evenVBand="0" w:oddHBand="0" w:evenHBand="0" w:firstRowFirstColumn="0" w:firstRowLastColumn="0" w:lastRowFirstColumn="0" w:lastRowLastColumn="0"/>
            </w:pPr>
          </w:p>
        </w:tc>
      </w:tr>
      <w:tr w:rsidR="00B70AFF" w14:paraId="4364C3B8"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3AECD378" w14:textId="77777777" w:rsidR="00B70AFF" w:rsidRPr="003940A1" w:rsidRDefault="00B70AFF" w:rsidP="003940A1">
            <w:pPr>
              <w:pStyle w:val="TableText"/>
              <w:rPr>
                <w:color w:val="auto"/>
              </w:rPr>
            </w:pPr>
            <w:r>
              <w:t>(a)</w:t>
            </w:r>
          </w:p>
        </w:tc>
        <w:tc>
          <w:tcPr>
            <w:tcW w:w="6210" w:type="dxa"/>
          </w:tcPr>
          <w:p w14:paraId="2A796941" w14:textId="77777777" w:rsidR="00B70AFF" w:rsidRPr="003940A1" w:rsidRDefault="00B70AFF" w:rsidP="003940A1">
            <w:pPr>
              <w:pStyle w:val="TableText"/>
              <w:cnfStyle w:val="000000010000" w:firstRow="0" w:lastRow="0" w:firstColumn="0" w:lastColumn="0" w:oddVBand="0" w:evenVBand="0" w:oddHBand="0" w:evenHBand="1" w:firstRowFirstColumn="0" w:firstRowLastColumn="0" w:lastRowFirstColumn="0" w:lastRowLastColumn="0"/>
            </w:pPr>
            <w:r w:rsidRPr="003940A1">
              <w:t xml:space="preserve">No, the purchase/s will not be material to the market </w:t>
            </w:r>
          </w:p>
        </w:tc>
        <w:tc>
          <w:tcPr>
            <w:tcW w:w="822" w:type="dxa"/>
          </w:tcPr>
          <w:p w14:paraId="0EC7A11B" w14:textId="77777777" w:rsidR="00B70AFF" w:rsidRPr="003940A1"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r w:rsidRPr="003940A1">
              <w:t>0</w:t>
            </w:r>
          </w:p>
        </w:tc>
        <w:tc>
          <w:tcPr>
            <w:tcW w:w="1007" w:type="dxa"/>
            <w:shd w:val="clear" w:color="auto" w:fill="D1BFFD"/>
          </w:tcPr>
          <w:p w14:paraId="1B7C4F05" w14:textId="77777777" w:rsidR="00B70AFF" w:rsidRPr="003940A1"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p>
        </w:tc>
        <w:tc>
          <w:tcPr>
            <w:tcW w:w="2941" w:type="dxa"/>
            <w:vMerge w:val="restart"/>
          </w:tcPr>
          <w:p w14:paraId="0AF02DDD"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c>
          <w:tcPr>
            <w:tcW w:w="3420" w:type="dxa"/>
            <w:vMerge w:val="restart"/>
          </w:tcPr>
          <w:p w14:paraId="3B1C2FDB"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r>
      <w:tr w:rsidR="00B70AFF" w14:paraId="2EDB0F19" w14:textId="77777777" w:rsidTr="00954D3D">
        <w:tc>
          <w:tcPr>
            <w:cnfStyle w:val="001000000000" w:firstRow="0" w:lastRow="0" w:firstColumn="1" w:lastColumn="0" w:oddVBand="0" w:evenVBand="0" w:oddHBand="0" w:evenHBand="0" w:firstRowFirstColumn="0" w:firstRowLastColumn="0" w:lastRowFirstColumn="0" w:lastRowLastColumn="0"/>
            <w:tcW w:w="464" w:type="dxa"/>
          </w:tcPr>
          <w:p w14:paraId="0BB5378C" w14:textId="77777777" w:rsidR="00B70AFF" w:rsidRPr="003940A1" w:rsidRDefault="00B70AFF" w:rsidP="003940A1">
            <w:pPr>
              <w:pStyle w:val="TableText"/>
              <w:rPr>
                <w:color w:val="auto"/>
              </w:rPr>
            </w:pPr>
            <w:r>
              <w:t>(b)</w:t>
            </w:r>
          </w:p>
        </w:tc>
        <w:tc>
          <w:tcPr>
            <w:tcW w:w="6210" w:type="dxa"/>
          </w:tcPr>
          <w:p w14:paraId="4220B732" w14:textId="77777777" w:rsidR="00B70AFF" w:rsidRPr="003940A1" w:rsidRDefault="00B70AFF" w:rsidP="003940A1">
            <w:pPr>
              <w:pStyle w:val="TableText"/>
              <w:cnfStyle w:val="000000000000" w:firstRow="0" w:lastRow="0" w:firstColumn="0" w:lastColumn="0" w:oddVBand="0" w:evenVBand="0" w:oddHBand="0" w:evenHBand="0" w:firstRowFirstColumn="0" w:firstRowLastColumn="0" w:lastRowFirstColumn="0" w:lastRowLastColumn="0"/>
            </w:pPr>
            <w:r w:rsidRPr="003940A1">
              <w:t xml:space="preserve">No, the procurement will be material to the market but will not impact the competitive landscape </w:t>
            </w:r>
          </w:p>
        </w:tc>
        <w:tc>
          <w:tcPr>
            <w:tcW w:w="822" w:type="dxa"/>
          </w:tcPr>
          <w:p w14:paraId="7C20E1FC" w14:textId="77777777" w:rsidR="00B70AFF" w:rsidRPr="003940A1"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r w:rsidRPr="003940A1">
              <w:t>2</w:t>
            </w:r>
          </w:p>
        </w:tc>
        <w:tc>
          <w:tcPr>
            <w:tcW w:w="1007" w:type="dxa"/>
            <w:shd w:val="clear" w:color="auto" w:fill="D1BFFD"/>
          </w:tcPr>
          <w:p w14:paraId="148A852C" w14:textId="77777777" w:rsidR="00B70AFF" w:rsidRPr="003940A1"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p>
        </w:tc>
        <w:tc>
          <w:tcPr>
            <w:tcW w:w="2941" w:type="dxa"/>
            <w:vMerge/>
          </w:tcPr>
          <w:p w14:paraId="2123AFF2"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c>
          <w:tcPr>
            <w:tcW w:w="3420" w:type="dxa"/>
            <w:vMerge/>
          </w:tcPr>
          <w:p w14:paraId="71218AE9"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r>
      <w:tr w:rsidR="00B70AFF" w14:paraId="1BD709FD"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24DEEEB3" w14:textId="77777777" w:rsidR="00B70AFF" w:rsidRPr="003940A1" w:rsidRDefault="00B70AFF" w:rsidP="00B70AFF">
            <w:pPr>
              <w:pStyle w:val="TableText"/>
              <w:rPr>
                <w:color w:val="auto"/>
              </w:rPr>
            </w:pPr>
            <w:r>
              <w:t>(c)</w:t>
            </w:r>
          </w:p>
        </w:tc>
        <w:tc>
          <w:tcPr>
            <w:tcW w:w="6210" w:type="dxa"/>
          </w:tcPr>
          <w:p w14:paraId="177820D9" w14:textId="77777777" w:rsidR="00B70AFF" w:rsidRPr="003940A1" w:rsidRDefault="00B70AFF" w:rsidP="003940A1">
            <w:pPr>
              <w:pStyle w:val="TableText"/>
              <w:cnfStyle w:val="000000010000" w:firstRow="0" w:lastRow="0" w:firstColumn="0" w:lastColumn="0" w:oddVBand="0" w:evenVBand="0" w:oddHBand="0" w:evenHBand="1" w:firstRowFirstColumn="0" w:firstRowLastColumn="0" w:lastRowFirstColumn="0" w:lastRowLastColumn="0"/>
            </w:pPr>
            <w:r w:rsidRPr="003940A1">
              <w:t xml:space="preserve">Yes, the procurement has potential to significantly impact the market and may result in a reduction in competition between existing vendors </w:t>
            </w:r>
          </w:p>
        </w:tc>
        <w:tc>
          <w:tcPr>
            <w:tcW w:w="822" w:type="dxa"/>
          </w:tcPr>
          <w:p w14:paraId="7690D3CF" w14:textId="77777777" w:rsidR="00B70AFF" w:rsidRPr="003940A1"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r w:rsidRPr="003940A1">
              <w:t>4</w:t>
            </w:r>
          </w:p>
        </w:tc>
        <w:tc>
          <w:tcPr>
            <w:tcW w:w="1007" w:type="dxa"/>
            <w:shd w:val="clear" w:color="auto" w:fill="D1BFFD"/>
          </w:tcPr>
          <w:p w14:paraId="2D1AA822" w14:textId="77777777" w:rsidR="00B70AFF" w:rsidRPr="003940A1"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p>
        </w:tc>
        <w:tc>
          <w:tcPr>
            <w:tcW w:w="2941" w:type="dxa"/>
            <w:vMerge/>
          </w:tcPr>
          <w:p w14:paraId="72B0E49C"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c>
          <w:tcPr>
            <w:tcW w:w="3420" w:type="dxa"/>
            <w:vMerge/>
          </w:tcPr>
          <w:p w14:paraId="073F20B9"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r>
      <w:tr w:rsidR="00B70AFF" w14:paraId="4FC9E79B" w14:textId="77777777" w:rsidTr="00954D3D">
        <w:tc>
          <w:tcPr>
            <w:cnfStyle w:val="001000000000" w:firstRow="0" w:lastRow="0" w:firstColumn="1" w:lastColumn="0" w:oddVBand="0" w:evenVBand="0" w:oddHBand="0" w:evenHBand="0" w:firstRowFirstColumn="0" w:firstRowLastColumn="0" w:lastRowFirstColumn="0" w:lastRowLastColumn="0"/>
            <w:tcW w:w="464" w:type="dxa"/>
          </w:tcPr>
          <w:p w14:paraId="23A6EBE7" w14:textId="77777777" w:rsidR="00B70AFF" w:rsidRPr="003940A1" w:rsidRDefault="00B70AFF" w:rsidP="003940A1">
            <w:pPr>
              <w:pStyle w:val="TableText"/>
              <w:rPr>
                <w:color w:val="auto"/>
              </w:rPr>
            </w:pPr>
            <w:r>
              <w:t>(d)</w:t>
            </w:r>
          </w:p>
        </w:tc>
        <w:tc>
          <w:tcPr>
            <w:tcW w:w="6210" w:type="dxa"/>
          </w:tcPr>
          <w:p w14:paraId="55B4D136" w14:textId="77777777" w:rsidR="00B70AFF" w:rsidRPr="003940A1" w:rsidRDefault="00B70AFF" w:rsidP="003940A1">
            <w:pPr>
              <w:pStyle w:val="TableText"/>
              <w:cnfStyle w:val="000000000000" w:firstRow="0" w:lastRow="0" w:firstColumn="0" w:lastColumn="0" w:oddVBand="0" w:evenVBand="0" w:oddHBand="0" w:evenHBand="0" w:firstRowFirstColumn="0" w:firstRowLastColumn="0" w:lastRowFirstColumn="0" w:lastRowLastColumn="0"/>
            </w:pPr>
            <w:r w:rsidRPr="003940A1">
              <w:t xml:space="preserve">Yes, the procurement is likely to result in the creation of a monopoly or potential market power by government  </w:t>
            </w:r>
          </w:p>
        </w:tc>
        <w:tc>
          <w:tcPr>
            <w:tcW w:w="822" w:type="dxa"/>
          </w:tcPr>
          <w:p w14:paraId="14CAEBB9" w14:textId="77777777" w:rsidR="00B70AFF" w:rsidRPr="003940A1"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r w:rsidRPr="003940A1">
              <w:t>6</w:t>
            </w:r>
          </w:p>
        </w:tc>
        <w:tc>
          <w:tcPr>
            <w:tcW w:w="1007" w:type="dxa"/>
            <w:shd w:val="clear" w:color="auto" w:fill="D1BFFD"/>
          </w:tcPr>
          <w:p w14:paraId="47C1C949" w14:textId="77777777" w:rsidR="00B70AFF" w:rsidRPr="003940A1"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p>
        </w:tc>
        <w:tc>
          <w:tcPr>
            <w:tcW w:w="2941" w:type="dxa"/>
            <w:vMerge/>
          </w:tcPr>
          <w:p w14:paraId="7053CE62"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c>
          <w:tcPr>
            <w:tcW w:w="3420" w:type="dxa"/>
            <w:vMerge/>
          </w:tcPr>
          <w:p w14:paraId="5A216FC6"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r>
      <w:tr w:rsidR="00261A42" w:rsidRPr="00261A42" w14:paraId="0DDC1D98"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3" w:type="dxa"/>
            <w:gridSpan w:val="4"/>
            <w:shd w:val="clear" w:color="auto" w:fill="D1BFFD"/>
          </w:tcPr>
          <w:p w14:paraId="0FC6F5A3" w14:textId="77777777" w:rsidR="003940A1" w:rsidRPr="00261A42" w:rsidRDefault="003940A1" w:rsidP="003940A1">
            <w:pPr>
              <w:pStyle w:val="TableText"/>
              <w:rPr>
                <w:color w:val="auto"/>
              </w:rPr>
            </w:pPr>
            <w:r w:rsidRPr="00261A42">
              <w:rPr>
                <w:color w:val="auto"/>
              </w:rPr>
              <w:t xml:space="preserve">Are there </w:t>
            </w:r>
            <w:r w:rsidR="003A647C">
              <w:rPr>
                <w:color w:val="auto"/>
              </w:rPr>
              <w:t>Australia and New Zealand small to medium</w:t>
            </w:r>
            <w:r w:rsidR="00092D35">
              <w:rPr>
                <w:color w:val="auto"/>
              </w:rPr>
              <w:t xml:space="preserve"> size</w:t>
            </w:r>
            <w:r w:rsidR="003A647C">
              <w:rPr>
                <w:color w:val="auto"/>
              </w:rPr>
              <w:t xml:space="preserve"> enterprise (SME) </w:t>
            </w:r>
            <w:r w:rsidRPr="00261A42">
              <w:rPr>
                <w:color w:val="auto"/>
              </w:rPr>
              <w:t xml:space="preserve">considerations with this purchase? E.g. recognise the impact of suppliers on participation by </w:t>
            </w:r>
            <w:r w:rsidR="003A647C">
              <w:rPr>
                <w:color w:val="auto"/>
              </w:rPr>
              <w:t>SMEs</w:t>
            </w:r>
            <w:r w:rsidRPr="00261A42">
              <w:rPr>
                <w:color w:val="auto"/>
              </w:rPr>
              <w:t>.</w:t>
            </w:r>
          </w:p>
        </w:tc>
        <w:tc>
          <w:tcPr>
            <w:tcW w:w="2941" w:type="dxa"/>
            <w:shd w:val="clear" w:color="auto" w:fill="D1BFFD"/>
          </w:tcPr>
          <w:p w14:paraId="5ECA16E6" w14:textId="77777777" w:rsidR="003940A1" w:rsidRPr="00261A42" w:rsidRDefault="003940A1" w:rsidP="003940A1">
            <w:pPr>
              <w:pStyle w:val="TableText"/>
              <w:cnfStyle w:val="000000010000" w:firstRow="0" w:lastRow="0" w:firstColumn="0" w:lastColumn="0" w:oddVBand="0" w:evenVBand="0" w:oddHBand="0" w:evenHBand="1" w:firstRowFirstColumn="0" w:firstRowLastColumn="0" w:lastRowFirstColumn="0" w:lastRowLastColumn="0"/>
            </w:pPr>
          </w:p>
        </w:tc>
        <w:tc>
          <w:tcPr>
            <w:tcW w:w="3420" w:type="dxa"/>
            <w:shd w:val="clear" w:color="auto" w:fill="D1BFFD"/>
          </w:tcPr>
          <w:p w14:paraId="09DD6799" w14:textId="77777777" w:rsidR="003940A1" w:rsidRPr="00261A42" w:rsidRDefault="003940A1" w:rsidP="003940A1">
            <w:pPr>
              <w:pStyle w:val="TableText"/>
              <w:cnfStyle w:val="000000010000" w:firstRow="0" w:lastRow="0" w:firstColumn="0" w:lastColumn="0" w:oddVBand="0" w:evenVBand="0" w:oddHBand="0" w:evenHBand="1" w:firstRowFirstColumn="0" w:firstRowLastColumn="0" w:lastRowFirstColumn="0" w:lastRowLastColumn="0"/>
            </w:pPr>
          </w:p>
        </w:tc>
      </w:tr>
      <w:tr w:rsidR="00B70AFF" w14:paraId="6F89DBB7" w14:textId="77777777" w:rsidTr="00954D3D">
        <w:tc>
          <w:tcPr>
            <w:cnfStyle w:val="001000000000" w:firstRow="0" w:lastRow="0" w:firstColumn="1" w:lastColumn="0" w:oddVBand="0" w:evenVBand="0" w:oddHBand="0" w:evenHBand="0" w:firstRowFirstColumn="0" w:firstRowLastColumn="0" w:lastRowFirstColumn="0" w:lastRowLastColumn="0"/>
            <w:tcW w:w="464" w:type="dxa"/>
          </w:tcPr>
          <w:p w14:paraId="50680EDC" w14:textId="77777777" w:rsidR="00B70AFF" w:rsidRPr="003940A1" w:rsidRDefault="00B70AFF" w:rsidP="003940A1">
            <w:pPr>
              <w:pStyle w:val="TableText"/>
              <w:rPr>
                <w:color w:val="auto"/>
              </w:rPr>
            </w:pPr>
            <w:r>
              <w:t>(a)</w:t>
            </w:r>
          </w:p>
        </w:tc>
        <w:tc>
          <w:tcPr>
            <w:tcW w:w="6210" w:type="dxa"/>
          </w:tcPr>
          <w:p w14:paraId="430EE211" w14:textId="77777777" w:rsidR="00B70AFF" w:rsidRPr="003940A1" w:rsidRDefault="00B70AFF" w:rsidP="003940A1">
            <w:pPr>
              <w:pStyle w:val="TableText"/>
              <w:cnfStyle w:val="000000000000" w:firstRow="0" w:lastRow="0" w:firstColumn="0" w:lastColumn="0" w:oddVBand="0" w:evenVBand="0" w:oddHBand="0" w:evenHBand="0" w:firstRowFirstColumn="0" w:firstRowLastColumn="0" w:lastRowFirstColumn="0" w:lastRowLastColumn="0"/>
            </w:pPr>
            <w:r w:rsidRPr="003940A1">
              <w:t>No, international suppliers are an established part of the market or the market is not currently attractive to international suppliers</w:t>
            </w:r>
          </w:p>
        </w:tc>
        <w:tc>
          <w:tcPr>
            <w:tcW w:w="822" w:type="dxa"/>
          </w:tcPr>
          <w:p w14:paraId="2D037F58" w14:textId="77777777" w:rsidR="00B70AFF" w:rsidRPr="003940A1"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r w:rsidRPr="003940A1">
              <w:t>0</w:t>
            </w:r>
          </w:p>
        </w:tc>
        <w:tc>
          <w:tcPr>
            <w:tcW w:w="1007" w:type="dxa"/>
            <w:shd w:val="clear" w:color="auto" w:fill="D1BFFD"/>
          </w:tcPr>
          <w:p w14:paraId="7A390C49" w14:textId="77777777" w:rsidR="00B70AFF" w:rsidRPr="003940A1" w:rsidRDefault="00B70AFF" w:rsidP="003940A1">
            <w:pPr>
              <w:pStyle w:val="TableText"/>
              <w:jc w:val="center"/>
              <w:cnfStyle w:val="000000000000" w:firstRow="0" w:lastRow="0" w:firstColumn="0" w:lastColumn="0" w:oddVBand="0" w:evenVBand="0" w:oddHBand="0" w:evenHBand="0" w:firstRowFirstColumn="0" w:firstRowLastColumn="0" w:lastRowFirstColumn="0" w:lastRowLastColumn="0"/>
            </w:pPr>
          </w:p>
        </w:tc>
        <w:tc>
          <w:tcPr>
            <w:tcW w:w="2941" w:type="dxa"/>
            <w:vMerge w:val="restart"/>
          </w:tcPr>
          <w:p w14:paraId="79994AFF"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c>
          <w:tcPr>
            <w:tcW w:w="3420" w:type="dxa"/>
            <w:vMerge w:val="restart"/>
          </w:tcPr>
          <w:p w14:paraId="08DF09DB" w14:textId="77777777" w:rsidR="00B70AFF" w:rsidRDefault="00B70AFF" w:rsidP="003940A1">
            <w:pPr>
              <w:pStyle w:val="TableText"/>
              <w:cnfStyle w:val="000000000000" w:firstRow="0" w:lastRow="0" w:firstColumn="0" w:lastColumn="0" w:oddVBand="0" w:evenVBand="0" w:oddHBand="0" w:evenHBand="0" w:firstRowFirstColumn="0" w:firstRowLastColumn="0" w:lastRowFirstColumn="0" w:lastRowLastColumn="0"/>
            </w:pPr>
          </w:p>
        </w:tc>
      </w:tr>
      <w:tr w:rsidR="00B70AFF" w14:paraId="3E5676CF"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16BEEE6C" w14:textId="77777777" w:rsidR="00B70AFF" w:rsidRPr="003940A1" w:rsidRDefault="00B70AFF" w:rsidP="003940A1">
            <w:pPr>
              <w:pStyle w:val="TableText"/>
              <w:rPr>
                <w:color w:val="auto"/>
              </w:rPr>
            </w:pPr>
            <w:r>
              <w:lastRenderedPageBreak/>
              <w:t>(b)</w:t>
            </w:r>
          </w:p>
        </w:tc>
        <w:tc>
          <w:tcPr>
            <w:tcW w:w="6210" w:type="dxa"/>
          </w:tcPr>
          <w:p w14:paraId="35CD714A" w14:textId="77777777" w:rsidR="00B70AFF" w:rsidRPr="003940A1" w:rsidRDefault="00B70AFF" w:rsidP="003940A1">
            <w:pPr>
              <w:pStyle w:val="TableText"/>
              <w:cnfStyle w:val="000000010000" w:firstRow="0" w:lastRow="0" w:firstColumn="0" w:lastColumn="0" w:oddVBand="0" w:evenVBand="0" w:oddHBand="0" w:evenHBand="1" w:firstRowFirstColumn="0" w:firstRowLastColumn="0" w:lastRowFirstColumn="0" w:lastRowLastColumn="0"/>
            </w:pPr>
            <w:r w:rsidRPr="003940A1">
              <w:t>Yes, changes to the level of international market participation will impact local suppliers</w:t>
            </w:r>
          </w:p>
        </w:tc>
        <w:tc>
          <w:tcPr>
            <w:tcW w:w="822" w:type="dxa"/>
          </w:tcPr>
          <w:p w14:paraId="257FE55F" w14:textId="77777777" w:rsidR="00B70AFF" w:rsidRPr="003940A1"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r w:rsidRPr="003940A1">
              <w:t>6</w:t>
            </w:r>
          </w:p>
        </w:tc>
        <w:tc>
          <w:tcPr>
            <w:tcW w:w="1007" w:type="dxa"/>
            <w:shd w:val="clear" w:color="auto" w:fill="D1BFFD"/>
          </w:tcPr>
          <w:p w14:paraId="368F3DE9" w14:textId="77777777" w:rsidR="00B70AFF" w:rsidRPr="003940A1" w:rsidRDefault="00B70AFF" w:rsidP="003940A1">
            <w:pPr>
              <w:pStyle w:val="TableText"/>
              <w:jc w:val="center"/>
              <w:cnfStyle w:val="000000010000" w:firstRow="0" w:lastRow="0" w:firstColumn="0" w:lastColumn="0" w:oddVBand="0" w:evenVBand="0" w:oddHBand="0" w:evenHBand="1" w:firstRowFirstColumn="0" w:firstRowLastColumn="0" w:lastRowFirstColumn="0" w:lastRowLastColumn="0"/>
            </w:pPr>
          </w:p>
        </w:tc>
        <w:tc>
          <w:tcPr>
            <w:tcW w:w="2941" w:type="dxa"/>
            <w:vMerge/>
          </w:tcPr>
          <w:p w14:paraId="3046E9AA"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c>
          <w:tcPr>
            <w:tcW w:w="3420" w:type="dxa"/>
            <w:vMerge/>
          </w:tcPr>
          <w:p w14:paraId="2B7EE651" w14:textId="77777777" w:rsidR="00B70AFF" w:rsidRDefault="00B70AFF" w:rsidP="003940A1">
            <w:pPr>
              <w:pStyle w:val="TableText"/>
              <w:cnfStyle w:val="000000010000" w:firstRow="0" w:lastRow="0" w:firstColumn="0" w:lastColumn="0" w:oddVBand="0" w:evenVBand="0" w:oddHBand="0" w:evenHBand="1" w:firstRowFirstColumn="0" w:firstRowLastColumn="0" w:lastRowFirstColumn="0" w:lastRowLastColumn="0"/>
            </w:pPr>
          </w:p>
        </w:tc>
      </w:tr>
      <w:tr w:rsidR="003940A1" w14:paraId="58EB7980" w14:textId="77777777" w:rsidTr="00954D3D">
        <w:tc>
          <w:tcPr>
            <w:cnfStyle w:val="001000000000" w:firstRow="0" w:lastRow="0" w:firstColumn="1" w:lastColumn="0" w:oddVBand="0" w:evenVBand="0" w:oddHBand="0" w:evenHBand="0" w:firstRowFirstColumn="0" w:firstRowLastColumn="0" w:lastRowFirstColumn="0" w:lastRowLastColumn="0"/>
            <w:tcW w:w="7496" w:type="dxa"/>
            <w:gridSpan w:val="3"/>
            <w:shd w:val="clear" w:color="auto" w:fill="D1BFFD"/>
          </w:tcPr>
          <w:p w14:paraId="1618C4AF" w14:textId="77777777" w:rsidR="003940A1" w:rsidRPr="003940A1" w:rsidRDefault="003940A1" w:rsidP="003940A1">
            <w:pPr>
              <w:pStyle w:val="TableText"/>
              <w:rPr>
                <w:b/>
              </w:rPr>
            </w:pPr>
            <w:r w:rsidRPr="003940A1">
              <w:rPr>
                <w:b/>
                <w:color w:val="auto"/>
                <w:szCs w:val="20"/>
              </w:rPr>
              <w:t>Total X axis score (out of 60)</w:t>
            </w:r>
          </w:p>
        </w:tc>
        <w:tc>
          <w:tcPr>
            <w:tcW w:w="1007" w:type="dxa"/>
            <w:shd w:val="clear" w:color="auto" w:fill="D1BFFD"/>
          </w:tcPr>
          <w:p w14:paraId="4F3E2D1D" w14:textId="77777777" w:rsidR="003940A1" w:rsidRPr="003940A1" w:rsidRDefault="003940A1" w:rsidP="003940A1">
            <w:pPr>
              <w:pStyle w:val="TableText"/>
              <w:jc w:val="center"/>
              <w:cnfStyle w:val="000000000000" w:firstRow="0" w:lastRow="0" w:firstColumn="0" w:lastColumn="0" w:oddVBand="0" w:evenVBand="0" w:oddHBand="0" w:evenHBand="0" w:firstRowFirstColumn="0" w:firstRowLastColumn="0" w:lastRowFirstColumn="0" w:lastRowLastColumn="0"/>
            </w:pPr>
          </w:p>
        </w:tc>
        <w:tc>
          <w:tcPr>
            <w:tcW w:w="2941" w:type="dxa"/>
            <w:shd w:val="clear" w:color="auto" w:fill="D1BFFD"/>
          </w:tcPr>
          <w:p w14:paraId="1F558C93" w14:textId="77777777" w:rsidR="003940A1" w:rsidRDefault="003940A1" w:rsidP="003940A1">
            <w:pPr>
              <w:pStyle w:val="TableText"/>
              <w:cnfStyle w:val="000000000000" w:firstRow="0" w:lastRow="0" w:firstColumn="0" w:lastColumn="0" w:oddVBand="0" w:evenVBand="0" w:oddHBand="0" w:evenHBand="0" w:firstRowFirstColumn="0" w:firstRowLastColumn="0" w:lastRowFirstColumn="0" w:lastRowLastColumn="0"/>
            </w:pPr>
          </w:p>
        </w:tc>
        <w:tc>
          <w:tcPr>
            <w:tcW w:w="3420" w:type="dxa"/>
            <w:shd w:val="clear" w:color="auto" w:fill="D1BFFD"/>
          </w:tcPr>
          <w:p w14:paraId="2FFEB17B" w14:textId="77777777" w:rsidR="003940A1" w:rsidRDefault="003940A1" w:rsidP="003940A1">
            <w:pPr>
              <w:pStyle w:val="TableText"/>
              <w:cnfStyle w:val="000000000000" w:firstRow="0" w:lastRow="0" w:firstColumn="0" w:lastColumn="0" w:oddVBand="0" w:evenVBand="0" w:oddHBand="0" w:evenHBand="0" w:firstRowFirstColumn="0" w:firstRowLastColumn="0" w:lastRowFirstColumn="0" w:lastRowLastColumn="0"/>
            </w:pPr>
          </w:p>
        </w:tc>
      </w:tr>
      <w:tr w:rsidR="00C7437E" w14:paraId="5697A717" w14:textId="77777777" w:rsidTr="00B70A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3" w:type="dxa"/>
            <w:gridSpan w:val="4"/>
            <w:tcBorders>
              <w:top w:val="single" w:sz="6" w:space="0" w:color="85159D"/>
              <w:left w:val="single" w:sz="6" w:space="0" w:color="85159D"/>
              <w:bottom w:val="single" w:sz="6" w:space="0" w:color="85159D"/>
            </w:tcBorders>
            <w:shd w:val="clear" w:color="auto" w:fill="85159D"/>
          </w:tcPr>
          <w:p w14:paraId="5CA0F7B8" w14:textId="77777777" w:rsidR="00C7437E" w:rsidRDefault="00B70AFF" w:rsidP="00B70AFF">
            <w:pPr>
              <w:pStyle w:val="TableHeader"/>
            </w:pPr>
            <w:r w:rsidRPr="00F73103">
              <w:t>Y axis: value created through procurement</w:t>
            </w:r>
          </w:p>
        </w:tc>
        <w:tc>
          <w:tcPr>
            <w:tcW w:w="2941" w:type="dxa"/>
            <w:tcBorders>
              <w:top w:val="single" w:sz="6" w:space="0" w:color="85159D"/>
              <w:bottom w:val="single" w:sz="6" w:space="0" w:color="85159D"/>
            </w:tcBorders>
            <w:shd w:val="clear" w:color="auto" w:fill="85159D"/>
          </w:tcPr>
          <w:p w14:paraId="264C2DFB" w14:textId="77777777" w:rsidR="00C7437E" w:rsidRDefault="00C7437E" w:rsidP="00B70AFF">
            <w:pPr>
              <w:pStyle w:val="TableHeader"/>
              <w:cnfStyle w:val="000000010000" w:firstRow="0" w:lastRow="0" w:firstColumn="0" w:lastColumn="0" w:oddVBand="0" w:evenVBand="0" w:oddHBand="0" w:evenHBand="1" w:firstRowFirstColumn="0" w:firstRowLastColumn="0" w:lastRowFirstColumn="0" w:lastRowLastColumn="0"/>
            </w:pPr>
          </w:p>
        </w:tc>
        <w:tc>
          <w:tcPr>
            <w:tcW w:w="3420" w:type="dxa"/>
            <w:tcBorders>
              <w:top w:val="single" w:sz="6" w:space="0" w:color="85159D"/>
              <w:bottom w:val="single" w:sz="6" w:space="0" w:color="85159D"/>
              <w:right w:val="single" w:sz="6" w:space="0" w:color="85159D"/>
            </w:tcBorders>
            <w:shd w:val="clear" w:color="auto" w:fill="85159D"/>
          </w:tcPr>
          <w:p w14:paraId="538CAB62" w14:textId="77777777" w:rsidR="00C7437E" w:rsidRDefault="00C7437E" w:rsidP="00B70AFF">
            <w:pPr>
              <w:pStyle w:val="TableHeader"/>
              <w:cnfStyle w:val="000000010000" w:firstRow="0" w:lastRow="0" w:firstColumn="0" w:lastColumn="0" w:oddVBand="0" w:evenVBand="0" w:oddHBand="0" w:evenHBand="1" w:firstRowFirstColumn="0" w:firstRowLastColumn="0" w:lastRowFirstColumn="0" w:lastRowLastColumn="0"/>
            </w:pPr>
          </w:p>
        </w:tc>
      </w:tr>
      <w:tr w:rsidR="00B70AFF" w:rsidRPr="00B70AFF" w14:paraId="4BC1B522" w14:textId="77777777" w:rsidTr="00B70AFF">
        <w:tc>
          <w:tcPr>
            <w:cnfStyle w:val="001000000000" w:firstRow="0" w:lastRow="0" w:firstColumn="1" w:lastColumn="0" w:oddVBand="0" w:evenVBand="0" w:oddHBand="0" w:evenHBand="0" w:firstRowFirstColumn="0" w:firstRowLastColumn="0" w:lastRowFirstColumn="0" w:lastRowLastColumn="0"/>
            <w:tcW w:w="464" w:type="dxa"/>
          </w:tcPr>
          <w:p w14:paraId="12F20B0E" w14:textId="77777777" w:rsidR="00B70AFF" w:rsidRPr="00B70AFF" w:rsidRDefault="00B70AFF" w:rsidP="00B70AFF">
            <w:pPr>
              <w:pStyle w:val="TableText"/>
              <w:rPr>
                <w:b/>
              </w:rPr>
            </w:pPr>
            <w:r w:rsidRPr="00B70AFF">
              <w:rPr>
                <w:b/>
              </w:rPr>
              <w:t>Ref.</w:t>
            </w:r>
          </w:p>
        </w:tc>
        <w:tc>
          <w:tcPr>
            <w:tcW w:w="6210" w:type="dxa"/>
          </w:tcPr>
          <w:p w14:paraId="6A9EC890" w14:textId="77777777" w:rsidR="00B70AFF" w:rsidRPr="00B70AFF" w:rsidRDefault="00B70AFF" w:rsidP="00B70AFF">
            <w:pPr>
              <w:pStyle w:val="TableText"/>
              <w:cnfStyle w:val="000000000000" w:firstRow="0" w:lastRow="0" w:firstColumn="0" w:lastColumn="0" w:oddVBand="0" w:evenVBand="0" w:oddHBand="0" w:evenHBand="0" w:firstRowFirstColumn="0" w:firstRowLastColumn="0" w:lastRowFirstColumn="0" w:lastRowLastColumn="0"/>
              <w:rPr>
                <w:b/>
              </w:rPr>
            </w:pPr>
            <w:r w:rsidRPr="00B70AFF">
              <w:rPr>
                <w:b/>
              </w:rPr>
              <w:t>Potential responses</w:t>
            </w:r>
          </w:p>
        </w:tc>
        <w:tc>
          <w:tcPr>
            <w:tcW w:w="822" w:type="dxa"/>
          </w:tcPr>
          <w:p w14:paraId="68812A28" w14:textId="77777777" w:rsidR="00B70AFF" w:rsidRPr="00B70AFF" w:rsidRDefault="00B70AFF" w:rsidP="00B70AFF">
            <w:pPr>
              <w:pStyle w:val="TableText"/>
              <w:cnfStyle w:val="000000000000" w:firstRow="0" w:lastRow="0" w:firstColumn="0" w:lastColumn="0" w:oddVBand="0" w:evenVBand="0" w:oddHBand="0" w:evenHBand="0" w:firstRowFirstColumn="0" w:firstRowLastColumn="0" w:lastRowFirstColumn="0" w:lastRowLastColumn="0"/>
              <w:rPr>
                <w:b/>
              </w:rPr>
            </w:pPr>
            <w:r w:rsidRPr="00B70AFF">
              <w:rPr>
                <w:b/>
              </w:rPr>
              <w:t>Score</w:t>
            </w:r>
          </w:p>
        </w:tc>
        <w:tc>
          <w:tcPr>
            <w:tcW w:w="1007" w:type="dxa"/>
          </w:tcPr>
          <w:p w14:paraId="3E3B254F" w14:textId="77777777" w:rsidR="00B70AFF" w:rsidRPr="00B70AFF" w:rsidRDefault="00B70AFF" w:rsidP="00B70AFF">
            <w:pPr>
              <w:pStyle w:val="TableText"/>
              <w:cnfStyle w:val="000000000000" w:firstRow="0" w:lastRow="0" w:firstColumn="0" w:lastColumn="0" w:oddVBand="0" w:evenVBand="0" w:oddHBand="0" w:evenHBand="0" w:firstRowFirstColumn="0" w:firstRowLastColumn="0" w:lastRowFirstColumn="0" w:lastRowLastColumn="0"/>
              <w:rPr>
                <w:b/>
              </w:rPr>
            </w:pPr>
            <w:r w:rsidRPr="00B70AFF">
              <w:rPr>
                <w:b/>
              </w:rPr>
              <w:t>Score of selected response</w:t>
            </w:r>
          </w:p>
        </w:tc>
        <w:tc>
          <w:tcPr>
            <w:tcW w:w="2941" w:type="dxa"/>
          </w:tcPr>
          <w:p w14:paraId="7E132D4C" w14:textId="77777777" w:rsidR="00B70AFF" w:rsidRPr="00B70AFF" w:rsidRDefault="00B70AFF" w:rsidP="00B70AFF">
            <w:pPr>
              <w:pStyle w:val="TableText"/>
              <w:cnfStyle w:val="000000000000" w:firstRow="0" w:lastRow="0" w:firstColumn="0" w:lastColumn="0" w:oddVBand="0" w:evenVBand="0" w:oddHBand="0" w:evenHBand="0" w:firstRowFirstColumn="0" w:firstRowLastColumn="0" w:lastRowFirstColumn="0" w:lastRowLastColumn="0"/>
              <w:rPr>
                <w:b/>
              </w:rPr>
            </w:pPr>
          </w:p>
        </w:tc>
        <w:tc>
          <w:tcPr>
            <w:tcW w:w="3420" w:type="dxa"/>
          </w:tcPr>
          <w:p w14:paraId="40BDC880" w14:textId="77777777" w:rsidR="00B70AFF" w:rsidRPr="00B70AFF" w:rsidRDefault="00B70AFF" w:rsidP="00B70AFF">
            <w:pPr>
              <w:pStyle w:val="TableText"/>
              <w:cnfStyle w:val="000000000000" w:firstRow="0" w:lastRow="0" w:firstColumn="0" w:lastColumn="0" w:oddVBand="0" w:evenVBand="0" w:oddHBand="0" w:evenHBand="0" w:firstRowFirstColumn="0" w:firstRowLastColumn="0" w:lastRowFirstColumn="0" w:lastRowLastColumn="0"/>
              <w:rPr>
                <w:b/>
              </w:rPr>
            </w:pPr>
          </w:p>
        </w:tc>
      </w:tr>
      <w:tr w:rsidR="00261A42" w:rsidRPr="00261A42" w14:paraId="6DFE1E57"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3" w:type="dxa"/>
            <w:gridSpan w:val="4"/>
            <w:tcBorders>
              <w:top w:val="single" w:sz="6" w:space="0" w:color="85159D"/>
            </w:tcBorders>
            <w:shd w:val="clear" w:color="auto" w:fill="D1BFFD"/>
          </w:tcPr>
          <w:p w14:paraId="614EC300" w14:textId="77777777" w:rsidR="00C7437E" w:rsidRPr="00261A42" w:rsidRDefault="00B70AFF" w:rsidP="00B70AFF">
            <w:pPr>
              <w:pStyle w:val="TableText"/>
              <w:rPr>
                <w:color w:val="auto"/>
              </w:rPr>
            </w:pPr>
            <w:r w:rsidRPr="00261A42">
              <w:rPr>
                <w:color w:val="auto"/>
              </w:rPr>
              <w:t>Is the good/service’s total cost of ownership (TCO) high?</w:t>
            </w:r>
          </w:p>
        </w:tc>
        <w:tc>
          <w:tcPr>
            <w:tcW w:w="2941" w:type="dxa"/>
            <w:tcBorders>
              <w:top w:val="single" w:sz="6" w:space="0" w:color="85159D"/>
            </w:tcBorders>
            <w:shd w:val="clear" w:color="auto" w:fill="D1BFFD"/>
          </w:tcPr>
          <w:p w14:paraId="259BB530" w14:textId="77777777" w:rsidR="00C7437E" w:rsidRPr="00261A42" w:rsidRDefault="00C7437E" w:rsidP="00B70AFF">
            <w:pPr>
              <w:pStyle w:val="TableText"/>
              <w:cnfStyle w:val="000000010000" w:firstRow="0" w:lastRow="0" w:firstColumn="0" w:lastColumn="0" w:oddVBand="0" w:evenVBand="0" w:oddHBand="0" w:evenHBand="1" w:firstRowFirstColumn="0" w:firstRowLastColumn="0" w:lastRowFirstColumn="0" w:lastRowLastColumn="0"/>
            </w:pPr>
          </w:p>
        </w:tc>
        <w:tc>
          <w:tcPr>
            <w:tcW w:w="3420" w:type="dxa"/>
            <w:tcBorders>
              <w:top w:val="single" w:sz="6" w:space="0" w:color="85159D"/>
            </w:tcBorders>
            <w:shd w:val="clear" w:color="auto" w:fill="D1BFFD"/>
          </w:tcPr>
          <w:p w14:paraId="6182B246" w14:textId="77777777" w:rsidR="00C7437E" w:rsidRPr="00261A42" w:rsidRDefault="00C7437E" w:rsidP="00B70AFF">
            <w:pPr>
              <w:pStyle w:val="TableText"/>
              <w:cnfStyle w:val="000000010000" w:firstRow="0" w:lastRow="0" w:firstColumn="0" w:lastColumn="0" w:oddVBand="0" w:evenVBand="0" w:oddHBand="0" w:evenHBand="1" w:firstRowFirstColumn="0" w:firstRowLastColumn="0" w:lastRowFirstColumn="0" w:lastRowLastColumn="0"/>
            </w:pPr>
          </w:p>
        </w:tc>
      </w:tr>
      <w:tr w:rsidR="00B70AFF" w14:paraId="46392F0B" w14:textId="77777777" w:rsidTr="00954D3D">
        <w:tc>
          <w:tcPr>
            <w:cnfStyle w:val="001000000000" w:firstRow="0" w:lastRow="0" w:firstColumn="1" w:lastColumn="0" w:oddVBand="0" w:evenVBand="0" w:oddHBand="0" w:evenHBand="0" w:firstRowFirstColumn="0" w:firstRowLastColumn="0" w:lastRowFirstColumn="0" w:lastRowLastColumn="0"/>
            <w:tcW w:w="464" w:type="dxa"/>
          </w:tcPr>
          <w:p w14:paraId="48DED38F" w14:textId="77777777" w:rsidR="00B70AFF" w:rsidRPr="00A010B9" w:rsidRDefault="00B70AFF" w:rsidP="00B70AFF">
            <w:pPr>
              <w:pStyle w:val="TableText"/>
            </w:pPr>
            <w:r>
              <w:t>(</w:t>
            </w:r>
            <w:r w:rsidRPr="00A010B9">
              <w:t>a)</w:t>
            </w:r>
          </w:p>
        </w:tc>
        <w:tc>
          <w:tcPr>
            <w:tcW w:w="6210" w:type="dxa"/>
          </w:tcPr>
          <w:p w14:paraId="2766FAC7" w14:textId="77777777" w:rsidR="00B70AFF" w:rsidRPr="00A010B9" w:rsidRDefault="00B70AFF" w:rsidP="00B70AFF">
            <w:pPr>
              <w:pStyle w:val="TableText"/>
              <w:cnfStyle w:val="000000000000" w:firstRow="0" w:lastRow="0" w:firstColumn="0" w:lastColumn="0" w:oddVBand="0" w:evenVBand="0" w:oddHBand="0" w:evenHBand="0" w:firstRowFirstColumn="0" w:firstRowLastColumn="0" w:lastRowFirstColumn="0" w:lastRowLastColumn="0"/>
            </w:pPr>
            <w:r w:rsidRPr="00A010B9">
              <w:t>No, the good/service’s total</w:t>
            </w:r>
            <w:r>
              <w:t xml:space="preserve"> cost of ownership is of a low value,</w:t>
            </w:r>
            <w:r w:rsidRPr="00A010B9">
              <w:t xml:space="preserve"> e.g. not within top 50 contracts/categories of the </w:t>
            </w:r>
            <w:r>
              <w:t>organisation</w:t>
            </w:r>
            <w:r w:rsidRPr="00A010B9">
              <w:t xml:space="preserve"> </w:t>
            </w:r>
          </w:p>
        </w:tc>
        <w:tc>
          <w:tcPr>
            <w:tcW w:w="822" w:type="dxa"/>
          </w:tcPr>
          <w:p w14:paraId="34AF785D" w14:textId="77777777" w:rsidR="00B70AFF" w:rsidRPr="00A010B9" w:rsidRDefault="00B70AFF" w:rsidP="00B70AFF">
            <w:pPr>
              <w:pStyle w:val="TableText"/>
              <w:jc w:val="center"/>
              <w:cnfStyle w:val="000000000000" w:firstRow="0" w:lastRow="0" w:firstColumn="0" w:lastColumn="0" w:oddVBand="0" w:evenVBand="0" w:oddHBand="0" w:evenHBand="0" w:firstRowFirstColumn="0" w:firstRowLastColumn="0" w:lastRowFirstColumn="0" w:lastRowLastColumn="0"/>
            </w:pPr>
            <w:r w:rsidRPr="00A010B9">
              <w:t>0</w:t>
            </w:r>
          </w:p>
        </w:tc>
        <w:tc>
          <w:tcPr>
            <w:tcW w:w="1007" w:type="dxa"/>
            <w:shd w:val="clear" w:color="auto" w:fill="D1BFFD"/>
          </w:tcPr>
          <w:p w14:paraId="4AA959FB" w14:textId="77777777" w:rsidR="00B70AFF" w:rsidRPr="00A010B9" w:rsidRDefault="00B70AFF" w:rsidP="00B70AFF">
            <w:pPr>
              <w:pStyle w:val="TableText"/>
              <w:jc w:val="center"/>
              <w:cnfStyle w:val="000000000000" w:firstRow="0" w:lastRow="0" w:firstColumn="0" w:lastColumn="0" w:oddVBand="0" w:evenVBand="0" w:oddHBand="0" w:evenHBand="0" w:firstRowFirstColumn="0" w:firstRowLastColumn="0" w:lastRowFirstColumn="0" w:lastRowLastColumn="0"/>
            </w:pPr>
          </w:p>
        </w:tc>
        <w:tc>
          <w:tcPr>
            <w:tcW w:w="2941" w:type="dxa"/>
            <w:vMerge w:val="restart"/>
          </w:tcPr>
          <w:p w14:paraId="5DEDD5FD" w14:textId="77777777" w:rsidR="00B70AFF" w:rsidRDefault="00B70AFF" w:rsidP="00B70AFF">
            <w:pPr>
              <w:pStyle w:val="TableText"/>
              <w:cnfStyle w:val="000000000000" w:firstRow="0" w:lastRow="0" w:firstColumn="0" w:lastColumn="0" w:oddVBand="0" w:evenVBand="0" w:oddHBand="0" w:evenHBand="0" w:firstRowFirstColumn="0" w:firstRowLastColumn="0" w:lastRowFirstColumn="0" w:lastRowLastColumn="0"/>
            </w:pPr>
          </w:p>
        </w:tc>
        <w:tc>
          <w:tcPr>
            <w:tcW w:w="3420" w:type="dxa"/>
            <w:vMerge w:val="restart"/>
          </w:tcPr>
          <w:p w14:paraId="083722A8" w14:textId="77777777" w:rsidR="00B70AFF" w:rsidRDefault="00B70AFF" w:rsidP="00B70AFF">
            <w:pPr>
              <w:pStyle w:val="TableText"/>
              <w:cnfStyle w:val="000000000000" w:firstRow="0" w:lastRow="0" w:firstColumn="0" w:lastColumn="0" w:oddVBand="0" w:evenVBand="0" w:oddHBand="0" w:evenHBand="0" w:firstRowFirstColumn="0" w:firstRowLastColumn="0" w:lastRowFirstColumn="0" w:lastRowLastColumn="0"/>
            </w:pPr>
          </w:p>
        </w:tc>
      </w:tr>
      <w:tr w:rsidR="00B70AFF" w14:paraId="3AC2BB45"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1ACE92B0" w14:textId="77777777" w:rsidR="00B70AFF" w:rsidRPr="003940A1" w:rsidRDefault="00B70AFF" w:rsidP="00B70AFF">
            <w:pPr>
              <w:pStyle w:val="TableText"/>
              <w:rPr>
                <w:color w:val="auto"/>
              </w:rPr>
            </w:pPr>
            <w:r>
              <w:t>(b)</w:t>
            </w:r>
          </w:p>
        </w:tc>
        <w:tc>
          <w:tcPr>
            <w:tcW w:w="6210" w:type="dxa"/>
          </w:tcPr>
          <w:p w14:paraId="01DE2DAD" w14:textId="77777777" w:rsidR="00B70AFF" w:rsidRPr="00A010B9" w:rsidRDefault="00B70AFF" w:rsidP="00B70AFF">
            <w:pPr>
              <w:pStyle w:val="TableText"/>
              <w:cnfStyle w:val="000000010000" w:firstRow="0" w:lastRow="0" w:firstColumn="0" w:lastColumn="0" w:oddVBand="0" w:evenVBand="0" w:oddHBand="0" w:evenHBand="1" w:firstRowFirstColumn="0" w:firstRowLastColumn="0" w:lastRowFirstColumn="0" w:lastRowLastColumn="0"/>
            </w:pPr>
            <w:r w:rsidRPr="00A010B9">
              <w:t>No, the good/service’s total cost of ownership is of a medium cost</w:t>
            </w:r>
            <w:r>
              <w:t>,</w:t>
            </w:r>
            <w:r w:rsidRPr="00A010B9">
              <w:t xml:space="preserve"> e.g. within top 50 contracts/categories of the </w:t>
            </w:r>
            <w:r>
              <w:t>organisation</w:t>
            </w:r>
            <w:r w:rsidRPr="00A010B9">
              <w:t xml:space="preserve"> (from a TCO perspective) </w:t>
            </w:r>
          </w:p>
        </w:tc>
        <w:tc>
          <w:tcPr>
            <w:tcW w:w="822" w:type="dxa"/>
          </w:tcPr>
          <w:p w14:paraId="438B011E" w14:textId="77777777" w:rsidR="00B70AFF" w:rsidRPr="00A010B9" w:rsidRDefault="00B70AFF" w:rsidP="00B70AFF">
            <w:pPr>
              <w:pStyle w:val="TableText"/>
              <w:jc w:val="center"/>
              <w:cnfStyle w:val="000000010000" w:firstRow="0" w:lastRow="0" w:firstColumn="0" w:lastColumn="0" w:oddVBand="0" w:evenVBand="0" w:oddHBand="0" w:evenHBand="1" w:firstRowFirstColumn="0" w:firstRowLastColumn="0" w:lastRowFirstColumn="0" w:lastRowLastColumn="0"/>
            </w:pPr>
            <w:r w:rsidRPr="00A010B9">
              <w:t>8</w:t>
            </w:r>
          </w:p>
        </w:tc>
        <w:tc>
          <w:tcPr>
            <w:tcW w:w="1007" w:type="dxa"/>
            <w:shd w:val="clear" w:color="auto" w:fill="D1BFFD"/>
          </w:tcPr>
          <w:p w14:paraId="46B6A960" w14:textId="77777777" w:rsidR="00B70AFF" w:rsidRPr="00A010B9" w:rsidRDefault="00B70AFF" w:rsidP="00B70AFF">
            <w:pPr>
              <w:pStyle w:val="TableText"/>
              <w:jc w:val="center"/>
              <w:cnfStyle w:val="000000010000" w:firstRow="0" w:lastRow="0" w:firstColumn="0" w:lastColumn="0" w:oddVBand="0" w:evenVBand="0" w:oddHBand="0" w:evenHBand="1" w:firstRowFirstColumn="0" w:firstRowLastColumn="0" w:lastRowFirstColumn="0" w:lastRowLastColumn="0"/>
            </w:pPr>
          </w:p>
        </w:tc>
        <w:tc>
          <w:tcPr>
            <w:tcW w:w="2941" w:type="dxa"/>
            <w:vMerge/>
          </w:tcPr>
          <w:p w14:paraId="688CB1AC" w14:textId="77777777" w:rsidR="00B70AFF" w:rsidRDefault="00B70AFF" w:rsidP="00B70AFF">
            <w:pPr>
              <w:pStyle w:val="TableText"/>
              <w:cnfStyle w:val="000000010000" w:firstRow="0" w:lastRow="0" w:firstColumn="0" w:lastColumn="0" w:oddVBand="0" w:evenVBand="0" w:oddHBand="0" w:evenHBand="1" w:firstRowFirstColumn="0" w:firstRowLastColumn="0" w:lastRowFirstColumn="0" w:lastRowLastColumn="0"/>
            </w:pPr>
          </w:p>
        </w:tc>
        <w:tc>
          <w:tcPr>
            <w:tcW w:w="3420" w:type="dxa"/>
            <w:vMerge/>
          </w:tcPr>
          <w:p w14:paraId="7888FF9A" w14:textId="77777777" w:rsidR="00B70AFF" w:rsidRDefault="00B70AFF" w:rsidP="00B70AFF">
            <w:pPr>
              <w:pStyle w:val="TableText"/>
              <w:cnfStyle w:val="000000010000" w:firstRow="0" w:lastRow="0" w:firstColumn="0" w:lastColumn="0" w:oddVBand="0" w:evenVBand="0" w:oddHBand="0" w:evenHBand="1" w:firstRowFirstColumn="0" w:firstRowLastColumn="0" w:lastRowFirstColumn="0" w:lastRowLastColumn="0"/>
            </w:pPr>
          </w:p>
        </w:tc>
      </w:tr>
      <w:tr w:rsidR="00B70AFF" w14:paraId="01F8748D" w14:textId="77777777" w:rsidTr="00954D3D">
        <w:tc>
          <w:tcPr>
            <w:cnfStyle w:val="001000000000" w:firstRow="0" w:lastRow="0" w:firstColumn="1" w:lastColumn="0" w:oddVBand="0" w:evenVBand="0" w:oddHBand="0" w:evenHBand="0" w:firstRowFirstColumn="0" w:firstRowLastColumn="0" w:lastRowFirstColumn="0" w:lastRowLastColumn="0"/>
            <w:tcW w:w="464" w:type="dxa"/>
          </w:tcPr>
          <w:p w14:paraId="5B971783" w14:textId="77777777" w:rsidR="00B70AFF" w:rsidRPr="003940A1" w:rsidRDefault="00B70AFF" w:rsidP="00B70AFF">
            <w:pPr>
              <w:pStyle w:val="TableText"/>
              <w:rPr>
                <w:color w:val="auto"/>
              </w:rPr>
            </w:pPr>
            <w:r>
              <w:t>(c)</w:t>
            </w:r>
          </w:p>
        </w:tc>
        <w:tc>
          <w:tcPr>
            <w:tcW w:w="6210" w:type="dxa"/>
          </w:tcPr>
          <w:p w14:paraId="4E6DE770" w14:textId="77777777" w:rsidR="00B70AFF" w:rsidRPr="00A010B9" w:rsidRDefault="00B70AFF" w:rsidP="00B70AFF">
            <w:pPr>
              <w:pStyle w:val="TableText"/>
              <w:cnfStyle w:val="000000000000" w:firstRow="0" w:lastRow="0" w:firstColumn="0" w:lastColumn="0" w:oddVBand="0" w:evenVBand="0" w:oddHBand="0" w:evenHBand="0" w:firstRowFirstColumn="0" w:firstRowLastColumn="0" w:lastRowFirstColumn="0" w:lastRowLastColumn="0"/>
            </w:pPr>
            <w:r w:rsidRPr="00A010B9">
              <w:t>No, however the good/service’s total cost of ownership is of a medium to high cost</w:t>
            </w:r>
            <w:r>
              <w:t>,</w:t>
            </w:r>
            <w:r w:rsidRPr="00A010B9">
              <w:t xml:space="preserve"> e.g. within top 20 contracts/categories of the </w:t>
            </w:r>
            <w:r>
              <w:t>organisation</w:t>
            </w:r>
            <w:r w:rsidRPr="00A010B9">
              <w:t xml:space="preserve"> (from a TCO perspective) </w:t>
            </w:r>
          </w:p>
        </w:tc>
        <w:tc>
          <w:tcPr>
            <w:tcW w:w="822" w:type="dxa"/>
          </w:tcPr>
          <w:p w14:paraId="69548E46" w14:textId="77777777" w:rsidR="00B70AFF" w:rsidRPr="00A010B9" w:rsidRDefault="00B70AFF" w:rsidP="00B70AFF">
            <w:pPr>
              <w:pStyle w:val="TableText"/>
              <w:jc w:val="center"/>
              <w:cnfStyle w:val="000000000000" w:firstRow="0" w:lastRow="0" w:firstColumn="0" w:lastColumn="0" w:oddVBand="0" w:evenVBand="0" w:oddHBand="0" w:evenHBand="0" w:firstRowFirstColumn="0" w:firstRowLastColumn="0" w:lastRowFirstColumn="0" w:lastRowLastColumn="0"/>
            </w:pPr>
            <w:r w:rsidRPr="00A010B9">
              <w:t>16</w:t>
            </w:r>
          </w:p>
        </w:tc>
        <w:tc>
          <w:tcPr>
            <w:tcW w:w="1007" w:type="dxa"/>
            <w:shd w:val="clear" w:color="auto" w:fill="D1BFFD"/>
          </w:tcPr>
          <w:p w14:paraId="6BE3046B" w14:textId="77777777" w:rsidR="00B70AFF" w:rsidRPr="00A010B9" w:rsidRDefault="00B70AFF" w:rsidP="00B70AFF">
            <w:pPr>
              <w:pStyle w:val="TableText"/>
              <w:jc w:val="center"/>
              <w:cnfStyle w:val="000000000000" w:firstRow="0" w:lastRow="0" w:firstColumn="0" w:lastColumn="0" w:oddVBand="0" w:evenVBand="0" w:oddHBand="0" w:evenHBand="0" w:firstRowFirstColumn="0" w:firstRowLastColumn="0" w:lastRowFirstColumn="0" w:lastRowLastColumn="0"/>
            </w:pPr>
          </w:p>
        </w:tc>
        <w:tc>
          <w:tcPr>
            <w:tcW w:w="2941" w:type="dxa"/>
            <w:vMerge/>
          </w:tcPr>
          <w:p w14:paraId="7F2D79C6" w14:textId="77777777" w:rsidR="00B70AFF" w:rsidRDefault="00B70AFF" w:rsidP="00B70AFF">
            <w:pPr>
              <w:pStyle w:val="TableText"/>
              <w:cnfStyle w:val="000000000000" w:firstRow="0" w:lastRow="0" w:firstColumn="0" w:lastColumn="0" w:oddVBand="0" w:evenVBand="0" w:oddHBand="0" w:evenHBand="0" w:firstRowFirstColumn="0" w:firstRowLastColumn="0" w:lastRowFirstColumn="0" w:lastRowLastColumn="0"/>
            </w:pPr>
          </w:p>
        </w:tc>
        <w:tc>
          <w:tcPr>
            <w:tcW w:w="3420" w:type="dxa"/>
            <w:vMerge/>
          </w:tcPr>
          <w:p w14:paraId="0EA59958" w14:textId="77777777" w:rsidR="00B70AFF" w:rsidRDefault="00B70AFF" w:rsidP="00B70AFF">
            <w:pPr>
              <w:pStyle w:val="TableText"/>
              <w:cnfStyle w:val="000000000000" w:firstRow="0" w:lastRow="0" w:firstColumn="0" w:lastColumn="0" w:oddVBand="0" w:evenVBand="0" w:oddHBand="0" w:evenHBand="0" w:firstRowFirstColumn="0" w:firstRowLastColumn="0" w:lastRowFirstColumn="0" w:lastRowLastColumn="0"/>
            </w:pPr>
          </w:p>
        </w:tc>
      </w:tr>
      <w:tr w:rsidR="00B70AFF" w14:paraId="3BBD36D2"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339C05D0" w14:textId="77777777" w:rsidR="00B70AFF" w:rsidRPr="003940A1" w:rsidRDefault="00B70AFF" w:rsidP="00B70AFF">
            <w:pPr>
              <w:pStyle w:val="TableText"/>
              <w:rPr>
                <w:color w:val="auto"/>
              </w:rPr>
            </w:pPr>
            <w:r>
              <w:t>(d)</w:t>
            </w:r>
          </w:p>
        </w:tc>
        <w:tc>
          <w:tcPr>
            <w:tcW w:w="6210" w:type="dxa"/>
          </w:tcPr>
          <w:p w14:paraId="0397C613" w14:textId="77777777" w:rsidR="00B70AFF" w:rsidRPr="00A010B9" w:rsidRDefault="00B70AFF" w:rsidP="00B70AFF">
            <w:pPr>
              <w:pStyle w:val="TableText"/>
              <w:cnfStyle w:val="000000010000" w:firstRow="0" w:lastRow="0" w:firstColumn="0" w:lastColumn="0" w:oddVBand="0" w:evenVBand="0" w:oddHBand="0" w:evenHBand="1" w:firstRowFirstColumn="0" w:firstRowLastColumn="0" w:lastRowFirstColumn="0" w:lastRowLastColumn="0"/>
            </w:pPr>
            <w:r w:rsidRPr="00A010B9">
              <w:t>Yes, the good/service’s total cost of ownership is of a high cost</w:t>
            </w:r>
            <w:r>
              <w:t>,</w:t>
            </w:r>
            <w:r w:rsidRPr="00A010B9">
              <w:t xml:space="preserve"> e.g. within top 10 contracts/categories of the </w:t>
            </w:r>
            <w:r>
              <w:t>organisation</w:t>
            </w:r>
            <w:r w:rsidRPr="00A010B9">
              <w:t xml:space="preserve"> (from a TCO perspective) </w:t>
            </w:r>
          </w:p>
        </w:tc>
        <w:tc>
          <w:tcPr>
            <w:tcW w:w="822" w:type="dxa"/>
          </w:tcPr>
          <w:p w14:paraId="70967248" w14:textId="77777777" w:rsidR="00B70AFF" w:rsidRPr="00A010B9" w:rsidRDefault="00B70AFF" w:rsidP="00B70AFF">
            <w:pPr>
              <w:pStyle w:val="TableText"/>
              <w:jc w:val="center"/>
              <w:cnfStyle w:val="000000010000" w:firstRow="0" w:lastRow="0" w:firstColumn="0" w:lastColumn="0" w:oddVBand="0" w:evenVBand="0" w:oddHBand="0" w:evenHBand="1" w:firstRowFirstColumn="0" w:firstRowLastColumn="0" w:lastRowFirstColumn="0" w:lastRowLastColumn="0"/>
            </w:pPr>
            <w:r w:rsidRPr="00A010B9">
              <w:t>24</w:t>
            </w:r>
          </w:p>
        </w:tc>
        <w:tc>
          <w:tcPr>
            <w:tcW w:w="1007" w:type="dxa"/>
            <w:shd w:val="clear" w:color="auto" w:fill="D1BFFD"/>
          </w:tcPr>
          <w:p w14:paraId="56AB3AE0" w14:textId="77777777" w:rsidR="00B70AFF" w:rsidRPr="00A010B9" w:rsidRDefault="00B70AFF" w:rsidP="00B70AFF">
            <w:pPr>
              <w:pStyle w:val="TableText"/>
              <w:jc w:val="center"/>
              <w:cnfStyle w:val="000000010000" w:firstRow="0" w:lastRow="0" w:firstColumn="0" w:lastColumn="0" w:oddVBand="0" w:evenVBand="0" w:oddHBand="0" w:evenHBand="1" w:firstRowFirstColumn="0" w:firstRowLastColumn="0" w:lastRowFirstColumn="0" w:lastRowLastColumn="0"/>
            </w:pPr>
          </w:p>
        </w:tc>
        <w:tc>
          <w:tcPr>
            <w:tcW w:w="2941" w:type="dxa"/>
            <w:vMerge/>
          </w:tcPr>
          <w:p w14:paraId="01FE93FF" w14:textId="77777777" w:rsidR="00B70AFF" w:rsidRDefault="00B70AFF" w:rsidP="00B70AFF">
            <w:pPr>
              <w:pStyle w:val="TableText"/>
              <w:cnfStyle w:val="000000010000" w:firstRow="0" w:lastRow="0" w:firstColumn="0" w:lastColumn="0" w:oddVBand="0" w:evenVBand="0" w:oddHBand="0" w:evenHBand="1" w:firstRowFirstColumn="0" w:firstRowLastColumn="0" w:lastRowFirstColumn="0" w:lastRowLastColumn="0"/>
            </w:pPr>
          </w:p>
        </w:tc>
        <w:tc>
          <w:tcPr>
            <w:tcW w:w="3420" w:type="dxa"/>
            <w:vMerge/>
          </w:tcPr>
          <w:p w14:paraId="1E805157" w14:textId="77777777" w:rsidR="00B70AFF" w:rsidRDefault="00B70AFF" w:rsidP="00B70AFF">
            <w:pPr>
              <w:pStyle w:val="TableText"/>
              <w:cnfStyle w:val="000000010000" w:firstRow="0" w:lastRow="0" w:firstColumn="0" w:lastColumn="0" w:oddVBand="0" w:evenVBand="0" w:oddHBand="0" w:evenHBand="1" w:firstRowFirstColumn="0" w:firstRowLastColumn="0" w:lastRowFirstColumn="0" w:lastRowLastColumn="0"/>
            </w:pPr>
          </w:p>
        </w:tc>
      </w:tr>
      <w:tr w:rsidR="00261A42" w:rsidRPr="00261A42" w14:paraId="22254FE6" w14:textId="77777777" w:rsidTr="00954D3D">
        <w:tc>
          <w:tcPr>
            <w:cnfStyle w:val="001000000000" w:firstRow="0" w:lastRow="0" w:firstColumn="1" w:lastColumn="0" w:oddVBand="0" w:evenVBand="0" w:oddHBand="0" w:evenHBand="0" w:firstRowFirstColumn="0" w:firstRowLastColumn="0" w:lastRowFirstColumn="0" w:lastRowLastColumn="0"/>
            <w:tcW w:w="8503" w:type="dxa"/>
            <w:gridSpan w:val="4"/>
            <w:tcBorders>
              <w:top w:val="single" w:sz="6" w:space="0" w:color="85159D"/>
            </w:tcBorders>
            <w:shd w:val="clear" w:color="auto" w:fill="D1BFFD"/>
          </w:tcPr>
          <w:p w14:paraId="64ECFA51" w14:textId="77777777" w:rsidR="00B70AFF" w:rsidRPr="00261A42" w:rsidRDefault="00B70AFF" w:rsidP="00B70AFF">
            <w:pPr>
              <w:pStyle w:val="TableText"/>
              <w:keepNext/>
              <w:rPr>
                <w:color w:val="auto"/>
              </w:rPr>
            </w:pPr>
            <w:r w:rsidRPr="00261A42">
              <w:rPr>
                <w:color w:val="auto"/>
              </w:rPr>
              <w:t>Would the aggregation of demand be beneficial across organisations or within an organisation?</w:t>
            </w:r>
          </w:p>
        </w:tc>
        <w:tc>
          <w:tcPr>
            <w:tcW w:w="2941" w:type="dxa"/>
            <w:tcBorders>
              <w:top w:val="single" w:sz="6" w:space="0" w:color="85159D"/>
            </w:tcBorders>
            <w:shd w:val="clear" w:color="auto" w:fill="D1BFFD"/>
          </w:tcPr>
          <w:p w14:paraId="724BE212" w14:textId="77777777" w:rsidR="00B70AFF" w:rsidRPr="00261A42" w:rsidRDefault="00B70AFF" w:rsidP="00B70AFF">
            <w:pPr>
              <w:pStyle w:val="TableText"/>
              <w:cnfStyle w:val="000000000000" w:firstRow="0" w:lastRow="0" w:firstColumn="0" w:lastColumn="0" w:oddVBand="0" w:evenVBand="0" w:oddHBand="0" w:evenHBand="0" w:firstRowFirstColumn="0" w:firstRowLastColumn="0" w:lastRowFirstColumn="0" w:lastRowLastColumn="0"/>
            </w:pPr>
          </w:p>
        </w:tc>
        <w:tc>
          <w:tcPr>
            <w:tcW w:w="3420" w:type="dxa"/>
            <w:tcBorders>
              <w:top w:val="single" w:sz="6" w:space="0" w:color="85159D"/>
            </w:tcBorders>
            <w:shd w:val="clear" w:color="auto" w:fill="D1BFFD"/>
          </w:tcPr>
          <w:p w14:paraId="642CB4EA" w14:textId="77777777" w:rsidR="00B70AFF" w:rsidRPr="00261A42" w:rsidRDefault="00B70AFF" w:rsidP="00B70AFF">
            <w:pPr>
              <w:pStyle w:val="TableText"/>
              <w:cnfStyle w:val="000000000000" w:firstRow="0" w:lastRow="0" w:firstColumn="0" w:lastColumn="0" w:oddVBand="0" w:evenVBand="0" w:oddHBand="0" w:evenHBand="0" w:firstRowFirstColumn="0" w:firstRowLastColumn="0" w:lastRowFirstColumn="0" w:lastRowLastColumn="0"/>
            </w:pPr>
          </w:p>
        </w:tc>
      </w:tr>
      <w:tr w:rsidR="00B70AFF" w14:paraId="2B769534"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0C76EAB2" w14:textId="77777777" w:rsidR="00B70AFF" w:rsidRPr="00A010B9" w:rsidRDefault="00B70AFF" w:rsidP="00B70AFF">
            <w:pPr>
              <w:pStyle w:val="TableText"/>
            </w:pPr>
            <w:r>
              <w:t>(</w:t>
            </w:r>
            <w:r w:rsidRPr="00A010B9">
              <w:t>a)</w:t>
            </w:r>
          </w:p>
        </w:tc>
        <w:tc>
          <w:tcPr>
            <w:tcW w:w="6210" w:type="dxa"/>
          </w:tcPr>
          <w:p w14:paraId="491674B9" w14:textId="77777777" w:rsidR="00B70AFF" w:rsidRPr="00A010B9" w:rsidRDefault="00B70AFF" w:rsidP="00B70AFF">
            <w:pPr>
              <w:pStyle w:val="TableText"/>
              <w:cnfStyle w:val="000000010000" w:firstRow="0" w:lastRow="0" w:firstColumn="0" w:lastColumn="0" w:oddVBand="0" w:evenVBand="0" w:oddHBand="0" w:evenHBand="1" w:firstRowFirstColumn="0" w:firstRowLastColumn="0" w:lastRowFirstColumn="0" w:lastRowLastColumn="0"/>
            </w:pPr>
            <w:r w:rsidRPr="00A010B9">
              <w:t>No, demand aggregation should not occur due to one/all of the following factors:</w:t>
            </w:r>
          </w:p>
          <w:p w14:paraId="7D88B0AC" w14:textId="77777777" w:rsidR="00B70AFF" w:rsidRPr="00A010B9" w:rsidRDefault="00B70AFF" w:rsidP="00B70AFF">
            <w:pPr>
              <w:pStyle w:val="TableBullet"/>
              <w:cnfStyle w:val="000000010000" w:firstRow="0" w:lastRow="0" w:firstColumn="0" w:lastColumn="0" w:oddVBand="0" w:evenVBand="0" w:oddHBand="0" w:evenHBand="1" w:firstRowFirstColumn="0" w:firstRowLastColumn="0" w:lastRowFirstColumn="0" w:lastRowLastColumn="0"/>
            </w:pPr>
            <w:r w:rsidRPr="00A010B9">
              <w:t xml:space="preserve">specifications are too </w:t>
            </w:r>
            <w:r w:rsidR="00E15C02" w:rsidRPr="00A010B9">
              <w:t>complex,</w:t>
            </w:r>
            <w:r w:rsidRPr="00A010B9">
              <w:t xml:space="preserve"> or purchases are too infrequent to offset the cost of the demand aggregation process</w:t>
            </w:r>
          </w:p>
          <w:p w14:paraId="7FEEC405" w14:textId="77777777" w:rsidR="00B70AFF" w:rsidRPr="00A010B9" w:rsidRDefault="00B70AFF" w:rsidP="00B70AFF">
            <w:pPr>
              <w:pStyle w:val="TableBullet"/>
              <w:cnfStyle w:val="000000010000" w:firstRow="0" w:lastRow="0" w:firstColumn="0" w:lastColumn="0" w:oddVBand="0" w:evenVBand="0" w:oddHBand="0" w:evenHBand="1" w:firstRowFirstColumn="0" w:firstRowLastColumn="0" w:lastRowFirstColumn="0" w:lastRowLastColumn="0"/>
            </w:pPr>
            <w:r w:rsidRPr="00A010B9">
              <w:t>diseconomies of scale i.e. not one size fits all</w:t>
            </w:r>
          </w:p>
          <w:p w14:paraId="05E2F8AB" w14:textId="77777777" w:rsidR="00B70AFF" w:rsidRPr="00A010B9" w:rsidRDefault="00B70AFF" w:rsidP="00B70AFF">
            <w:pPr>
              <w:pStyle w:val="TableBullet"/>
              <w:cnfStyle w:val="000000010000" w:firstRow="0" w:lastRow="0" w:firstColumn="0" w:lastColumn="0" w:oddVBand="0" w:evenVBand="0" w:oddHBand="0" w:evenHBand="1" w:firstRowFirstColumn="0" w:firstRowLastColumn="0" w:lastRowFirstColumn="0" w:lastRowLastColumn="0"/>
            </w:pPr>
            <w:r w:rsidRPr="00A010B9">
              <w:t>potential for monopoly / monopsony situation</w:t>
            </w:r>
          </w:p>
        </w:tc>
        <w:tc>
          <w:tcPr>
            <w:tcW w:w="822" w:type="dxa"/>
          </w:tcPr>
          <w:p w14:paraId="6F6A6D8B" w14:textId="77777777" w:rsidR="00B70AFF" w:rsidRPr="00A010B9" w:rsidRDefault="00B70AFF" w:rsidP="00B70AFF">
            <w:pPr>
              <w:pStyle w:val="TableText"/>
              <w:jc w:val="center"/>
              <w:cnfStyle w:val="000000010000" w:firstRow="0" w:lastRow="0" w:firstColumn="0" w:lastColumn="0" w:oddVBand="0" w:evenVBand="0" w:oddHBand="0" w:evenHBand="1" w:firstRowFirstColumn="0" w:firstRowLastColumn="0" w:lastRowFirstColumn="0" w:lastRowLastColumn="0"/>
            </w:pPr>
            <w:r w:rsidRPr="00A010B9">
              <w:t>0</w:t>
            </w:r>
          </w:p>
        </w:tc>
        <w:tc>
          <w:tcPr>
            <w:tcW w:w="1007" w:type="dxa"/>
            <w:shd w:val="clear" w:color="auto" w:fill="D1BFFD"/>
          </w:tcPr>
          <w:p w14:paraId="60F95AE4" w14:textId="77777777" w:rsidR="00B70AFF" w:rsidRPr="00A010B9" w:rsidRDefault="00B70AFF" w:rsidP="00B70AFF">
            <w:pPr>
              <w:pStyle w:val="TableText"/>
              <w:jc w:val="center"/>
              <w:cnfStyle w:val="000000010000" w:firstRow="0" w:lastRow="0" w:firstColumn="0" w:lastColumn="0" w:oddVBand="0" w:evenVBand="0" w:oddHBand="0" w:evenHBand="1" w:firstRowFirstColumn="0" w:firstRowLastColumn="0" w:lastRowFirstColumn="0" w:lastRowLastColumn="0"/>
            </w:pPr>
          </w:p>
        </w:tc>
        <w:tc>
          <w:tcPr>
            <w:tcW w:w="2941" w:type="dxa"/>
            <w:vMerge w:val="restart"/>
          </w:tcPr>
          <w:p w14:paraId="5920BE29" w14:textId="77777777" w:rsidR="00B70AFF" w:rsidRDefault="00B70AFF" w:rsidP="00B70AFF">
            <w:pPr>
              <w:pStyle w:val="TableText"/>
              <w:cnfStyle w:val="000000010000" w:firstRow="0" w:lastRow="0" w:firstColumn="0" w:lastColumn="0" w:oddVBand="0" w:evenVBand="0" w:oddHBand="0" w:evenHBand="1" w:firstRowFirstColumn="0" w:firstRowLastColumn="0" w:lastRowFirstColumn="0" w:lastRowLastColumn="0"/>
            </w:pPr>
          </w:p>
        </w:tc>
        <w:tc>
          <w:tcPr>
            <w:tcW w:w="3420" w:type="dxa"/>
            <w:vMerge w:val="restart"/>
          </w:tcPr>
          <w:p w14:paraId="582C02DC" w14:textId="77777777" w:rsidR="00B70AFF" w:rsidRDefault="00B70AFF" w:rsidP="00B70AFF">
            <w:pPr>
              <w:pStyle w:val="TableText"/>
              <w:cnfStyle w:val="000000010000" w:firstRow="0" w:lastRow="0" w:firstColumn="0" w:lastColumn="0" w:oddVBand="0" w:evenVBand="0" w:oddHBand="0" w:evenHBand="1" w:firstRowFirstColumn="0" w:firstRowLastColumn="0" w:lastRowFirstColumn="0" w:lastRowLastColumn="0"/>
            </w:pPr>
          </w:p>
        </w:tc>
      </w:tr>
      <w:tr w:rsidR="00B70AFF" w14:paraId="14A2C516" w14:textId="77777777" w:rsidTr="00954D3D">
        <w:tc>
          <w:tcPr>
            <w:cnfStyle w:val="001000000000" w:firstRow="0" w:lastRow="0" w:firstColumn="1" w:lastColumn="0" w:oddVBand="0" w:evenVBand="0" w:oddHBand="0" w:evenHBand="0" w:firstRowFirstColumn="0" w:firstRowLastColumn="0" w:lastRowFirstColumn="0" w:lastRowLastColumn="0"/>
            <w:tcW w:w="464" w:type="dxa"/>
          </w:tcPr>
          <w:p w14:paraId="7F46B937" w14:textId="77777777" w:rsidR="00B70AFF" w:rsidRPr="003940A1" w:rsidRDefault="00B70AFF" w:rsidP="00B70AFF">
            <w:pPr>
              <w:pStyle w:val="TableText"/>
              <w:rPr>
                <w:color w:val="auto"/>
              </w:rPr>
            </w:pPr>
            <w:r>
              <w:t>(b)</w:t>
            </w:r>
          </w:p>
        </w:tc>
        <w:tc>
          <w:tcPr>
            <w:tcW w:w="6210" w:type="dxa"/>
          </w:tcPr>
          <w:p w14:paraId="573C5E34" w14:textId="77777777" w:rsidR="00B70AFF" w:rsidRPr="00A010B9" w:rsidRDefault="00B70AFF" w:rsidP="00B70AFF">
            <w:pPr>
              <w:pStyle w:val="TableText"/>
              <w:cnfStyle w:val="000000000000" w:firstRow="0" w:lastRow="0" w:firstColumn="0" w:lastColumn="0" w:oddVBand="0" w:evenVBand="0" w:oddHBand="0" w:evenHBand="0" w:firstRowFirstColumn="0" w:firstRowLastColumn="0" w:lastRowFirstColumn="0" w:lastRowLastColumn="0"/>
            </w:pPr>
            <w:r w:rsidRPr="00A010B9">
              <w:t>Yes, some advantages of demand aggregation could be realised including lower cost of goods/service and lower procurement costs (economies of scale in vendor pricing)</w:t>
            </w:r>
          </w:p>
        </w:tc>
        <w:tc>
          <w:tcPr>
            <w:tcW w:w="822" w:type="dxa"/>
          </w:tcPr>
          <w:p w14:paraId="41F6C808" w14:textId="77777777" w:rsidR="00B70AFF" w:rsidRPr="00A010B9" w:rsidRDefault="00B70AFF" w:rsidP="00B70AFF">
            <w:pPr>
              <w:pStyle w:val="TableText"/>
              <w:jc w:val="center"/>
              <w:cnfStyle w:val="000000000000" w:firstRow="0" w:lastRow="0" w:firstColumn="0" w:lastColumn="0" w:oddVBand="0" w:evenVBand="0" w:oddHBand="0" w:evenHBand="0" w:firstRowFirstColumn="0" w:firstRowLastColumn="0" w:lastRowFirstColumn="0" w:lastRowLastColumn="0"/>
            </w:pPr>
            <w:r w:rsidRPr="00A010B9">
              <w:t>9</w:t>
            </w:r>
          </w:p>
        </w:tc>
        <w:tc>
          <w:tcPr>
            <w:tcW w:w="1007" w:type="dxa"/>
            <w:shd w:val="clear" w:color="auto" w:fill="D1BFFD"/>
          </w:tcPr>
          <w:p w14:paraId="3364BE43" w14:textId="77777777" w:rsidR="00B70AFF" w:rsidRPr="00A010B9" w:rsidRDefault="00B70AFF" w:rsidP="00B70AFF">
            <w:pPr>
              <w:pStyle w:val="TableText"/>
              <w:jc w:val="center"/>
              <w:cnfStyle w:val="000000000000" w:firstRow="0" w:lastRow="0" w:firstColumn="0" w:lastColumn="0" w:oddVBand="0" w:evenVBand="0" w:oddHBand="0" w:evenHBand="0" w:firstRowFirstColumn="0" w:firstRowLastColumn="0" w:lastRowFirstColumn="0" w:lastRowLastColumn="0"/>
            </w:pPr>
          </w:p>
        </w:tc>
        <w:tc>
          <w:tcPr>
            <w:tcW w:w="2941" w:type="dxa"/>
            <w:vMerge/>
          </w:tcPr>
          <w:p w14:paraId="3AE3E4A3" w14:textId="77777777" w:rsidR="00B70AFF" w:rsidRDefault="00B70AFF" w:rsidP="00B70AFF">
            <w:pPr>
              <w:pStyle w:val="TableText"/>
              <w:cnfStyle w:val="000000000000" w:firstRow="0" w:lastRow="0" w:firstColumn="0" w:lastColumn="0" w:oddVBand="0" w:evenVBand="0" w:oddHBand="0" w:evenHBand="0" w:firstRowFirstColumn="0" w:firstRowLastColumn="0" w:lastRowFirstColumn="0" w:lastRowLastColumn="0"/>
            </w:pPr>
          </w:p>
        </w:tc>
        <w:tc>
          <w:tcPr>
            <w:tcW w:w="3420" w:type="dxa"/>
            <w:vMerge/>
          </w:tcPr>
          <w:p w14:paraId="53C701F4" w14:textId="77777777" w:rsidR="00B70AFF" w:rsidRDefault="00B70AFF" w:rsidP="00B70AFF">
            <w:pPr>
              <w:pStyle w:val="TableText"/>
              <w:cnfStyle w:val="000000000000" w:firstRow="0" w:lastRow="0" w:firstColumn="0" w:lastColumn="0" w:oddVBand="0" w:evenVBand="0" w:oddHBand="0" w:evenHBand="0" w:firstRowFirstColumn="0" w:firstRowLastColumn="0" w:lastRowFirstColumn="0" w:lastRowLastColumn="0"/>
            </w:pPr>
          </w:p>
        </w:tc>
      </w:tr>
      <w:tr w:rsidR="00B70AFF" w14:paraId="5563E1F5"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436F8F7E" w14:textId="77777777" w:rsidR="00B70AFF" w:rsidRPr="003940A1" w:rsidRDefault="00B70AFF" w:rsidP="00B70AFF">
            <w:pPr>
              <w:pStyle w:val="TableText"/>
              <w:rPr>
                <w:color w:val="auto"/>
              </w:rPr>
            </w:pPr>
            <w:r>
              <w:lastRenderedPageBreak/>
              <w:t>(c)</w:t>
            </w:r>
          </w:p>
        </w:tc>
        <w:tc>
          <w:tcPr>
            <w:tcW w:w="6210" w:type="dxa"/>
          </w:tcPr>
          <w:p w14:paraId="29E0BEF3" w14:textId="77777777" w:rsidR="00B70AFF" w:rsidRPr="00A010B9" w:rsidRDefault="00B70AFF" w:rsidP="00B70AFF">
            <w:pPr>
              <w:pStyle w:val="TableText"/>
              <w:cnfStyle w:val="000000010000" w:firstRow="0" w:lastRow="0" w:firstColumn="0" w:lastColumn="0" w:oddVBand="0" w:evenVBand="0" w:oddHBand="0" w:evenHBand="1" w:firstRowFirstColumn="0" w:firstRowLastColumn="0" w:lastRowFirstColumn="0" w:lastRowLastColumn="0"/>
            </w:pPr>
            <w:r w:rsidRPr="00A010B9">
              <w:rPr>
                <w:rFonts w:cs="Arial Narrow"/>
              </w:rPr>
              <w:t xml:space="preserve">Yes, there may be an opportunity to gain advantage from aggregation by attracting increased competition through bundling categories or aggregating spend across two or more </w:t>
            </w:r>
            <w:r>
              <w:rPr>
                <w:rFonts w:cs="Arial Narrow"/>
              </w:rPr>
              <w:t>organisations</w:t>
            </w:r>
            <w:r w:rsidRPr="00A010B9">
              <w:rPr>
                <w:rFonts w:cs="Arial Narrow"/>
              </w:rPr>
              <w:t xml:space="preserve"> or as part of a </w:t>
            </w:r>
            <w:r>
              <w:rPr>
                <w:rFonts w:cs="Arial Narrow"/>
              </w:rPr>
              <w:t>s</w:t>
            </w:r>
            <w:r w:rsidRPr="00A010B9">
              <w:rPr>
                <w:rFonts w:cs="Arial Narrow"/>
              </w:rPr>
              <w:t xml:space="preserve">tate </w:t>
            </w:r>
            <w:r>
              <w:rPr>
                <w:rFonts w:cs="Arial Narrow"/>
              </w:rPr>
              <w:t>p</w:t>
            </w:r>
            <w:r w:rsidRPr="00A010B9">
              <w:rPr>
                <w:rFonts w:cs="Arial Narrow"/>
              </w:rPr>
              <w:t xml:space="preserve">urchasing </w:t>
            </w:r>
            <w:r>
              <w:rPr>
                <w:rFonts w:cs="Arial Narrow"/>
              </w:rPr>
              <w:t>c</w:t>
            </w:r>
            <w:r w:rsidRPr="00A010B9">
              <w:rPr>
                <w:rFonts w:cs="Arial Narrow"/>
              </w:rPr>
              <w:t>ontract</w:t>
            </w:r>
          </w:p>
        </w:tc>
        <w:tc>
          <w:tcPr>
            <w:tcW w:w="822" w:type="dxa"/>
          </w:tcPr>
          <w:p w14:paraId="2E0A3284" w14:textId="77777777" w:rsidR="00B70AFF" w:rsidRPr="00A010B9" w:rsidRDefault="00B70AFF" w:rsidP="00B70AFF">
            <w:pPr>
              <w:pStyle w:val="TableText"/>
              <w:jc w:val="center"/>
              <w:cnfStyle w:val="000000010000" w:firstRow="0" w:lastRow="0" w:firstColumn="0" w:lastColumn="0" w:oddVBand="0" w:evenVBand="0" w:oddHBand="0" w:evenHBand="1" w:firstRowFirstColumn="0" w:firstRowLastColumn="0" w:lastRowFirstColumn="0" w:lastRowLastColumn="0"/>
            </w:pPr>
            <w:r w:rsidRPr="00A010B9">
              <w:t>18</w:t>
            </w:r>
          </w:p>
        </w:tc>
        <w:tc>
          <w:tcPr>
            <w:tcW w:w="1007" w:type="dxa"/>
            <w:shd w:val="clear" w:color="auto" w:fill="D1BFFD"/>
          </w:tcPr>
          <w:p w14:paraId="5840BB4F" w14:textId="77777777" w:rsidR="00B70AFF" w:rsidRPr="00A010B9" w:rsidRDefault="00B70AFF" w:rsidP="00B70AFF">
            <w:pPr>
              <w:pStyle w:val="TableText"/>
              <w:jc w:val="center"/>
              <w:cnfStyle w:val="000000010000" w:firstRow="0" w:lastRow="0" w:firstColumn="0" w:lastColumn="0" w:oddVBand="0" w:evenVBand="0" w:oddHBand="0" w:evenHBand="1" w:firstRowFirstColumn="0" w:firstRowLastColumn="0" w:lastRowFirstColumn="0" w:lastRowLastColumn="0"/>
            </w:pPr>
          </w:p>
        </w:tc>
        <w:tc>
          <w:tcPr>
            <w:tcW w:w="2941" w:type="dxa"/>
            <w:vMerge/>
          </w:tcPr>
          <w:p w14:paraId="465E98DF" w14:textId="77777777" w:rsidR="00B70AFF" w:rsidRDefault="00B70AFF" w:rsidP="00B70AFF">
            <w:pPr>
              <w:pStyle w:val="TableText"/>
              <w:cnfStyle w:val="000000010000" w:firstRow="0" w:lastRow="0" w:firstColumn="0" w:lastColumn="0" w:oddVBand="0" w:evenVBand="0" w:oddHBand="0" w:evenHBand="1" w:firstRowFirstColumn="0" w:firstRowLastColumn="0" w:lastRowFirstColumn="0" w:lastRowLastColumn="0"/>
            </w:pPr>
          </w:p>
        </w:tc>
        <w:tc>
          <w:tcPr>
            <w:tcW w:w="3420" w:type="dxa"/>
            <w:vMerge/>
          </w:tcPr>
          <w:p w14:paraId="361B6E51" w14:textId="77777777" w:rsidR="00B70AFF" w:rsidRDefault="00B70AFF" w:rsidP="00B70AFF">
            <w:pPr>
              <w:pStyle w:val="TableText"/>
              <w:cnfStyle w:val="000000010000" w:firstRow="0" w:lastRow="0" w:firstColumn="0" w:lastColumn="0" w:oddVBand="0" w:evenVBand="0" w:oddHBand="0" w:evenHBand="1" w:firstRowFirstColumn="0" w:firstRowLastColumn="0" w:lastRowFirstColumn="0" w:lastRowLastColumn="0"/>
            </w:pPr>
          </w:p>
        </w:tc>
      </w:tr>
      <w:tr w:rsidR="00261A42" w:rsidRPr="00261A42" w14:paraId="7D31AECA" w14:textId="77777777" w:rsidTr="00954D3D">
        <w:tc>
          <w:tcPr>
            <w:cnfStyle w:val="001000000000" w:firstRow="0" w:lastRow="0" w:firstColumn="1" w:lastColumn="0" w:oddVBand="0" w:evenVBand="0" w:oddHBand="0" w:evenHBand="0" w:firstRowFirstColumn="0" w:firstRowLastColumn="0" w:lastRowFirstColumn="0" w:lastRowLastColumn="0"/>
            <w:tcW w:w="8503" w:type="dxa"/>
            <w:gridSpan w:val="4"/>
            <w:tcBorders>
              <w:top w:val="single" w:sz="6" w:space="0" w:color="85159D"/>
            </w:tcBorders>
            <w:shd w:val="clear" w:color="auto" w:fill="D1BFFD"/>
          </w:tcPr>
          <w:p w14:paraId="73E0473F" w14:textId="77777777" w:rsidR="00B70AFF" w:rsidRPr="00261A42" w:rsidRDefault="00B70AFF" w:rsidP="00B70AFF">
            <w:pPr>
              <w:pStyle w:val="TableText"/>
              <w:keepNext/>
              <w:rPr>
                <w:color w:val="auto"/>
              </w:rPr>
            </w:pPr>
            <w:r w:rsidRPr="00261A42">
              <w:rPr>
                <w:color w:val="auto"/>
              </w:rPr>
              <w:t>Does the good/service align with other objectives of the organisation and/or broader Victorian Government objectives, for example environmental, social and/or economic considerations (e.g VIPP</w:t>
            </w:r>
            <w:r w:rsidR="003A647C">
              <w:rPr>
                <w:color w:val="auto"/>
              </w:rPr>
              <w:t>, Social Procurement opportunities</w:t>
            </w:r>
            <w:r w:rsidRPr="00261A42">
              <w:rPr>
                <w:color w:val="auto"/>
              </w:rPr>
              <w:t>)?</w:t>
            </w:r>
          </w:p>
        </w:tc>
        <w:tc>
          <w:tcPr>
            <w:tcW w:w="2941" w:type="dxa"/>
            <w:tcBorders>
              <w:top w:val="single" w:sz="6" w:space="0" w:color="85159D"/>
            </w:tcBorders>
            <w:shd w:val="clear" w:color="auto" w:fill="D1BFFD"/>
          </w:tcPr>
          <w:p w14:paraId="7E1A3485" w14:textId="77777777" w:rsidR="00B70AFF" w:rsidRPr="00261A42" w:rsidRDefault="00B70AFF" w:rsidP="00B70AFF">
            <w:pPr>
              <w:pStyle w:val="TableText"/>
              <w:cnfStyle w:val="000000000000" w:firstRow="0" w:lastRow="0" w:firstColumn="0" w:lastColumn="0" w:oddVBand="0" w:evenVBand="0" w:oddHBand="0" w:evenHBand="0" w:firstRowFirstColumn="0" w:firstRowLastColumn="0" w:lastRowFirstColumn="0" w:lastRowLastColumn="0"/>
            </w:pPr>
          </w:p>
        </w:tc>
        <w:tc>
          <w:tcPr>
            <w:tcW w:w="3420" w:type="dxa"/>
            <w:tcBorders>
              <w:top w:val="single" w:sz="6" w:space="0" w:color="85159D"/>
            </w:tcBorders>
            <w:shd w:val="clear" w:color="auto" w:fill="D1BFFD"/>
          </w:tcPr>
          <w:p w14:paraId="4E5DBD3D" w14:textId="77777777" w:rsidR="00B70AFF" w:rsidRPr="00261A42" w:rsidRDefault="00B70AFF" w:rsidP="00B70AFF">
            <w:pPr>
              <w:pStyle w:val="TableText"/>
              <w:cnfStyle w:val="000000000000" w:firstRow="0" w:lastRow="0" w:firstColumn="0" w:lastColumn="0" w:oddVBand="0" w:evenVBand="0" w:oddHBand="0" w:evenHBand="0" w:firstRowFirstColumn="0" w:firstRowLastColumn="0" w:lastRowFirstColumn="0" w:lastRowLastColumn="0"/>
            </w:pPr>
          </w:p>
        </w:tc>
      </w:tr>
      <w:tr w:rsidR="00B70AFF" w14:paraId="07577D98"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760B6F38" w14:textId="77777777" w:rsidR="00B70AFF" w:rsidRPr="00A010B9" w:rsidRDefault="00B70AFF" w:rsidP="00B70AFF">
            <w:pPr>
              <w:pStyle w:val="TableText"/>
            </w:pPr>
            <w:r>
              <w:t>(</w:t>
            </w:r>
            <w:r w:rsidRPr="00A010B9">
              <w:t>a)</w:t>
            </w:r>
          </w:p>
        </w:tc>
        <w:tc>
          <w:tcPr>
            <w:tcW w:w="6210" w:type="dxa"/>
          </w:tcPr>
          <w:p w14:paraId="2FB6B0A7" w14:textId="77777777" w:rsidR="00B70AFF" w:rsidRPr="00A010B9" w:rsidRDefault="00B70AFF" w:rsidP="00B70AFF">
            <w:pPr>
              <w:pStyle w:val="TableText"/>
              <w:cnfStyle w:val="000000010000" w:firstRow="0" w:lastRow="0" w:firstColumn="0" w:lastColumn="0" w:oddVBand="0" w:evenVBand="0" w:oddHBand="0" w:evenHBand="1" w:firstRowFirstColumn="0" w:firstRowLastColumn="0" w:lastRowFirstColumn="0" w:lastRowLastColumn="0"/>
            </w:pPr>
            <w:r w:rsidRPr="00A010B9">
              <w:t>No, the good/service procurement would not align with the objectives of the relevant policies</w:t>
            </w:r>
          </w:p>
        </w:tc>
        <w:tc>
          <w:tcPr>
            <w:tcW w:w="822" w:type="dxa"/>
          </w:tcPr>
          <w:p w14:paraId="0EA3D382" w14:textId="77777777" w:rsidR="00B70AFF" w:rsidRPr="00A010B9" w:rsidRDefault="00B70AFF" w:rsidP="00B70AFF">
            <w:pPr>
              <w:pStyle w:val="TableText"/>
              <w:jc w:val="center"/>
              <w:cnfStyle w:val="000000010000" w:firstRow="0" w:lastRow="0" w:firstColumn="0" w:lastColumn="0" w:oddVBand="0" w:evenVBand="0" w:oddHBand="0" w:evenHBand="1" w:firstRowFirstColumn="0" w:firstRowLastColumn="0" w:lastRowFirstColumn="0" w:lastRowLastColumn="0"/>
            </w:pPr>
            <w:r w:rsidRPr="00A010B9">
              <w:t>0</w:t>
            </w:r>
          </w:p>
        </w:tc>
        <w:tc>
          <w:tcPr>
            <w:tcW w:w="1007" w:type="dxa"/>
            <w:shd w:val="clear" w:color="auto" w:fill="D1BFFD"/>
          </w:tcPr>
          <w:p w14:paraId="3DF5D7BA" w14:textId="77777777" w:rsidR="00B70AFF" w:rsidRPr="00A010B9" w:rsidRDefault="00B70AFF" w:rsidP="00B70AFF">
            <w:pPr>
              <w:pStyle w:val="TableText"/>
              <w:jc w:val="center"/>
              <w:cnfStyle w:val="000000010000" w:firstRow="0" w:lastRow="0" w:firstColumn="0" w:lastColumn="0" w:oddVBand="0" w:evenVBand="0" w:oddHBand="0" w:evenHBand="1" w:firstRowFirstColumn="0" w:firstRowLastColumn="0" w:lastRowFirstColumn="0" w:lastRowLastColumn="0"/>
            </w:pPr>
          </w:p>
        </w:tc>
        <w:tc>
          <w:tcPr>
            <w:tcW w:w="2941" w:type="dxa"/>
            <w:vMerge w:val="restart"/>
          </w:tcPr>
          <w:p w14:paraId="1B61C893" w14:textId="77777777" w:rsidR="00B70AFF" w:rsidRDefault="00B70AFF" w:rsidP="00B70AFF">
            <w:pPr>
              <w:pStyle w:val="TableText"/>
              <w:cnfStyle w:val="000000010000" w:firstRow="0" w:lastRow="0" w:firstColumn="0" w:lastColumn="0" w:oddVBand="0" w:evenVBand="0" w:oddHBand="0" w:evenHBand="1" w:firstRowFirstColumn="0" w:firstRowLastColumn="0" w:lastRowFirstColumn="0" w:lastRowLastColumn="0"/>
            </w:pPr>
          </w:p>
        </w:tc>
        <w:tc>
          <w:tcPr>
            <w:tcW w:w="3420" w:type="dxa"/>
            <w:vMerge w:val="restart"/>
          </w:tcPr>
          <w:p w14:paraId="11586641" w14:textId="77777777" w:rsidR="00B70AFF" w:rsidRDefault="00B70AFF" w:rsidP="00B70AFF">
            <w:pPr>
              <w:pStyle w:val="TableText"/>
              <w:cnfStyle w:val="000000010000" w:firstRow="0" w:lastRow="0" w:firstColumn="0" w:lastColumn="0" w:oddVBand="0" w:evenVBand="0" w:oddHBand="0" w:evenHBand="1" w:firstRowFirstColumn="0" w:firstRowLastColumn="0" w:lastRowFirstColumn="0" w:lastRowLastColumn="0"/>
            </w:pPr>
          </w:p>
        </w:tc>
      </w:tr>
      <w:tr w:rsidR="00B70AFF" w14:paraId="519C30E8" w14:textId="77777777" w:rsidTr="00954D3D">
        <w:tc>
          <w:tcPr>
            <w:cnfStyle w:val="001000000000" w:firstRow="0" w:lastRow="0" w:firstColumn="1" w:lastColumn="0" w:oddVBand="0" w:evenVBand="0" w:oddHBand="0" w:evenHBand="0" w:firstRowFirstColumn="0" w:firstRowLastColumn="0" w:lastRowFirstColumn="0" w:lastRowLastColumn="0"/>
            <w:tcW w:w="464" w:type="dxa"/>
          </w:tcPr>
          <w:p w14:paraId="4279E99D" w14:textId="77777777" w:rsidR="00B70AFF" w:rsidRPr="003940A1" w:rsidRDefault="00B70AFF" w:rsidP="00B70AFF">
            <w:pPr>
              <w:pStyle w:val="TableText"/>
              <w:rPr>
                <w:color w:val="auto"/>
              </w:rPr>
            </w:pPr>
            <w:r>
              <w:t>(b)</w:t>
            </w:r>
          </w:p>
        </w:tc>
        <w:tc>
          <w:tcPr>
            <w:tcW w:w="6210" w:type="dxa"/>
          </w:tcPr>
          <w:p w14:paraId="5A040B1E" w14:textId="77777777" w:rsidR="00B70AFF" w:rsidRPr="00A010B9" w:rsidRDefault="00B70AFF" w:rsidP="00B70AFF">
            <w:pPr>
              <w:pStyle w:val="TableText"/>
              <w:cnfStyle w:val="000000000000" w:firstRow="0" w:lastRow="0" w:firstColumn="0" w:lastColumn="0" w:oddVBand="0" w:evenVBand="0" w:oddHBand="0" w:evenHBand="0" w:firstRowFirstColumn="0" w:firstRowLastColumn="0" w:lastRowFirstColumn="0" w:lastRowLastColumn="0"/>
            </w:pPr>
            <w:r w:rsidRPr="00A010B9">
              <w:t xml:space="preserve">Yes, however the good/service procurement would only align to some of the objectives of the relevant policies </w:t>
            </w:r>
          </w:p>
        </w:tc>
        <w:tc>
          <w:tcPr>
            <w:tcW w:w="822" w:type="dxa"/>
          </w:tcPr>
          <w:p w14:paraId="682B6AFE" w14:textId="77777777" w:rsidR="00B70AFF" w:rsidRPr="00A010B9" w:rsidRDefault="00B70AFF" w:rsidP="00B70AFF">
            <w:pPr>
              <w:pStyle w:val="TableText"/>
              <w:jc w:val="center"/>
              <w:cnfStyle w:val="000000000000" w:firstRow="0" w:lastRow="0" w:firstColumn="0" w:lastColumn="0" w:oddVBand="0" w:evenVBand="0" w:oddHBand="0" w:evenHBand="0" w:firstRowFirstColumn="0" w:firstRowLastColumn="0" w:lastRowFirstColumn="0" w:lastRowLastColumn="0"/>
            </w:pPr>
            <w:r w:rsidRPr="00A010B9">
              <w:t>6</w:t>
            </w:r>
          </w:p>
        </w:tc>
        <w:tc>
          <w:tcPr>
            <w:tcW w:w="1007" w:type="dxa"/>
            <w:shd w:val="clear" w:color="auto" w:fill="D1BFFD"/>
          </w:tcPr>
          <w:p w14:paraId="64B47E18" w14:textId="77777777" w:rsidR="00B70AFF" w:rsidRPr="003940A1" w:rsidRDefault="00B70AFF" w:rsidP="00B70AFF">
            <w:pPr>
              <w:pStyle w:val="TableText"/>
              <w:jc w:val="center"/>
              <w:cnfStyle w:val="000000000000" w:firstRow="0" w:lastRow="0" w:firstColumn="0" w:lastColumn="0" w:oddVBand="0" w:evenVBand="0" w:oddHBand="0" w:evenHBand="0" w:firstRowFirstColumn="0" w:firstRowLastColumn="0" w:lastRowFirstColumn="0" w:lastRowLastColumn="0"/>
            </w:pPr>
          </w:p>
        </w:tc>
        <w:tc>
          <w:tcPr>
            <w:tcW w:w="2941" w:type="dxa"/>
            <w:vMerge/>
          </w:tcPr>
          <w:p w14:paraId="7B56472A" w14:textId="77777777" w:rsidR="00B70AFF" w:rsidRDefault="00B70AFF" w:rsidP="00B70AFF">
            <w:pPr>
              <w:pStyle w:val="TableText"/>
              <w:cnfStyle w:val="000000000000" w:firstRow="0" w:lastRow="0" w:firstColumn="0" w:lastColumn="0" w:oddVBand="0" w:evenVBand="0" w:oddHBand="0" w:evenHBand="0" w:firstRowFirstColumn="0" w:firstRowLastColumn="0" w:lastRowFirstColumn="0" w:lastRowLastColumn="0"/>
            </w:pPr>
          </w:p>
        </w:tc>
        <w:tc>
          <w:tcPr>
            <w:tcW w:w="3420" w:type="dxa"/>
            <w:vMerge/>
          </w:tcPr>
          <w:p w14:paraId="37F51E67" w14:textId="77777777" w:rsidR="00B70AFF" w:rsidRDefault="00B70AFF" w:rsidP="00B70AFF">
            <w:pPr>
              <w:pStyle w:val="TableText"/>
              <w:cnfStyle w:val="000000000000" w:firstRow="0" w:lastRow="0" w:firstColumn="0" w:lastColumn="0" w:oddVBand="0" w:evenVBand="0" w:oddHBand="0" w:evenHBand="0" w:firstRowFirstColumn="0" w:firstRowLastColumn="0" w:lastRowFirstColumn="0" w:lastRowLastColumn="0"/>
            </w:pPr>
          </w:p>
        </w:tc>
      </w:tr>
      <w:tr w:rsidR="00B70AFF" w14:paraId="6B4F1F7F"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700D05CD" w14:textId="77777777" w:rsidR="00B70AFF" w:rsidRPr="003940A1" w:rsidRDefault="00B70AFF" w:rsidP="00B70AFF">
            <w:pPr>
              <w:pStyle w:val="TableText"/>
              <w:rPr>
                <w:color w:val="auto"/>
              </w:rPr>
            </w:pPr>
            <w:r>
              <w:t>(c)</w:t>
            </w:r>
          </w:p>
        </w:tc>
        <w:tc>
          <w:tcPr>
            <w:tcW w:w="6210" w:type="dxa"/>
          </w:tcPr>
          <w:p w14:paraId="3EA47B4A" w14:textId="77777777" w:rsidR="00B70AFF" w:rsidRPr="00A010B9" w:rsidRDefault="00B70AFF" w:rsidP="00B70AFF">
            <w:pPr>
              <w:pStyle w:val="TableText"/>
              <w:cnfStyle w:val="000000010000" w:firstRow="0" w:lastRow="0" w:firstColumn="0" w:lastColumn="0" w:oddVBand="0" w:evenVBand="0" w:oddHBand="0" w:evenHBand="1" w:firstRowFirstColumn="0" w:firstRowLastColumn="0" w:lastRowFirstColumn="0" w:lastRowLastColumn="0"/>
            </w:pPr>
            <w:r w:rsidRPr="00A010B9">
              <w:t xml:space="preserve">Yes, the good/service would align with all objectives of the relevant policies </w:t>
            </w:r>
          </w:p>
        </w:tc>
        <w:tc>
          <w:tcPr>
            <w:tcW w:w="822" w:type="dxa"/>
          </w:tcPr>
          <w:p w14:paraId="471A9C6D" w14:textId="77777777" w:rsidR="00B70AFF" w:rsidRPr="00A010B9" w:rsidRDefault="00B70AFF" w:rsidP="00B70AFF">
            <w:pPr>
              <w:pStyle w:val="TableText"/>
              <w:jc w:val="center"/>
              <w:cnfStyle w:val="000000010000" w:firstRow="0" w:lastRow="0" w:firstColumn="0" w:lastColumn="0" w:oddVBand="0" w:evenVBand="0" w:oddHBand="0" w:evenHBand="1" w:firstRowFirstColumn="0" w:firstRowLastColumn="0" w:lastRowFirstColumn="0" w:lastRowLastColumn="0"/>
            </w:pPr>
            <w:r w:rsidRPr="00A010B9">
              <w:t>12</w:t>
            </w:r>
          </w:p>
        </w:tc>
        <w:tc>
          <w:tcPr>
            <w:tcW w:w="1007" w:type="dxa"/>
            <w:shd w:val="clear" w:color="auto" w:fill="D1BFFD"/>
          </w:tcPr>
          <w:p w14:paraId="62EFD391" w14:textId="77777777" w:rsidR="00B70AFF" w:rsidRPr="003940A1" w:rsidRDefault="00B70AFF" w:rsidP="00B70AFF">
            <w:pPr>
              <w:pStyle w:val="TableText"/>
              <w:jc w:val="center"/>
              <w:cnfStyle w:val="000000010000" w:firstRow="0" w:lastRow="0" w:firstColumn="0" w:lastColumn="0" w:oddVBand="0" w:evenVBand="0" w:oddHBand="0" w:evenHBand="1" w:firstRowFirstColumn="0" w:firstRowLastColumn="0" w:lastRowFirstColumn="0" w:lastRowLastColumn="0"/>
            </w:pPr>
          </w:p>
        </w:tc>
        <w:tc>
          <w:tcPr>
            <w:tcW w:w="2941" w:type="dxa"/>
            <w:vMerge/>
          </w:tcPr>
          <w:p w14:paraId="259456F1" w14:textId="77777777" w:rsidR="00B70AFF" w:rsidRDefault="00B70AFF" w:rsidP="00B70AFF">
            <w:pPr>
              <w:pStyle w:val="TableText"/>
              <w:cnfStyle w:val="000000010000" w:firstRow="0" w:lastRow="0" w:firstColumn="0" w:lastColumn="0" w:oddVBand="0" w:evenVBand="0" w:oddHBand="0" w:evenHBand="1" w:firstRowFirstColumn="0" w:firstRowLastColumn="0" w:lastRowFirstColumn="0" w:lastRowLastColumn="0"/>
            </w:pPr>
          </w:p>
        </w:tc>
        <w:tc>
          <w:tcPr>
            <w:tcW w:w="3420" w:type="dxa"/>
            <w:vMerge/>
          </w:tcPr>
          <w:p w14:paraId="46D8194B" w14:textId="77777777" w:rsidR="00B70AFF" w:rsidRDefault="00B70AFF" w:rsidP="00B70AFF">
            <w:pPr>
              <w:pStyle w:val="TableText"/>
              <w:cnfStyle w:val="000000010000" w:firstRow="0" w:lastRow="0" w:firstColumn="0" w:lastColumn="0" w:oddVBand="0" w:evenVBand="0" w:oddHBand="0" w:evenHBand="1" w:firstRowFirstColumn="0" w:firstRowLastColumn="0" w:lastRowFirstColumn="0" w:lastRowLastColumn="0"/>
            </w:pPr>
          </w:p>
        </w:tc>
      </w:tr>
      <w:tr w:rsidR="00B70AFF" w14:paraId="6A6BAA3C" w14:textId="77777777" w:rsidTr="00954D3D">
        <w:tc>
          <w:tcPr>
            <w:cnfStyle w:val="001000000000" w:firstRow="0" w:lastRow="0" w:firstColumn="1" w:lastColumn="0" w:oddVBand="0" w:evenVBand="0" w:oddHBand="0" w:evenHBand="0" w:firstRowFirstColumn="0" w:firstRowLastColumn="0" w:lastRowFirstColumn="0" w:lastRowLastColumn="0"/>
            <w:tcW w:w="464" w:type="dxa"/>
          </w:tcPr>
          <w:p w14:paraId="55782F64" w14:textId="77777777" w:rsidR="00B70AFF" w:rsidRPr="003940A1" w:rsidRDefault="00B70AFF" w:rsidP="00B70AFF">
            <w:pPr>
              <w:pStyle w:val="TableText"/>
              <w:rPr>
                <w:color w:val="auto"/>
              </w:rPr>
            </w:pPr>
            <w:r>
              <w:t>(d)</w:t>
            </w:r>
          </w:p>
        </w:tc>
        <w:tc>
          <w:tcPr>
            <w:tcW w:w="6210" w:type="dxa"/>
          </w:tcPr>
          <w:p w14:paraId="7EBEEAAA" w14:textId="77777777" w:rsidR="00B70AFF" w:rsidRPr="00A010B9" w:rsidRDefault="00B70AFF" w:rsidP="00B70AFF">
            <w:pPr>
              <w:pStyle w:val="TableText"/>
              <w:cnfStyle w:val="000000000000" w:firstRow="0" w:lastRow="0" w:firstColumn="0" w:lastColumn="0" w:oddVBand="0" w:evenVBand="0" w:oddHBand="0" w:evenHBand="0" w:firstRowFirstColumn="0" w:firstRowLastColumn="0" w:lastRowFirstColumn="0" w:lastRowLastColumn="0"/>
            </w:pPr>
            <w:r w:rsidRPr="00A010B9">
              <w:t>Yes, the good/service would align with and enhance the objectives of the relevant policies</w:t>
            </w:r>
          </w:p>
        </w:tc>
        <w:tc>
          <w:tcPr>
            <w:tcW w:w="822" w:type="dxa"/>
          </w:tcPr>
          <w:p w14:paraId="7D3D65B4" w14:textId="77777777" w:rsidR="00B70AFF" w:rsidRPr="00A010B9" w:rsidRDefault="00B70AFF" w:rsidP="00B70AFF">
            <w:pPr>
              <w:pStyle w:val="TableText"/>
              <w:jc w:val="center"/>
              <w:cnfStyle w:val="000000000000" w:firstRow="0" w:lastRow="0" w:firstColumn="0" w:lastColumn="0" w:oddVBand="0" w:evenVBand="0" w:oddHBand="0" w:evenHBand="0" w:firstRowFirstColumn="0" w:firstRowLastColumn="0" w:lastRowFirstColumn="0" w:lastRowLastColumn="0"/>
            </w:pPr>
            <w:r w:rsidRPr="00A010B9">
              <w:t>18</w:t>
            </w:r>
          </w:p>
        </w:tc>
        <w:tc>
          <w:tcPr>
            <w:tcW w:w="1007" w:type="dxa"/>
            <w:shd w:val="clear" w:color="auto" w:fill="D1BFFD"/>
          </w:tcPr>
          <w:p w14:paraId="3773A499" w14:textId="77777777" w:rsidR="00B70AFF" w:rsidRPr="003940A1" w:rsidRDefault="00B70AFF" w:rsidP="00B70AFF">
            <w:pPr>
              <w:pStyle w:val="TableText"/>
              <w:jc w:val="center"/>
              <w:cnfStyle w:val="000000000000" w:firstRow="0" w:lastRow="0" w:firstColumn="0" w:lastColumn="0" w:oddVBand="0" w:evenVBand="0" w:oddHBand="0" w:evenHBand="0" w:firstRowFirstColumn="0" w:firstRowLastColumn="0" w:lastRowFirstColumn="0" w:lastRowLastColumn="0"/>
            </w:pPr>
          </w:p>
        </w:tc>
        <w:tc>
          <w:tcPr>
            <w:tcW w:w="2941" w:type="dxa"/>
            <w:vMerge/>
          </w:tcPr>
          <w:p w14:paraId="6A7E654F" w14:textId="77777777" w:rsidR="00B70AFF" w:rsidRDefault="00B70AFF" w:rsidP="00B70AFF">
            <w:pPr>
              <w:pStyle w:val="TableText"/>
              <w:cnfStyle w:val="000000000000" w:firstRow="0" w:lastRow="0" w:firstColumn="0" w:lastColumn="0" w:oddVBand="0" w:evenVBand="0" w:oddHBand="0" w:evenHBand="0" w:firstRowFirstColumn="0" w:firstRowLastColumn="0" w:lastRowFirstColumn="0" w:lastRowLastColumn="0"/>
            </w:pPr>
          </w:p>
        </w:tc>
        <w:tc>
          <w:tcPr>
            <w:tcW w:w="3420" w:type="dxa"/>
            <w:vMerge/>
          </w:tcPr>
          <w:p w14:paraId="0E017ED7" w14:textId="77777777" w:rsidR="00B70AFF" w:rsidRDefault="00B70AFF" w:rsidP="00B70AFF">
            <w:pPr>
              <w:pStyle w:val="TableText"/>
              <w:cnfStyle w:val="000000000000" w:firstRow="0" w:lastRow="0" w:firstColumn="0" w:lastColumn="0" w:oddVBand="0" w:evenVBand="0" w:oddHBand="0" w:evenHBand="0" w:firstRowFirstColumn="0" w:firstRowLastColumn="0" w:lastRowFirstColumn="0" w:lastRowLastColumn="0"/>
            </w:pPr>
          </w:p>
        </w:tc>
      </w:tr>
      <w:tr w:rsidR="00B70AFF" w14:paraId="4A992B1D" w14:textId="77777777" w:rsidTr="0095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6" w:type="dxa"/>
            <w:gridSpan w:val="3"/>
            <w:shd w:val="clear" w:color="auto" w:fill="D1BFFD"/>
          </w:tcPr>
          <w:p w14:paraId="3F6EBF7A" w14:textId="77777777" w:rsidR="00B70AFF" w:rsidRPr="003940A1" w:rsidRDefault="00B70AFF" w:rsidP="00B70AFF">
            <w:pPr>
              <w:pStyle w:val="TableText"/>
              <w:rPr>
                <w:b/>
              </w:rPr>
            </w:pPr>
            <w:r w:rsidRPr="003940A1">
              <w:rPr>
                <w:b/>
                <w:color w:val="auto"/>
                <w:szCs w:val="20"/>
              </w:rPr>
              <w:t xml:space="preserve">Total </w:t>
            </w:r>
            <w:r>
              <w:rPr>
                <w:b/>
                <w:color w:val="auto"/>
                <w:szCs w:val="20"/>
              </w:rPr>
              <w:t>Y</w:t>
            </w:r>
            <w:r w:rsidRPr="003940A1">
              <w:rPr>
                <w:b/>
                <w:color w:val="auto"/>
                <w:szCs w:val="20"/>
              </w:rPr>
              <w:t xml:space="preserve"> axis score (out of 60)</w:t>
            </w:r>
          </w:p>
        </w:tc>
        <w:tc>
          <w:tcPr>
            <w:tcW w:w="1007" w:type="dxa"/>
            <w:shd w:val="clear" w:color="auto" w:fill="D1BFFD"/>
          </w:tcPr>
          <w:p w14:paraId="16B47294" w14:textId="77777777" w:rsidR="00B70AFF" w:rsidRPr="003940A1" w:rsidRDefault="00B70AFF" w:rsidP="00F7754A">
            <w:pPr>
              <w:pStyle w:val="TableText"/>
              <w:jc w:val="center"/>
              <w:cnfStyle w:val="000000010000" w:firstRow="0" w:lastRow="0" w:firstColumn="0" w:lastColumn="0" w:oddVBand="0" w:evenVBand="0" w:oddHBand="0" w:evenHBand="1" w:firstRowFirstColumn="0" w:firstRowLastColumn="0" w:lastRowFirstColumn="0" w:lastRowLastColumn="0"/>
            </w:pPr>
          </w:p>
        </w:tc>
        <w:tc>
          <w:tcPr>
            <w:tcW w:w="2941" w:type="dxa"/>
            <w:shd w:val="clear" w:color="auto" w:fill="D1BFFD"/>
          </w:tcPr>
          <w:p w14:paraId="239C67A4" w14:textId="77777777" w:rsidR="00B70AFF" w:rsidRDefault="00B70AFF" w:rsidP="00F7754A">
            <w:pPr>
              <w:pStyle w:val="TableText"/>
              <w:cnfStyle w:val="000000010000" w:firstRow="0" w:lastRow="0" w:firstColumn="0" w:lastColumn="0" w:oddVBand="0" w:evenVBand="0" w:oddHBand="0" w:evenHBand="1" w:firstRowFirstColumn="0" w:firstRowLastColumn="0" w:lastRowFirstColumn="0" w:lastRowLastColumn="0"/>
            </w:pPr>
          </w:p>
        </w:tc>
        <w:tc>
          <w:tcPr>
            <w:tcW w:w="3420" w:type="dxa"/>
            <w:shd w:val="clear" w:color="auto" w:fill="D1BFFD"/>
          </w:tcPr>
          <w:p w14:paraId="4240CA2E" w14:textId="77777777" w:rsidR="00B70AFF" w:rsidRDefault="00B70AFF" w:rsidP="00F7754A">
            <w:pPr>
              <w:pStyle w:val="TableText"/>
              <w:cnfStyle w:val="000000010000" w:firstRow="0" w:lastRow="0" w:firstColumn="0" w:lastColumn="0" w:oddVBand="0" w:evenVBand="0" w:oddHBand="0" w:evenHBand="1" w:firstRowFirstColumn="0" w:firstRowLastColumn="0" w:lastRowFirstColumn="0" w:lastRowLastColumn="0"/>
            </w:pPr>
          </w:p>
        </w:tc>
      </w:tr>
    </w:tbl>
    <w:p w14:paraId="7117E0A8" w14:textId="77777777" w:rsidR="00C7437E" w:rsidRDefault="00C7437E" w:rsidP="00236EE1"/>
    <w:p w14:paraId="3C12872A" w14:textId="77777777" w:rsidR="00181C1F" w:rsidRDefault="00181C1F" w:rsidP="00181C1F">
      <w:pPr>
        <w:pStyle w:val="Heading2"/>
      </w:pPr>
      <w:r w:rsidRPr="00181C1F">
        <w:t>Summary of outputs</w:t>
      </w:r>
    </w:p>
    <w:tbl>
      <w:tblPr>
        <w:tblStyle w:val="TableGrid"/>
        <w:tblW w:w="0" w:type="auto"/>
        <w:tblLook w:val="04A0" w:firstRow="1" w:lastRow="0" w:firstColumn="1" w:lastColumn="0" w:noHBand="0" w:noVBand="1"/>
      </w:tblPr>
      <w:tblGrid>
        <w:gridCol w:w="4950"/>
        <w:gridCol w:w="3614"/>
        <w:gridCol w:w="6288"/>
      </w:tblGrid>
      <w:tr w:rsidR="00261A42" w14:paraId="75813C32" w14:textId="77777777" w:rsidTr="00261A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2DD83318" w14:textId="77777777" w:rsidR="00261A42" w:rsidRDefault="00261A42" w:rsidP="00261A42">
            <w:pPr>
              <w:pStyle w:val="TableHeader"/>
              <w:rPr>
                <w:lang w:eastAsia="en-US"/>
              </w:rPr>
            </w:pPr>
            <w:r w:rsidRPr="000D1726">
              <w:t>Axis</w:t>
            </w:r>
          </w:p>
        </w:tc>
        <w:tc>
          <w:tcPr>
            <w:tcW w:w="3614" w:type="dxa"/>
          </w:tcPr>
          <w:p w14:paraId="5A2CFB94" w14:textId="77777777" w:rsidR="00261A42" w:rsidRDefault="00261A42" w:rsidP="00261A42">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0D1726">
              <w:t>Total score</w:t>
            </w:r>
          </w:p>
        </w:tc>
        <w:tc>
          <w:tcPr>
            <w:tcW w:w="6288" w:type="dxa"/>
          </w:tcPr>
          <w:p w14:paraId="0ABC5122" w14:textId="77777777" w:rsidR="00261A42" w:rsidRDefault="00261A42" w:rsidP="00261A42">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0D1726">
              <w:t>Assessed complexity quadrant</w:t>
            </w:r>
          </w:p>
        </w:tc>
      </w:tr>
      <w:tr w:rsidR="00261A42" w:rsidRPr="00261A42" w14:paraId="09C02538" w14:textId="77777777" w:rsidTr="00261A42">
        <w:tc>
          <w:tcPr>
            <w:cnfStyle w:val="001000000000" w:firstRow="0" w:lastRow="0" w:firstColumn="1" w:lastColumn="0" w:oddVBand="0" w:evenVBand="0" w:oddHBand="0" w:evenHBand="0" w:firstRowFirstColumn="0" w:firstRowLastColumn="0" w:lastRowFirstColumn="0" w:lastRowLastColumn="0"/>
            <w:tcW w:w="4950" w:type="dxa"/>
          </w:tcPr>
          <w:p w14:paraId="79EF48DD" w14:textId="77777777" w:rsidR="00261A42" w:rsidRPr="00261A42" w:rsidRDefault="00261A42" w:rsidP="00261A42">
            <w:pPr>
              <w:pStyle w:val="TableText"/>
              <w:rPr>
                <w:color w:val="auto"/>
              </w:rPr>
            </w:pPr>
            <w:r w:rsidRPr="00261A42">
              <w:rPr>
                <w:color w:val="auto"/>
              </w:rPr>
              <w:t>X axis: goods/services market total score</w:t>
            </w:r>
          </w:p>
        </w:tc>
        <w:tc>
          <w:tcPr>
            <w:tcW w:w="3614" w:type="dxa"/>
          </w:tcPr>
          <w:p w14:paraId="6BCB4C7B" w14:textId="77777777" w:rsidR="00261A42" w:rsidRPr="00261A42" w:rsidRDefault="00261A42" w:rsidP="00261A42">
            <w:pPr>
              <w:pStyle w:val="TableText"/>
              <w:cnfStyle w:val="000000000000" w:firstRow="0" w:lastRow="0" w:firstColumn="0" w:lastColumn="0" w:oddVBand="0" w:evenVBand="0" w:oddHBand="0" w:evenHBand="0" w:firstRowFirstColumn="0" w:firstRowLastColumn="0" w:lastRowFirstColumn="0" w:lastRowLastColumn="0"/>
            </w:pPr>
          </w:p>
        </w:tc>
        <w:tc>
          <w:tcPr>
            <w:tcW w:w="6288" w:type="dxa"/>
            <w:vMerge w:val="restart"/>
          </w:tcPr>
          <w:p w14:paraId="7141F0CF" w14:textId="77777777" w:rsidR="00261A42" w:rsidRPr="00261A42" w:rsidRDefault="00261A42" w:rsidP="00261A42">
            <w:pPr>
              <w:pStyle w:val="TableText"/>
              <w:cnfStyle w:val="000000000000" w:firstRow="0" w:lastRow="0" w:firstColumn="0" w:lastColumn="0" w:oddVBand="0" w:evenVBand="0" w:oddHBand="0" w:evenHBand="0" w:firstRowFirstColumn="0" w:firstRowLastColumn="0" w:lastRowFirstColumn="0" w:lastRowLastColumn="0"/>
            </w:pPr>
          </w:p>
        </w:tc>
      </w:tr>
      <w:tr w:rsidR="00261A42" w:rsidRPr="00261A42" w14:paraId="5FB2F149" w14:textId="77777777" w:rsidTr="00261A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2B609E1A" w14:textId="77777777" w:rsidR="00261A42" w:rsidRPr="00261A42" w:rsidRDefault="00261A42" w:rsidP="00261A42">
            <w:pPr>
              <w:pStyle w:val="TableText"/>
              <w:rPr>
                <w:color w:val="auto"/>
              </w:rPr>
            </w:pPr>
            <w:r w:rsidRPr="00261A42">
              <w:rPr>
                <w:color w:val="auto"/>
              </w:rPr>
              <w:t xml:space="preserve">Y axis: value created through procurement </w:t>
            </w:r>
          </w:p>
        </w:tc>
        <w:tc>
          <w:tcPr>
            <w:tcW w:w="3614" w:type="dxa"/>
          </w:tcPr>
          <w:p w14:paraId="349E0D3C" w14:textId="77777777" w:rsidR="00261A42" w:rsidRPr="00261A42" w:rsidRDefault="00261A42" w:rsidP="00261A42">
            <w:pPr>
              <w:pStyle w:val="TableText"/>
              <w:cnfStyle w:val="000000010000" w:firstRow="0" w:lastRow="0" w:firstColumn="0" w:lastColumn="0" w:oddVBand="0" w:evenVBand="0" w:oddHBand="0" w:evenHBand="1" w:firstRowFirstColumn="0" w:firstRowLastColumn="0" w:lastRowFirstColumn="0" w:lastRowLastColumn="0"/>
            </w:pPr>
          </w:p>
        </w:tc>
        <w:tc>
          <w:tcPr>
            <w:tcW w:w="6288" w:type="dxa"/>
            <w:vMerge/>
          </w:tcPr>
          <w:p w14:paraId="2E6E7CB5" w14:textId="77777777" w:rsidR="00261A42" w:rsidRPr="00261A42" w:rsidRDefault="00261A42" w:rsidP="00261A42">
            <w:pPr>
              <w:pStyle w:val="TableText"/>
              <w:cnfStyle w:val="000000010000" w:firstRow="0" w:lastRow="0" w:firstColumn="0" w:lastColumn="0" w:oddVBand="0" w:evenVBand="0" w:oddHBand="0" w:evenHBand="1" w:firstRowFirstColumn="0" w:firstRowLastColumn="0" w:lastRowFirstColumn="0" w:lastRowLastColumn="0"/>
            </w:pPr>
          </w:p>
        </w:tc>
      </w:tr>
    </w:tbl>
    <w:p w14:paraId="6EDF6CEF" w14:textId="77777777" w:rsidR="00261A42" w:rsidRDefault="00261A42" w:rsidP="00261A42">
      <w:pPr>
        <w:rPr>
          <w:lang w:eastAsia="en-US"/>
        </w:rPr>
      </w:pPr>
    </w:p>
    <w:p w14:paraId="0C6310DA" w14:textId="77777777" w:rsidR="009D5067" w:rsidRDefault="009D5067">
      <w:pPr>
        <w:spacing w:before="0" w:after="0" w:line="240" w:lineRule="auto"/>
      </w:pPr>
      <w:r>
        <w:br w:type="page"/>
      </w:r>
    </w:p>
    <w:p w14:paraId="4F8A30C5" w14:textId="77777777" w:rsidR="00261A42" w:rsidRDefault="00261A42" w:rsidP="00181C1F"/>
    <w:p w14:paraId="037DCA8A" w14:textId="77777777" w:rsidR="00181C1F" w:rsidRDefault="00181C1F" w:rsidP="00261A42">
      <w:pPr>
        <w:pStyle w:val="Heading3"/>
      </w:pPr>
      <w:r>
        <w:t xml:space="preserve">Signatures: </w:t>
      </w:r>
    </w:p>
    <w:p w14:paraId="0BCFC2DD" w14:textId="77777777" w:rsidR="00261A42" w:rsidRDefault="00261A42" w:rsidP="00181C1F"/>
    <w:p w14:paraId="3C734AA3" w14:textId="77777777" w:rsidR="00181C1F" w:rsidRDefault="00181C1F" w:rsidP="00181C1F">
      <w:r>
        <w:t xml:space="preserve">Signed by </w:t>
      </w:r>
      <w:r w:rsidR="00261A42">
        <w:t xml:space="preserve">assessor   </w:t>
      </w:r>
      <w:r>
        <w:t xml:space="preserve">..................................................... </w:t>
      </w:r>
      <w:r w:rsidR="00261A42">
        <w:t xml:space="preserve"> </w:t>
      </w:r>
      <w:r>
        <w:t>Date........................</w:t>
      </w:r>
    </w:p>
    <w:p w14:paraId="2E032B74" w14:textId="77777777" w:rsidR="00181C1F" w:rsidRDefault="00181C1F" w:rsidP="00181C1F"/>
    <w:p w14:paraId="4AA6CB9E" w14:textId="77777777" w:rsidR="00181C1F" w:rsidRDefault="00181C1F" w:rsidP="00181C1F">
      <w:r>
        <w:t xml:space="preserve">Signed by </w:t>
      </w:r>
      <w:r w:rsidR="00261A42">
        <w:t xml:space="preserve">approver  </w:t>
      </w:r>
      <w:r>
        <w:t xml:space="preserve">..................................................... </w:t>
      </w:r>
      <w:r w:rsidR="00261A42">
        <w:t xml:space="preserve"> </w:t>
      </w:r>
      <w:r>
        <w:t>Date........................</w:t>
      </w:r>
    </w:p>
    <w:p w14:paraId="7BDE5B5D" w14:textId="77777777" w:rsidR="00181C1F" w:rsidRDefault="00181C1F" w:rsidP="00236EE1"/>
    <w:p w14:paraId="1C63FF5D" w14:textId="77777777" w:rsidR="00261A42" w:rsidRDefault="00261A42">
      <w:pPr>
        <w:spacing w:before="0" w:after="0" w:line="240" w:lineRule="auto"/>
      </w:pPr>
      <w:r>
        <w:br w:type="page"/>
      </w:r>
    </w:p>
    <w:p w14:paraId="434860EF" w14:textId="77777777" w:rsidR="00181C1F" w:rsidRDefault="00F2617F" w:rsidP="00261A42">
      <w:pPr>
        <w:pStyle w:val="Caption"/>
      </w:pPr>
      <w:r>
        <w:lastRenderedPageBreak/>
        <w:t xml:space="preserve">Figure </w:t>
      </w:r>
      <w:r w:rsidR="00181C1F" w:rsidRPr="00181C1F">
        <w:t>Decision tree linking to complexity quadrant</w:t>
      </w:r>
    </w:p>
    <w:p w14:paraId="4ABB9BF9" w14:textId="77777777" w:rsidR="00181C1F" w:rsidRDefault="004510E9" w:rsidP="00236EE1">
      <w:r>
        <w:object w:dxaOrig="13660" w:dyaOrig="4633" w14:anchorId="1D3F675A">
          <v:shape id="_x0000_i1026" type="#_x0000_t75" style="width:729.75pt;height:247.5pt" o:ole="">
            <v:imagedata r:id="rId10" o:title=""/>
          </v:shape>
          <o:OLEObject Type="Embed" ProgID="Visio.Drawing.11" ShapeID="_x0000_i1026" DrawAspect="Content" ObjectID="_1638014582" r:id="rId11"/>
        </w:object>
      </w:r>
    </w:p>
    <w:p w14:paraId="1A5B6F8F" w14:textId="77777777" w:rsidR="00D955F9" w:rsidRDefault="00F2617F" w:rsidP="004510E9">
      <w:pPr>
        <w:pStyle w:val="NoteNormal"/>
        <w:rPr>
          <w:sz w:val="22"/>
        </w:rPr>
      </w:pPr>
      <w:r>
        <w:rPr>
          <w:sz w:val="22"/>
        </w:rPr>
        <w:t>The figure shows a decision tree comparing scores for goods / services / market and value createdthrough procurement.  The decision questions and outcomes are shown in the following table.</w:t>
      </w:r>
    </w:p>
    <w:tbl>
      <w:tblPr>
        <w:tblStyle w:val="TableGrid"/>
        <w:tblW w:w="0" w:type="auto"/>
        <w:tblBorders>
          <w:left w:val="single" w:sz="6" w:space="0" w:color="660B68"/>
          <w:right w:val="single" w:sz="6" w:space="0" w:color="660B68"/>
          <w:insideV w:val="single" w:sz="6" w:space="0" w:color="660B68"/>
        </w:tblBorders>
        <w:tblLook w:val="04A0" w:firstRow="1" w:lastRow="0" w:firstColumn="1" w:lastColumn="0" w:noHBand="0" w:noVBand="1"/>
      </w:tblPr>
      <w:tblGrid>
        <w:gridCol w:w="4951"/>
        <w:gridCol w:w="4958"/>
        <w:gridCol w:w="4943"/>
      </w:tblGrid>
      <w:tr w:rsidR="00D955F9" w:rsidRPr="00D955F9" w14:paraId="04A28BC7" w14:textId="77777777" w:rsidTr="00D955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1" w:type="dxa"/>
            <w:tcBorders>
              <w:top w:val="none" w:sz="0" w:space="0" w:color="auto"/>
              <w:left w:val="none" w:sz="0" w:space="0" w:color="auto"/>
              <w:bottom w:val="none" w:sz="0" w:space="0" w:color="auto"/>
            </w:tcBorders>
            <w:shd w:val="clear" w:color="auto" w:fill="auto"/>
          </w:tcPr>
          <w:p w14:paraId="40D37B18" w14:textId="77777777" w:rsidR="00D955F9" w:rsidRPr="00D955F9" w:rsidRDefault="00D955F9" w:rsidP="00D955F9">
            <w:pPr>
              <w:rPr>
                <w:b/>
                <w:color w:val="auto"/>
                <w:lang w:eastAsia="en-US"/>
              </w:rPr>
            </w:pPr>
            <w:r>
              <w:rPr>
                <w:b/>
                <w:color w:val="auto"/>
                <w:lang w:eastAsia="en-US"/>
              </w:rPr>
              <w:t>G</w:t>
            </w:r>
            <w:r w:rsidRPr="00D955F9">
              <w:rPr>
                <w:b/>
                <w:color w:val="auto"/>
                <w:lang w:eastAsia="en-US"/>
              </w:rPr>
              <w:t>oods / services / market</w:t>
            </w:r>
            <w:r>
              <w:rPr>
                <w:b/>
                <w:color w:val="auto"/>
                <w:lang w:eastAsia="en-US"/>
              </w:rPr>
              <w:t xml:space="preserve"> score</w:t>
            </w:r>
            <w:r>
              <w:rPr>
                <w:b/>
                <w:color w:val="auto"/>
                <w:lang w:eastAsia="en-US"/>
              </w:rPr>
              <w:br/>
              <w:t>(</w:t>
            </w:r>
            <w:r w:rsidRPr="00D955F9">
              <w:rPr>
                <w:b/>
                <w:color w:val="auto"/>
                <w:lang w:eastAsia="en-US"/>
              </w:rPr>
              <w:t>X axis</w:t>
            </w:r>
            <w:r>
              <w:rPr>
                <w:b/>
                <w:color w:val="auto"/>
                <w:lang w:eastAsia="en-US"/>
              </w:rPr>
              <w:t>)</w:t>
            </w:r>
          </w:p>
        </w:tc>
        <w:tc>
          <w:tcPr>
            <w:tcW w:w="4958" w:type="dxa"/>
            <w:tcBorders>
              <w:top w:val="none" w:sz="0" w:space="0" w:color="auto"/>
              <w:bottom w:val="none" w:sz="0" w:space="0" w:color="auto"/>
            </w:tcBorders>
            <w:shd w:val="clear" w:color="auto" w:fill="auto"/>
          </w:tcPr>
          <w:p w14:paraId="0C261FC3" w14:textId="77777777" w:rsidR="00D955F9" w:rsidRPr="00D955F9" w:rsidRDefault="00D955F9" w:rsidP="00D955F9">
            <w:pPr>
              <w:cnfStyle w:val="100000000000" w:firstRow="1" w:lastRow="0" w:firstColumn="0" w:lastColumn="0" w:oddVBand="0" w:evenVBand="0" w:oddHBand="0" w:evenHBand="0" w:firstRowFirstColumn="0" w:firstRowLastColumn="0" w:lastRowFirstColumn="0" w:lastRowLastColumn="0"/>
              <w:rPr>
                <w:b/>
                <w:color w:val="auto"/>
                <w:lang w:eastAsia="en-US"/>
              </w:rPr>
            </w:pPr>
            <w:r>
              <w:rPr>
                <w:b/>
                <w:color w:val="auto"/>
                <w:lang w:eastAsia="en-US"/>
              </w:rPr>
              <w:t>V</w:t>
            </w:r>
            <w:r w:rsidRPr="00D955F9">
              <w:rPr>
                <w:b/>
                <w:color w:val="auto"/>
                <w:lang w:eastAsia="en-US"/>
              </w:rPr>
              <w:t>alue created through procurement score</w:t>
            </w:r>
            <w:r>
              <w:rPr>
                <w:b/>
                <w:color w:val="auto"/>
                <w:lang w:eastAsia="en-US"/>
              </w:rPr>
              <w:br/>
            </w:r>
            <w:r w:rsidR="00F2617F">
              <w:rPr>
                <w:b/>
                <w:color w:val="auto"/>
                <w:lang w:eastAsia="en-US"/>
              </w:rPr>
              <w:t>(Y axis)</w:t>
            </w:r>
          </w:p>
        </w:tc>
        <w:tc>
          <w:tcPr>
            <w:tcW w:w="4943" w:type="dxa"/>
            <w:tcBorders>
              <w:top w:val="none" w:sz="0" w:space="0" w:color="auto"/>
              <w:bottom w:val="none" w:sz="0" w:space="0" w:color="auto"/>
              <w:right w:val="none" w:sz="0" w:space="0" w:color="auto"/>
            </w:tcBorders>
            <w:shd w:val="clear" w:color="auto" w:fill="auto"/>
          </w:tcPr>
          <w:p w14:paraId="2D9D3FBA" w14:textId="77777777" w:rsidR="00D955F9" w:rsidRPr="00D955F9" w:rsidRDefault="00D955F9" w:rsidP="00D955F9">
            <w:pPr>
              <w:cnfStyle w:val="100000000000" w:firstRow="1" w:lastRow="0" w:firstColumn="0" w:lastColumn="0" w:oddVBand="0" w:evenVBand="0" w:oddHBand="0" w:evenHBand="0" w:firstRowFirstColumn="0" w:firstRowLastColumn="0" w:lastRowFirstColumn="0" w:lastRowLastColumn="0"/>
              <w:rPr>
                <w:b/>
                <w:color w:val="auto"/>
                <w:lang w:eastAsia="en-US"/>
              </w:rPr>
            </w:pPr>
            <w:r w:rsidRPr="00D955F9">
              <w:rPr>
                <w:b/>
                <w:color w:val="auto"/>
                <w:lang w:eastAsia="en-US"/>
              </w:rPr>
              <w:t>Appropriate complexity quadrant</w:t>
            </w:r>
          </w:p>
        </w:tc>
      </w:tr>
      <w:tr w:rsidR="00D955F9" w14:paraId="302C5B60" w14:textId="77777777" w:rsidTr="00D955F9">
        <w:tc>
          <w:tcPr>
            <w:cnfStyle w:val="001000000000" w:firstRow="0" w:lastRow="0" w:firstColumn="1" w:lastColumn="0" w:oddVBand="0" w:evenVBand="0" w:oddHBand="0" w:evenHBand="0" w:firstRowFirstColumn="0" w:firstRowLastColumn="0" w:lastRowFirstColumn="0" w:lastRowLastColumn="0"/>
            <w:tcW w:w="4951" w:type="dxa"/>
          </w:tcPr>
          <w:p w14:paraId="6AD91686" w14:textId="77777777" w:rsidR="00D955F9" w:rsidRDefault="00D955F9" w:rsidP="00D955F9">
            <w:pPr>
              <w:rPr>
                <w:lang w:eastAsia="en-US"/>
              </w:rPr>
            </w:pPr>
            <w:r>
              <w:rPr>
                <w:lang w:eastAsia="en-US"/>
              </w:rPr>
              <w:t>Greater than 30</w:t>
            </w:r>
          </w:p>
        </w:tc>
        <w:tc>
          <w:tcPr>
            <w:tcW w:w="4958" w:type="dxa"/>
          </w:tcPr>
          <w:p w14:paraId="25420C97" w14:textId="77777777" w:rsidR="00D955F9" w:rsidRDefault="00D955F9" w:rsidP="00D955F9">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Greater than 30</w:t>
            </w:r>
          </w:p>
        </w:tc>
        <w:tc>
          <w:tcPr>
            <w:tcW w:w="4943" w:type="dxa"/>
          </w:tcPr>
          <w:p w14:paraId="71E9C4B5" w14:textId="77777777" w:rsidR="00D955F9" w:rsidRDefault="00D955F9" w:rsidP="00D955F9">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Strategic</w:t>
            </w:r>
          </w:p>
        </w:tc>
      </w:tr>
      <w:tr w:rsidR="00D955F9" w14:paraId="523856BA" w14:textId="77777777" w:rsidTr="00D95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1" w:type="dxa"/>
          </w:tcPr>
          <w:p w14:paraId="30BA4306" w14:textId="77777777" w:rsidR="00D955F9" w:rsidRDefault="00D955F9" w:rsidP="00D955F9">
            <w:pPr>
              <w:rPr>
                <w:lang w:eastAsia="en-US"/>
              </w:rPr>
            </w:pPr>
            <w:r>
              <w:rPr>
                <w:lang w:eastAsia="en-US"/>
              </w:rPr>
              <w:t>Greater than 30</w:t>
            </w:r>
          </w:p>
        </w:tc>
        <w:tc>
          <w:tcPr>
            <w:tcW w:w="4958" w:type="dxa"/>
          </w:tcPr>
          <w:p w14:paraId="74AA0C27" w14:textId="77777777" w:rsidR="00D955F9" w:rsidRDefault="00D955F9" w:rsidP="00D955F9">
            <w:pPr>
              <w:cnfStyle w:val="000000010000" w:firstRow="0" w:lastRow="0" w:firstColumn="0" w:lastColumn="0" w:oddVBand="0" w:evenVBand="0" w:oddHBand="0" w:evenHBand="1" w:firstRowFirstColumn="0" w:firstRowLastColumn="0" w:lastRowFirstColumn="0" w:lastRowLastColumn="0"/>
              <w:rPr>
                <w:lang w:eastAsia="en-US"/>
              </w:rPr>
            </w:pPr>
            <w:r>
              <w:rPr>
                <w:lang w:eastAsia="en-US"/>
              </w:rPr>
              <w:t>Less than 30</w:t>
            </w:r>
          </w:p>
        </w:tc>
        <w:tc>
          <w:tcPr>
            <w:tcW w:w="4943" w:type="dxa"/>
          </w:tcPr>
          <w:p w14:paraId="3AA11F3E" w14:textId="77777777" w:rsidR="00D955F9" w:rsidRDefault="00D955F9" w:rsidP="00D955F9">
            <w:pPr>
              <w:cnfStyle w:val="000000010000" w:firstRow="0" w:lastRow="0" w:firstColumn="0" w:lastColumn="0" w:oddVBand="0" w:evenVBand="0" w:oddHBand="0" w:evenHBand="1" w:firstRowFirstColumn="0" w:firstRowLastColumn="0" w:lastRowFirstColumn="0" w:lastRowLastColumn="0"/>
              <w:rPr>
                <w:lang w:eastAsia="en-US"/>
              </w:rPr>
            </w:pPr>
            <w:r>
              <w:rPr>
                <w:lang w:eastAsia="en-US"/>
              </w:rPr>
              <w:t>Focused</w:t>
            </w:r>
          </w:p>
        </w:tc>
      </w:tr>
      <w:tr w:rsidR="00D955F9" w14:paraId="049C58B6" w14:textId="77777777" w:rsidTr="00D955F9">
        <w:tc>
          <w:tcPr>
            <w:cnfStyle w:val="001000000000" w:firstRow="0" w:lastRow="0" w:firstColumn="1" w:lastColumn="0" w:oddVBand="0" w:evenVBand="0" w:oddHBand="0" w:evenHBand="0" w:firstRowFirstColumn="0" w:firstRowLastColumn="0" w:lastRowFirstColumn="0" w:lastRowLastColumn="0"/>
            <w:tcW w:w="4951" w:type="dxa"/>
          </w:tcPr>
          <w:p w14:paraId="5664092B" w14:textId="77777777" w:rsidR="00D955F9" w:rsidRDefault="00D955F9" w:rsidP="00D955F9">
            <w:pPr>
              <w:rPr>
                <w:lang w:eastAsia="en-US"/>
              </w:rPr>
            </w:pPr>
            <w:r>
              <w:rPr>
                <w:lang w:eastAsia="en-US"/>
              </w:rPr>
              <w:t>Less than 30</w:t>
            </w:r>
          </w:p>
        </w:tc>
        <w:tc>
          <w:tcPr>
            <w:tcW w:w="4958" w:type="dxa"/>
          </w:tcPr>
          <w:p w14:paraId="56C08A2A" w14:textId="77777777" w:rsidR="00D955F9" w:rsidRDefault="00D955F9" w:rsidP="00D955F9">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Greater than 30</w:t>
            </w:r>
          </w:p>
        </w:tc>
        <w:tc>
          <w:tcPr>
            <w:tcW w:w="4943" w:type="dxa"/>
          </w:tcPr>
          <w:p w14:paraId="33815B67" w14:textId="77777777" w:rsidR="00D955F9" w:rsidRDefault="00D955F9" w:rsidP="00D955F9">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Leveraged</w:t>
            </w:r>
          </w:p>
        </w:tc>
      </w:tr>
      <w:tr w:rsidR="00D955F9" w14:paraId="4C82D6AA" w14:textId="77777777" w:rsidTr="00D95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1" w:type="dxa"/>
          </w:tcPr>
          <w:p w14:paraId="7D03ECDE" w14:textId="77777777" w:rsidR="00D955F9" w:rsidRDefault="00D955F9" w:rsidP="00D955F9">
            <w:pPr>
              <w:rPr>
                <w:lang w:eastAsia="en-US"/>
              </w:rPr>
            </w:pPr>
            <w:r>
              <w:rPr>
                <w:lang w:eastAsia="en-US"/>
              </w:rPr>
              <w:t>Less than 30</w:t>
            </w:r>
          </w:p>
        </w:tc>
        <w:tc>
          <w:tcPr>
            <w:tcW w:w="4958" w:type="dxa"/>
          </w:tcPr>
          <w:p w14:paraId="1AA30E0A" w14:textId="77777777" w:rsidR="00D955F9" w:rsidRDefault="00D955F9" w:rsidP="00D955F9">
            <w:pPr>
              <w:cnfStyle w:val="000000010000" w:firstRow="0" w:lastRow="0" w:firstColumn="0" w:lastColumn="0" w:oddVBand="0" w:evenVBand="0" w:oddHBand="0" w:evenHBand="1" w:firstRowFirstColumn="0" w:firstRowLastColumn="0" w:lastRowFirstColumn="0" w:lastRowLastColumn="0"/>
              <w:rPr>
                <w:lang w:eastAsia="en-US"/>
              </w:rPr>
            </w:pPr>
            <w:r>
              <w:rPr>
                <w:lang w:eastAsia="en-US"/>
              </w:rPr>
              <w:t>Less than 30</w:t>
            </w:r>
          </w:p>
        </w:tc>
        <w:tc>
          <w:tcPr>
            <w:tcW w:w="4943" w:type="dxa"/>
          </w:tcPr>
          <w:p w14:paraId="7C5E662D" w14:textId="77777777" w:rsidR="00D955F9" w:rsidRDefault="00D955F9" w:rsidP="00D955F9">
            <w:pPr>
              <w:cnfStyle w:val="000000010000" w:firstRow="0" w:lastRow="0" w:firstColumn="0" w:lastColumn="0" w:oddVBand="0" w:evenVBand="0" w:oddHBand="0" w:evenHBand="1" w:firstRowFirstColumn="0" w:firstRowLastColumn="0" w:lastRowFirstColumn="0" w:lastRowLastColumn="0"/>
              <w:rPr>
                <w:lang w:eastAsia="en-US"/>
              </w:rPr>
            </w:pPr>
            <w:r>
              <w:rPr>
                <w:lang w:eastAsia="en-US"/>
              </w:rPr>
              <w:t>Transactional</w:t>
            </w:r>
          </w:p>
        </w:tc>
      </w:tr>
    </w:tbl>
    <w:p w14:paraId="52721D96" w14:textId="77777777" w:rsidR="00181C1F" w:rsidRPr="00D955F9" w:rsidRDefault="00181C1F" w:rsidP="004510E9">
      <w:pPr>
        <w:pStyle w:val="NoteNormal"/>
        <w:rPr>
          <w:sz w:val="22"/>
        </w:rPr>
      </w:pPr>
      <w:r w:rsidRPr="00D955F9">
        <w:rPr>
          <w:sz w:val="22"/>
        </w:rPr>
        <w:lastRenderedPageBreak/>
        <w:t>NOTE: Changing the inter-quadrant values on either the X or Y axis to reflect the risk and scoring ratings adopted by the organisation will alter the allocation of categories across the complexity quadrants.</w:t>
      </w:r>
    </w:p>
    <w:p w14:paraId="7EE5D78F" w14:textId="77777777" w:rsidR="00181C1F" w:rsidRDefault="004B6D7B" w:rsidP="00236EE1">
      <w:r>
        <w:rPr>
          <w:lang w:eastAsia="en-US"/>
        </w:rPr>
        <w:t>The complexity assessment quadrants are shown in the following table”</w:t>
      </w:r>
    </w:p>
    <w:tbl>
      <w:tblPr>
        <w:tblStyle w:val="TableGrid"/>
        <w:tblW w:w="0" w:type="auto"/>
        <w:tblBorders>
          <w:left w:val="single" w:sz="6" w:space="0" w:color="660B68"/>
          <w:right w:val="single" w:sz="6" w:space="0" w:color="660B68"/>
          <w:insideV w:val="single" w:sz="6" w:space="0" w:color="660B68"/>
        </w:tblBorders>
        <w:tblLook w:val="04A0" w:firstRow="1" w:lastRow="0" w:firstColumn="1" w:lastColumn="0" w:noHBand="0" w:noVBand="1"/>
      </w:tblPr>
      <w:tblGrid>
        <w:gridCol w:w="3319"/>
        <w:gridCol w:w="3319"/>
        <w:gridCol w:w="3319"/>
      </w:tblGrid>
      <w:tr w:rsidR="004B6D7B" w:rsidRPr="0004759C" w14:paraId="17B8ABE8" w14:textId="77777777" w:rsidTr="00F22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shd w:val="clear" w:color="auto" w:fill="auto"/>
          </w:tcPr>
          <w:p w14:paraId="528B8182" w14:textId="77777777" w:rsidR="00900D4F" w:rsidRDefault="004B6D7B" w:rsidP="00900D4F">
            <w:pPr>
              <w:jc w:val="center"/>
              <w:rPr>
                <w:b/>
              </w:rPr>
            </w:pPr>
            <w:r w:rsidRPr="0004759C">
              <w:rPr>
                <w:b/>
                <w:color w:val="auto"/>
              </w:rPr>
              <w:t>Value created through procurement</w:t>
            </w:r>
          </w:p>
          <w:p w14:paraId="4CF43C1B" w14:textId="77777777" w:rsidR="004B6D7B" w:rsidRPr="0004759C" w:rsidRDefault="004B6D7B" w:rsidP="00F22436">
            <w:pPr>
              <w:jc w:val="center"/>
              <w:rPr>
                <w:b/>
                <w:color w:val="auto"/>
              </w:rPr>
            </w:pPr>
            <w:r>
              <w:rPr>
                <w:b/>
                <w:color w:val="auto"/>
              </w:rPr>
              <w:t>Y axis</w:t>
            </w:r>
          </w:p>
        </w:tc>
        <w:tc>
          <w:tcPr>
            <w:tcW w:w="3319" w:type="dxa"/>
            <w:shd w:val="clear" w:color="auto" w:fill="auto"/>
          </w:tcPr>
          <w:p w14:paraId="50B2B684" w14:textId="77777777" w:rsidR="004B6D7B" w:rsidRDefault="004B6D7B" w:rsidP="00F22436">
            <w:pPr>
              <w:jc w:val="center"/>
              <w:cnfStyle w:val="100000000000" w:firstRow="1" w:lastRow="0" w:firstColumn="0" w:lastColumn="0" w:oddVBand="0" w:evenVBand="0" w:oddHBand="0" w:evenHBand="0" w:firstRowFirstColumn="0" w:firstRowLastColumn="0" w:lastRowFirstColumn="0" w:lastRowLastColumn="0"/>
              <w:rPr>
                <w:b/>
              </w:rPr>
            </w:pPr>
            <w:r w:rsidRPr="0004759C">
              <w:rPr>
                <w:b/>
                <w:color w:val="auto"/>
              </w:rPr>
              <w:t xml:space="preserve">Standardised </w:t>
            </w:r>
            <w:r w:rsidRPr="0004759C">
              <w:rPr>
                <w:b/>
                <w:color w:val="auto"/>
              </w:rPr>
              <w:br/>
              <w:t>goods and services market</w:t>
            </w:r>
          </w:p>
          <w:p w14:paraId="7310D691" w14:textId="77777777" w:rsidR="004B6D7B" w:rsidRPr="0004759C" w:rsidRDefault="004B6D7B" w:rsidP="00F22436">
            <w:pPr>
              <w:jc w:val="center"/>
              <w:cnfStyle w:val="100000000000" w:firstRow="1" w:lastRow="0" w:firstColumn="0" w:lastColumn="0" w:oddVBand="0" w:evenVBand="0" w:oddHBand="0" w:evenHBand="0" w:firstRowFirstColumn="0" w:firstRowLastColumn="0" w:lastRowFirstColumn="0" w:lastRowLastColumn="0"/>
              <w:rPr>
                <w:b/>
              </w:rPr>
            </w:pPr>
            <w:r w:rsidRPr="0004759C">
              <w:rPr>
                <w:b/>
                <w:color w:val="auto"/>
              </w:rPr>
              <w:t xml:space="preserve">Scores between </w:t>
            </w:r>
            <w:r w:rsidR="00900D4F">
              <w:rPr>
                <w:b/>
                <w:color w:val="auto"/>
              </w:rPr>
              <w:t xml:space="preserve">0 - </w:t>
            </w:r>
            <w:r w:rsidRPr="0004759C">
              <w:rPr>
                <w:b/>
                <w:color w:val="auto"/>
              </w:rPr>
              <w:t>300</w:t>
            </w:r>
          </w:p>
          <w:p w14:paraId="6804791A" w14:textId="77777777" w:rsidR="004B6D7B" w:rsidRPr="0004759C" w:rsidRDefault="004B6D7B" w:rsidP="00F22436">
            <w:pPr>
              <w:jc w:val="center"/>
              <w:cnfStyle w:val="100000000000" w:firstRow="1" w:lastRow="0" w:firstColumn="0" w:lastColumn="0" w:oddVBand="0" w:evenVBand="0" w:oddHBand="0" w:evenHBand="0" w:firstRowFirstColumn="0" w:firstRowLastColumn="0" w:lastRowFirstColumn="0" w:lastRowLastColumn="0"/>
              <w:rPr>
                <w:b/>
                <w:color w:val="auto"/>
              </w:rPr>
            </w:pPr>
            <w:r>
              <w:rPr>
                <w:b/>
                <w:color w:val="auto"/>
              </w:rPr>
              <w:t>X axis</w:t>
            </w:r>
          </w:p>
        </w:tc>
        <w:tc>
          <w:tcPr>
            <w:tcW w:w="3319" w:type="dxa"/>
            <w:shd w:val="clear" w:color="auto" w:fill="auto"/>
          </w:tcPr>
          <w:p w14:paraId="0EA6C12D" w14:textId="77777777" w:rsidR="004B6D7B" w:rsidRDefault="004B6D7B" w:rsidP="00F22436">
            <w:pPr>
              <w:jc w:val="center"/>
              <w:cnfStyle w:val="100000000000" w:firstRow="1" w:lastRow="0" w:firstColumn="0" w:lastColumn="0" w:oddVBand="0" w:evenVBand="0" w:oddHBand="0" w:evenHBand="0" w:firstRowFirstColumn="0" w:firstRowLastColumn="0" w:lastRowFirstColumn="0" w:lastRowLastColumn="0"/>
              <w:rPr>
                <w:b/>
              </w:rPr>
            </w:pPr>
            <w:r w:rsidRPr="0004759C">
              <w:rPr>
                <w:b/>
                <w:color w:val="auto"/>
              </w:rPr>
              <w:t>Specialised</w:t>
            </w:r>
            <w:r w:rsidRPr="0004759C">
              <w:rPr>
                <w:b/>
                <w:color w:val="auto"/>
              </w:rPr>
              <w:br/>
              <w:t>goods and services market</w:t>
            </w:r>
          </w:p>
          <w:p w14:paraId="2E4D8FF3" w14:textId="77777777" w:rsidR="004B6D7B" w:rsidRPr="0004759C" w:rsidRDefault="004B6D7B" w:rsidP="00F22436">
            <w:pPr>
              <w:jc w:val="center"/>
              <w:cnfStyle w:val="100000000000" w:firstRow="1" w:lastRow="0" w:firstColumn="0" w:lastColumn="0" w:oddVBand="0" w:evenVBand="0" w:oddHBand="0" w:evenHBand="0" w:firstRowFirstColumn="0" w:firstRowLastColumn="0" w:lastRowFirstColumn="0" w:lastRowLastColumn="0"/>
              <w:rPr>
                <w:b/>
              </w:rPr>
            </w:pPr>
            <w:r w:rsidRPr="0004759C">
              <w:rPr>
                <w:b/>
                <w:color w:val="auto"/>
              </w:rPr>
              <w:t>Scores between 30</w:t>
            </w:r>
            <w:r w:rsidR="00900D4F">
              <w:rPr>
                <w:b/>
                <w:color w:val="auto"/>
              </w:rPr>
              <w:t xml:space="preserve"> - 60</w:t>
            </w:r>
          </w:p>
          <w:p w14:paraId="70982462" w14:textId="77777777" w:rsidR="004B6D7B" w:rsidRPr="0004759C" w:rsidRDefault="004B6D7B" w:rsidP="00F22436">
            <w:pPr>
              <w:jc w:val="center"/>
              <w:cnfStyle w:val="100000000000" w:firstRow="1" w:lastRow="0" w:firstColumn="0" w:lastColumn="0" w:oddVBand="0" w:evenVBand="0" w:oddHBand="0" w:evenHBand="0" w:firstRowFirstColumn="0" w:firstRowLastColumn="0" w:lastRowFirstColumn="0" w:lastRowLastColumn="0"/>
              <w:rPr>
                <w:b/>
                <w:color w:val="auto"/>
              </w:rPr>
            </w:pPr>
            <w:r>
              <w:rPr>
                <w:b/>
                <w:color w:val="auto"/>
              </w:rPr>
              <w:t>X axis</w:t>
            </w:r>
          </w:p>
        </w:tc>
      </w:tr>
      <w:tr w:rsidR="004B6D7B" w14:paraId="2CFC54D6" w14:textId="77777777" w:rsidTr="00F22436">
        <w:tc>
          <w:tcPr>
            <w:cnfStyle w:val="001000000000" w:firstRow="0" w:lastRow="0" w:firstColumn="1" w:lastColumn="0" w:oddVBand="0" w:evenVBand="0" w:oddHBand="0" w:evenHBand="0" w:firstRowFirstColumn="0" w:firstRowLastColumn="0" w:lastRowFirstColumn="0" w:lastRowLastColumn="0"/>
            <w:tcW w:w="3319" w:type="dxa"/>
          </w:tcPr>
          <w:p w14:paraId="22A790C4" w14:textId="77777777" w:rsidR="004B6D7B" w:rsidRPr="0004759C" w:rsidRDefault="004B6D7B" w:rsidP="00F22436">
            <w:pPr>
              <w:jc w:val="center"/>
              <w:rPr>
                <w:b/>
                <w:color w:val="auto"/>
              </w:rPr>
            </w:pPr>
            <w:r w:rsidRPr="0004759C">
              <w:rPr>
                <w:b/>
                <w:color w:val="auto"/>
              </w:rPr>
              <w:t>High value</w:t>
            </w:r>
          </w:p>
          <w:p w14:paraId="11696C7F" w14:textId="77777777" w:rsidR="004B6D7B" w:rsidRPr="0004759C" w:rsidRDefault="004B6D7B" w:rsidP="00F22436">
            <w:pPr>
              <w:jc w:val="center"/>
              <w:rPr>
                <w:b/>
                <w:color w:val="auto"/>
              </w:rPr>
            </w:pPr>
            <w:r w:rsidRPr="0004759C">
              <w:rPr>
                <w:b/>
                <w:color w:val="auto"/>
              </w:rPr>
              <w:t>Scores between 30 - 60</w:t>
            </w:r>
          </w:p>
        </w:tc>
        <w:tc>
          <w:tcPr>
            <w:tcW w:w="3319" w:type="dxa"/>
          </w:tcPr>
          <w:p w14:paraId="14740DF2" w14:textId="77777777" w:rsidR="004B6D7B" w:rsidRPr="0004759C" w:rsidRDefault="004B6D7B" w:rsidP="00F22436">
            <w:pPr>
              <w:jc w:val="center"/>
              <w:cnfStyle w:val="000000000000" w:firstRow="0" w:lastRow="0" w:firstColumn="0" w:lastColumn="0" w:oddVBand="0" w:evenVBand="0" w:oddHBand="0" w:evenHBand="0" w:firstRowFirstColumn="0" w:firstRowLastColumn="0" w:lastRowFirstColumn="0" w:lastRowLastColumn="0"/>
            </w:pPr>
            <w:r w:rsidRPr="0004759C">
              <w:t>Leveraged</w:t>
            </w:r>
          </w:p>
          <w:p w14:paraId="4347AD2B" w14:textId="77777777" w:rsidR="004B6D7B" w:rsidRPr="0004759C" w:rsidRDefault="004B6D7B" w:rsidP="00F22436">
            <w:pPr>
              <w:jc w:val="center"/>
              <w:cnfStyle w:val="000000000000" w:firstRow="0" w:lastRow="0" w:firstColumn="0" w:lastColumn="0" w:oddVBand="0" w:evenVBand="0" w:oddHBand="0" w:evenHBand="0" w:firstRowFirstColumn="0" w:firstRowLastColumn="0" w:lastRowFirstColumn="0" w:lastRowLastColumn="0"/>
            </w:pPr>
            <w:r w:rsidRPr="0004759C">
              <w:t>(quadrant 2)</w:t>
            </w:r>
          </w:p>
        </w:tc>
        <w:tc>
          <w:tcPr>
            <w:tcW w:w="3319" w:type="dxa"/>
          </w:tcPr>
          <w:p w14:paraId="2FCB2390" w14:textId="77777777" w:rsidR="004B6D7B" w:rsidRPr="0004759C" w:rsidRDefault="004B6D7B" w:rsidP="00F22436">
            <w:pPr>
              <w:jc w:val="center"/>
              <w:cnfStyle w:val="000000000000" w:firstRow="0" w:lastRow="0" w:firstColumn="0" w:lastColumn="0" w:oddVBand="0" w:evenVBand="0" w:oddHBand="0" w:evenHBand="0" w:firstRowFirstColumn="0" w:firstRowLastColumn="0" w:lastRowFirstColumn="0" w:lastRowLastColumn="0"/>
            </w:pPr>
            <w:r w:rsidRPr="0004759C">
              <w:t>Strategic</w:t>
            </w:r>
          </w:p>
          <w:p w14:paraId="1F201618" w14:textId="77777777" w:rsidR="004B6D7B" w:rsidRPr="0004759C" w:rsidRDefault="004B6D7B" w:rsidP="00F22436">
            <w:pPr>
              <w:jc w:val="center"/>
              <w:cnfStyle w:val="000000000000" w:firstRow="0" w:lastRow="0" w:firstColumn="0" w:lastColumn="0" w:oddVBand="0" w:evenVBand="0" w:oddHBand="0" w:evenHBand="0" w:firstRowFirstColumn="0" w:firstRowLastColumn="0" w:lastRowFirstColumn="0" w:lastRowLastColumn="0"/>
            </w:pPr>
            <w:r w:rsidRPr="0004759C">
              <w:t>(quadrant 4)</w:t>
            </w:r>
          </w:p>
        </w:tc>
      </w:tr>
      <w:tr w:rsidR="004B6D7B" w14:paraId="29D23CFF" w14:textId="77777777" w:rsidTr="00F224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674F5F78" w14:textId="77777777" w:rsidR="004B6D7B" w:rsidRPr="0004759C" w:rsidRDefault="004B6D7B" w:rsidP="00F22436">
            <w:pPr>
              <w:jc w:val="center"/>
              <w:rPr>
                <w:b/>
                <w:color w:val="auto"/>
              </w:rPr>
            </w:pPr>
            <w:r w:rsidRPr="0004759C">
              <w:rPr>
                <w:b/>
                <w:color w:val="auto"/>
              </w:rPr>
              <w:t>Low value</w:t>
            </w:r>
          </w:p>
          <w:p w14:paraId="6B0E749A" w14:textId="77777777" w:rsidR="004B6D7B" w:rsidRPr="0004759C" w:rsidRDefault="004B6D7B" w:rsidP="00F22436">
            <w:pPr>
              <w:jc w:val="center"/>
              <w:rPr>
                <w:b/>
                <w:color w:val="auto"/>
              </w:rPr>
            </w:pPr>
            <w:r w:rsidRPr="0004759C">
              <w:rPr>
                <w:b/>
                <w:color w:val="auto"/>
              </w:rPr>
              <w:t>Scores between 0 - 30</w:t>
            </w:r>
          </w:p>
        </w:tc>
        <w:tc>
          <w:tcPr>
            <w:tcW w:w="3319" w:type="dxa"/>
          </w:tcPr>
          <w:p w14:paraId="249C3B5F" w14:textId="77777777" w:rsidR="004B6D7B" w:rsidRPr="0004759C" w:rsidRDefault="004B6D7B" w:rsidP="00F22436">
            <w:pPr>
              <w:jc w:val="center"/>
              <w:cnfStyle w:val="000000010000" w:firstRow="0" w:lastRow="0" w:firstColumn="0" w:lastColumn="0" w:oddVBand="0" w:evenVBand="0" w:oddHBand="0" w:evenHBand="1" w:firstRowFirstColumn="0" w:firstRowLastColumn="0" w:lastRowFirstColumn="0" w:lastRowLastColumn="0"/>
            </w:pPr>
            <w:r w:rsidRPr="0004759C">
              <w:t>Transactional</w:t>
            </w:r>
          </w:p>
          <w:p w14:paraId="189E7611" w14:textId="77777777" w:rsidR="004B6D7B" w:rsidRPr="0004759C" w:rsidRDefault="004B6D7B" w:rsidP="00F22436">
            <w:pPr>
              <w:jc w:val="center"/>
              <w:cnfStyle w:val="000000010000" w:firstRow="0" w:lastRow="0" w:firstColumn="0" w:lastColumn="0" w:oddVBand="0" w:evenVBand="0" w:oddHBand="0" w:evenHBand="1" w:firstRowFirstColumn="0" w:firstRowLastColumn="0" w:lastRowFirstColumn="0" w:lastRowLastColumn="0"/>
            </w:pPr>
            <w:r w:rsidRPr="0004759C">
              <w:t>(quadrant 1)</w:t>
            </w:r>
          </w:p>
        </w:tc>
        <w:tc>
          <w:tcPr>
            <w:tcW w:w="3319" w:type="dxa"/>
          </w:tcPr>
          <w:p w14:paraId="122439C1" w14:textId="77777777" w:rsidR="004B6D7B" w:rsidRPr="0004759C" w:rsidRDefault="004B6D7B" w:rsidP="00F22436">
            <w:pPr>
              <w:jc w:val="center"/>
              <w:cnfStyle w:val="000000010000" w:firstRow="0" w:lastRow="0" w:firstColumn="0" w:lastColumn="0" w:oddVBand="0" w:evenVBand="0" w:oddHBand="0" w:evenHBand="1" w:firstRowFirstColumn="0" w:firstRowLastColumn="0" w:lastRowFirstColumn="0" w:lastRowLastColumn="0"/>
            </w:pPr>
            <w:r w:rsidRPr="0004759C">
              <w:t>Focused</w:t>
            </w:r>
          </w:p>
          <w:p w14:paraId="12C850D8" w14:textId="77777777" w:rsidR="004B6D7B" w:rsidRPr="0004759C" w:rsidRDefault="004B6D7B" w:rsidP="00F22436">
            <w:pPr>
              <w:jc w:val="center"/>
              <w:cnfStyle w:val="000000010000" w:firstRow="0" w:lastRow="0" w:firstColumn="0" w:lastColumn="0" w:oddVBand="0" w:evenVBand="0" w:oddHBand="0" w:evenHBand="1" w:firstRowFirstColumn="0" w:firstRowLastColumn="0" w:lastRowFirstColumn="0" w:lastRowLastColumn="0"/>
            </w:pPr>
            <w:r w:rsidRPr="0004759C">
              <w:t>(quadrant 3)</w:t>
            </w:r>
          </w:p>
        </w:tc>
      </w:tr>
    </w:tbl>
    <w:p w14:paraId="017AC3E7" w14:textId="77777777" w:rsidR="004B6D7B" w:rsidRDefault="004B6D7B" w:rsidP="00236EE1"/>
    <w:p w14:paraId="5DBA3069" w14:textId="77777777" w:rsidR="004B6D7B" w:rsidRDefault="004B6D7B" w:rsidP="00236EE1"/>
    <w:p w14:paraId="4AE00E87" w14:textId="77777777" w:rsidR="008A0802" w:rsidRPr="004C364C" w:rsidRDefault="008A0802" w:rsidP="008A0802">
      <w:pPr>
        <w:pStyle w:val="Heading2"/>
        <w:rPr>
          <w:b w:val="0"/>
          <w:bCs/>
          <w:color w:val="7030A0"/>
          <w:spacing w:val="2"/>
        </w:rPr>
      </w:pPr>
      <w:r>
        <w:br w:type="page"/>
      </w:r>
      <w:r w:rsidRPr="004C364C">
        <w:rPr>
          <w:bCs/>
          <w:color w:val="7030A0"/>
          <w:spacing w:val="2"/>
        </w:rPr>
        <w:lastRenderedPageBreak/>
        <w:t>Using this tool</w:t>
      </w:r>
    </w:p>
    <w:p w14:paraId="109A22F1" w14:textId="17EC7C9C" w:rsidR="008A0802" w:rsidRPr="007A19E6" w:rsidRDefault="008A0802" w:rsidP="008A0802">
      <w:pPr>
        <w:spacing w:before="0" w:after="200"/>
      </w:pPr>
      <w:r w:rsidRPr="00D56617">
        <w:t xml:space="preserve">This </w:t>
      </w:r>
      <w:r>
        <w:t xml:space="preserve">tool </w:t>
      </w:r>
      <w:r w:rsidRPr="00D56617">
        <w:t xml:space="preserve">accompanies </w:t>
      </w:r>
      <w:r>
        <w:t xml:space="preserve">the </w:t>
      </w:r>
      <w:hyperlink r:id="rId12" w:history="1">
        <w:r w:rsidRPr="009C634B">
          <w:rPr>
            <w:rStyle w:val="Hyperlink"/>
          </w:rPr>
          <w:t>Complexity - Goods and services procurement guide</w:t>
        </w:r>
      </w:hyperlink>
      <w:bookmarkStart w:id="0" w:name="_GoBack"/>
      <w:bookmarkEnd w:id="0"/>
      <w:r>
        <w:t>.</w:t>
      </w:r>
    </w:p>
    <w:p w14:paraId="043B3F7C" w14:textId="77777777" w:rsidR="008A0802" w:rsidRDefault="008A0802">
      <w:pPr>
        <w:spacing w:before="0" w:after="0" w:line="240" w:lineRule="auto"/>
      </w:pPr>
    </w:p>
    <w:p w14:paraId="6FFF39E8" w14:textId="77777777" w:rsidR="004B6D7B" w:rsidRDefault="004B6D7B" w:rsidP="00236EE1"/>
    <w:p w14:paraId="2D5D6C86" w14:textId="77777777" w:rsidR="008A0802" w:rsidRDefault="008A0802" w:rsidP="00236EE1"/>
    <w:p w14:paraId="7419123D" w14:textId="77777777" w:rsidR="008A0802" w:rsidRDefault="008A0802" w:rsidP="00236EE1"/>
    <w:p w14:paraId="00DDABE5" w14:textId="77777777" w:rsidR="008A0802" w:rsidRDefault="008A0802" w:rsidP="00236EE1"/>
    <w:p w14:paraId="53181BE0" w14:textId="77777777" w:rsidR="008A0802" w:rsidRDefault="008A0802" w:rsidP="00236EE1"/>
    <w:p w14:paraId="5EF2363E" w14:textId="77777777" w:rsidR="008A0802" w:rsidRDefault="008A0802" w:rsidP="00236EE1"/>
    <w:p w14:paraId="0D17D3F9" w14:textId="77777777" w:rsidR="008A0802" w:rsidRDefault="008A0802" w:rsidP="00236EE1"/>
    <w:p w14:paraId="662BBD10" w14:textId="77777777" w:rsidR="008A0802" w:rsidRDefault="008A0802" w:rsidP="00236EE1"/>
    <w:p w14:paraId="37010533" w14:textId="77777777" w:rsidR="008A0802" w:rsidRDefault="008A0802" w:rsidP="00236EE1"/>
    <w:p w14:paraId="3D314F11" w14:textId="77777777" w:rsidR="008A0802" w:rsidRDefault="008A0802" w:rsidP="00236EE1"/>
    <w:p w14:paraId="27B31B57" w14:textId="77777777" w:rsidR="004B6D7B" w:rsidRDefault="004B6D7B" w:rsidP="00236EE1"/>
    <w:p w14:paraId="1D2C9C1E" w14:textId="77777777" w:rsidR="004B6D7B" w:rsidRDefault="004B6D7B" w:rsidP="00236EE1"/>
    <w:p w14:paraId="536DF7A0" w14:textId="77777777" w:rsidR="00156382" w:rsidRPr="006828FC" w:rsidRDefault="009D5067" w:rsidP="00156382">
      <w:r>
        <w:t xml:space="preserve">© </w:t>
      </w:r>
      <w:r w:rsidR="00156382" w:rsidRPr="006828FC">
        <w:t>State of Victoria 201</w:t>
      </w:r>
      <w:r>
        <w:t>8 (</w:t>
      </w:r>
      <w:bookmarkStart w:id="1" w:name="_Hlk20209980"/>
      <w:r>
        <w:t>Victorian Government Purchasing Board</w:t>
      </w:r>
      <w:bookmarkEnd w:id="1"/>
      <w:r>
        <w:t>)</w:t>
      </w:r>
    </w:p>
    <w:p w14:paraId="3CC18EF7" w14:textId="77777777" w:rsidR="00156382" w:rsidRPr="006828FC" w:rsidRDefault="00156382" w:rsidP="00156382">
      <w:r w:rsidRPr="006828FC">
        <w:rPr>
          <w:noProof/>
        </w:rPr>
        <w:drawing>
          <wp:inline distT="0" distB="0" distL="0" distR="0" wp14:anchorId="246CB3AD" wp14:editId="7935AE5D">
            <wp:extent cx="1117460" cy="393651"/>
            <wp:effectExtent l="0" t="0" r="6985" b="6985"/>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4">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68966B66" w14:textId="77777777" w:rsidR="00156382" w:rsidRPr="006828FC" w:rsidRDefault="00156382" w:rsidP="00156382">
      <w:r w:rsidRPr="006828FC">
        <w:t xml:space="preserve">This work is licensed under a </w:t>
      </w:r>
      <w:hyperlink r:id="rId15"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6DA327CE" w14:textId="77777777" w:rsidR="00181C1F" w:rsidRPr="00236EE1" w:rsidRDefault="00156382" w:rsidP="00236EE1">
      <w:r w:rsidRPr="006828FC">
        <w:t xml:space="preserve">Copyright queries may be directed to </w:t>
      </w:r>
      <w:hyperlink r:id="rId16" w:history="1">
        <w:r w:rsidRPr="006828FC">
          <w:rPr>
            <w:rStyle w:val="Hyperlink"/>
          </w:rPr>
          <w:t>IPpolicy@dtf.vic.gov.au</w:t>
        </w:r>
      </w:hyperlink>
    </w:p>
    <w:sectPr w:rsidR="00181C1F" w:rsidRPr="00236EE1" w:rsidSect="001C7553">
      <w:headerReference w:type="default" r:id="rId17"/>
      <w:footerReference w:type="default" r:id="rId18"/>
      <w:headerReference w:type="first" r:id="rId19"/>
      <w:footerReference w:type="first" r:id="rId20"/>
      <w:pgSz w:w="16840" w:h="11901" w:orient="landscape" w:code="9"/>
      <w:pgMar w:top="1560" w:right="907" w:bottom="1418" w:left="1138" w:header="426" w:footer="6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37677" w14:textId="77777777" w:rsidR="00233407" w:rsidRDefault="00233407">
      <w:r>
        <w:separator/>
      </w:r>
    </w:p>
    <w:p w14:paraId="2684A4D3" w14:textId="77777777" w:rsidR="00233407" w:rsidRDefault="00233407"/>
  </w:endnote>
  <w:endnote w:type="continuationSeparator" w:id="0">
    <w:p w14:paraId="17ACB95A" w14:textId="77777777" w:rsidR="00233407" w:rsidRDefault="00233407">
      <w:r>
        <w:continuationSeparator/>
      </w:r>
    </w:p>
    <w:p w14:paraId="584F5D3A" w14:textId="77777777" w:rsidR="00233407" w:rsidRDefault="00233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44E74" w14:textId="77777777" w:rsidR="009D5067" w:rsidRDefault="009D5067" w:rsidP="001C7553">
    <w:pPr>
      <w:pStyle w:val="Footer"/>
      <w:tabs>
        <w:tab w:val="clear" w:pos="8220"/>
        <w:tab w:val="right" w:pos="14742"/>
      </w:tabs>
      <w:jc w:val="left"/>
    </w:pPr>
    <w:r w:rsidRPr="009D5067">
      <w:t>Victorian Government Purchasing Board</w:t>
    </w:r>
  </w:p>
  <w:p w14:paraId="5102846B" w14:textId="77777777" w:rsidR="00C7437E" w:rsidRPr="009D7183" w:rsidRDefault="004E6BEE" w:rsidP="001C7553">
    <w:pPr>
      <w:pStyle w:val="Footer"/>
      <w:tabs>
        <w:tab w:val="clear" w:pos="8220"/>
        <w:tab w:val="right" w:pos="14742"/>
      </w:tabs>
      <w:jc w:val="left"/>
    </w:pPr>
    <w:r>
      <mc:AlternateContent>
        <mc:Choice Requires="wps">
          <w:drawing>
            <wp:anchor distT="0" distB="0" distL="114300" distR="114300" simplePos="0" relativeHeight="251660288" behindDoc="0" locked="0" layoutInCell="0" allowOverlap="1" wp14:anchorId="689D58EA" wp14:editId="7768F8DE">
              <wp:simplePos x="0" y="0"/>
              <wp:positionH relativeFrom="page">
                <wp:posOffset>0</wp:posOffset>
              </wp:positionH>
              <wp:positionV relativeFrom="page">
                <wp:posOffset>7099935</wp:posOffset>
              </wp:positionV>
              <wp:extent cx="10693400" cy="266700"/>
              <wp:effectExtent l="0" t="0" r="0" b="0"/>
              <wp:wrapNone/>
              <wp:docPr id="64" name="MSIPCM9813487da99d82274db7e97e" descr="{&quot;HashCode&quot;:-1267603503,&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46E409" w14:textId="77777777" w:rsidR="004E6BEE" w:rsidRPr="004E6BEE" w:rsidRDefault="004E6BEE" w:rsidP="004E6BEE">
                          <w:pPr>
                            <w:spacing w:before="0" w:after="0"/>
                            <w:rPr>
                              <w:color w:val="000000"/>
                            </w:rPr>
                          </w:pPr>
                          <w:r w:rsidRPr="004E6BEE">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89D58EA" id="_x0000_t202" coordsize="21600,21600" o:spt="202" path="m,l,21600r21600,l21600,xe">
              <v:stroke joinstyle="miter"/>
              <v:path gradientshapeok="t" o:connecttype="rect"/>
            </v:shapetype>
            <v:shape id="MSIPCM9813487da99d82274db7e97e" o:spid="_x0000_s1026" type="#_x0000_t202" alt="{&quot;HashCode&quot;:-1267603503,&quot;Height&quot;:595.0,&quot;Width&quot;:842.0,&quot;Placement&quot;:&quot;Footer&quot;,&quot;Index&quot;:&quot;Primary&quot;,&quot;Section&quot;:1,&quot;Top&quot;:0.0,&quot;Left&quot;:0.0}" style="position:absolute;margin-left:0;margin-top:559.05pt;width:84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" o:allowincell="f" filled="f" stroked="f" strokeweight=".5pt">
              <v:textbox inset="20pt,0,,0">
                <w:txbxContent>
                  <w:p w14:paraId="6A46E409" w14:textId="77777777" w:rsidR="004E6BEE" w:rsidRPr="004E6BEE" w:rsidRDefault="004E6BEE" w:rsidP="004E6BEE">
                    <w:pPr>
                      <w:spacing w:before="0" w:after="0"/>
                      <w:rPr>
                        <w:color w:val="000000"/>
                      </w:rPr>
                    </w:pPr>
                    <w:r w:rsidRPr="004E6BEE">
                      <w:rPr>
                        <w:color w:val="000000"/>
                      </w:rPr>
                      <w:t>OFFICIAL</w:t>
                    </w:r>
                  </w:p>
                </w:txbxContent>
              </v:textbox>
              <w10:wrap anchorx="page" anchory="page"/>
            </v:shape>
          </w:pict>
        </mc:Fallback>
      </mc:AlternateContent>
    </w:r>
    <w:sdt>
      <w:sdtPr>
        <w:id w:val="1039558875"/>
        <w:docPartObj>
          <w:docPartGallery w:val="Page Numbers (Bottom of Page)"/>
          <w:docPartUnique/>
        </w:docPartObj>
      </w:sdtPr>
      <w:sdtEndPr/>
      <w:sdtContent>
        <w:sdt>
          <w:sdtPr>
            <w:id w:val="-159319070"/>
            <w:docPartObj>
              <w:docPartGallery w:val="Page Numbers (Top of Page)"/>
              <w:docPartUnique/>
            </w:docPartObj>
          </w:sdtPr>
          <w:sdtEndPr/>
          <w:sdtContent>
            <w:r w:rsidR="009D7183">
              <w:t>Detailed complexity assessment tool – Goods and services</w:t>
            </w:r>
            <w:r w:rsidR="009D7183">
              <w:br/>
            </w:r>
            <w:r w:rsidR="001C7553">
              <w:t>D</w:t>
            </w:r>
            <w:r w:rsidR="009D7183">
              <w:t>ecember 201</w:t>
            </w:r>
            <w:r w:rsidR="009D5067">
              <w:t>8</w:t>
            </w:r>
            <w:r w:rsidR="001C7553">
              <w:tab/>
            </w:r>
            <w:r w:rsidR="009D7183">
              <w:t xml:space="preserve">Page </w:t>
            </w:r>
            <w:r w:rsidR="009D7183">
              <w:rPr>
                <w:b/>
                <w:bCs/>
                <w:sz w:val="24"/>
                <w:szCs w:val="24"/>
              </w:rPr>
              <w:fldChar w:fldCharType="begin"/>
            </w:r>
            <w:r w:rsidR="009D7183">
              <w:rPr>
                <w:b/>
                <w:bCs/>
              </w:rPr>
              <w:instrText xml:space="preserve"> PAGE </w:instrText>
            </w:r>
            <w:r w:rsidR="009D7183">
              <w:rPr>
                <w:b/>
                <w:bCs/>
                <w:sz w:val="24"/>
                <w:szCs w:val="24"/>
              </w:rPr>
              <w:fldChar w:fldCharType="separate"/>
            </w:r>
            <w:r w:rsidR="009D7183">
              <w:rPr>
                <w:b/>
                <w:bCs/>
              </w:rPr>
              <w:t>2</w:t>
            </w:r>
            <w:r w:rsidR="009D7183">
              <w:rPr>
                <w:b/>
                <w:bCs/>
                <w:sz w:val="24"/>
                <w:szCs w:val="24"/>
              </w:rPr>
              <w:fldChar w:fldCharType="end"/>
            </w:r>
            <w:r w:rsidR="009D7183">
              <w:t xml:space="preserve"> of </w:t>
            </w:r>
            <w:r w:rsidR="009D7183">
              <w:rPr>
                <w:b/>
                <w:bCs/>
                <w:sz w:val="24"/>
                <w:szCs w:val="24"/>
              </w:rPr>
              <w:fldChar w:fldCharType="begin"/>
            </w:r>
            <w:r w:rsidR="009D7183">
              <w:rPr>
                <w:b/>
                <w:bCs/>
              </w:rPr>
              <w:instrText xml:space="preserve"> NUMPAGES  </w:instrText>
            </w:r>
            <w:r w:rsidR="009D7183">
              <w:rPr>
                <w:b/>
                <w:bCs/>
                <w:sz w:val="24"/>
                <w:szCs w:val="24"/>
              </w:rPr>
              <w:fldChar w:fldCharType="separate"/>
            </w:r>
            <w:r w:rsidR="009D7183">
              <w:rPr>
                <w:b/>
                <w:bCs/>
              </w:rPr>
              <w:t>2</w:t>
            </w:r>
            <w:r w:rsidR="009D7183">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33D3" w14:textId="77777777" w:rsidR="00C7437E" w:rsidRDefault="00C7437E" w:rsidP="003C0F49">
    <w:pPr>
      <w:pStyle w:val="Footer"/>
    </w:pPr>
    <w:r>
      <w:drawing>
        <wp:anchor distT="0" distB="0" distL="114300" distR="114300" simplePos="0" relativeHeight="251656704" behindDoc="0" locked="0" layoutInCell="1" allowOverlap="1" wp14:anchorId="05633694" wp14:editId="4A318EFA">
          <wp:simplePos x="0" y="0"/>
          <wp:positionH relativeFrom="column">
            <wp:posOffset>5861050</wp:posOffset>
          </wp:positionH>
          <wp:positionV relativeFrom="page">
            <wp:posOffset>10049510</wp:posOffset>
          </wp:positionV>
          <wp:extent cx="758952" cy="438912"/>
          <wp:effectExtent l="0" t="0" r="3175" b="0"/>
          <wp:wrapNone/>
          <wp:docPr id="63" name="Picture 63"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9AC24" w14:textId="77777777" w:rsidR="00233407" w:rsidRDefault="00233407">
      <w:r>
        <w:separator/>
      </w:r>
    </w:p>
    <w:p w14:paraId="212DA471" w14:textId="77777777" w:rsidR="00233407" w:rsidRDefault="00233407"/>
  </w:footnote>
  <w:footnote w:type="continuationSeparator" w:id="0">
    <w:p w14:paraId="778CB72F" w14:textId="77777777" w:rsidR="00233407" w:rsidRDefault="00233407">
      <w:r>
        <w:continuationSeparator/>
      </w:r>
    </w:p>
    <w:p w14:paraId="6C5C7D6F" w14:textId="77777777" w:rsidR="00233407" w:rsidRDefault="002334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8A002" w14:textId="77777777" w:rsidR="00C7437E" w:rsidRPr="009D7183" w:rsidRDefault="009D7183" w:rsidP="009D7183">
    <w:pPr>
      <w:pStyle w:val="Header"/>
      <w:spacing w:before="240"/>
      <w:ind w:right="53"/>
      <w:rPr>
        <w:sz w:val="20"/>
        <w:szCs w:val="20"/>
      </w:rPr>
    </w:pPr>
    <w:r>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B9BBD" w14:textId="77777777" w:rsidR="00C7437E" w:rsidRPr="007602D7" w:rsidRDefault="00C7437E" w:rsidP="00B54F88">
    <w:pPr>
      <w:pStyle w:val="Header"/>
      <w:spacing w:before="240"/>
      <w:ind w:right="-461"/>
    </w:pPr>
    <w:r w:rsidRPr="000E286D">
      <w:drawing>
        <wp:anchor distT="0" distB="0" distL="114300" distR="114300" simplePos="0" relativeHeight="251658752" behindDoc="1" locked="0" layoutInCell="1" allowOverlap="1" wp14:anchorId="11205104" wp14:editId="1FD0BD61">
          <wp:simplePos x="0" y="0"/>
          <wp:positionH relativeFrom="column">
            <wp:posOffset>-731520</wp:posOffset>
          </wp:positionH>
          <wp:positionV relativeFrom="paragraph">
            <wp:posOffset>-200133</wp:posOffset>
          </wp:positionV>
          <wp:extent cx="560717" cy="10717356"/>
          <wp:effectExtent l="0" t="0" r="0" b="825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25FDEB30" wp14:editId="193445B7">
          <wp:extent cx="2162175" cy="133350"/>
          <wp:effectExtent l="0" t="0" r="0" b="0"/>
          <wp:docPr id="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06A30AC"/>
    <w:multiLevelType w:val="hybridMultilevel"/>
    <w:tmpl w:val="081A4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8"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2"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7"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8"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9"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0"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2"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3"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4"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5"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6"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7"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27"/>
  </w:num>
  <w:num w:numId="4">
    <w:abstractNumId w:val="19"/>
  </w:num>
  <w:num w:numId="5">
    <w:abstractNumId w:val="6"/>
  </w:num>
  <w:num w:numId="6">
    <w:abstractNumId w:val="5"/>
  </w:num>
  <w:num w:numId="7">
    <w:abstractNumId w:val="4"/>
  </w:num>
  <w:num w:numId="8">
    <w:abstractNumId w:val="32"/>
  </w:num>
  <w:num w:numId="9">
    <w:abstractNumId w:val="21"/>
  </w:num>
  <w:num w:numId="10">
    <w:abstractNumId w:val="11"/>
  </w:num>
  <w:num w:numId="11">
    <w:abstractNumId w:val="14"/>
  </w:num>
  <w:num w:numId="12">
    <w:abstractNumId w:val="31"/>
  </w:num>
  <w:num w:numId="13">
    <w:abstractNumId w:val="15"/>
  </w:num>
  <w:num w:numId="14">
    <w:abstractNumId w:val="24"/>
  </w:num>
  <w:num w:numId="15">
    <w:abstractNumId w:val="2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2"/>
  </w:num>
  <w:num w:numId="19">
    <w:abstractNumId w:val="2"/>
  </w:num>
  <w:num w:numId="20">
    <w:abstractNumId w:val="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2529">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226"/>
    <w:rsid w:val="00006544"/>
    <w:rsid w:val="00010BD3"/>
    <w:rsid w:val="0001144C"/>
    <w:rsid w:val="00016492"/>
    <w:rsid w:val="00026C82"/>
    <w:rsid w:val="0004698A"/>
    <w:rsid w:val="00063BFD"/>
    <w:rsid w:val="00086691"/>
    <w:rsid w:val="00092D35"/>
    <w:rsid w:val="000949CB"/>
    <w:rsid w:val="000C141A"/>
    <w:rsid w:val="000C1C01"/>
    <w:rsid w:val="000C3368"/>
    <w:rsid w:val="000C3814"/>
    <w:rsid w:val="000E35A0"/>
    <w:rsid w:val="000E4881"/>
    <w:rsid w:val="000E5B4E"/>
    <w:rsid w:val="000F54E7"/>
    <w:rsid w:val="00104077"/>
    <w:rsid w:val="001213BE"/>
    <w:rsid w:val="001251C4"/>
    <w:rsid w:val="00126C86"/>
    <w:rsid w:val="00135230"/>
    <w:rsid w:val="00143A23"/>
    <w:rsid w:val="00156382"/>
    <w:rsid w:val="00157448"/>
    <w:rsid w:val="00164424"/>
    <w:rsid w:val="00181844"/>
    <w:rsid w:val="00181C1F"/>
    <w:rsid w:val="00184E1A"/>
    <w:rsid w:val="0018749C"/>
    <w:rsid w:val="001A695C"/>
    <w:rsid w:val="001A7B19"/>
    <w:rsid w:val="001B0B3F"/>
    <w:rsid w:val="001C0319"/>
    <w:rsid w:val="001C351D"/>
    <w:rsid w:val="001C6970"/>
    <w:rsid w:val="001C7553"/>
    <w:rsid w:val="001D0547"/>
    <w:rsid w:val="001D60E6"/>
    <w:rsid w:val="001E0A43"/>
    <w:rsid w:val="001E67A9"/>
    <w:rsid w:val="00205B35"/>
    <w:rsid w:val="002063AC"/>
    <w:rsid w:val="00225175"/>
    <w:rsid w:val="00233407"/>
    <w:rsid w:val="002344F7"/>
    <w:rsid w:val="00236EE1"/>
    <w:rsid w:val="00252F44"/>
    <w:rsid w:val="002578C1"/>
    <w:rsid w:val="00260106"/>
    <w:rsid w:val="00261A42"/>
    <w:rsid w:val="00267317"/>
    <w:rsid w:val="00267638"/>
    <w:rsid w:val="00283A24"/>
    <w:rsid w:val="002A18C2"/>
    <w:rsid w:val="002A4C3E"/>
    <w:rsid w:val="002C4EC9"/>
    <w:rsid w:val="002C6424"/>
    <w:rsid w:val="002E7EFC"/>
    <w:rsid w:val="002F2549"/>
    <w:rsid w:val="002F64DF"/>
    <w:rsid w:val="002F7AEB"/>
    <w:rsid w:val="00307CC0"/>
    <w:rsid w:val="00322500"/>
    <w:rsid w:val="00351035"/>
    <w:rsid w:val="0035331C"/>
    <w:rsid w:val="003738EE"/>
    <w:rsid w:val="00386859"/>
    <w:rsid w:val="00391977"/>
    <w:rsid w:val="00392E0C"/>
    <w:rsid w:val="003940A1"/>
    <w:rsid w:val="00394D1C"/>
    <w:rsid w:val="00394EA9"/>
    <w:rsid w:val="003969A2"/>
    <w:rsid w:val="003A32E0"/>
    <w:rsid w:val="003A4A87"/>
    <w:rsid w:val="003A647C"/>
    <w:rsid w:val="003B0731"/>
    <w:rsid w:val="003B5700"/>
    <w:rsid w:val="003B5EDB"/>
    <w:rsid w:val="003B6A2C"/>
    <w:rsid w:val="003C0F49"/>
    <w:rsid w:val="003D01BD"/>
    <w:rsid w:val="003E230C"/>
    <w:rsid w:val="003E66B9"/>
    <w:rsid w:val="003F016E"/>
    <w:rsid w:val="003F45D9"/>
    <w:rsid w:val="003F4E27"/>
    <w:rsid w:val="004113E1"/>
    <w:rsid w:val="00422FAB"/>
    <w:rsid w:val="00427659"/>
    <w:rsid w:val="00430A03"/>
    <w:rsid w:val="00444C21"/>
    <w:rsid w:val="004455A7"/>
    <w:rsid w:val="004510E9"/>
    <w:rsid w:val="00451758"/>
    <w:rsid w:val="00462DB3"/>
    <w:rsid w:val="00466D77"/>
    <w:rsid w:val="00467979"/>
    <w:rsid w:val="00475FC8"/>
    <w:rsid w:val="00480708"/>
    <w:rsid w:val="00490036"/>
    <w:rsid w:val="004907E5"/>
    <w:rsid w:val="004A2DD7"/>
    <w:rsid w:val="004A460D"/>
    <w:rsid w:val="004B0978"/>
    <w:rsid w:val="004B534D"/>
    <w:rsid w:val="004B6D7B"/>
    <w:rsid w:val="004C7E27"/>
    <w:rsid w:val="004D7D40"/>
    <w:rsid w:val="004E6BEE"/>
    <w:rsid w:val="004F1A9B"/>
    <w:rsid w:val="005013B3"/>
    <w:rsid w:val="00505FD8"/>
    <w:rsid w:val="00506E38"/>
    <w:rsid w:val="0051295C"/>
    <w:rsid w:val="005155EC"/>
    <w:rsid w:val="00535B0C"/>
    <w:rsid w:val="00536699"/>
    <w:rsid w:val="0054032A"/>
    <w:rsid w:val="00542A7C"/>
    <w:rsid w:val="00547BAC"/>
    <w:rsid w:val="005530CD"/>
    <w:rsid w:val="00562809"/>
    <w:rsid w:val="005637F1"/>
    <w:rsid w:val="00564D54"/>
    <w:rsid w:val="005733B2"/>
    <w:rsid w:val="00573DFF"/>
    <w:rsid w:val="00574189"/>
    <w:rsid w:val="00577C5A"/>
    <w:rsid w:val="00582BAC"/>
    <w:rsid w:val="00583851"/>
    <w:rsid w:val="005867F0"/>
    <w:rsid w:val="005A2294"/>
    <w:rsid w:val="005A51DC"/>
    <w:rsid w:val="005B7317"/>
    <w:rsid w:val="005C69CC"/>
    <w:rsid w:val="005D3801"/>
    <w:rsid w:val="005D502E"/>
    <w:rsid w:val="005E006C"/>
    <w:rsid w:val="005E32AE"/>
    <w:rsid w:val="005F0BBF"/>
    <w:rsid w:val="005F6958"/>
    <w:rsid w:val="00610AFF"/>
    <w:rsid w:val="00645ADA"/>
    <w:rsid w:val="00647E27"/>
    <w:rsid w:val="00662658"/>
    <w:rsid w:val="00662F3F"/>
    <w:rsid w:val="006666E4"/>
    <w:rsid w:val="0066682B"/>
    <w:rsid w:val="00670B66"/>
    <w:rsid w:val="006717AB"/>
    <w:rsid w:val="00677AD1"/>
    <w:rsid w:val="0068495A"/>
    <w:rsid w:val="006866A7"/>
    <w:rsid w:val="006913E2"/>
    <w:rsid w:val="00692CFF"/>
    <w:rsid w:val="00694E47"/>
    <w:rsid w:val="006A2E63"/>
    <w:rsid w:val="006A627F"/>
    <w:rsid w:val="006A7D93"/>
    <w:rsid w:val="006A7ED6"/>
    <w:rsid w:val="006B074A"/>
    <w:rsid w:val="006B11CE"/>
    <w:rsid w:val="006B7B88"/>
    <w:rsid w:val="006C23AC"/>
    <w:rsid w:val="006D5226"/>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7D65D4"/>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6A1C"/>
    <w:rsid w:val="008A0802"/>
    <w:rsid w:val="008A3BC9"/>
    <w:rsid w:val="008A3BE3"/>
    <w:rsid w:val="008B00A2"/>
    <w:rsid w:val="008B7C35"/>
    <w:rsid w:val="008C5DD9"/>
    <w:rsid w:val="008D2825"/>
    <w:rsid w:val="008D4609"/>
    <w:rsid w:val="008D74B1"/>
    <w:rsid w:val="008E5070"/>
    <w:rsid w:val="008E7403"/>
    <w:rsid w:val="008F1C0C"/>
    <w:rsid w:val="00900A09"/>
    <w:rsid w:val="00900D4F"/>
    <w:rsid w:val="009074D9"/>
    <w:rsid w:val="00915450"/>
    <w:rsid w:val="0091711E"/>
    <w:rsid w:val="00925CAA"/>
    <w:rsid w:val="00933996"/>
    <w:rsid w:val="009342B3"/>
    <w:rsid w:val="00951F3D"/>
    <w:rsid w:val="00954D3D"/>
    <w:rsid w:val="00955A9F"/>
    <w:rsid w:val="00956416"/>
    <w:rsid w:val="009572B6"/>
    <w:rsid w:val="009647C8"/>
    <w:rsid w:val="00967F9A"/>
    <w:rsid w:val="0098017E"/>
    <w:rsid w:val="0098787E"/>
    <w:rsid w:val="00993D1E"/>
    <w:rsid w:val="009A419F"/>
    <w:rsid w:val="009A6A13"/>
    <w:rsid w:val="009C2652"/>
    <w:rsid w:val="009C2923"/>
    <w:rsid w:val="009C3719"/>
    <w:rsid w:val="009C51C5"/>
    <w:rsid w:val="009C634B"/>
    <w:rsid w:val="009C759C"/>
    <w:rsid w:val="009D19FA"/>
    <w:rsid w:val="009D34EB"/>
    <w:rsid w:val="009D5067"/>
    <w:rsid w:val="009D7183"/>
    <w:rsid w:val="009E5467"/>
    <w:rsid w:val="009E5F72"/>
    <w:rsid w:val="00A135CF"/>
    <w:rsid w:val="00A23384"/>
    <w:rsid w:val="00A26015"/>
    <w:rsid w:val="00A37A4F"/>
    <w:rsid w:val="00A40F98"/>
    <w:rsid w:val="00A46E38"/>
    <w:rsid w:val="00A5202A"/>
    <w:rsid w:val="00A6456E"/>
    <w:rsid w:val="00A67EEB"/>
    <w:rsid w:val="00A8571E"/>
    <w:rsid w:val="00A87845"/>
    <w:rsid w:val="00A90F14"/>
    <w:rsid w:val="00AC27DA"/>
    <w:rsid w:val="00AC476E"/>
    <w:rsid w:val="00AD2349"/>
    <w:rsid w:val="00AE6C2E"/>
    <w:rsid w:val="00AE7BC6"/>
    <w:rsid w:val="00AE7ED9"/>
    <w:rsid w:val="00AF3197"/>
    <w:rsid w:val="00AF63CF"/>
    <w:rsid w:val="00AF7E39"/>
    <w:rsid w:val="00B10361"/>
    <w:rsid w:val="00B12BD8"/>
    <w:rsid w:val="00B217D9"/>
    <w:rsid w:val="00B3351E"/>
    <w:rsid w:val="00B44C41"/>
    <w:rsid w:val="00B54F88"/>
    <w:rsid w:val="00B57C72"/>
    <w:rsid w:val="00B60925"/>
    <w:rsid w:val="00B62165"/>
    <w:rsid w:val="00B70AFF"/>
    <w:rsid w:val="00B82136"/>
    <w:rsid w:val="00B96F20"/>
    <w:rsid w:val="00BA277B"/>
    <w:rsid w:val="00BA7830"/>
    <w:rsid w:val="00BC0888"/>
    <w:rsid w:val="00BC60A9"/>
    <w:rsid w:val="00BD45AA"/>
    <w:rsid w:val="00BD7032"/>
    <w:rsid w:val="00BE09D0"/>
    <w:rsid w:val="00BE1393"/>
    <w:rsid w:val="00C01977"/>
    <w:rsid w:val="00C16FF3"/>
    <w:rsid w:val="00C252AE"/>
    <w:rsid w:val="00C3191D"/>
    <w:rsid w:val="00C41C46"/>
    <w:rsid w:val="00C45AB2"/>
    <w:rsid w:val="00C71D9D"/>
    <w:rsid w:val="00C7437E"/>
    <w:rsid w:val="00C81316"/>
    <w:rsid w:val="00C8495B"/>
    <w:rsid w:val="00C850E0"/>
    <w:rsid w:val="00CA1577"/>
    <w:rsid w:val="00CA4310"/>
    <w:rsid w:val="00CB72F7"/>
    <w:rsid w:val="00CB793A"/>
    <w:rsid w:val="00CE2166"/>
    <w:rsid w:val="00D000C1"/>
    <w:rsid w:val="00D06C25"/>
    <w:rsid w:val="00D31E02"/>
    <w:rsid w:val="00D355EE"/>
    <w:rsid w:val="00D40B9E"/>
    <w:rsid w:val="00D456E5"/>
    <w:rsid w:val="00D537C6"/>
    <w:rsid w:val="00D57AA5"/>
    <w:rsid w:val="00D75112"/>
    <w:rsid w:val="00D75501"/>
    <w:rsid w:val="00D80AEE"/>
    <w:rsid w:val="00D90B1F"/>
    <w:rsid w:val="00D9495D"/>
    <w:rsid w:val="00D955F9"/>
    <w:rsid w:val="00DA4453"/>
    <w:rsid w:val="00DB464D"/>
    <w:rsid w:val="00DB4C5B"/>
    <w:rsid w:val="00DB5A6E"/>
    <w:rsid w:val="00DB74A7"/>
    <w:rsid w:val="00DC3EAB"/>
    <w:rsid w:val="00DD2C1F"/>
    <w:rsid w:val="00DD4AC6"/>
    <w:rsid w:val="00DD6206"/>
    <w:rsid w:val="00DE3260"/>
    <w:rsid w:val="00DE5983"/>
    <w:rsid w:val="00DE7990"/>
    <w:rsid w:val="00E03C3C"/>
    <w:rsid w:val="00E05F22"/>
    <w:rsid w:val="00E12836"/>
    <w:rsid w:val="00E15C02"/>
    <w:rsid w:val="00E20BB5"/>
    <w:rsid w:val="00E23EC0"/>
    <w:rsid w:val="00E32EDE"/>
    <w:rsid w:val="00E3726E"/>
    <w:rsid w:val="00E46801"/>
    <w:rsid w:val="00E500D1"/>
    <w:rsid w:val="00E5224A"/>
    <w:rsid w:val="00E557E9"/>
    <w:rsid w:val="00E7585E"/>
    <w:rsid w:val="00E97E50"/>
    <w:rsid w:val="00EA07C3"/>
    <w:rsid w:val="00EA33FC"/>
    <w:rsid w:val="00EB2189"/>
    <w:rsid w:val="00EC1C00"/>
    <w:rsid w:val="00EC3714"/>
    <w:rsid w:val="00EC708F"/>
    <w:rsid w:val="00ED03A1"/>
    <w:rsid w:val="00ED45BB"/>
    <w:rsid w:val="00EE7442"/>
    <w:rsid w:val="00EF03B9"/>
    <w:rsid w:val="00EF17FB"/>
    <w:rsid w:val="00EF637C"/>
    <w:rsid w:val="00F006B6"/>
    <w:rsid w:val="00F00827"/>
    <w:rsid w:val="00F031EB"/>
    <w:rsid w:val="00F10298"/>
    <w:rsid w:val="00F15703"/>
    <w:rsid w:val="00F23661"/>
    <w:rsid w:val="00F2435D"/>
    <w:rsid w:val="00F2502B"/>
    <w:rsid w:val="00F25823"/>
    <w:rsid w:val="00F2617F"/>
    <w:rsid w:val="00F26F35"/>
    <w:rsid w:val="00F31235"/>
    <w:rsid w:val="00F355BA"/>
    <w:rsid w:val="00F42424"/>
    <w:rsid w:val="00F42854"/>
    <w:rsid w:val="00F52F0F"/>
    <w:rsid w:val="00F556D2"/>
    <w:rsid w:val="00F57633"/>
    <w:rsid w:val="00F67E0A"/>
    <w:rsid w:val="00F74802"/>
    <w:rsid w:val="00F75426"/>
    <w:rsid w:val="00F85551"/>
    <w:rsid w:val="00FA0273"/>
    <w:rsid w:val="00FA5DF4"/>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039,#4d4d4d,maroon"/>
    </o:shapedefaults>
    <o:shapelayout v:ext="edit">
      <o:idmap v:ext="edit" data="1"/>
    </o:shapelayout>
  </w:shapeDefaults>
  <w:decimalSymbol w:val="."/>
  <w:listSeparator w:val=","/>
  <w14:docId w14:val="1896EC2A"/>
  <w15:docId w15:val="{53ECE5F7-8850-47CD-97C3-561B7EC8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F74802"/>
    <w:pPr>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paragraph" w:customStyle="1" w:styleId="CharCharCharChar">
    <w:name w:val="Char Char Char Char"/>
    <w:basedOn w:val="Normal"/>
    <w:semiHidden/>
    <w:rsid w:val="00236EE1"/>
    <w:pPr>
      <w:spacing w:before="0" w:after="160" w:line="240" w:lineRule="exact"/>
    </w:pPr>
    <w:rPr>
      <w:rFonts w:ascii="Tahoma" w:hAnsi="Tahoma" w:cs="Tahoma"/>
      <w:sz w:val="20"/>
      <w:szCs w:val="20"/>
      <w:lang w:val="en-US" w:eastAsia="en-US"/>
    </w:rPr>
  </w:style>
  <w:style w:type="character" w:customStyle="1" w:styleId="CommentTextChar">
    <w:name w:val="Comment Text Char"/>
    <w:basedOn w:val="DefaultParagraphFont"/>
    <w:link w:val="CommentText"/>
    <w:uiPriority w:val="99"/>
    <w:rsid w:val="008A0802"/>
    <w:rPr>
      <w:rFonts w:ascii="Calibri" w:hAnsi="Calibri" w:cs="Calibri"/>
      <w:sz w:val="22"/>
      <w:szCs w:val="22"/>
    </w:rPr>
  </w:style>
  <w:style w:type="character" w:styleId="UnresolvedMention">
    <w:name w:val="Unresolved Mention"/>
    <w:basedOn w:val="DefaultParagraphFont"/>
    <w:uiPriority w:val="99"/>
    <w:semiHidden/>
    <w:unhideWhenUsed/>
    <w:rsid w:val="009C6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creativecommons.org/licenses/by/3.0/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uyingfor.vic.gov.au/complexity-goods-and-services-procurement-gui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Ppolicy@dtf.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hyperlink" Target="http://creativecommons.org/licenses/by/3.0/au/" TargetMode="Externa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36C07DB-7BED-4EC6-95EB-5B10D77FB33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1746</Words>
  <Characters>9955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(DTF)</cp:lastModifiedBy>
  <cp:revision>2</cp:revision>
  <cp:lastPrinted>2014-10-30T03:52:00Z</cp:lastPrinted>
  <dcterms:created xsi:type="dcterms:W3CDTF">2019-12-16T04:17:00Z</dcterms:created>
  <dcterms:modified xsi:type="dcterms:W3CDTF">2019-12-16T04:17:00Z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c56d6c8b-4273-448a-944d-93734c494870</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2019-08-31T06:20:37.7574457Z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