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91FF1" w14:textId="77777777" w:rsidR="00D64978" w:rsidRPr="0068666B" w:rsidRDefault="00D64978" w:rsidP="0068666B">
      <w:pPr>
        <w:pStyle w:val="Heading1"/>
        <w:rPr>
          <w:b/>
          <w:color w:val="7030A0"/>
        </w:rPr>
      </w:pPr>
      <w:r w:rsidRPr="0068666B">
        <w:rPr>
          <w:b/>
          <w:color w:val="7030A0"/>
        </w:rPr>
        <w:t>Supplier engagement plan tool</w:t>
      </w:r>
    </w:p>
    <w:p w14:paraId="673B1BD1" w14:textId="77777777" w:rsidR="0068666B" w:rsidRDefault="0068666B">
      <w:r>
        <w:t>An example showing how to analyse various supplier groups.</w:t>
      </w:r>
    </w:p>
    <w:tbl>
      <w:tblPr>
        <w:tblStyle w:val="TableGrid"/>
        <w:tblW w:w="15445" w:type="dxa"/>
        <w:tblLook w:val="04A0" w:firstRow="1" w:lastRow="0" w:firstColumn="1" w:lastColumn="0" w:noHBand="0" w:noVBand="1"/>
      </w:tblPr>
      <w:tblGrid>
        <w:gridCol w:w="2624"/>
        <w:gridCol w:w="3690"/>
        <w:gridCol w:w="3510"/>
        <w:gridCol w:w="2968"/>
        <w:gridCol w:w="2653"/>
      </w:tblGrid>
      <w:tr w:rsidR="002D3826" w:rsidRPr="002D3826" w14:paraId="3CEEBCFE" w14:textId="77777777" w:rsidTr="00217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61A714C3" w14:textId="77777777" w:rsidR="002D3826" w:rsidRPr="002D3826" w:rsidRDefault="002D3826" w:rsidP="0085083D">
            <w:pPr>
              <w:pStyle w:val="TableHeader"/>
              <w:rPr>
                <w:color w:val="auto"/>
                <w:lang w:eastAsia="en-US"/>
              </w:rPr>
            </w:pPr>
            <w:r w:rsidRPr="002D3826">
              <w:rPr>
                <w:color w:val="auto"/>
                <w:lang w:eastAsia="en-US"/>
              </w:rPr>
              <w:t>Target audience</w:t>
            </w:r>
          </w:p>
        </w:tc>
        <w:tc>
          <w:tcPr>
            <w:tcW w:w="3690" w:type="dxa"/>
          </w:tcPr>
          <w:p w14:paraId="61D475FF" w14:textId="77777777" w:rsidR="002D3826" w:rsidRPr="002D3826" w:rsidRDefault="002D3826" w:rsidP="0085083D">
            <w:pPr>
              <w:pStyle w:val="TableHeader"/>
              <w:cnfStyle w:val="100000000000" w:firstRow="1" w:lastRow="0" w:firstColumn="0" w:lastColumn="0" w:oddVBand="0" w:evenVBand="0" w:oddHBand="0" w:evenHBand="0" w:firstRowFirstColumn="0" w:firstRowLastColumn="0" w:lastRowFirstColumn="0" w:lastRowLastColumn="0"/>
              <w:rPr>
                <w:color w:val="auto"/>
                <w:lang w:eastAsia="en-US"/>
              </w:rPr>
            </w:pPr>
            <w:r w:rsidRPr="002D3826">
              <w:rPr>
                <w:color w:val="auto"/>
                <w:lang w:eastAsia="en-US"/>
              </w:rPr>
              <w:t>Concerns</w:t>
            </w:r>
          </w:p>
        </w:tc>
        <w:tc>
          <w:tcPr>
            <w:tcW w:w="3510" w:type="dxa"/>
          </w:tcPr>
          <w:p w14:paraId="2EBFACD3" w14:textId="77777777" w:rsidR="002D3826" w:rsidRPr="002D3826" w:rsidRDefault="002D3826" w:rsidP="0085083D">
            <w:pPr>
              <w:pStyle w:val="TableHeader"/>
              <w:cnfStyle w:val="100000000000" w:firstRow="1" w:lastRow="0" w:firstColumn="0" w:lastColumn="0" w:oddVBand="0" w:evenVBand="0" w:oddHBand="0" w:evenHBand="0" w:firstRowFirstColumn="0" w:firstRowLastColumn="0" w:lastRowFirstColumn="0" w:lastRowLastColumn="0"/>
              <w:rPr>
                <w:color w:val="auto"/>
                <w:lang w:eastAsia="en-US"/>
              </w:rPr>
            </w:pPr>
            <w:r w:rsidRPr="002D3826">
              <w:rPr>
                <w:color w:val="auto"/>
                <w:lang w:eastAsia="en-US"/>
              </w:rPr>
              <w:t>Risks</w:t>
            </w:r>
          </w:p>
        </w:tc>
        <w:tc>
          <w:tcPr>
            <w:tcW w:w="2968" w:type="dxa"/>
          </w:tcPr>
          <w:p w14:paraId="0A55F7CB" w14:textId="77777777" w:rsidR="002D3826" w:rsidRPr="002D3826" w:rsidRDefault="002D3826" w:rsidP="0085083D">
            <w:pPr>
              <w:pStyle w:val="TableHeader"/>
              <w:cnfStyle w:val="100000000000" w:firstRow="1" w:lastRow="0" w:firstColumn="0" w:lastColumn="0" w:oddVBand="0" w:evenVBand="0" w:oddHBand="0" w:evenHBand="0" w:firstRowFirstColumn="0" w:firstRowLastColumn="0" w:lastRowFirstColumn="0" w:lastRowLastColumn="0"/>
              <w:rPr>
                <w:color w:val="auto"/>
                <w:lang w:eastAsia="en-US"/>
              </w:rPr>
            </w:pPr>
            <w:r w:rsidRPr="002D3826">
              <w:rPr>
                <w:color w:val="auto"/>
                <w:lang w:eastAsia="en-US"/>
              </w:rPr>
              <w:t>Needs</w:t>
            </w:r>
          </w:p>
        </w:tc>
        <w:tc>
          <w:tcPr>
            <w:tcW w:w="2653" w:type="dxa"/>
          </w:tcPr>
          <w:p w14:paraId="1F0FD1C2" w14:textId="77777777" w:rsidR="002D3826" w:rsidRPr="002D3826" w:rsidRDefault="002D3826" w:rsidP="0085083D">
            <w:pPr>
              <w:pStyle w:val="TableHeader"/>
              <w:cnfStyle w:val="100000000000" w:firstRow="1" w:lastRow="0" w:firstColumn="0" w:lastColumn="0" w:oddVBand="0" w:evenVBand="0" w:oddHBand="0" w:evenHBand="0" w:firstRowFirstColumn="0" w:firstRowLastColumn="0" w:lastRowFirstColumn="0" w:lastRowLastColumn="0"/>
              <w:rPr>
                <w:color w:val="auto"/>
                <w:lang w:eastAsia="en-US"/>
              </w:rPr>
            </w:pPr>
            <w:r w:rsidRPr="002D3826">
              <w:rPr>
                <w:color w:val="auto"/>
                <w:lang w:eastAsia="en-US"/>
              </w:rPr>
              <w:t>Examples of tools</w:t>
            </w:r>
          </w:p>
        </w:tc>
      </w:tr>
      <w:tr w:rsidR="002D3826" w:rsidRPr="002D3826" w14:paraId="68449FCC" w14:textId="77777777" w:rsidTr="00217487">
        <w:tc>
          <w:tcPr>
            <w:cnfStyle w:val="001000000000" w:firstRow="0" w:lastRow="0" w:firstColumn="1" w:lastColumn="0" w:oddVBand="0" w:evenVBand="0" w:oddHBand="0" w:evenHBand="0" w:firstRowFirstColumn="0" w:firstRowLastColumn="0" w:lastRowFirstColumn="0" w:lastRowLastColumn="0"/>
            <w:tcW w:w="15445" w:type="dxa"/>
            <w:gridSpan w:val="5"/>
            <w:shd w:val="clear" w:color="auto" w:fill="E1BFFD"/>
          </w:tcPr>
          <w:p w14:paraId="2DD53AFC" w14:textId="77777777" w:rsidR="002D3826" w:rsidRPr="002D3826" w:rsidRDefault="00217487" w:rsidP="0085083D">
            <w:pPr>
              <w:pStyle w:val="TableText"/>
              <w:spacing w:before="40" w:after="40"/>
              <w:rPr>
                <w:color w:val="auto"/>
                <w:lang w:eastAsia="en-US"/>
              </w:rPr>
            </w:pPr>
            <w:r w:rsidRPr="002D3826">
              <w:rPr>
                <w:b/>
                <w:color w:val="auto"/>
                <w:lang w:eastAsia="en-US"/>
              </w:rPr>
              <w:t>External audience</w:t>
            </w:r>
          </w:p>
        </w:tc>
      </w:tr>
      <w:tr w:rsidR="002D3826" w:rsidRPr="002D3826" w14:paraId="6159E22A" w14:textId="77777777" w:rsidTr="002174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2BB3558A" w14:textId="77777777" w:rsidR="002D3826" w:rsidRPr="002D3826" w:rsidRDefault="002D3826" w:rsidP="002D3826">
            <w:pPr>
              <w:pStyle w:val="TableText"/>
              <w:rPr>
                <w:color w:val="auto"/>
                <w:lang w:eastAsia="en-US"/>
              </w:rPr>
            </w:pPr>
            <w:r w:rsidRPr="002D3826">
              <w:rPr>
                <w:b/>
                <w:color w:val="auto"/>
                <w:lang w:eastAsia="en-US"/>
              </w:rPr>
              <w:t>Suppliers (general)</w:t>
            </w:r>
            <w:r w:rsidRPr="002D3826">
              <w:rPr>
                <w:b/>
                <w:color w:val="auto"/>
                <w:lang w:eastAsia="en-US"/>
              </w:rPr>
              <w:br/>
            </w:r>
            <w:r w:rsidRPr="002D3826">
              <w:rPr>
                <w:color w:val="auto"/>
                <w:lang w:eastAsia="en-US"/>
              </w:rPr>
              <w:t>(supplying goods and services to government)</w:t>
            </w:r>
          </w:p>
        </w:tc>
        <w:tc>
          <w:tcPr>
            <w:tcW w:w="3690" w:type="dxa"/>
          </w:tcPr>
          <w:p w14:paraId="19E54F59"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2D3826">
              <w:rPr>
                <w:lang w:eastAsia="en-US"/>
              </w:rPr>
              <w:t xml:space="preserve">For example: </w:t>
            </w:r>
            <w:r w:rsidRPr="002D3826">
              <w:rPr>
                <w:i/>
                <w:lang w:eastAsia="en-US"/>
              </w:rPr>
              <w:t>Government tenders are badly managed</w:t>
            </w:r>
            <w:r w:rsidRPr="002D3826">
              <w:rPr>
                <w:lang w:eastAsia="en-US"/>
              </w:rPr>
              <w:t xml:space="preserve">.  </w:t>
            </w:r>
          </w:p>
          <w:p w14:paraId="0D21D65D"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3510" w:type="dxa"/>
          </w:tcPr>
          <w:p w14:paraId="662956C5"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2D3826">
              <w:rPr>
                <w:lang w:eastAsia="en-US"/>
              </w:rPr>
              <w:t>Inadequate or badly targeted communication is a disincentive for suppliers to participate in the government marketplace</w:t>
            </w:r>
          </w:p>
          <w:p w14:paraId="5AF2AB1E"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968" w:type="dxa"/>
          </w:tcPr>
          <w:p w14:paraId="2A9B78CA"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2D3826">
              <w:rPr>
                <w:lang w:eastAsia="en-US"/>
              </w:rPr>
              <w:t>Ongoing status information when applying for procurement opportunities</w:t>
            </w:r>
          </w:p>
          <w:p w14:paraId="29759D86"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653" w:type="dxa"/>
          </w:tcPr>
          <w:p w14:paraId="2028E3BD"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2D3826">
              <w:rPr>
                <w:lang w:eastAsia="en-US"/>
              </w:rPr>
              <w:t>Tender briefings, organisation tender process information made easily available</w:t>
            </w:r>
          </w:p>
          <w:p w14:paraId="5BB59D21"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r>
      <w:tr w:rsidR="002D3826" w:rsidRPr="002D3826" w14:paraId="3B14B4E2" w14:textId="77777777" w:rsidTr="00217487">
        <w:tc>
          <w:tcPr>
            <w:cnfStyle w:val="001000000000" w:firstRow="0" w:lastRow="0" w:firstColumn="1" w:lastColumn="0" w:oddVBand="0" w:evenVBand="0" w:oddHBand="0" w:evenHBand="0" w:firstRowFirstColumn="0" w:firstRowLastColumn="0" w:lastRowFirstColumn="0" w:lastRowLastColumn="0"/>
            <w:tcW w:w="2624" w:type="dxa"/>
          </w:tcPr>
          <w:p w14:paraId="504643AB" w14:textId="77777777" w:rsidR="002D3826" w:rsidRPr="002D3826" w:rsidRDefault="002D3826" w:rsidP="002D3826">
            <w:pPr>
              <w:pStyle w:val="TableText"/>
              <w:rPr>
                <w:color w:val="auto"/>
                <w:lang w:eastAsia="en-US"/>
              </w:rPr>
            </w:pPr>
            <w:r w:rsidRPr="002D3826">
              <w:rPr>
                <w:color w:val="auto"/>
                <w:lang w:eastAsia="en-US"/>
              </w:rPr>
              <w:t>SMEs</w:t>
            </w:r>
          </w:p>
        </w:tc>
        <w:tc>
          <w:tcPr>
            <w:tcW w:w="3690" w:type="dxa"/>
          </w:tcPr>
          <w:p w14:paraId="329ECBDE"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2D3826">
              <w:rPr>
                <w:lang w:eastAsia="en-US"/>
              </w:rPr>
              <w:t xml:space="preserve">For example: </w:t>
            </w:r>
            <w:r w:rsidRPr="002D3826">
              <w:rPr>
                <w:i/>
                <w:lang w:eastAsia="en-US"/>
              </w:rPr>
              <w:t>Large suppliers are overrepresented in winning government business</w:t>
            </w:r>
          </w:p>
          <w:p w14:paraId="10FFC7D6"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3510" w:type="dxa"/>
          </w:tcPr>
          <w:p w14:paraId="3FA21B75"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2D3826">
              <w:rPr>
                <w:lang w:eastAsia="en-US"/>
              </w:rPr>
              <w:t>Fewer participating suppliers may limit innovation and value-for-money outcomes</w:t>
            </w:r>
          </w:p>
          <w:p w14:paraId="4904329E"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968" w:type="dxa"/>
          </w:tcPr>
          <w:p w14:paraId="4116AC71"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pPr>
            <w:r w:rsidRPr="002D3826">
              <w:rPr>
                <w:lang w:eastAsia="en-US"/>
              </w:rPr>
              <w:t>Consideration given to creating a level playing field for all suppliers</w:t>
            </w:r>
          </w:p>
          <w:p w14:paraId="1DE24B1C"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653" w:type="dxa"/>
          </w:tcPr>
          <w:p w14:paraId="0D6845C5"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2D3826">
              <w:rPr>
                <w:lang w:eastAsia="en-US"/>
              </w:rPr>
              <w:t>Procurement activity plan published online</w:t>
            </w:r>
          </w:p>
          <w:p w14:paraId="74494CD0"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r>
      <w:tr w:rsidR="002D3826" w:rsidRPr="002D3826" w14:paraId="7AA9002C" w14:textId="77777777" w:rsidTr="002174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246C1C8B" w14:textId="77777777" w:rsidR="002D3826" w:rsidRPr="002D3826" w:rsidRDefault="002D3826" w:rsidP="002D3826">
            <w:pPr>
              <w:pStyle w:val="TableText"/>
              <w:rPr>
                <w:color w:val="auto"/>
                <w:lang w:eastAsia="en-US"/>
              </w:rPr>
            </w:pPr>
            <w:r w:rsidRPr="002D3826">
              <w:rPr>
                <w:color w:val="auto"/>
                <w:lang w:eastAsia="en-US"/>
              </w:rPr>
              <w:t>Larger suppliers</w:t>
            </w:r>
          </w:p>
        </w:tc>
        <w:tc>
          <w:tcPr>
            <w:tcW w:w="3690" w:type="dxa"/>
          </w:tcPr>
          <w:p w14:paraId="628FBD30"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2D3826">
              <w:rPr>
                <w:lang w:eastAsia="en-US"/>
              </w:rPr>
              <w:t xml:space="preserve">For example: </w:t>
            </w:r>
            <w:r w:rsidRPr="002D3826">
              <w:rPr>
                <w:i/>
                <w:lang w:eastAsia="en-US"/>
              </w:rPr>
              <w:t>SMEs are given favourable treatment to the detriment of cost advantages available from large suppliers</w:t>
            </w:r>
          </w:p>
          <w:p w14:paraId="3F59B939"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3510" w:type="dxa"/>
          </w:tcPr>
          <w:p w14:paraId="702390ED"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2D3826">
              <w:rPr>
                <w:lang w:eastAsia="en-US"/>
              </w:rPr>
              <w:t>Complaints to the Minister</w:t>
            </w:r>
          </w:p>
          <w:p w14:paraId="1F7BD068"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968" w:type="dxa"/>
          </w:tcPr>
          <w:p w14:paraId="6BF6E671"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pPr>
            <w:r w:rsidRPr="002D3826">
              <w:rPr>
                <w:lang w:eastAsia="en-US"/>
              </w:rPr>
              <w:t>Consideration given to creating a level playing field for all suppliers</w:t>
            </w:r>
          </w:p>
          <w:p w14:paraId="79F373E2"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653" w:type="dxa"/>
          </w:tcPr>
          <w:p w14:paraId="0BB1A89B"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2D3826">
              <w:rPr>
                <w:lang w:eastAsia="en-US"/>
              </w:rPr>
              <w:t>Procurement activity plan published online</w:t>
            </w:r>
          </w:p>
          <w:p w14:paraId="399DED65"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r>
      <w:tr w:rsidR="002D3826" w:rsidRPr="002D3826" w14:paraId="18038DE1" w14:textId="77777777" w:rsidTr="00217487">
        <w:tc>
          <w:tcPr>
            <w:cnfStyle w:val="001000000000" w:firstRow="0" w:lastRow="0" w:firstColumn="1" w:lastColumn="0" w:oddVBand="0" w:evenVBand="0" w:oddHBand="0" w:evenHBand="0" w:firstRowFirstColumn="0" w:firstRowLastColumn="0" w:lastRowFirstColumn="0" w:lastRowLastColumn="0"/>
            <w:tcW w:w="2624" w:type="dxa"/>
          </w:tcPr>
          <w:p w14:paraId="407898F0" w14:textId="77777777" w:rsidR="002D3826" w:rsidRPr="002D3826" w:rsidRDefault="002D3826" w:rsidP="002D3826">
            <w:pPr>
              <w:pStyle w:val="TableText"/>
              <w:rPr>
                <w:color w:val="auto"/>
                <w:lang w:eastAsia="en-US"/>
              </w:rPr>
            </w:pPr>
            <w:r w:rsidRPr="002D3826">
              <w:rPr>
                <w:color w:val="auto"/>
                <w:lang w:eastAsia="en-US"/>
              </w:rPr>
              <w:t>NFPs</w:t>
            </w:r>
          </w:p>
        </w:tc>
        <w:tc>
          <w:tcPr>
            <w:tcW w:w="3690" w:type="dxa"/>
          </w:tcPr>
          <w:p w14:paraId="6D8FF9E3"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3510" w:type="dxa"/>
          </w:tcPr>
          <w:p w14:paraId="47727D57"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968" w:type="dxa"/>
          </w:tcPr>
          <w:p w14:paraId="0E3F4076"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653" w:type="dxa"/>
          </w:tcPr>
          <w:p w14:paraId="2B9897C8"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r>
      <w:tr w:rsidR="002D3826" w:rsidRPr="002D3826" w14:paraId="73EC6877" w14:textId="77777777" w:rsidTr="002174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5B66A962" w14:textId="77777777" w:rsidR="002D3826" w:rsidRPr="002D3826" w:rsidRDefault="002D3826" w:rsidP="002D3826">
            <w:pPr>
              <w:pStyle w:val="TableText"/>
              <w:rPr>
                <w:color w:val="auto"/>
                <w:lang w:eastAsia="en-US"/>
              </w:rPr>
            </w:pPr>
            <w:r w:rsidRPr="002D3826">
              <w:rPr>
                <w:color w:val="auto"/>
                <w:lang w:eastAsia="en-US"/>
              </w:rPr>
              <w:t>Suppliers involved in high-risk procurements</w:t>
            </w:r>
          </w:p>
        </w:tc>
        <w:tc>
          <w:tcPr>
            <w:tcW w:w="3690" w:type="dxa"/>
          </w:tcPr>
          <w:p w14:paraId="0C7CFABB"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3510" w:type="dxa"/>
          </w:tcPr>
          <w:p w14:paraId="31ABA184"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968" w:type="dxa"/>
          </w:tcPr>
          <w:p w14:paraId="206006AB"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653" w:type="dxa"/>
          </w:tcPr>
          <w:p w14:paraId="1EEC8D10"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r>
      <w:tr w:rsidR="002D3826" w:rsidRPr="002D3826" w14:paraId="2BC23AC3" w14:textId="77777777" w:rsidTr="00217487">
        <w:tc>
          <w:tcPr>
            <w:cnfStyle w:val="001000000000" w:firstRow="0" w:lastRow="0" w:firstColumn="1" w:lastColumn="0" w:oddVBand="0" w:evenVBand="0" w:oddHBand="0" w:evenHBand="0" w:firstRowFirstColumn="0" w:firstRowLastColumn="0" w:lastRowFirstColumn="0" w:lastRowLastColumn="0"/>
            <w:tcW w:w="15445" w:type="dxa"/>
            <w:gridSpan w:val="5"/>
            <w:shd w:val="clear" w:color="auto" w:fill="E1BFFD"/>
          </w:tcPr>
          <w:p w14:paraId="4F708C46" w14:textId="77777777" w:rsidR="002D3826" w:rsidRPr="002D3826" w:rsidRDefault="00217487" w:rsidP="002D3826">
            <w:pPr>
              <w:pStyle w:val="TableText"/>
              <w:spacing w:before="40" w:after="40"/>
              <w:rPr>
                <w:color w:val="auto"/>
                <w:lang w:eastAsia="en-US"/>
              </w:rPr>
            </w:pPr>
            <w:r w:rsidRPr="002D3826">
              <w:rPr>
                <w:b/>
                <w:color w:val="auto"/>
                <w:sz w:val="18"/>
                <w:szCs w:val="18"/>
                <w:lang w:eastAsia="en-US"/>
              </w:rPr>
              <w:t xml:space="preserve">Internal </w:t>
            </w:r>
            <w:r w:rsidRPr="002D3826">
              <w:rPr>
                <w:b/>
                <w:color w:val="auto"/>
                <w:lang w:eastAsia="en-US"/>
              </w:rPr>
              <w:t>audience</w:t>
            </w:r>
          </w:p>
        </w:tc>
      </w:tr>
      <w:tr w:rsidR="002D3826" w:rsidRPr="002D3826" w14:paraId="6E66296D" w14:textId="77777777" w:rsidTr="002174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555522CE" w14:textId="77777777" w:rsidR="002D3826" w:rsidRPr="002D3826" w:rsidRDefault="002D3826" w:rsidP="002D3826">
            <w:pPr>
              <w:pStyle w:val="TableText"/>
              <w:rPr>
                <w:color w:val="auto"/>
                <w:lang w:eastAsia="en-US"/>
              </w:rPr>
            </w:pPr>
            <w:r w:rsidRPr="002D3826">
              <w:rPr>
                <w:color w:val="auto"/>
                <w:lang w:eastAsia="en-US"/>
              </w:rPr>
              <w:t>Contract managers</w:t>
            </w:r>
          </w:p>
        </w:tc>
        <w:tc>
          <w:tcPr>
            <w:tcW w:w="3690" w:type="dxa"/>
          </w:tcPr>
          <w:p w14:paraId="3E251C1E"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3510" w:type="dxa"/>
          </w:tcPr>
          <w:p w14:paraId="30B4783A"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968" w:type="dxa"/>
          </w:tcPr>
          <w:p w14:paraId="16750DEF"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653" w:type="dxa"/>
          </w:tcPr>
          <w:p w14:paraId="23A43A88"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r>
      <w:tr w:rsidR="002D3826" w:rsidRPr="002D3826" w14:paraId="1947C5C9" w14:textId="77777777" w:rsidTr="00217487">
        <w:tc>
          <w:tcPr>
            <w:cnfStyle w:val="001000000000" w:firstRow="0" w:lastRow="0" w:firstColumn="1" w:lastColumn="0" w:oddVBand="0" w:evenVBand="0" w:oddHBand="0" w:evenHBand="0" w:firstRowFirstColumn="0" w:firstRowLastColumn="0" w:lastRowFirstColumn="0" w:lastRowLastColumn="0"/>
            <w:tcW w:w="2624" w:type="dxa"/>
          </w:tcPr>
          <w:p w14:paraId="60503960" w14:textId="77777777" w:rsidR="002D3826" w:rsidRPr="002D3826" w:rsidRDefault="002D3826" w:rsidP="002D3826">
            <w:pPr>
              <w:pStyle w:val="TableText"/>
              <w:rPr>
                <w:color w:val="auto"/>
                <w:lang w:eastAsia="en-US"/>
              </w:rPr>
            </w:pPr>
            <w:r w:rsidRPr="002D3826">
              <w:rPr>
                <w:color w:val="auto"/>
                <w:lang w:eastAsia="en-US"/>
              </w:rPr>
              <w:t>Procurement staff</w:t>
            </w:r>
          </w:p>
        </w:tc>
        <w:tc>
          <w:tcPr>
            <w:tcW w:w="3690" w:type="dxa"/>
          </w:tcPr>
          <w:p w14:paraId="00B5FE9B"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3510" w:type="dxa"/>
          </w:tcPr>
          <w:p w14:paraId="60F534E8"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968" w:type="dxa"/>
          </w:tcPr>
          <w:p w14:paraId="39FB95C1"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653" w:type="dxa"/>
          </w:tcPr>
          <w:p w14:paraId="03ACDA85"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r>
      <w:tr w:rsidR="002D3826" w:rsidRPr="002D3826" w14:paraId="6AD2EA97" w14:textId="77777777" w:rsidTr="002174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717B5C99" w14:textId="77777777" w:rsidR="002D3826" w:rsidRPr="002D3826" w:rsidRDefault="002D3826" w:rsidP="002D3826">
            <w:pPr>
              <w:pStyle w:val="TableText"/>
              <w:rPr>
                <w:color w:val="auto"/>
                <w:lang w:eastAsia="en-US"/>
              </w:rPr>
            </w:pPr>
            <w:r w:rsidRPr="002D3826">
              <w:rPr>
                <w:color w:val="auto"/>
                <w:lang w:eastAsia="en-US"/>
              </w:rPr>
              <w:t>Buyers</w:t>
            </w:r>
          </w:p>
        </w:tc>
        <w:tc>
          <w:tcPr>
            <w:tcW w:w="3690" w:type="dxa"/>
          </w:tcPr>
          <w:p w14:paraId="249C5CB5"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3510" w:type="dxa"/>
          </w:tcPr>
          <w:p w14:paraId="1D9D60CD"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968" w:type="dxa"/>
          </w:tcPr>
          <w:p w14:paraId="3997522B"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c>
          <w:tcPr>
            <w:tcW w:w="2653" w:type="dxa"/>
          </w:tcPr>
          <w:p w14:paraId="7D381036" w14:textId="77777777" w:rsidR="002D3826" w:rsidRPr="002D3826" w:rsidRDefault="002D3826" w:rsidP="002D3826">
            <w:pPr>
              <w:pStyle w:val="TableText"/>
              <w:cnfStyle w:val="000000010000" w:firstRow="0" w:lastRow="0" w:firstColumn="0" w:lastColumn="0" w:oddVBand="0" w:evenVBand="0" w:oddHBand="0" w:evenHBand="1" w:firstRowFirstColumn="0" w:firstRowLastColumn="0" w:lastRowFirstColumn="0" w:lastRowLastColumn="0"/>
              <w:rPr>
                <w:color w:val="650B68"/>
                <w:lang w:eastAsia="en-US"/>
              </w:rPr>
            </w:pPr>
            <w:r w:rsidRPr="002D3826">
              <w:rPr>
                <w:color w:val="650B68"/>
                <w:lang w:eastAsia="en-US"/>
              </w:rPr>
              <w:t>[Complete]</w:t>
            </w:r>
          </w:p>
        </w:tc>
      </w:tr>
      <w:tr w:rsidR="002D3826" w:rsidRPr="002D3826" w14:paraId="0F80E8D7" w14:textId="77777777" w:rsidTr="00217487">
        <w:tc>
          <w:tcPr>
            <w:cnfStyle w:val="001000000000" w:firstRow="0" w:lastRow="0" w:firstColumn="1" w:lastColumn="0" w:oddVBand="0" w:evenVBand="0" w:oddHBand="0" w:evenHBand="0" w:firstRowFirstColumn="0" w:firstRowLastColumn="0" w:lastRowFirstColumn="0" w:lastRowLastColumn="0"/>
            <w:tcW w:w="2624" w:type="dxa"/>
          </w:tcPr>
          <w:p w14:paraId="387E902D" w14:textId="77777777" w:rsidR="002D3826" w:rsidRPr="002D3826" w:rsidRDefault="002D3826" w:rsidP="002D3826">
            <w:pPr>
              <w:pStyle w:val="TableText"/>
              <w:rPr>
                <w:color w:val="auto"/>
                <w:lang w:eastAsia="en-US"/>
              </w:rPr>
            </w:pPr>
            <w:r w:rsidRPr="002D3826">
              <w:rPr>
                <w:color w:val="auto"/>
                <w:lang w:eastAsia="en-US"/>
              </w:rPr>
              <w:t>Other</w:t>
            </w:r>
          </w:p>
        </w:tc>
        <w:tc>
          <w:tcPr>
            <w:tcW w:w="3690" w:type="dxa"/>
          </w:tcPr>
          <w:p w14:paraId="6A6DE8C9"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3510" w:type="dxa"/>
          </w:tcPr>
          <w:p w14:paraId="15884A14"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968" w:type="dxa"/>
          </w:tcPr>
          <w:p w14:paraId="288E99B0"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c>
          <w:tcPr>
            <w:tcW w:w="2653" w:type="dxa"/>
          </w:tcPr>
          <w:p w14:paraId="01AAC62A" w14:textId="77777777" w:rsidR="002D3826" w:rsidRPr="002D3826" w:rsidRDefault="002D3826" w:rsidP="002D3826">
            <w:pPr>
              <w:pStyle w:val="TableText"/>
              <w:cnfStyle w:val="000000000000" w:firstRow="0" w:lastRow="0" w:firstColumn="0" w:lastColumn="0" w:oddVBand="0" w:evenVBand="0" w:oddHBand="0" w:evenHBand="0" w:firstRowFirstColumn="0" w:firstRowLastColumn="0" w:lastRowFirstColumn="0" w:lastRowLastColumn="0"/>
              <w:rPr>
                <w:color w:val="650B68"/>
                <w:lang w:eastAsia="en-US"/>
              </w:rPr>
            </w:pPr>
            <w:r w:rsidRPr="002D3826">
              <w:rPr>
                <w:color w:val="650B68"/>
                <w:lang w:eastAsia="en-US"/>
              </w:rPr>
              <w:t>[Complete]</w:t>
            </w:r>
          </w:p>
        </w:tc>
      </w:tr>
    </w:tbl>
    <w:p w14:paraId="5F7140B2" w14:textId="77777777" w:rsidR="009664CC" w:rsidRPr="004C364C" w:rsidRDefault="009664CC" w:rsidP="009664CC">
      <w:pPr>
        <w:pStyle w:val="Heading2"/>
        <w:rPr>
          <w:b w:val="0"/>
          <w:bCs/>
          <w:color w:val="7030A0"/>
          <w:spacing w:val="2"/>
        </w:rPr>
      </w:pPr>
      <w:r w:rsidRPr="004C364C">
        <w:rPr>
          <w:bCs/>
          <w:color w:val="7030A0"/>
          <w:spacing w:val="2"/>
        </w:rPr>
        <w:lastRenderedPageBreak/>
        <w:t>Using this tool</w:t>
      </w:r>
    </w:p>
    <w:p w14:paraId="16CBCD2D" w14:textId="4361E120" w:rsidR="009664CC" w:rsidRPr="007A19E6" w:rsidRDefault="009664CC" w:rsidP="009664CC">
      <w:pPr>
        <w:spacing w:before="0" w:after="200"/>
      </w:pPr>
      <w:r w:rsidRPr="00D56617">
        <w:t xml:space="preserve">This </w:t>
      </w:r>
      <w:r>
        <w:t xml:space="preserve">tool </w:t>
      </w:r>
      <w:r w:rsidRPr="00D56617">
        <w:t xml:space="preserve">accompanies </w:t>
      </w:r>
      <w:r>
        <w:t xml:space="preserve">the </w:t>
      </w:r>
      <w:hyperlink r:id="rId9" w:history="1">
        <w:r w:rsidRPr="008A26D7">
          <w:rPr>
            <w:rStyle w:val="Hyperlink"/>
          </w:rPr>
          <w:t>Preparing a supplier engagement plan - Goods and services procurement guide.</w:t>
        </w:r>
      </w:hyperlink>
    </w:p>
    <w:p w14:paraId="238AE907" w14:textId="77777777" w:rsidR="009664CC" w:rsidRDefault="009664CC" w:rsidP="009664CC"/>
    <w:p w14:paraId="231A756E" w14:textId="77777777" w:rsidR="009664CC" w:rsidRDefault="009664CC" w:rsidP="009664CC"/>
    <w:p w14:paraId="4917C62A" w14:textId="77777777" w:rsidR="009664CC" w:rsidRDefault="009664CC" w:rsidP="009664CC"/>
    <w:p w14:paraId="301A24DB" w14:textId="77777777" w:rsidR="009664CC" w:rsidRDefault="009664CC" w:rsidP="009664CC">
      <w:bookmarkStart w:id="0" w:name="_GoBack"/>
      <w:bookmarkEnd w:id="0"/>
    </w:p>
    <w:p w14:paraId="7604B91A" w14:textId="77777777" w:rsidR="009664CC" w:rsidRDefault="009664CC" w:rsidP="009664CC"/>
    <w:p w14:paraId="2E3E0897" w14:textId="77777777" w:rsidR="009664CC" w:rsidRDefault="009664CC" w:rsidP="009664CC"/>
    <w:p w14:paraId="1CDC634C" w14:textId="77777777" w:rsidR="009664CC" w:rsidRDefault="009664CC" w:rsidP="009664CC"/>
    <w:p w14:paraId="4DDA174D" w14:textId="77777777" w:rsidR="009664CC" w:rsidRDefault="009664CC" w:rsidP="009664CC"/>
    <w:p w14:paraId="42BCC3C2" w14:textId="77777777" w:rsidR="009664CC" w:rsidRDefault="009664CC" w:rsidP="009664CC"/>
    <w:p w14:paraId="5EAEBAB3" w14:textId="77777777" w:rsidR="009664CC" w:rsidRDefault="009664CC" w:rsidP="009664CC"/>
    <w:p w14:paraId="703D3AF8" w14:textId="77777777" w:rsidR="009664CC" w:rsidRDefault="009664CC" w:rsidP="009664CC"/>
    <w:p w14:paraId="780C230B" w14:textId="77777777" w:rsidR="009664CC" w:rsidRDefault="009664CC" w:rsidP="009664CC"/>
    <w:p w14:paraId="04A94D05" w14:textId="77777777" w:rsidR="009664CC" w:rsidRDefault="009664CC" w:rsidP="009664CC"/>
    <w:p w14:paraId="6DFC5B35" w14:textId="77777777" w:rsidR="009664CC" w:rsidRDefault="009664CC" w:rsidP="009664CC"/>
    <w:p w14:paraId="0543E868" w14:textId="77777777" w:rsidR="009664CC" w:rsidRPr="009664CC" w:rsidRDefault="009664CC" w:rsidP="009664CC">
      <w:r w:rsidRPr="004048E9">
        <w:rPr>
          <w:sz w:val="18"/>
          <w:szCs w:val="18"/>
        </w:rPr>
        <w:t>© State of Victoria 201</w:t>
      </w:r>
      <w:r>
        <w:rPr>
          <w:sz w:val="18"/>
          <w:szCs w:val="18"/>
        </w:rPr>
        <w:t>6</w:t>
      </w:r>
      <w:r w:rsidRPr="004048E9">
        <w:rPr>
          <w:sz w:val="18"/>
          <w:szCs w:val="18"/>
        </w:rPr>
        <w:t xml:space="preserve"> (Victorian Government Purchasing Board</w:t>
      </w:r>
      <w:r>
        <w:rPr>
          <w:sz w:val="18"/>
          <w:szCs w:val="18"/>
        </w:rPr>
        <w:t>)</w:t>
      </w:r>
    </w:p>
    <w:p w14:paraId="1937A3D8" w14:textId="77777777" w:rsidR="009664CC" w:rsidRPr="0071619F" w:rsidRDefault="009664CC" w:rsidP="009664CC">
      <w:pPr>
        <w:rPr>
          <w:sz w:val="18"/>
          <w:szCs w:val="18"/>
        </w:rPr>
      </w:pPr>
      <w:r w:rsidRPr="0071619F">
        <w:rPr>
          <w:noProof/>
          <w:sz w:val="18"/>
          <w:szCs w:val="18"/>
        </w:rPr>
        <w:drawing>
          <wp:inline distT="0" distB="0" distL="0" distR="0" wp14:anchorId="513CE0CA" wp14:editId="278890E8">
            <wp:extent cx="1117460" cy="393651"/>
            <wp:effectExtent l="0" t="0" r="6985" b="6985"/>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06954294" w14:textId="77777777" w:rsidR="009664CC" w:rsidRPr="0071619F" w:rsidRDefault="009664CC" w:rsidP="009664CC">
      <w:pPr>
        <w:rPr>
          <w:sz w:val="18"/>
          <w:szCs w:val="18"/>
        </w:rPr>
      </w:pPr>
      <w:r w:rsidRPr="0071619F">
        <w:rPr>
          <w:sz w:val="18"/>
          <w:szCs w:val="18"/>
        </w:rPr>
        <w:t xml:space="preserve">This work is licensed under a </w:t>
      </w:r>
      <w:hyperlink r:id="rId12"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727E895" w14:textId="77777777" w:rsidR="009664CC" w:rsidRPr="0071619F" w:rsidRDefault="009664CC" w:rsidP="009664CC">
      <w:r w:rsidRPr="0071619F">
        <w:rPr>
          <w:sz w:val="18"/>
          <w:szCs w:val="18"/>
        </w:rPr>
        <w:t xml:space="preserve">Copyright queries may be directed to </w:t>
      </w:r>
      <w:hyperlink r:id="rId13" w:history="1">
        <w:r w:rsidRPr="0071619F">
          <w:rPr>
            <w:rStyle w:val="Hyperlink"/>
            <w:sz w:val="18"/>
            <w:szCs w:val="18"/>
          </w:rPr>
          <w:t>IPpolicy@dtf.vic.gov.au</w:t>
        </w:r>
      </w:hyperlink>
    </w:p>
    <w:p w14:paraId="4112542D" w14:textId="77777777" w:rsidR="00630DD9" w:rsidRDefault="00630DD9" w:rsidP="002D3826"/>
    <w:sectPr w:rsidR="00630DD9" w:rsidSect="0068666B">
      <w:headerReference w:type="even" r:id="rId14"/>
      <w:headerReference w:type="default" r:id="rId15"/>
      <w:footerReference w:type="even" r:id="rId16"/>
      <w:footerReference w:type="default" r:id="rId17"/>
      <w:headerReference w:type="first" r:id="rId18"/>
      <w:footerReference w:type="first" r:id="rId19"/>
      <w:pgSz w:w="16840" w:h="11901" w:orient="landscape" w:code="9"/>
      <w:pgMar w:top="1560" w:right="907" w:bottom="1418" w:left="1138" w:header="288" w:footer="7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7B887" w14:textId="77777777" w:rsidR="0036618B" w:rsidRDefault="0036618B">
      <w:r>
        <w:separator/>
      </w:r>
    </w:p>
    <w:p w14:paraId="137EBBE2" w14:textId="77777777" w:rsidR="0036618B" w:rsidRDefault="0036618B"/>
  </w:endnote>
  <w:endnote w:type="continuationSeparator" w:id="0">
    <w:p w14:paraId="481ADFD3" w14:textId="77777777" w:rsidR="0036618B" w:rsidRDefault="0036618B">
      <w:r>
        <w:continuationSeparator/>
      </w:r>
    </w:p>
    <w:p w14:paraId="4A09877B" w14:textId="77777777" w:rsidR="0036618B" w:rsidRDefault="0036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402F" w14:textId="77777777" w:rsidR="008A26D7" w:rsidRDefault="008A2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B74E" w14:textId="77777777" w:rsidR="00385720" w:rsidRDefault="00385720">
    <w:pPr>
      <w:pStyle w:val="Footer"/>
    </w:pPr>
    <w:r>
      <mc:AlternateContent>
        <mc:Choice Requires="wps">
          <w:drawing>
            <wp:anchor distT="0" distB="0" distL="114300" distR="114300" simplePos="0" relativeHeight="251658240" behindDoc="0" locked="0" layoutInCell="0" allowOverlap="1" wp14:anchorId="680D6F7A" wp14:editId="667A9959">
              <wp:simplePos x="0" y="0"/>
              <wp:positionH relativeFrom="page">
                <wp:posOffset>0</wp:posOffset>
              </wp:positionH>
              <wp:positionV relativeFrom="page">
                <wp:posOffset>7099935</wp:posOffset>
              </wp:positionV>
              <wp:extent cx="10693400" cy="266700"/>
              <wp:effectExtent l="0" t="0" r="0" b="0"/>
              <wp:wrapNone/>
              <wp:docPr id="64" name="MSIPCMc6164b0d957cfb4a44d0f0c1"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FDF57" w14:textId="77777777" w:rsidR="00385720" w:rsidRPr="00385720" w:rsidRDefault="00385720" w:rsidP="00385720">
                          <w:pPr>
                            <w:spacing w:before="0" w:after="0"/>
                            <w:rPr>
                              <w:color w:val="000000"/>
                            </w:rPr>
                          </w:pPr>
                          <w:r w:rsidRPr="00385720">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0D6F7A" id="_x0000_t202" coordsize="21600,21600" o:spt="202" path="m,l,21600r21600,l21600,xe">
              <v:stroke joinstyle="miter"/>
              <v:path gradientshapeok="t" o:connecttype="rect"/>
            </v:shapetype>
            <v:shape id="MSIPCMc6164b0d957cfb4a44d0f0c1" o:spid="_x0000_s1026" type="#_x0000_t202" alt="{&quot;HashCode&quot;:-1267603503,&quot;Height&quot;:595.0,&quot;Width&quot;:842.0,&quot;Placement&quot;:&quot;Footer&quot;,&quot;Index&quot;:&quot;Primary&quot;,&quot;Section&quot;:1,&quot;Top&quot;:0.0,&quot;Left&quot;:0.0}" style="position:absolute;left:0;text-align:left;margin-left:0;margin-top:559.05pt;width:84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anHAMAADoGAAAOAAAAZHJzL2Uyb0RvYy54bWysVE1v2zAMvQ/YfxB02Gmp5dRx6qxp0abI&#10;ViBtA6RDz4os18JsyZWUxlnR/z5KltOP7TAMu0gUSVHk4xOPT9u6Qo9cG6HkFMcHBCMumcqFvJ/i&#10;77fzwRFGxlKZ00pJPsU7bvDpyccPx9tmwoeqVFXONYIg0ky2zRSX1jaTKDKs5DU1B6rhEoyF0jW1&#10;cNT3Ua7pFqLXVTQkJI22SueNVowbA9qLzohPfPyi4MzeFIXhFlVTDLlZv2q/rt0anRzTyb2mTSlY&#10;SIP+QxY1FRIe3Ye6oJaijRa/haoF08qowh4wVUeqKATjvgaoJibvqlmVtOG+FgDHNHuYzP8Ly64f&#10;lxqJfIrTBCNJa+jR1epyObtiaZwma5JnozEr1glNkpwUhMUY5dwwgPDp08NG2S/fqClnKufdaTKI&#10;h+k4JYcjcvg5OHBxX9pgHmWjAxIMdyK3ZdAfJcO9fllRxmsu+zudy1wpy3UnhwCXMudtCNBtSy1q&#10;qndvvFZAAmBn8IvD3VvVBA3ZP7zgRf8mKJ8dObaNmQBGqwZQsu25aoHkvd6A0vW8LXTtdugmAjvQ&#10;bLenFm8tYu4SSbPDhICNgXGYpmOQIX70cr3Rxn7lqkZOmGINaXtK0ceFsZ1r7+Jek2ouqsrzt5Jo&#10;Cw0EzP2FvQWCV9L5QhYQI0gdL5+yeJiQ82E2mKdH40EyT0aDbEyOBiTOzrOUJFlyMX928eJkUoo8&#10;53IhJO//SJz8HQfDb+3Y7X/Jm1SNqkTu6nC5uepmlUaPFD7rGkjwIyD0yit6m44HEKrrd19l5JrW&#10;NcdJtl23oZNrle+gkVoBvtAK07C5gEcX1Ngl1fDxQQnDzN7AUlQKQFVBwqhU+uef9M4fsAArRlsY&#10;JFNsHjZUc4yqSwk/dTiCtkNc608gaC9kcZLAYd1r5aaeKagb/hek5UXna6teLLSq72DYnbnnwEQl&#10;g0cBqF6cWTiBAYYl42dnXoYh01C7kKuGudA9yrftHdVNIJoF/K5VP2vo5B3fOl93U6qzjVWF8GR0&#10;yHZwAvbuAAPKdyEMUzcBX5+918vIP/kFAAD//wMAUEsDBBQABgAIAAAAIQC7BlDM3QAAAAsBAAAP&#10;AAAAZHJzL2Rvd25yZXYueG1sTI/NTsMwEITvSLyDtZW4UccIRSHEqapKRYIDgtAHcOMlSeufyHba&#10;8PZsTnDcb0azM9VmtoZdMMTBOwlinQFD13o9uE7C4Wt/XwCLSTmtjHco4QcjbOrbm0qV2l/dJ16a&#10;1DEKcbFUEvqUxpLz2PZoVVz7ER1p3z5YlegMHddBXSncGv6QZTm3anD0oVcj7npsz81kJWxxEvHV&#10;7E8vw6H5eDu9p6B3T1LerebtM7CEc/ozw1KfqkNNnY5+cjoyI4GGJKJCFALYoufFI7HjwvJMAK8r&#10;/n9D/QsAAP//AwBQSwECLQAUAAYACAAAACEAtoM4kv4AAADhAQAAEwAAAAAAAAAAAAAAAAAAAAAA&#10;W0NvbnRlbnRfVHlwZXNdLnhtbFBLAQItABQABgAIAAAAIQA4/SH/1gAAAJQBAAALAAAAAAAAAAAA&#10;AAAAAC8BAABfcmVscy8ucmVsc1BLAQItABQABgAIAAAAIQDr5HanHAMAADoGAAAOAAAAAAAAAAAA&#10;AAAAAC4CAABkcnMvZTJvRG9jLnhtbFBLAQItABQABgAIAAAAIQC7BlDM3QAAAAsBAAAPAAAAAAAA&#10;AAAAAAAAAHYFAABkcnMvZG93bnJldi54bWxQSwUGAAAAAAQABADzAAAAgAYAAAAA&#10;" o:allowincell="f" filled="f" stroked="f" strokeweight=".5pt">
              <v:textbox inset="20pt,0,,0">
                <w:txbxContent>
                  <w:p w14:paraId="37DFDF57" w14:textId="77777777" w:rsidR="00385720" w:rsidRPr="00385720" w:rsidRDefault="00385720" w:rsidP="00385720">
                    <w:pPr>
                      <w:spacing w:before="0" w:after="0"/>
                      <w:rPr>
                        <w:color w:val="000000"/>
                      </w:rPr>
                    </w:pPr>
                    <w:r w:rsidRPr="00385720">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7023" w14:textId="77777777" w:rsidR="009664CC" w:rsidRDefault="009664CC" w:rsidP="0068666B">
    <w:pPr>
      <w:pStyle w:val="Footer"/>
      <w:tabs>
        <w:tab w:val="clear" w:pos="8220"/>
        <w:tab w:val="right" w:pos="14601"/>
      </w:tabs>
      <w:jc w:val="left"/>
    </w:pPr>
    <w:r w:rsidRPr="009664CC">
      <w:t>Victorian Government Purchasing Board</w:t>
    </w:r>
  </w:p>
  <w:p w14:paraId="1EE5AE55" w14:textId="77777777" w:rsidR="0068666B" w:rsidRDefault="00385720" w:rsidP="0068666B">
    <w:pPr>
      <w:pStyle w:val="Footer"/>
      <w:tabs>
        <w:tab w:val="clear" w:pos="8220"/>
        <w:tab w:val="right" w:pos="14601"/>
      </w:tabs>
      <w:jc w:val="left"/>
    </w:pPr>
    <w:r>
      <mc:AlternateContent>
        <mc:Choice Requires="wps">
          <w:drawing>
            <wp:anchor distT="0" distB="0" distL="114300" distR="114300" simplePos="0" relativeHeight="251657216" behindDoc="0" locked="0" layoutInCell="0" allowOverlap="1" wp14:anchorId="0859D91B" wp14:editId="79EA9841">
              <wp:simplePos x="0" y="0"/>
              <wp:positionH relativeFrom="page">
                <wp:posOffset>0</wp:posOffset>
              </wp:positionH>
              <wp:positionV relativeFrom="page">
                <wp:posOffset>7099935</wp:posOffset>
              </wp:positionV>
              <wp:extent cx="10693400" cy="266700"/>
              <wp:effectExtent l="0" t="0" r="0" b="0"/>
              <wp:wrapNone/>
              <wp:docPr id="65" name="MSIPCM36134d6da75a04e333697bac" descr="{&quot;HashCode&quot;:-1267603503,&quot;Height&quot;:595.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5A3A5" w14:textId="77777777" w:rsidR="00385720" w:rsidRPr="00385720" w:rsidRDefault="00385720" w:rsidP="00385720">
                          <w:pPr>
                            <w:spacing w:before="0" w:after="0"/>
                            <w:rPr>
                              <w:color w:val="000000"/>
                            </w:rPr>
                          </w:pPr>
                          <w:r w:rsidRPr="00385720">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59D91B" id="_x0000_t202" coordsize="21600,21600" o:spt="202" path="m,l,21600r21600,l21600,xe">
              <v:stroke joinstyle="miter"/>
              <v:path gradientshapeok="t" o:connecttype="rect"/>
            </v:shapetype>
            <v:shape id="MSIPCM36134d6da75a04e333697bac" o:spid="_x0000_s1027" type="#_x0000_t202" alt="{&quot;HashCode&quot;:-1267603503,&quot;Height&quot;:595.0,&quot;Width&quot;:842.0,&quot;Placement&quot;:&quot;Footer&quot;,&quot;Index&quot;:&quot;FirstPage&quot;,&quot;Section&quot;:1,&quot;Top&quot;:0.0,&quot;Left&quot;:0.0}" style="position:absolute;margin-left:0;margin-top:559.05pt;width:84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xfHQMAAEMGAAAOAAAAZHJzL2Uyb0RvYy54bWysVN1v2jAQf5+0/8Hyw54GSSAEwhoqSsVW&#10;ibZIdOqzcRwSLbFT20C6qv/7zo5DP7aHadpLcl8+3/3u5zs7b6oSHZhUheAJDvo+RoxTkRZ8l+Dv&#10;d8veBCOlCU9JKThL8CNT+Hz28cPZsZ6ygchFmTKJIAlX02Od4Fzreup5iuasIqovasbBmQlZEQ2q&#10;3HmpJEfIXpXewPcj7yhkWktBmVJgvWydeGbzZxmj+jbLFNOoTDDUpu1X2u/WfL3ZGZnuJKnzgroy&#10;yD9UUZGCw6WnVJdEE7SXxW+pqoJKoUSm+1RUnsiygjLbA3QT+O+62eSkZrYXAEfVJ5jU/0tLbw5r&#10;iYo0wdEII04qmNH15mq9uB5GwTBMo5SMR8QP2XA4jOLxllCMUqYoQPj06WEv9JdvROULkbJWm/aC&#10;QTSO/OHIH352AazY5dq5R/Go7zvHfZHq3Nkn4eBkX5eEsorx7kwbshRCM9nKLsEVT1njErigQiq9&#10;JjtXjYvbAA2Any4ycNY7UTuLf7p6xbLuVjA+G3ocazUFlDY14KSbC9EAzTu7AqOZepPJyvxhngj8&#10;QLTHE7lYoxE1h/woHoY++Cg4B1E0Bhnyey/Hayj+KxMVMkKCJZRtSUUOK6Xb0C7E3MbFsihLy+CS&#10;oyOMEFC3B04eSF5yEwtVQA4ntcx8ioNB6F8M4t4ymox74TIc9eKxP+n5QXwRR34Yh5fLZ5MvCKd5&#10;kaaMrwrOulcShH/HQvdeW37bd/KmVCXKIjV9mNpMd4tSogOB57oFGvxwCL2K8t6WYwGE7rq/7dIz&#10;Q2uHYyTdbBvL8dPgtiJ9hHlKATDDRFRNl4Y5K2LYI2EDgBG2mr6FT1YKwFY4CaNcyJ9/spt4gAS8&#10;GB1hoyRYPeyJZBiVVxye7GAE04e82mogSCvEQRiCsu2sfF8tBLQf2LKsaGJ12YmZFNU9bL25uQ5c&#10;hFO4FPDqxIUGDRywNSmbz60M26YmesU3NTWpO7Dvmnsia8c3DTDeiG7pkOk72rWx5iQX870WWWE5&#10;aQBu4YQRGAU2lR2G26pmFb7WbdTL7p/9AgAA//8DAFBLAwQUAAYACAAAACEAuwZQzN0AAAALAQAA&#10;DwAAAGRycy9kb3ducmV2LnhtbEyPzU7DMBCE70i8g7WVuFHHCEUhxKmqSkWCA4LQB3DjJUnrn8h2&#10;2vD2bE5w3G9GszPVZraGXTDEwTsJYp0BQ9d6PbhOwuFrf18Ai0k5rYx3KOEHI2zq25tKldpf3Sde&#10;mtQxCnGxVBL6lMaS89j2aFVc+xEdad8+WJXoDB3XQV0p3Br+kGU5t2pw9KFXI+56bM/NZCVscRLx&#10;1exPL8Oh+Xg7vaegd09S3q3m7TOwhHP6M8NSn6pDTZ2OfnI6MiOBhiSiQhQC2KLnxSOx48LyTACv&#10;K/5/Q/0LAAD//wMAUEsBAi0AFAAGAAgAAAAhALaDOJL+AAAA4QEAABMAAAAAAAAAAAAAAAAAAAAA&#10;AFtDb250ZW50X1R5cGVzXS54bWxQSwECLQAUAAYACAAAACEAOP0h/9YAAACUAQAACwAAAAAAAAAA&#10;AAAAAAAvAQAAX3JlbHMvLnJlbHNQSwECLQAUAAYACAAAACEA+1h8Xx0DAABDBgAADgAAAAAAAAAA&#10;AAAAAAAuAgAAZHJzL2Uyb0RvYy54bWxQSwECLQAUAAYACAAAACEAuwZQzN0AAAALAQAADwAAAAAA&#10;AAAAAAAAAAB3BQAAZHJzL2Rvd25yZXYueG1sUEsFBgAAAAAEAAQA8wAAAIEGAAAAAA==&#10;" o:allowincell="f" filled="f" stroked="f" strokeweight=".5pt">
              <v:textbox inset="20pt,0,,0">
                <w:txbxContent>
                  <w:p w14:paraId="4E95A3A5" w14:textId="77777777" w:rsidR="00385720" w:rsidRPr="00385720" w:rsidRDefault="00385720" w:rsidP="00385720">
                    <w:pPr>
                      <w:spacing w:before="0" w:after="0"/>
                      <w:rPr>
                        <w:color w:val="000000"/>
                      </w:rPr>
                    </w:pPr>
                    <w:r w:rsidRPr="00385720">
                      <w:rPr>
                        <w:color w:val="000000"/>
                      </w:rPr>
                      <w:t>OFFICIAL</w:t>
                    </w:r>
                  </w:p>
                </w:txbxContent>
              </v:textbox>
              <w10:wrap anchorx="page" anchory="page"/>
            </v:shape>
          </w:pict>
        </mc:Fallback>
      </mc:AlternateContent>
    </w:r>
    <w:sdt>
      <w:sdtPr>
        <w:id w:val="-115988621"/>
        <w:docPartObj>
          <w:docPartGallery w:val="Page Numbers (Bottom of Page)"/>
          <w:docPartUnique/>
        </w:docPartObj>
      </w:sdtPr>
      <w:sdtEndPr/>
      <w:sdtContent>
        <w:sdt>
          <w:sdtPr>
            <w:id w:val="-1191759085"/>
            <w:docPartObj>
              <w:docPartGallery w:val="Page Numbers (Top of Page)"/>
              <w:docPartUnique/>
            </w:docPartObj>
          </w:sdtPr>
          <w:sdtEndPr/>
          <w:sdtContent>
            <w:r w:rsidR="0068666B">
              <w:t>Supplier engagement plan tool – Goods and services</w:t>
            </w:r>
            <w:r w:rsidR="0068666B">
              <w:br/>
              <w:t>June 2016</w:t>
            </w:r>
            <w:r w:rsidR="0068666B">
              <w:tab/>
              <w:t xml:space="preserve">Page </w:t>
            </w:r>
            <w:r w:rsidR="0068666B">
              <w:rPr>
                <w:b/>
                <w:bCs/>
                <w:sz w:val="24"/>
                <w:szCs w:val="24"/>
              </w:rPr>
              <w:fldChar w:fldCharType="begin"/>
            </w:r>
            <w:r w:rsidR="0068666B">
              <w:rPr>
                <w:b/>
                <w:bCs/>
              </w:rPr>
              <w:instrText xml:space="preserve"> PAGE </w:instrText>
            </w:r>
            <w:r w:rsidR="0068666B">
              <w:rPr>
                <w:b/>
                <w:bCs/>
                <w:sz w:val="24"/>
                <w:szCs w:val="24"/>
              </w:rPr>
              <w:fldChar w:fldCharType="separate"/>
            </w:r>
            <w:r w:rsidR="0068666B">
              <w:rPr>
                <w:b/>
                <w:bCs/>
              </w:rPr>
              <w:t>2</w:t>
            </w:r>
            <w:r w:rsidR="0068666B">
              <w:rPr>
                <w:b/>
                <w:bCs/>
                <w:sz w:val="24"/>
                <w:szCs w:val="24"/>
              </w:rPr>
              <w:fldChar w:fldCharType="end"/>
            </w:r>
            <w:r w:rsidR="0068666B">
              <w:t xml:space="preserve"> of </w:t>
            </w:r>
            <w:r w:rsidR="0068666B">
              <w:rPr>
                <w:b/>
                <w:bCs/>
                <w:sz w:val="24"/>
                <w:szCs w:val="24"/>
              </w:rPr>
              <w:fldChar w:fldCharType="begin"/>
            </w:r>
            <w:r w:rsidR="0068666B">
              <w:rPr>
                <w:b/>
                <w:bCs/>
              </w:rPr>
              <w:instrText xml:space="preserve"> NUMPAGES  </w:instrText>
            </w:r>
            <w:r w:rsidR="0068666B">
              <w:rPr>
                <w:b/>
                <w:bCs/>
                <w:sz w:val="24"/>
                <w:szCs w:val="24"/>
              </w:rPr>
              <w:fldChar w:fldCharType="separate"/>
            </w:r>
            <w:r w:rsidR="0068666B">
              <w:rPr>
                <w:b/>
                <w:bCs/>
              </w:rPr>
              <w:t>2</w:t>
            </w:r>
            <w:r w:rsidR="0068666B">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89DF0" w14:textId="77777777" w:rsidR="0036618B" w:rsidRDefault="0036618B">
      <w:r>
        <w:separator/>
      </w:r>
    </w:p>
    <w:p w14:paraId="0DAFB790" w14:textId="77777777" w:rsidR="0036618B" w:rsidRDefault="0036618B"/>
  </w:footnote>
  <w:footnote w:type="continuationSeparator" w:id="0">
    <w:p w14:paraId="1090A1AB" w14:textId="77777777" w:rsidR="0036618B" w:rsidRDefault="0036618B">
      <w:r>
        <w:continuationSeparator/>
      </w:r>
    </w:p>
    <w:p w14:paraId="1796D878" w14:textId="77777777" w:rsidR="0036618B" w:rsidRDefault="00366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7B15" w14:textId="77777777" w:rsidR="008A26D7" w:rsidRDefault="008A2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C2E5" w14:textId="77777777" w:rsidR="008A26D7" w:rsidRDefault="008A2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6D9C" w14:textId="77777777" w:rsidR="0068666B" w:rsidRPr="0068666B" w:rsidRDefault="0068666B" w:rsidP="0068666B">
    <w:pPr>
      <w:pStyle w:val="Header"/>
      <w:ind w:right="53"/>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92546C1"/>
    <w:multiLevelType w:val="hybridMultilevel"/>
    <w:tmpl w:val="4BAE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702F08"/>
    <w:multiLevelType w:val="hybridMultilevel"/>
    <w:tmpl w:val="1AB6F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3"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3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2"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44"/>
  </w:num>
  <w:num w:numId="4">
    <w:abstractNumId w:val="29"/>
  </w:num>
  <w:num w:numId="5">
    <w:abstractNumId w:val="6"/>
  </w:num>
  <w:num w:numId="6">
    <w:abstractNumId w:val="5"/>
  </w:num>
  <w:num w:numId="7">
    <w:abstractNumId w:val="4"/>
  </w:num>
  <w:num w:numId="8">
    <w:abstractNumId w:val="50"/>
  </w:num>
  <w:num w:numId="9">
    <w:abstractNumId w:val="31"/>
  </w:num>
  <w:num w:numId="10">
    <w:abstractNumId w:val="13"/>
  </w:num>
  <w:num w:numId="11">
    <w:abstractNumId w:val="17"/>
  </w:num>
  <w:num w:numId="12">
    <w:abstractNumId w:val="49"/>
  </w:num>
  <w:num w:numId="13">
    <w:abstractNumId w:val="19"/>
  </w:num>
  <w:num w:numId="14">
    <w:abstractNumId w:val="39"/>
  </w:num>
  <w:num w:numId="15">
    <w:abstractNumId w:val="3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5"/>
  </w:num>
  <w:num w:numId="19">
    <w:abstractNumId w:val="2"/>
  </w:num>
  <w:num w:numId="20">
    <w:abstractNumId w:val="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0"/>
    <w:lvlOverride w:ilvl="0">
      <w:startOverride w:val="1"/>
    </w:lvlOverride>
  </w:num>
  <w:num w:numId="24">
    <w:abstractNumId w:val="40"/>
    <w:lvlOverride w:ilvl="0">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4"/>
  </w:num>
  <w:num w:numId="31">
    <w:abstractNumId w:val="25"/>
  </w:num>
  <w:num w:numId="32">
    <w:abstractNumId w:val="48"/>
  </w:num>
  <w:num w:numId="33">
    <w:abstractNumId w:val="18"/>
  </w:num>
  <w:num w:numId="34">
    <w:abstractNumId w:val="43"/>
  </w:num>
  <w:num w:numId="35">
    <w:abstractNumId w:val="35"/>
  </w:num>
  <w:num w:numId="36">
    <w:abstractNumId w:val="38"/>
  </w:num>
  <w:num w:numId="37">
    <w:abstractNumId w:val="8"/>
  </w:num>
  <w:num w:numId="38">
    <w:abstractNumId w:val="28"/>
  </w:num>
  <w:num w:numId="39">
    <w:abstractNumId w:val="27"/>
  </w:num>
  <w:num w:numId="40">
    <w:abstractNumId w:val="23"/>
  </w:num>
  <w:num w:numId="41">
    <w:abstractNumId w:val="36"/>
  </w:num>
  <w:num w:numId="42">
    <w:abstractNumId w:val="33"/>
  </w:num>
  <w:num w:numId="43">
    <w:abstractNumId w:val="34"/>
  </w:num>
  <w:num w:numId="44">
    <w:abstractNumId w:val="42"/>
  </w:num>
  <w:num w:numId="45">
    <w:abstractNumId w:val="16"/>
  </w:num>
  <w:num w:numId="46">
    <w:abstractNumId w:val="14"/>
  </w:num>
  <w:num w:numId="4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0241">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4698A"/>
    <w:rsid w:val="0005623E"/>
    <w:rsid w:val="00063BFD"/>
    <w:rsid w:val="00086691"/>
    <w:rsid w:val="00086AD6"/>
    <w:rsid w:val="000949CB"/>
    <w:rsid w:val="000C141A"/>
    <w:rsid w:val="000C1C01"/>
    <w:rsid w:val="000C3368"/>
    <w:rsid w:val="000C3814"/>
    <w:rsid w:val="000E062B"/>
    <w:rsid w:val="000E4881"/>
    <w:rsid w:val="000E5B4E"/>
    <w:rsid w:val="000F54E7"/>
    <w:rsid w:val="00102BFC"/>
    <w:rsid w:val="00104077"/>
    <w:rsid w:val="001213BE"/>
    <w:rsid w:val="00122EAB"/>
    <w:rsid w:val="001251C4"/>
    <w:rsid w:val="00126C86"/>
    <w:rsid w:val="00135230"/>
    <w:rsid w:val="00143A23"/>
    <w:rsid w:val="0015674B"/>
    <w:rsid w:val="00157448"/>
    <w:rsid w:val="00164424"/>
    <w:rsid w:val="00181844"/>
    <w:rsid w:val="00184E1A"/>
    <w:rsid w:val="0018749C"/>
    <w:rsid w:val="001A7B19"/>
    <w:rsid w:val="001B0B3F"/>
    <w:rsid w:val="001C0319"/>
    <w:rsid w:val="001C351D"/>
    <w:rsid w:val="001C6970"/>
    <w:rsid w:val="001D0547"/>
    <w:rsid w:val="001D5E05"/>
    <w:rsid w:val="001D60E6"/>
    <w:rsid w:val="001E0A43"/>
    <w:rsid w:val="001E67A9"/>
    <w:rsid w:val="00205B35"/>
    <w:rsid w:val="002063AC"/>
    <w:rsid w:val="00217487"/>
    <w:rsid w:val="00225175"/>
    <w:rsid w:val="002344F7"/>
    <w:rsid w:val="00252F44"/>
    <w:rsid w:val="002578C1"/>
    <w:rsid w:val="00260106"/>
    <w:rsid w:val="00267317"/>
    <w:rsid w:val="00267638"/>
    <w:rsid w:val="00283A24"/>
    <w:rsid w:val="002A18C2"/>
    <w:rsid w:val="002A4C3E"/>
    <w:rsid w:val="002C4EC9"/>
    <w:rsid w:val="002C6424"/>
    <w:rsid w:val="002D3826"/>
    <w:rsid w:val="002E1673"/>
    <w:rsid w:val="002E7EFC"/>
    <w:rsid w:val="002F2549"/>
    <w:rsid w:val="002F64DF"/>
    <w:rsid w:val="002F7AEB"/>
    <w:rsid w:val="00304E7F"/>
    <w:rsid w:val="00306CBA"/>
    <w:rsid w:val="00307CC0"/>
    <w:rsid w:val="00322500"/>
    <w:rsid w:val="00351035"/>
    <w:rsid w:val="0035331C"/>
    <w:rsid w:val="0036618B"/>
    <w:rsid w:val="00370867"/>
    <w:rsid w:val="003738EE"/>
    <w:rsid w:val="00385720"/>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D01BD"/>
    <w:rsid w:val="003E230C"/>
    <w:rsid w:val="003E66B9"/>
    <w:rsid w:val="003F016E"/>
    <w:rsid w:val="003F45D9"/>
    <w:rsid w:val="003F4E27"/>
    <w:rsid w:val="004048F9"/>
    <w:rsid w:val="004113E1"/>
    <w:rsid w:val="00422FAB"/>
    <w:rsid w:val="00427659"/>
    <w:rsid w:val="00430A03"/>
    <w:rsid w:val="00436BA3"/>
    <w:rsid w:val="004455A7"/>
    <w:rsid w:val="00451758"/>
    <w:rsid w:val="00456B6B"/>
    <w:rsid w:val="00462DB3"/>
    <w:rsid w:val="00466D77"/>
    <w:rsid w:val="00467979"/>
    <w:rsid w:val="00475FC8"/>
    <w:rsid w:val="00480708"/>
    <w:rsid w:val="004907E5"/>
    <w:rsid w:val="004A2DD7"/>
    <w:rsid w:val="004A460D"/>
    <w:rsid w:val="004A6A50"/>
    <w:rsid w:val="004B0978"/>
    <w:rsid w:val="004B534D"/>
    <w:rsid w:val="004C7E27"/>
    <w:rsid w:val="004D7D40"/>
    <w:rsid w:val="004F1A9B"/>
    <w:rsid w:val="005013B3"/>
    <w:rsid w:val="00505FD8"/>
    <w:rsid w:val="00506E38"/>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A6E07"/>
    <w:rsid w:val="005B7317"/>
    <w:rsid w:val="005C69CC"/>
    <w:rsid w:val="005D3801"/>
    <w:rsid w:val="005D502E"/>
    <w:rsid w:val="005E006C"/>
    <w:rsid w:val="005E32AE"/>
    <w:rsid w:val="005F0BBF"/>
    <w:rsid w:val="005F6958"/>
    <w:rsid w:val="00602D6A"/>
    <w:rsid w:val="00610AFF"/>
    <w:rsid w:val="00620ACD"/>
    <w:rsid w:val="00630DD9"/>
    <w:rsid w:val="00645ADA"/>
    <w:rsid w:val="00647E27"/>
    <w:rsid w:val="00662658"/>
    <w:rsid w:val="00662F3F"/>
    <w:rsid w:val="006666E4"/>
    <w:rsid w:val="0066682B"/>
    <w:rsid w:val="00670B66"/>
    <w:rsid w:val="00677AD1"/>
    <w:rsid w:val="0068495A"/>
    <w:rsid w:val="0068666B"/>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449F"/>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E017D"/>
    <w:rsid w:val="007E14A6"/>
    <w:rsid w:val="00803B4C"/>
    <w:rsid w:val="00810AB4"/>
    <w:rsid w:val="00813444"/>
    <w:rsid w:val="00813D23"/>
    <w:rsid w:val="00820D82"/>
    <w:rsid w:val="00821B10"/>
    <w:rsid w:val="0082304B"/>
    <w:rsid w:val="0082311D"/>
    <w:rsid w:val="00840293"/>
    <w:rsid w:val="008410D5"/>
    <w:rsid w:val="008433CF"/>
    <w:rsid w:val="00843C52"/>
    <w:rsid w:val="00846677"/>
    <w:rsid w:val="008645CD"/>
    <w:rsid w:val="0087108A"/>
    <w:rsid w:val="00872CD7"/>
    <w:rsid w:val="00886A1C"/>
    <w:rsid w:val="00890907"/>
    <w:rsid w:val="008A26D7"/>
    <w:rsid w:val="008A3BC9"/>
    <w:rsid w:val="008A3BE3"/>
    <w:rsid w:val="008A7F59"/>
    <w:rsid w:val="008B00A2"/>
    <w:rsid w:val="008B2BD7"/>
    <w:rsid w:val="008B7C35"/>
    <w:rsid w:val="008C5DD9"/>
    <w:rsid w:val="008D2825"/>
    <w:rsid w:val="008D74B1"/>
    <w:rsid w:val="008E3A95"/>
    <w:rsid w:val="008E5070"/>
    <w:rsid w:val="008E7403"/>
    <w:rsid w:val="008F1C0C"/>
    <w:rsid w:val="008F59EB"/>
    <w:rsid w:val="00900A09"/>
    <w:rsid w:val="009074D9"/>
    <w:rsid w:val="00915450"/>
    <w:rsid w:val="0091711E"/>
    <w:rsid w:val="0092029B"/>
    <w:rsid w:val="00925CAA"/>
    <w:rsid w:val="00925F83"/>
    <w:rsid w:val="00933996"/>
    <w:rsid w:val="009342B3"/>
    <w:rsid w:val="00951F3D"/>
    <w:rsid w:val="00956416"/>
    <w:rsid w:val="009572B6"/>
    <w:rsid w:val="009647C8"/>
    <w:rsid w:val="009664CC"/>
    <w:rsid w:val="00967F9A"/>
    <w:rsid w:val="00974699"/>
    <w:rsid w:val="0098017E"/>
    <w:rsid w:val="00980547"/>
    <w:rsid w:val="0098787E"/>
    <w:rsid w:val="00993D1E"/>
    <w:rsid w:val="009A2EAE"/>
    <w:rsid w:val="009A419F"/>
    <w:rsid w:val="009A6A13"/>
    <w:rsid w:val="009B68AD"/>
    <w:rsid w:val="009C2652"/>
    <w:rsid w:val="009C2923"/>
    <w:rsid w:val="009C3719"/>
    <w:rsid w:val="009C51C5"/>
    <w:rsid w:val="009C759C"/>
    <w:rsid w:val="009D19FA"/>
    <w:rsid w:val="009D34EB"/>
    <w:rsid w:val="009E5467"/>
    <w:rsid w:val="009E5F72"/>
    <w:rsid w:val="00A135CF"/>
    <w:rsid w:val="00A17918"/>
    <w:rsid w:val="00A23384"/>
    <w:rsid w:val="00A26015"/>
    <w:rsid w:val="00A37A4F"/>
    <w:rsid w:val="00A40F98"/>
    <w:rsid w:val="00A5202A"/>
    <w:rsid w:val="00A54FDB"/>
    <w:rsid w:val="00A6041C"/>
    <w:rsid w:val="00A6456E"/>
    <w:rsid w:val="00A67EEB"/>
    <w:rsid w:val="00A8571E"/>
    <w:rsid w:val="00A87845"/>
    <w:rsid w:val="00A90F14"/>
    <w:rsid w:val="00AA5A6B"/>
    <w:rsid w:val="00AC27DA"/>
    <w:rsid w:val="00AC476E"/>
    <w:rsid w:val="00AD2349"/>
    <w:rsid w:val="00AE6C2E"/>
    <w:rsid w:val="00AE7BC6"/>
    <w:rsid w:val="00AF3197"/>
    <w:rsid w:val="00AF63CF"/>
    <w:rsid w:val="00AF7E39"/>
    <w:rsid w:val="00B00981"/>
    <w:rsid w:val="00B10361"/>
    <w:rsid w:val="00B12BD8"/>
    <w:rsid w:val="00B217D9"/>
    <w:rsid w:val="00B2222B"/>
    <w:rsid w:val="00B3351E"/>
    <w:rsid w:val="00B44C41"/>
    <w:rsid w:val="00B54F88"/>
    <w:rsid w:val="00B57C72"/>
    <w:rsid w:val="00B60925"/>
    <w:rsid w:val="00B71063"/>
    <w:rsid w:val="00B82136"/>
    <w:rsid w:val="00B96F20"/>
    <w:rsid w:val="00BA277B"/>
    <w:rsid w:val="00BA7830"/>
    <w:rsid w:val="00BC0888"/>
    <w:rsid w:val="00BC60A9"/>
    <w:rsid w:val="00BD45AA"/>
    <w:rsid w:val="00BE09D0"/>
    <w:rsid w:val="00BE1393"/>
    <w:rsid w:val="00C0192B"/>
    <w:rsid w:val="00C01977"/>
    <w:rsid w:val="00C16FF3"/>
    <w:rsid w:val="00C252AE"/>
    <w:rsid w:val="00C3191D"/>
    <w:rsid w:val="00C41C46"/>
    <w:rsid w:val="00C71D9D"/>
    <w:rsid w:val="00C81316"/>
    <w:rsid w:val="00C850E0"/>
    <w:rsid w:val="00CA4310"/>
    <w:rsid w:val="00CB307B"/>
    <w:rsid w:val="00CB4E50"/>
    <w:rsid w:val="00CB72F7"/>
    <w:rsid w:val="00CB793A"/>
    <w:rsid w:val="00CC53F3"/>
    <w:rsid w:val="00CD1638"/>
    <w:rsid w:val="00CD4CC5"/>
    <w:rsid w:val="00CE2166"/>
    <w:rsid w:val="00D000C1"/>
    <w:rsid w:val="00D06C25"/>
    <w:rsid w:val="00D15911"/>
    <w:rsid w:val="00D25E99"/>
    <w:rsid w:val="00D31E02"/>
    <w:rsid w:val="00D355EE"/>
    <w:rsid w:val="00D40B9E"/>
    <w:rsid w:val="00D41A79"/>
    <w:rsid w:val="00D456E5"/>
    <w:rsid w:val="00D57AA5"/>
    <w:rsid w:val="00D64978"/>
    <w:rsid w:val="00D702AC"/>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47A3E"/>
    <w:rsid w:val="00E500D1"/>
    <w:rsid w:val="00E5224A"/>
    <w:rsid w:val="00E54015"/>
    <w:rsid w:val="00E557E9"/>
    <w:rsid w:val="00E7585E"/>
    <w:rsid w:val="00E97E50"/>
    <w:rsid w:val="00EA07C3"/>
    <w:rsid w:val="00EB2189"/>
    <w:rsid w:val="00EC1C00"/>
    <w:rsid w:val="00EC49A5"/>
    <w:rsid w:val="00EC708F"/>
    <w:rsid w:val="00EC754F"/>
    <w:rsid w:val="00ED03A1"/>
    <w:rsid w:val="00ED45BB"/>
    <w:rsid w:val="00EE7442"/>
    <w:rsid w:val="00EF03B9"/>
    <w:rsid w:val="00EF17FB"/>
    <w:rsid w:val="00EF637C"/>
    <w:rsid w:val="00F006B6"/>
    <w:rsid w:val="00F00827"/>
    <w:rsid w:val="00F031EB"/>
    <w:rsid w:val="00F03988"/>
    <w:rsid w:val="00F15703"/>
    <w:rsid w:val="00F23055"/>
    <w:rsid w:val="00F23661"/>
    <w:rsid w:val="00F2435D"/>
    <w:rsid w:val="00F2502B"/>
    <w:rsid w:val="00F25823"/>
    <w:rsid w:val="00F26F35"/>
    <w:rsid w:val="00F31235"/>
    <w:rsid w:val="00F355BA"/>
    <w:rsid w:val="00F42424"/>
    <w:rsid w:val="00F42854"/>
    <w:rsid w:val="00F52F0F"/>
    <w:rsid w:val="00F56CE0"/>
    <w:rsid w:val="00F57633"/>
    <w:rsid w:val="00F67E0A"/>
    <w:rsid w:val="00F75426"/>
    <w:rsid w:val="00F82C16"/>
    <w:rsid w:val="00F85551"/>
    <w:rsid w:val="00FA0273"/>
    <w:rsid w:val="00FA1DF1"/>
    <w:rsid w:val="00FB6B27"/>
    <w:rsid w:val="00FC023A"/>
    <w:rsid w:val="00FF4D5E"/>
    <w:rsid w:val="00FF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39,#4d4d4d,maroon"/>
    </o:shapedefaults>
    <o:shapelayout v:ext="edit">
      <o:idmap v:ext="edit" data="1"/>
    </o:shapelayout>
  </w:shapeDefaults>
  <w:decimalSymbol w:val="."/>
  <w:listSeparator w:val=","/>
  <w14:docId w14:val="0B468374"/>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link w:val="Heading4Char"/>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character" w:customStyle="1" w:styleId="Heading4Char">
    <w:name w:val="Heading 4 Char"/>
    <w:basedOn w:val="DefaultParagraphFont"/>
    <w:link w:val="Heading4"/>
    <w:rsid w:val="00FF62C5"/>
    <w:rPr>
      <w:rFonts w:ascii="Calibri" w:hAnsi="Calibri" w:cs="Calibri"/>
      <w:b/>
      <w:color w:val="4D4D4D"/>
      <w:sz w:val="22"/>
      <w:szCs w:val="22"/>
      <w:lang w:eastAsia="en-US"/>
    </w:rPr>
  </w:style>
  <w:style w:type="character" w:customStyle="1" w:styleId="CommentTextChar">
    <w:name w:val="Comment Text Char"/>
    <w:basedOn w:val="DefaultParagraphFont"/>
    <w:link w:val="CommentText"/>
    <w:uiPriority w:val="99"/>
    <w:rsid w:val="009664CC"/>
    <w:rPr>
      <w:rFonts w:ascii="Calibri" w:hAnsi="Calibri" w:cs="Calibri"/>
      <w:sz w:val="22"/>
      <w:szCs w:val="22"/>
    </w:rPr>
  </w:style>
  <w:style w:type="character" w:styleId="UnresolvedMention">
    <w:name w:val="Unresolved Mention"/>
    <w:basedOn w:val="DefaultParagraphFont"/>
    <w:uiPriority w:val="99"/>
    <w:semiHidden/>
    <w:unhideWhenUsed/>
    <w:rsid w:val="008A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buyingfor.vic.gov.au/preparing-supplier-engagement-plan-goods-and-services-procurement-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1F32-781C-4925-8209-B4E87A8EA804}">
  <ds:schemaRefs>
    <ds:schemaRef ds:uri="http://www.w3.org/2001/XMLSchema"/>
  </ds:schemaRefs>
</ds:datastoreItem>
</file>

<file path=customXml/itemProps2.xml><?xml version="1.0" encoding="utf-8"?>
<ds:datastoreItem xmlns:ds="http://schemas.openxmlformats.org/officeDocument/2006/customXml" ds:itemID="{651CF069-1857-4D5F-B208-B6091417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4</cp:revision>
  <cp:lastPrinted>2016-06-20T01:32:00Z</cp:lastPrinted>
  <dcterms:created xsi:type="dcterms:W3CDTF">2019-12-16T01:36:00Z</dcterms:created>
  <dcterms:modified xsi:type="dcterms:W3CDTF">2019-12-16T01:37:00Z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5e9e2383-b2bf-489e-89fc-f1dfa0b5d31e</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2019-08-25T10:35:14.0784059Z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