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27D" w:rsidRPr="00AD49C5" w:rsidRDefault="00547F55" w:rsidP="00547F55">
      <w:pPr>
        <w:pStyle w:val="Title"/>
        <w:ind w:left="720" w:right="-501" w:hanging="72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Fact sheet - </w:t>
      </w:r>
      <w:r w:rsidR="006B65D8">
        <w:rPr>
          <w:rFonts w:ascii="Arial" w:hAnsi="Arial" w:cs="Arial"/>
          <w:sz w:val="32"/>
          <w:szCs w:val="32"/>
        </w:rPr>
        <w:t>Differences between c</w:t>
      </w:r>
      <w:r w:rsidR="00AD49C5" w:rsidRPr="00AD49C5">
        <w:rPr>
          <w:rFonts w:ascii="Arial" w:hAnsi="Arial" w:cs="Arial"/>
          <w:sz w:val="32"/>
          <w:szCs w:val="32"/>
        </w:rPr>
        <w:t>onstruction</w:t>
      </w:r>
      <w:r w:rsidR="006B65D8">
        <w:rPr>
          <w:rFonts w:ascii="Arial" w:hAnsi="Arial" w:cs="Arial"/>
          <w:sz w:val="32"/>
          <w:szCs w:val="32"/>
        </w:rPr>
        <w:t xml:space="preserve"> procurement and goods &amp; services procurement</w:t>
      </w:r>
    </w:p>
    <w:p w:rsidR="00AD49C5" w:rsidRPr="00AD32F7" w:rsidRDefault="00547F55" w:rsidP="00AD49C5">
      <w:pPr>
        <w:pStyle w:val="TertiaryTitle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Effective date 1 July 2018</w:t>
      </w:r>
    </w:p>
    <w:p w:rsidR="0065104F" w:rsidRDefault="0065104F" w:rsidP="0065104F">
      <w:pPr>
        <w:spacing w:after="0" w:line="240" w:lineRule="auto"/>
        <w:rPr>
          <w:rFonts w:ascii="Arial" w:eastAsiaTheme="minorEastAsia" w:hAnsi="Arial" w:cs="Arial"/>
          <w:spacing w:val="2"/>
          <w:sz w:val="20"/>
          <w:szCs w:val="20"/>
          <w:lang w:eastAsia="en-AU"/>
        </w:rPr>
      </w:pPr>
    </w:p>
    <w:p w:rsidR="006B65D8" w:rsidRDefault="006B65D8" w:rsidP="009429B7">
      <w:pPr>
        <w:spacing w:after="120" w:line="240" w:lineRule="auto"/>
        <w:rPr>
          <w:rFonts w:ascii="Arial" w:eastAsiaTheme="minorEastAsia" w:hAnsi="Arial" w:cs="Arial"/>
          <w:spacing w:val="2"/>
          <w:sz w:val="20"/>
          <w:szCs w:val="20"/>
          <w:lang w:eastAsia="en-AU"/>
        </w:rPr>
      </w:pPr>
      <w:r>
        <w:rPr>
          <w:rFonts w:ascii="Arial" w:eastAsiaTheme="minorEastAsia" w:hAnsi="Arial" w:cs="Arial"/>
          <w:spacing w:val="2"/>
          <w:sz w:val="20"/>
          <w:szCs w:val="20"/>
          <w:lang w:eastAsia="en-AU"/>
        </w:rPr>
        <w:t xml:space="preserve">This fact sheet </w:t>
      </w:r>
      <w:r w:rsidR="00073A2E">
        <w:rPr>
          <w:rFonts w:ascii="Arial" w:eastAsiaTheme="minorEastAsia" w:hAnsi="Arial" w:cs="Arial"/>
          <w:spacing w:val="2"/>
          <w:sz w:val="20"/>
          <w:szCs w:val="20"/>
          <w:lang w:eastAsia="en-AU"/>
        </w:rPr>
        <w:t>is relevant for</w:t>
      </w:r>
      <w:r>
        <w:rPr>
          <w:rFonts w:ascii="Arial" w:eastAsiaTheme="minorEastAsia" w:hAnsi="Arial" w:cs="Arial"/>
          <w:spacing w:val="2"/>
          <w:sz w:val="20"/>
          <w:szCs w:val="20"/>
          <w:lang w:eastAsia="en-AU"/>
        </w:rPr>
        <w:t xml:space="preserve"> </w:t>
      </w:r>
      <w:hyperlink r:id="rId8" w:history="1">
        <w:r w:rsidRPr="006B65D8">
          <w:rPr>
            <w:rStyle w:val="Hyperlink"/>
            <w:rFonts w:ascii="Arial" w:eastAsiaTheme="minorEastAsia" w:hAnsi="Arial" w:cs="Arial"/>
            <w:spacing w:val="2"/>
            <w:sz w:val="20"/>
            <w:szCs w:val="20"/>
            <w:lang w:eastAsia="en-AU"/>
          </w:rPr>
          <w:t>Agencies that are subject to the procurement rules of the Victorian Government Purchasing Board</w:t>
        </w:r>
      </w:hyperlink>
      <w:r>
        <w:rPr>
          <w:rFonts w:ascii="Arial" w:eastAsiaTheme="minorEastAsia" w:hAnsi="Arial" w:cs="Arial"/>
          <w:spacing w:val="2"/>
          <w:sz w:val="20"/>
          <w:szCs w:val="20"/>
          <w:lang w:eastAsia="en-AU"/>
        </w:rPr>
        <w:t>.</w:t>
      </w:r>
    </w:p>
    <w:p w:rsidR="009429B7" w:rsidRDefault="00B44377" w:rsidP="00451477">
      <w:pPr>
        <w:spacing w:after="120" w:line="240" w:lineRule="auto"/>
        <w:rPr>
          <w:rFonts w:ascii="Arial" w:eastAsiaTheme="minorEastAsia" w:hAnsi="Arial" w:cs="Arial"/>
          <w:spacing w:val="2"/>
          <w:sz w:val="20"/>
          <w:szCs w:val="20"/>
          <w:lang w:eastAsia="en-AU"/>
        </w:rPr>
      </w:pPr>
      <w:r>
        <w:rPr>
          <w:rFonts w:ascii="Arial" w:eastAsiaTheme="minorEastAsia" w:hAnsi="Arial" w:cs="Arial"/>
          <w:spacing w:val="2"/>
          <w:sz w:val="20"/>
          <w:szCs w:val="20"/>
          <w:lang w:eastAsia="en-AU"/>
        </w:rPr>
        <w:t>This F</w:t>
      </w:r>
      <w:r w:rsidR="009429B7">
        <w:rPr>
          <w:rFonts w:ascii="Arial" w:eastAsiaTheme="minorEastAsia" w:hAnsi="Arial" w:cs="Arial"/>
          <w:spacing w:val="2"/>
          <w:sz w:val="20"/>
          <w:szCs w:val="20"/>
          <w:lang w:eastAsia="en-AU"/>
        </w:rPr>
        <w:t>act sheet</w:t>
      </w:r>
      <w:r w:rsidR="008C0FE9">
        <w:rPr>
          <w:rFonts w:ascii="Arial" w:eastAsiaTheme="minorEastAsia" w:hAnsi="Arial" w:cs="Arial"/>
          <w:spacing w:val="2"/>
          <w:sz w:val="20"/>
          <w:szCs w:val="20"/>
          <w:lang w:eastAsia="en-AU"/>
        </w:rPr>
        <w:t xml:space="preserve"> lists key differences between public c</w:t>
      </w:r>
      <w:r w:rsidR="009429B7">
        <w:rPr>
          <w:rFonts w:ascii="Arial" w:eastAsiaTheme="minorEastAsia" w:hAnsi="Arial" w:cs="Arial"/>
          <w:spacing w:val="2"/>
          <w:sz w:val="20"/>
          <w:szCs w:val="20"/>
          <w:lang w:eastAsia="en-AU"/>
        </w:rPr>
        <w:t>onstruction procurement and goods &amp; services procurement.</w:t>
      </w:r>
    </w:p>
    <w:p w:rsidR="00451477" w:rsidRPr="00451477" w:rsidRDefault="00451477" w:rsidP="00451477">
      <w:pPr>
        <w:spacing w:before="240" w:after="120" w:line="240" w:lineRule="auto"/>
        <w:rPr>
          <w:rFonts w:ascii="Arial" w:eastAsiaTheme="minorEastAsia" w:hAnsi="Arial" w:cs="Arial"/>
          <w:b/>
          <w:color w:val="0070C0"/>
          <w:spacing w:val="2"/>
          <w:lang w:eastAsia="en-AU"/>
        </w:rPr>
      </w:pPr>
      <w:r w:rsidRPr="00451477">
        <w:rPr>
          <w:rFonts w:ascii="Arial" w:eastAsiaTheme="minorEastAsia" w:hAnsi="Arial" w:cs="Arial"/>
          <w:b/>
          <w:color w:val="0070C0"/>
          <w:spacing w:val="2"/>
          <w:lang w:eastAsia="en-AU"/>
        </w:rPr>
        <w:t>Help and support</w:t>
      </w:r>
    </w:p>
    <w:p w:rsidR="00451477" w:rsidRPr="00451477" w:rsidRDefault="00451477" w:rsidP="00351279">
      <w:pPr>
        <w:autoSpaceDE w:val="0"/>
        <w:autoSpaceDN w:val="0"/>
        <w:adjustRightInd w:val="0"/>
        <w:spacing w:after="120" w:line="240" w:lineRule="auto"/>
        <w:ind w:right="-501"/>
        <w:rPr>
          <w:rFonts w:ascii="Arial" w:hAnsi="Arial" w:cs="Arial"/>
          <w:color w:val="000000"/>
          <w:sz w:val="20"/>
          <w:szCs w:val="20"/>
        </w:rPr>
      </w:pPr>
      <w:r w:rsidRPr="00451477">
        <w:rPr>
          <w:rFonts w:ascii="Arial" w:hAnsi="Arial" w:cs="Arial"/>
          <w:color w:val="000000"/>
          <w:sz w:val="20"/>
          <w:szCs w:val="20"/>
        </w:rPr>
        <w:t>If you have any queries, please do not hesitate to contact the Construction Policy Team on 03 </w:t>
      </w:r>
      <w:r w:rsidR="00142A7C">
        <w:rPr>
          <w:rFonts w:ascii="Arial" w:hAnsi="Arial" w:cs="Arial"/>
          <w:color w:val="000000"/>
          <w:sz w:val="20"/>
          <w:szCs w:val="20"/>
        </w:rPr>
        <w:t>7005 9533</w:t>
      </w:r>
      <w:r w:rsidRPr="00451477">
        <w:rPr>
          <w:rFonts w:ascii="Arial" w:hAnsi="Arial" w:cs="Arial"/>
          <w:color w:val="000000"/>
          <w:sz w:val="20"/>
          <w:szCs w:val="20"/>
        </w:rPr>
        <w:t xml:space="preserve"> or by email: </w:t>
      </w:r>
      <w:hyperlink r:id="rId9" w:history="1">
        <w:r w:rsidRPr="00451477">
          <w:rPr>
            <w:rStyle w:val="Hyperlink"/>
            <w:rFonts w:ascii="Arial" w:hAnsi="Arial" w:cs="Arial"/>
            <w:sz w:val="20"/>
            <w:szCs w:val="20"/>
          </w:rPr>
          <w:t>construction.procurement@dtf.vic.gov.au</w:t>
        </w:r>
      </w:hyperlink>
      <w:r w:rsidRPr="00451477">
        <w:rPr>
          <w:rFonts w:ascii="Arial" w:hAnsi="Arial" w:cs="Arial"/>
          <w:color w:val="000000"/>
          <w:sz w:val="20"/>
          <w:szCs w:val="20"/>
        </w:rPr>
        <w:t>.</w:t>
      </w:r>
    </w:p>
    <w:p w:rsidR="006B65D8" w:rsidRPr="0065104F" w:rsidRDefault="006B65D8" w:rsidP="0065104F">
      <w:pPr>
        <w:spacing w:after="0" w:line="240" w:lineRule="auto"/>
        <w:rPr>
          <w:rFonts w:ascii="Arial" w:eastAsiaTheme="minorEastAsia" w:hAnsi="Arial" w:cs="Arial"/>
          <w:spacing w:val="2"/>
          <w:sz w:val="20"/>
          <w:szCs w:val="20"/>
          <w:lang w:eastAsia="en-AU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2353"/>
        <w:gridCol w:w="2882"/>
        <w:gridCol w:w="2883"/>
        <w:gridCol w:w="6024"/>
      </w:tblGrid>
      <w:tr w:rsidR="003C7DFE" w:rsidRPr="006B65D8" w:rsidTr="003C7DFE">
        <w:trPr>
          <w:tblHeader/>
        </w:trPr>
        <w:tc>
          <w:tcPr>
            <w:tcW w:w="2353" w:type="dxa"/>
            <w:shd w:val="clear" w:color="auto" w:fill="0070C0"/>
          </w:tcPr>
          <w:p w:rsidR="006B65D8" w:rsidRPr="006B65D8" w:rsidRDefault="006B65D8" w:rsidP="005E3920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B65D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Subject</w:t>
            </w:r>
          </w:p>
        </w:tc>
        <w:tc>
          <w:tcPr>
            <w:tcW w:w="5765" w:type="dxa"/>
            <w:gridSpan w:val="2"/>
            <w:shd w:val="clear" w:color="auto" w:fill="0070C0"/>
          </w:tcPr>
          <w:p w:rsidR="006B65D8" w:rsidRPr="006B65D8" w:rsidRDefault="006B65D8" w:rsidP="005E3920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B65D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Public construction procurement</w:t>
            </w:r>
          </w:p>
        </w:tc>
        <w:tc>
          <w:tcPr>
            <w:tcW w:w="6024" w:type="dxa"/>
            <w:shd w:val="clear" w:color="auto" w:fill="0070C0"/>
          </w:tcPr>
          <w:p w:rsidR="006B65D8" w:rsidRPr="006B65D8" w:rsidRDefault="006B65D8" w:rsidP="005E3920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B65D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Goods &amp; services procurement</w:t>
            </w:r>
          </w:p>
        </w:tc>
      </w:tr>
      <w:tr w:rsidR="003C7DFE" w:rsidRPr="00B97DEA" w:rsidTr="003C7DFE">
        <w:tc>
          <w:tcPr>
            <w:tcW w:w="2353" w:type="dxa"/>
          </w:tcPr>
          <w:p w:rsidR="006B65D8" w:rsidRPr="00B97DEA" w:rsidRDefault="006B65D8" w:rsidP="00B97DE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Enabling legislation</w:t>
            </w:r>
          </w:p>
        </w:tc>
        <w:tc>
          <w:tcPr>
            <w:tcW w:w="5765" w:type="dxa"/>
            <w:gridSpan w:val="2"/>
          </w:tcPr>
          <w:p w:rsidR="006B65D8" w:rsidRPr="006B65D8" w:rsidRDefault="006B65D8" w:rsidP="006B65D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65D8">
              <w:rPr>
                <w:rFonts w:ascii="Arial" w:hAnsi="Arial" w:cs="Arial"/>
                <w:b/>
                <w:sz w:val="16"/>
                <w:szCs w:val="16"/>
              </w:rPr>
              <w:t>Project Development and Construction Management Act 1994</w:t>
            </w:r>
          </w:p>
        </w:tc>
        <w:tc>
          <w:tcPr>
            <w:tcW w:w="6024" w:type="dxa"/>
          </w:tcPr>
          <w:p w:rsidR="006B65D8" w:rsidRPr="006B65D8" w:rsidRDefault="006B65D8" w:rsidP="006B65D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65D8">
              <w:rPr>
                <w:rFonts w:ascii="Arial" w:hAnsi="Arial" w:cs="Arial"/>
                <w:b/>
                <w:sz w:val="16"/>
                <w:szCs w:val="16"/>
              </w:rPr>
              <w:t>Financial Management Act 1994</w:t>
            </w:r>
          </w:p>
        </w:tc>
      </w:tr>
      <w:tr w:rsidR="003C7DFE" w:rsidRPr="00B97DEA" w:rsidTr="003C7DFE">
        <w:tc>
          <w:tcPr>
            <w:tcW w:w="2353" w:type="dxa"/>
          </w:tcPr>
          <w:p w:rsidR="006B65D8" w:rsidRPr="00B97DEA" w:rsidRDefault="00017E7B" w:rsidP="00B97DE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 and support</w:t>
            </w:r>
          </w:p>
        </w:tc>
        <w:tc>
          <w:tcPr>
            <w:tcW w:w="5765" w:type="dxa"/>
            <w:gridSpan w:val="2"/>
          </w:tcPr>
          <w:p w:rsidR="006B65D8" w:rsidRPr="00B97DEA" w:rsidRDefault="00E53E88" w:rsidP="006038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Minister for Finance and Secretary </w:t>
            </w:r>
            <w:r w:rsidR="006038D5"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the Department of Treasury and Finance, supported by the Construction Policy Unit with</w:t>
            </w:r>
            <w:r w:rsidR="006038D5"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z w:val="16"/>
                <w:szCs w:val="16"/>
              </w:rPr>
              <w:t xml:space="preserve"> the Department of Treasury and Finance.</w:t>
            </w:r>
          </w:p>
        </w:tc>
        <w:tc>
          <w:tcPr>
            <w:tcW w:w="6024" w:type="dxa"/>
          </w:tcPr>
          <w:p w:rsidR="006B65D8" w:rsidRPr="00B97DEA" w:rsidRDefault="006B65D8" w:rsidP="006038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Victorian Government Purchasing Board</w:t>
            </w:r>
            <w:r w:rsidR="00E53E88">
              <w:rPr>
                <w:rFonts w:ascii="Arial" w:hAnsi="Arial" w:cs="Arial"/>
                <w:sz w:val="16"/>
                <w:szCs w:val="16"/>
              </w:rPr>
              <w:t xml:space="preserve">, supported by the Strategic Sourcing </w:t>
            </w:r>
            <w:r w:rsidR="006038D5">
              <w:rPr>
                <w:rFonts w:ascii="Arial" w:hAnsi="Arial" w:cs="Arial"/>
                <w:sz w:val="16"/>
                <w:szCs w:val="16"/>
              </w:rPr>
              <w:t>Unit</w:t>
            </w:r>
            <w:r w:rsidR="00E53E88">
              <w:rPr>
                <w:rFonts w:ascii="Arial" w:hAnsi="Arial" w:cs="Arial"/>
                <w:sz w:val="16"/>
                <w:szCs w:val="16"/>
              </w:rPr>
              <w:t xml:space="preserve"> within the Department of Treasury and Finance.</w:t>
            </w:r>
          </w:p>
        </w:tc>
      </w:tr>
      <w:tr w:rsidR="003C7DFE" w:rsidRPr="00B97DEA" w:rsidTr="003C7DFE">
        <w:tc>
          <w:tcPr>
            <w:tcW w:w="2353" w:type="dxa"/>
          </w:tcPr>
          <w:p w:rsidR="006B65D8" w:rsidRPr="00B97DEA" w:rsidRDefault="006B65D8" w:rsidP="00B85BB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Agencies covered</w:t>
            </w:r>
          </w:p>
        </w:tc>
        <w:tc>
          <w:tcPr>
            <w:tcW w:w="5765" w:type="dxa"/>
            <w:gridSpan w:val="2"/>
          </w:tcPr>
          <w:p w:rsidR="006B65D8" w:rsidRDefault="00F26901" w:rsidP="006B65D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Approximately 300 Agencies, being those </w:t>
            </w:r>
            <w:r w:rsidR="006B65D8" w:rsidRPr="006B65D8">
              <w:rPr>
                <w:rFonts w:ascii="Arial" w:hAnsi="Arial" w:cs="Arial"/>
                <w:sz w:val="16"/>
                <w:szCs w:val="16"/>
              </w:rPr>
              <w:t xml:space="preserve">Agencies covered by the Standing Directions of the Minister for Finance 2016 issued under the </w:t>
            </w:r>
            <w:r w:rsidR="006B65D8" w:rsidRPr="006B65D8">
              <w:rPr>
                <w:rFonts w:ascii="Arial" w:hAnsi="Arial" w:cs="Arial"/>
                <w:b/>
                <w:sz w:val="16"/>
                <w:szCs w:val="16"/>
              </w:rPr>
              <w:t>Financial Management Act 1994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26901" w:rsidRPr="00F26901" w:rsidRDefault="00F26901" w:rsidP="00F2690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26901">
              <w:rPr>
                <w:rFonts w:ascii="Arial" w:hAnsi="Arial" w:cs="Arial"/>
                <w:sz w:val="16"/>
                <w:szCs w:val="16"/>
              </w:rPr>
              <w:t xml:space="preserve">For a list of Agencies, refer to </w:t>
            </w: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F26901">
              <w:rPr>
                <w:rFonts w:ascii="Arial" w:eastAsia="MS Mincho" w:hAnsi="Arial" w:cs="Arial"/>
                <w:sz w:val="16"/>
                <w:szCs w:val="16"/>
              </w:rPr>
              <w:t xml:space="preserve">fact sheet: </w:t>
            </w:r>
            <w:hyperlink r:id="rId10" w:history="1">
              <w:r w:rsidRPr="00F26901">
                <w:rPr>
                  <w:rStyle w:val="Hyperlink"/>
                  <w:rFonts w:ascii="Arial" w:eastAsia="MS Mincho" w:hAnsi="Arial" w:cs="Arial"/>
                  <w:sz w:val="16"/>
                  <w:szCs w:val="16"/>
                </w:rPr>
                <w:t>Is your agency subject to the Standing Directions of the Minister for Finance</w:t>
              </w:r>
            </w:hyperlink>
            <w:r>
              <w:rPr>
                <w:rFonts w:eastAsia="MS Mincho"/>
              </w:rPr>
              <w:t>.</w:t>
            </w:r>
          </w:p>
        </w:tc>
        <w:tc>
          <w:tcPr>
            <w:tcW w:w="6024" w:type="dxa"/>
          </w:tcPr>
          <w:p w:rsidR="00F26901" w:rsidRDefault="00F26901" w:rsidP="00F26901">
            <w:pPr>
              <w:spacing w:before="60" w:after="60"/>
              <w:ind w:left="34"/>
              <w:rPr>
                <w:rFonts w:ascii="Arial" w:eastAsia="Times New Roman" w:hAnsi="Arial" w:cs="Arial"/>
                <w:sz w:val="16"/>
                <w:szCs w:val="16"/>
                <w:lang w:val="en"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" w:eastAsia="en-AU"/>
              </w:rPr>
              <w:t>Approximately 30 Agencies, being:</w:t>
            </w:r>
          </w:p>
          <w:p w:rsidR="00F26901" w:rsidRPr="00F26901" w:rsidRDefault="00F26901" w:rsidP="00F26901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val="en" w:eastAsia="en-AU"/>
              </w:rPr>
            </w:pPr>
            <w:r w:rsidRPr="00F26901">
              <w:rPr>
                <w:rFonts w:ascii="Arial" w:eastAsia="Times New Roman" w:hAnsi="Arial" w:cs="Arial"/>
                <w:sz w:val="16"/>
                <w:szCs w:val="16"/>
                <w:lang w:val="en" w:eastAsia="en-AU"/>
              </w:rPr>
              <w:t>Government departments and specified entities</w:t>
            </w:r>
            <w:r w:rsidR="00D77FB5">
              <w:rPr>
                <w:rFonts w:ascii="Arial" w:eastAsia="Times New Roman" w:hAnsi="Arial" w:cs="Arial"/>
                <w:sz w:val="16"/>
                <w:szCs w:val="16"/>
                <w:lang w:val="en" w:eastAsia="en-AU"/>
              </w:rPr>
              <w:t>,</w:t>
            </w:r>
          </w:p>
          <w:p w:rsidR="00F26901" w:rsidRPr="00F26901" w:rsidRDefault="00F26901" w:rsidP="00F26901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val="en" w:eastAsia="en-AU"/>
              </w:rPr>
            </w:pPr>
            <w:r w:rsidRPr="00F26901">
              <w:rPr>
                <w:rFonts w:ascii="Arial" w:eastAsia="Times New Roman" w:hAnsi="Arial" w:cs="Arial"/>
                <w:sz w:val="16"/>
                <w:szCs w:val="16"/>
                <w:lang w:val="en" w:eastAsia="en-AU"/>
              </w:rPr>
              <w:t>the Victorian Public Sector Commission</w:t>
            </w:r>
            <w:r w:rsidR="00D77FB5">
              <w:rPr>
                <w:rFonts w:ascii="Arial" w:eastAsia="Times New Roman" w:hAnsi="Arial" w:cs="Arial"/>
                <w:sz w:val="16"/>
                <w:szCs w:val="16"/>
                <w:lang w:val="en" w:eastAsia="en-AU"/>
              </w:rPr>
              <w:t>, and</w:t>
            </w:r>
          </w:p>
          <w:p w:rsidR="00F26901" w:rsidRPr="00F26901" w:rsidRDefault="00F26901" w:rsidP="00F26901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eastAsia="Times New Roman" w:hAnsi="Arial" w:cs="Arial"/>
                <w:color w:val="5C5C5C"/>
                <w:sz w:val="16"/>
                <w:szCs w:val="16"/>
                <w:lang w:val="en" w:eastAsia="en-AU"/>
              </w:rPr>
            </w:pPr>
            <w:r w:rsidRPr="00F26901">
              <w:rPr>
                <w:rFonts w:ascii="Arial" w:eastAsia="Times New Roman" w:hAnsi="Arial" w:cs="Arial"/>
                <w:sz w:val="16"/>
                <w:szCs w:val="16"/>
                <w:lang w:val="en" w:eastAsia="en-AU"/>
              </w:rPr>
              <w:t>those offices or bodies specified in </w:t>
            </w:r>
            <w:hyperlink r:id="rId11" w:tgtFrame="_blank" w:history="1">
              <w:r w:rsidRPr="00F26901">
                <w:rPr>
                  <w:rFonts w:ascii="Arial" w:eastAsia="Times New Roman" w:hAnsi="Arial" w:cs="Arial"/>
                  <w:color w:val="662D91"/>
                  <w:sz w:val="16"/>
                  <w:szCs w:val="16"/>
                  <w:u w:val="single"/>
                  <w:lang w:val="en" w:eastAsia="en-AU"/>
                </w:rPr>
                <w:t>section 16(1) of the Public Administration Act 2004</w:t>
              </w:r>
            </w:hyperlink>
            <w:r w:rsidR="00D77FB5">
              <w:rPr>
                <w:rFonts w:ascii="Arial" w:eastAsia="Times New Roman" w:hAnsi="Arial" w:cs="Arial"/>
                <w:color w:val="5C5C5C"/>
                <w:sz w:val="16"/>
                <w:szCs w:val="16"/>
                <w:lang w:val="en" w:eastAsia="en-AU"/>
              </w:rPr>
              <w:t>.</w:t>
            </w:r>
          </w:p>
          <w:p w:rsidR="006B65D8" w:rsidRPr="00F26901" w:rsidRDefault="00F26901" w:rsidP="00F26901">
            <w:pPr>
              <w:spacing w:before="60" w:after="60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a list of Agencies refer to </w:t>
            </w:r>
            <w:hyperlink r:id="rId12" w:history="1">
              <w:r w:rsidRPr="00F26901">
                <w:rPr>
                  <w:rStyle w:val="Hyperlink"/>
                  <w:rFonts w:ascii="Arial" w:hAnsi="Arial" w:cs="Arial"/>
                  <w:sz w:val="16"/>
                  <w:szCs w:val="16"/>
                </w:rPr>
                <w:t>Agencies subject to the Victorian Government Purchasing Board’s policies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C7DFE" w:rsidRPr="00B97DEA" w:rsidTr="003C7DFE">
        <w:tc>
          <w:tcPr>
            <w:tcW w:w="2353" w:type="dxa"/>
          </w:tcPr>
          <w:p w:rsidR="006B65D8" w:rsidRPr="00B97DEA" w:rsidRDefault="006B65D8" w:rsidP="008525E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Policies expressed through</w:t>
            </w:r>
          </w:p>
        </w:tc>
        <w:tc>
          <w:tcPr>
            <w:tcW w:w="5765" w:type="dxa"/>
            <w:gridSpan w:val="2"/>
          </w:tcPr>
          <w:p w:rsidR="006B65D8" w:rsidRPr="001B25D5" w:rsidRDefault="0054060E" w:rsidP="008525E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6B65D8" w:rsidRPr="001B25D5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Ministerial Directions </w:t>
              </w:r>
              <w:r w:rsidR="00E53E88" w:rsidRPr="001B25D5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and Instruction </w:t>
              </w:r>
              <w:r w:rsidR="006B65D8" w:rsidRPr="001B25D5">
                <w:rPr>
                  <w:rStyle w:val="Hyperlink"/>
                  <w:rFonts w:ascii="Arial" w:hAnsi="Arial" w:cs="Arial"/>
                  <w:sz w:val="16"/>
                  <w:szCs w:val="16"/>
                </w:rPr>
                <w:t>for Public Construction Procurement</w:t>
              </w:r>
            </w:hyperlink>
            <w:r w:rsidR="00F26901" w:rsidRPr="001B25D5">
              <w:rPr>
                <w:rFonts w:ascii="Arial" w:hAnsi="Arial" w:cs="Arial"/>
                <w:sz w:val="16"/>
                <w:szCs w:val="16"/>
              </w:rPr>
              <w:t xml:space="preserve">, supported by non-mandatory </w:t>
            </w:r>
            <w:hyperlink r:id="rId14" w:history="1">
              <w:r w:rsidR="00F26901" w:rsidRPr="001B25D5">
                <w:rPr>
                  <w:rStyle w:val="Hyperlink"/>
                  <w:rFonts w:ascii="Arial" w:hAnsi="Arial" w:cs="Arial"/>
                  <w:sz w:val="16"/>
                  <w:szCs w:val="16"/>
                </w:rPr>
                <w:t>Guidance for Public Construction Procurement</w:t>
              </w:r>
            </w:hyperlink>
            <w:r w:rsidR="00F26901" w:rsidRPr="001B25D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26901" w:rsidRPr="00B97DEA" w:rsidRDefault="00F26901" w:rsidP="008525E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B25D5">
              <w:rPr>
                <w:rFonts w:ascii="Arial" w:hAnsi="Arial" w:cs="Arial"/>
                <w:sz w:val="16"/>
                <w:szCs w:val="16"/>
              </w:rPr>
              <w:t>The Directions and Instruction</w:t>
            </w:r>
            <w:r w:rsidR="00FD45DA" w:rsidRPr="001B25D5">
              <w:rPr>
                <w:rFonts w:ascii="Arial" w:hAnsi="Arial" w:cs="Arial"/>
                <w:sz w:val="16"/>
                <w:szCs w:val="16"/>
              </w:rPr>
              <w:t>s</w:t>
            </w:r>
            <w:r w:rsidRPr="001B25D5">
              <w:rPr>
                <w:rFonts w:ascii="Arial" w:hAnsi="Arial" w:cs="Arial"/>
                <w:sz w:val="16"/>
                <w:szCs w:val="16"/>
              </w:rPr>
              <w:t xml:space="preserve"> are supported by st</w:t>
            </w:r>
            <w:hyperlink r:id="rId15" w:history="1">
              <w:r w:rsidRPr="00EA7AF6">
                <w:rPr>
                  <w:rStyle w:val="Hyperlink"/>
                  <w:rFonts w:ascii="Arial" w:hAnsi="Arial" w:cs="Arial"/>
                  <w:sz w:val="16"/>
                  <w:szCs w:val="16"/>
                </w:rPr>
                <w:t>andard construction contracts</w:t>
              </w:r>
            </w:hyperlink>
            <w:r w:rsidRPr="001B25D5">
              <w:rPr>
                <w:rFonts w:ascii="Arial" w:hAnsi="Arial" w:cs="Arial"/>
                <w:sz w:val="16"/>
                <w:szCs w:val="16"/>
              </w:rPr>
              <w:t xml:space="preserve">, contracting practice notes and </w:t>
            </w:r>
            <w:hyperlink r:id="rId16" w:history="1">
              <w:r w:rsidRPr="00EA7AF6">
                <w:rPr>
                  <w:rStyle w:val="Hyperlink"/>
                  <w:rFonts w:ascii="Arial" w:hAnsi="Arial" w:cs="Arial"/>
                  <w:sz w:val="16"/>
                  <w:szCs w:val="16"/>
                </w:rPr>
                <w:t>factsheets</w:t>
              </w:r>
            </w:hyperlink>
            <w:r w:rsidRPr="001B25D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024" w:type="dxa"/>
          </w:tcPr>
          <w:p w:rsidR="00F26901" w:rsidRDefault="0054060E" w:rsidP="008525E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6B65D8" w:rsidRPr="00F26901">
                <w:rPr>
                  <w:rStyle w:val="Hyperlink"/>
                  <w:rFonts w:ascii="Arial" w:hAnsi="Arial" w:cs="Arial"/>
                  <w:sz w:val="16"/>
                  <w:szCs w:val="16"/>
                </w:rPr>
                <w:t>Five policies</w:t>
              </w:r>
            </w:hyperlink>
            <w:r w:rsidR="00F26901" w:rsidRPr="00F26901">
              <w:rPr>
                <w:rFonts w:ascii="Arial" w:hAnsi="Arial" w:cs="Arial"/>
                <w:sz w:val="16"/>
                <w:szCs w:val="16"/>
              </w:rPr>
              <w:t xml:space="preserve"> cover the end-to-end procurement activity from identifying needs, planning, and market research </w:t>
            </w:r>
            <w:r w:rsidR="00F26901">
              <w:rPr>
                <w:rFonts w:ascii="Arial" w:hAnsi="Arial" w:cs="Arial"/>
                <w:sz w:val="16"/>
                <w:szCs w:val="16"/>
              </w:rPr>
              <w:t>through to contract management.</w:t>
            </w:r>
          </w:p>
          <w:p w:rsidR="006B65D8" w:rsidRPr="00B97DEA" w:rsidRDefault="00F26901" w:rsidP="008525E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26901">
              <w:rPr>
                <w:rFonts w:ascii="Arial" w:hAnsi="Arial" w:cs="Arial"/>
                <w:sz w:val="16"/>
                <w:szCs w:val="16"/>
              </w:rPr>
              <w:t>Each policy is supported by good practice guides, tools and templates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C7DFE" w:rsidRPr="00B97DEA" w:rsidTr="009429B7">
        <w:tc>
          <w:tcPr>
            <w:tcW w:w="2353" w:type="dxa"/>
          </w:tcPr>
          <w:p w:rsidR="006B65D8" w:rsidRPr="00B97DEA" w:rsidRDefault="00D77FB5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Scope of policy coverage</w:t>
            </w:r>
          </w:p>
        </w:tc>
        <w:tc>
          <w:tcPr>
            <w:tcW w:w="5765" w:type="dxa"/>
            <w:gridSpan w:val="2"/>
            <w:tcBorders>
              <w:bottom w:val="single" w:sz="4" w:space="0" w:color="auto"/>
            </w:tcBorders>
          </w:tcPr>
          <w:p w:rsidR="00D77FB5" w:rsidRPr="00D77FB5" w:rsidRDefault="00D77FB5" w:rsidP="00D77FB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 xml:space="preserve">Public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>onstruction is defined as:</w:t>
            </w:r>
          </w:p>
          <w:p w:rsidR="00D77FB5" w:rsidRPr="00D77FB5" w:rsidRDefault="00D77FB5" w:rsidP="00D77FB5">
            <w:pPr>
              <w:autoSpaceDE w:val="0"/>
              <w:autoSpaceDN w:val="0"/>
              <w:adjustRightInd w:val="0"/>
              <w:spacing w:before="60" w:after="6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 xml:space="preserve">‘…any matter relating to the construction, maintenance, rehabilitation, alteration, extension or demolition of any improvements on land by, or on behalf of, departments or public bodies and includes – </w:t>
            </w:r>
          </w:p>
          <w:p w:rsidR="00D77FB5" w:rsidRPr="00D77FB5" w:rsidRDefault="00D77FB5" w:rsidP="003F5F85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>(a)</w:t>
            </w: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ab/>
              <w:t>design and construction practices;</w:t>
            </w:r>
          </w:p>
          <w:p w:rsidR="00D77FB5" w:rsidRPr="00D77FB5" w:rsidRDefault="00D77FB5" w:rsidP="003F5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>(b)</w:t>
            </w: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ab/>
              <w:t>tendering processes;</w:t>
            </w:r>
          </w:p>
          <w:p w:rsidR="00D77FB5" w:rsidRPr="00D77FB5" w:rsidRDefault="00D77FB5" w:rsidP="003F5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>(c)</w:t>
            </w: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ab/>
              <w:t>project delivery; [and]</w:t>
            </w:r>
          </w:p>
          <w:p w:rsidR="006B65D8" w:rsidRPr="00D77FB5" w:rsidRDefault="00D77FB5" w:rsidP="003F5F8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>(d)</w:t>
            </w: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ab/>
              <w:t>contract administration.’</w:t>
            </w:r>
          </w:p>
        </w:tc>
        <w:tc>
          <w:tcPr>
            <w:tcW w:w="6024" w:type="dxa"/>
          </w:tcPr>
          <w:p w:rsidR="006B65D8" w:rsidRPr="00B97DEA" w:rsidRDefault="00D77FB5" w:rsidP="00D77FB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Procurement, excluding Public Construction procurement.</w:t>
            </w:r>
          </w:p>
        </w:tc>
      </w:tr>
      <w:tr w:rsidR="003F5F85" w:rsidRPr="00B97DEA" w:rsidTr="00CE036F">
        <w:tc>
          <w:tcPr>
            <w:tcW w:w="2353" w:type="dxa"/>
          </w:tcPr>
          <w:p w:rsidR="003F5F85" w:rsidRDefault="003F5F85" w:rsidP="00CE036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Exemption from the policies</w:t>
            </w:r>
          </w:p>
        </w:tc>
        <w:tc>
          <w:tcPr>
            <w:tcW w:w="5765" w:type="dxa"/>
            <w:gridSpan w:val="2"/>
            <w:tcBorders>
              <w:bottom w:val="single" w:sz="4" w:space="0" w:color="auto"/>
            </w:tcBorders>
          </w:tcPr>
          <w:p w:rsidR="003F5F85" w:rsidRDefault="003F5F85" w:rsidP="00CE036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Allows Agencies to submit applications to be exempted from some or all of the provisions of the policies.</w:t>
            </w:r>
          </w:p>
        </w:tc>
        <w:tc>
          <w:tcPr>
            <w:tcW w:w="6024" w:type="dxa"/>
          </w:tcPr>
          <w:p w:rsidR="003F5F85" w:rsidRDefault="003F5F85" w:rsidP="00CE036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available.</w:t>
            </w:r>
          </w:p>
        </w:tc>
      </w:tr>
      <w:tr w:rsidR="003F5F85" w:rsidRPr="00B97DEA" w:rsidTr="00FA285D">
        <w:tc>
          <w:tcPr>
            <w:tcW w:w="2353" w:type="dxa"/>
          </w:tcPr>
          <w:p w:rsidR="003F5F85" w:rsidRDefault="003F5F85" w:rsidP="00FA28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International agreements</w:t>
            </w:r>
          </w:p>
        </w:tc>
        <w:tc>
          <w:tcPr>
            <w:tcW w:w="5765" w:type="dxa"/>
            <w:gridSpan w:val="2"/>
          </w:tcPr>
          <w:p w:rsidR="003F5F85" w:rsidRDefault="008C0FE9" w:rsidP="00FA28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Requires compliance with international agreements. </w:t>
            </w:r>
            <w:r w:rsidR="003F5F85">
              <w:rPr>
                <w:rFonts w:ascii="Arial" w:hAnsi="Arial" w:cs="Arial"/>
                <w:sz w:val="16"/>
                <w:szCs w:val="16"/>
              </w:rPr>
              <w:t>Additional procurement requirements are specified when international agreements apply.</w:t>
            </w:r>
          </w:p>
        </w:tc>
        <w:tc>
          <w:tcPr>
            <w:tcW w:w="6024" w:type="dxa"/>
          </w:tcPr>
          <w:p w:rsidR="003F5F85" w:rsidRDefault="003F5F85" w:rsidP="00FA28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Requires compliance with international agreements but does not describe specific requirements.</w:t>
            </w:r>
          </w:p>
        </w:tc>
      </w:tr>
      <w:tr w:rsidR="003F5F85" w:rsidRPr="00B97DEA" w:rsidTr="00FA285D">
        <w:tc>
          <w:tcPr>
            <w:tcW w:w="2353" w:type="dxa"/>
          </w:tcPr>
          <w:p w:rsidR="003F5F85" w:rsidRDefault="003F5F85" w:rsidP="00351279">
            <w:pPr>
              <w:pageBreakBefore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Disclose weightings for evaluation criteria</w:t>
            </w:r>
          </w:p>
        </w:tc>
        <w:tc>
          <w:tcPr>
            <w:tcW w:w="5765" w:type="dxa"/>
            <w:gridSpan w:val="2"/>
          </w:tcPr>
          <w:p w:rsidR="003F5F85" w:rsidRPr="00123D92" w:rsidRDefault="003F5F85" w:rsidP="00FA28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23D92">
              <w:rPr>
                <w:rFonts w:ascii="Arial" w:hAnsi="Arial" w:cs="Arial"/>
                <w:sz w:val="16"/>
                <w:szCs w:val="16"/>
              </w:rPr>
              <w:t>Disclosing weightings for evaluation criteria is optional.</w:t>
            </w:r>
          </w:p>
          <w:p w:rsidR="003F5F85" w:rsidRDefault="003F5F85" w:rsidP="00123D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23D92">
              <w:rPr>
                <w:rFonts w:ascii="Arial" w:hAnsi="Arial" w:cs="Arial"/>
                <w:sz w:val="16"/>
                <w:szCs w:val="16"/>
              </w:rPr>
              <w:t>Weightings for evaluation criteria may be expressed by</w:t>
            </w:r>
            <w:r w:rsidR="00123D92" w:rsidRPr="00123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3D92">
              <w:rPr>
                <w:rFonts w:ascii="Arial" w:hAnsi="Arial" w:cs="Arial"/>
                <w:sz w:val="16"/>
                <w:szCs w:val="16"/>
              </w:rPr>
              <w:t>indicating</w:t>
            </w:r>
            <w:r w:rsidR="00123D92" w:rsidRPr="00123D92">
              <w:rPr>
                <w:rFonts w:ascii="Arial" w:hAnsi="Arial" w:cs="Arial"/>
                <w:sz w:val="16"/>
                <w:szCs w:val="16"/>
              </w:rPr>
              <w:t xml:space="preserve"> the relative importance</w:t>
            </w:r>
            <w:r w:rsidR="00123D92">
              <w:rPr>
                <w:rFonts w:ascii="Arial" w:hAnsi="Arial" w:cs="Arial"/>
                <w:sz w:val="16"/>
                <w:szCs w:val="16"/>
              </w:rPr>
              <w:t xml:space="preserve"> of criteria</w:t>
            </w:r>
            <w:r w:rsidRPr="00123D9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024" w:type="dxa"/>
          </w:tcPr>
          <w:p w:rsidR="003F5F85" w:rsidRDefault="003F5F85" w:rsidP="00FA28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Weightings for evaluation criteria must be disclosed.</w:t>
            </w:r>
          </w:p>
        </w:tc>
      </w:tr>
      <w:tr w:rsidR="00123D92" w:rsidRPr="00B97DEA" w:rsidTr="005B2806">
        <w:tc>
          <w:tcPr>
            <w:tcW w:w="2353" w:type="dxa"/>
          </w:tcPr>
          <w:p w:rsidR="00123D92" w:rsidRDefault="00123D92" w:rsidP="005B280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Mandatory evaluation criteria</w:t>
            </w:r>
          </w:p>
        </w:tc>
        <w:tc>
          <w:tcPr>
            <w:tcW w:w="5765" w:type="dxa"/>
            <w:gridSpan w:val="2"/>
          </w:tcPr>
          <w:p w:rsidR="00123D92" w:rsidRPr="00FE0C73" w:rsidRDefault="00123D92" w:rsidP="005B280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E0C73">
              <w:rPr>
                <w:rFonts w:ascii="Arial" w:hAnsi="Arial" w:cs="Arial"/>
                <w:sz w:val="16"/>
                <w:szCs w:val="16"/>
              </w:rPr>
              <w:t>Establishes use of mandatory evaluation criteria:</w:t>
            </w:r>
          </w:p>
          <w:p w:rsidR="00123D92" w:rsidRPr="00FE0C73" w:rsidRDefault="00123D92" w:rsidP="005B2806">
            <w:pPr>
              <w:pStyle w:val="ListParagraph"/>
              <w:numPr>
                <w:ilvl w:val="0"/>
                <w:numId w:val="24"/>
              </w:numPr>
              <w:spacing w:before="60" w:after="60"/>
              <w:ind w:left="341" w:hanging="341"/>
              <w:rPr>
                <w:rFonts w:ascii="Arial" w:hAnsi="Arial" w:cs="Arial"/>
                <w:sz w:val="16"/>
                <w:szCs w:val="16"/>
              </w:rPr>
            </w:pPr>
            <w:r w:rsidRPr="00FE0C73">
              <w:rPr>
                <w:rFonts w:ascii="Arial" w:hAnsi="Arial" w:cs="Arial"/>
                <w:sz w:val="16"/>
                <w:szCs w:val="16"/>
              </w:rPr>
              <w:t>value for money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123D92" w:rsidRPr="00FE0C73" w:rsidRDefault="00123D92" w:rsidP="005B2806">
            <w:pPr>
              <w:pStyle w:val="ListParagraph"/>
              <w:numPr>
                <w:ilvl w:val="0"/>
                <w:numId w:val="24"/>
              </w:numPr>
              <w:spacing w:before="60" w:after="60"/>
              <w:ind w:left="341" w:hanging="341"/>
              <w:rPr>
                <w:rFonts w:ascii="Arial" w:hAnsi="Arial" w:cs="Arial"/>
                <w:sz w:val="16"/>
                <w:szCs w:val="16"/>
              </w:rPr>
            </w:pPr>
            <w:r w:rsidRPr="00FE0C73">
              <w:rPr>
                <w:rFonts w:ascii="Arial" w:hAnsi="Arial" w:cs="Arial"/>
                <w:sz w:val="16"/>
                <w:szCs w:val="16"/>
              </w:rPr>
              <w:t>occupational health and safety management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FE0C73">
              <w:rPr>
                <w:rFonts w:ascii="Arial" w:hAnsi="Arial" w:cs="Arial"/>
                <w:sz w:val="16"/>
                <w:szCs w:val="16"/>
              </w:rPr>
              <w:br/>
              <w:t>in the case of Works, the value of the Works exceeds $500,000 (inclusive of GST)</w:t>
            </w:r>
            <w:r w:rsidRPr="00FE0C73">
              <w:rPr>
                <w:rFonts w:ascii="Arial" w:hAnsi="Arial" w:cs="Arial"/>
                <w:sz w:val="16"/>
                <w:szCs w:val="16"/>
              </w:rPr>
              <w:br/>
              <w:t>in the case of Construction Services, the value of the Construction Services exceeds $200,000 (inclusive of GST)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123D92" w:rsidRPr="00FE0C73" w:rsidRDefault="00123D92" w:rsidP="005B2806">
            <w:pPr>
              <w:pStyle w:val="ListParagraph"/>
              <w:numPr>
                <w:ilvl w:val="0"/>
                <w:numId w:val="24"/>
              </w:numPr>
              <w:spacing w:before="60" w:after="60"/>
              <w:ind w:left="341" w:hanging="341"/>
              <w:rPr>
                <w:rFonts w:ascii="Arial" w:hAnsi="Arial" w:cs="Arial"/>
                <w:sz w:val="16"/>
                <w:szCs w:val="16"/>
              </w:rPr>
            </w:pPr>
            <w:r w:rsidRPr="00FE0C73">
              <w:rPr>
                <w:rFonts w:ascii="Arial" w:hAnsi="Arial" w:cs="Arial"/>
                <w:sz w:val="16"/>
                <w:szCs w:val="16"/>
              </w:rPr>
              <w:t>industrial relations management, where the procurement includes supply of Works and the value of the Works (or Works component) exceeds $500,000 (inclusive of GST)</w:t>
            </w:r>
            <w:r>
              <w:rPr>
                <w:rFonts w:ascii="Arial" w:hAnsi="Arial" w:cs="Arial"/>
                <w:sz w:val="16"/>
                <w:szCs w:val="16"/>
              </w:rPr>
              <w:t>; and</w:t>
            </w:r>
          </w:p>
          <w:p w:rsidR="00123D92" w:rsidRDefault="00123D92" w:rsidP="005B2806">
            <w:pPr>
              <w:pStyle w:val="ListParagraph"/>
              <w:numPr>
                <w:ilvl w:val="0"/>
                <w:numId w:val="24"/>
              </w:numPr>
              <w:spacing w:before="60" w:after="60"/>
              <w:ind w:left="341" w:hanging="341"/>
              <w:rPr>
                <w:rFonts w:ascii="Arial" w:hAnsi="Arial" w:cs="Arial"/>
                <w:sz w:val="16"/>
                <w:szCs w:val="16"/>
              </w:rPr>
            </w:pPr>
            <w:r w:rsidRPr="00FE0C73">
              <w:rPr>
                <w:rFonts w:ascii="Arial" w:hAnsi="Arial" w:cs="Arial"/>
                <w:sz w:val="16"/>
                <w:szCs w:val="16"/>
              </w:rPr>
              <w:t>appropriate criteria to enable consideration of each tender participant's past performance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024" w:type="dxa"/>
          </w:tcPr>
          <w:p w:rsidR="00123D92" w:rsidRDefault="00123D92" w:rsidP="005B280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not establish mandatory evaluation criteria.</w:t>
            </w:r>
          </w:p>
        </w:tc>
      </w:tr>
      <w:tr w:rsidR="006038D5" w:rsidRPr="00B97DEA" w:rsidTr="00214A50">
        <w:tc>
          <w:tcPr>
            <w:tcW w:w="2353" w:type="dxa"/>
            <w:vMerge w:val="restart"/>
          </w:tcPr>
          <w:p w:rsidR="006038D5" w:rsidRDefault="006038D5" w:rsidP="003F5F8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Thresholds for procurement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nil"/>
            </w:tcBorders>
          </w:tcPr>
          <w:p w:rsidR="006038D5" w:rsidRDefault="006038D5" w:rsidP="0034473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Thresholds apply.</w:t>
            </w:r>
          </w:p>
        </w:tc>
        <w:tc>
          <w:tcPr>
            <w:tcW w:w="6024" w:type="dxa"/>
            <w:vMerge w:val="restart"/>
          </w:tcPr>
          <w:p w:rsidR="006038D5" w:rsidRDefault="006038D5" w:rsidP="003C7DF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Thresholds are not used.</w:t>
            </w:r>
          </w:p>
          <w:p w:rsidR="006038D5" w:rsidRDefault="006038D5" w:rsidP="003C7DF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Agencies are required to assess the complexity of a procurement and their capability to undertake the procurement, as required by the </w:t>
            </w:r>
            <w:hyperlink r:id="rId18" w:history="1">
              <w:r w:rsidRPr="0025535C">
                <w:rPr>
                  <w:rStyle w:val="Hyperlink"/>
                  <w:rFonts w:ascii="Arial" w:hAnsi="Arial" w:cs="Arial"/>
                  <w:sz w:val="16"/>
                  <w:szCs w:val="16"/>
                </w:rPr>
                <w:t>Complexity and Capability Assessment Policy</w:t>
              </w:r>
            </w:hyperlink>
            <w:r>
              <w:rPr>
                <w:rStyle w:val="Hyperlink"/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038D5" w:rsidRPr="00B97DEA" w:rsidTr="006038D5">
        <w:trPr>
          <w:trHeight w:val="314"/>
        </w:trPr>
        <w:tc>
          <w:tcPr>
            <w:tcW w:w="2353" w:type="dxa"/>
            <w:vMerge/>
          </w:tcPr>
          <w:p w:rsidR="006038D5" w:rsidRDefault="006038D5" w:rsidP="003F5F8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4" w:space="0" w:color="auto"/>
              <w:right w:val="nil"/>
            </w:tcBorders>
          </w:tcPr>
          <w:p w:rsidR="006038D5" w:rsidRPr="006038D5" w:rsidRDefault="006038D5" w:rsidP="00344732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038D5">
              <w:rPr>
                <w:rFonts w:ascii="Arial" w:hAnsi="Arial" w:cs="Arial"/>
                <w:b/>
                <w:sz w:val="16"/>
                <w:szCs w:val="16"/>
              </w:rPr>
              <w:t>Works</w:t>
            </w:r>
          </w:p>
          <w:p w:rsidR="006038D5" w:rsidRDefault="006038D5" w:rsidP="0034473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C40608">
              <w:rPr>
                <w:rFonts w:ascii="Arial" w:hAnsi="Arial" w:cs="Arial"/>
                <w:sz w:val="16"/>
                <w:szCs w:val="16"/>
              </w:rPr>
              <w:t>ne written tender consistent with market prices</w:t>
            </w:r>
          </w:p>
          <w:p w:rsidR="006038D5" w:rsidRDefault="006038D5" w:rsidP="0034473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least three written tenders sought (works)</w:t>
            </w:r>
          </w:p>
          <w:p w:rsidR="006038D5" w:rsidRDefault="006038D5" w:rsidP="0034473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Selection from prequalified contractors or open tenders (works)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</w:tcBorders>
          </w:tcPr>
          <w:p w:rsidR="006038D5" w:rsidRDefault="006038D5" w:rsidP="0034473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6038D5" w:rsidRDefault="006038D5" w:rsidP="0034473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 to $50,000 (inclusive of GST)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:rsidR="006038D5" w:rsidRDefault="006038D5" w:rsidP="0034473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Above $50,000, but below $500,000 (inclusive of GST) </w:t>
            </w:r>
          </w:p>
          <w:p w:rsidR="006038D5" w:rsidRDefault="006038D5" w:rsidP="0034473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 $500,000 (inclusive of GST)</w:t>
            </w:r>
          </w:p>
        </w:tc>
        <w:tc>
          <w:tcPr>
            <w:tcW w:w="6024" w:type="dxa"/>
            <w:vMerge/>
          </w:tcPr>
          <w:p w:rsidR="006038D5" w:rsidRDefault="006038D5" w:rsidP="003C7DF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8D5" w:rsidRPr="00B97DEA" w:rsidTr="006038D5">
        <w:trPr>
          <w:trHeight w:val="313"/>
        </w:trPr>
        <w:tc>
          <w:tcPr>
            <w:tcW w:w="2353" w:type="dxa"/>
            <w:vMerge/>
          </w:tcPr>
          <w:p w:rsidR="006038D5" w:rsidRDefault="006038D5" w:rsidP="003F5F8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4" w:space="0" w:color="auto"/>
              <w:right w:val="nil"/>
            </w:tcBorders>
          </w:tcPr>
          <w:p w:rsidR="006038D5" w:rsidRPr="006038D5" w:rsidRDefault="006038D5" w:rsidP="00344732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038D5">
              <w:rPr>
                <w:rFonts w:ascii="Arial" w:hAnsi="Arial" w:cs="Arial"/>
                <w:b/>
                <w:sz w:val="16"/>
                <w:szCs w:val="16"/>
              </w:rPr>
              <w:t>Services</w:t>
            </w:r>
          </w:p>
          <w:p w:rsidR="006038D5" w:rsidRDefault="006038D5" w:rsidP="006038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C40608">
              <w:rPr>
                <w:rFonts w:ascii="Arial" w:hAnsi="Arial" w:cs="Arial"/>
                <w:sz w:val="16"/>
                <w:szCs w:val="16"/>
              </w:rPr>
              <w:t>ne written tender consistent with market prices</w:t>
            </w:r>
          </w:p>
          <w:p w:rsidR="006038D5" w:rsidRDefault="006038D5" w:rsidP="006038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least three written tenders sought (works)</w:t>
            </w:r>
          </w:p>
          <w:p w:rsidR="006038D5" w:rsidRDefault="006038D5" w:rsidP="006038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Selection from prequalified contractors or open tenders (works)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</w:tcBorders>
          </w:tcPr>
          <w:p w:rsidR="006038D5" w:rsidRDefault="006038D5" w:rsidP="0034473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6038D5" w:rsidRDefault="006038D5" w:rsidP="006038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 to $50,000 (inclusive of GST)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:rsidR="006038D5" w:rsidRDefault="006038D5" w:rsidP="006038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Above $50,000, but below $200,000 (inclusive of GST) </w:t>
            </w:r>
          </w:p>
          <w:p w:rsidR="006038D5" w:rsidRDefault="006038D5" w:rsidP="006038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 $200,000 (inclusive of GST)</w:t>
            </w:r>
          </w:p>
        </w:tc>
        <w:tc>
          <w:tcPr>
            <w:tcW w:w="6024" w:type="dxa"/>
            <w:vMerge/>
          </w:tcPr>
          <w:p w:rsidR="006038D5" w:rsidRDefault="006038D5" w:rsidP="003C7DF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4377" w:rsidRPr="00B97DEA" w:rsidTr="003C7DFE">
        <w:tc>
          <w:tcPr>
            <w:tcW w:w="2353" w:type="dxa"/>
          </w:tcPr>
          <w:p w:rsidR="00B44377" w:rsidRDefault="00B44377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Forward procurement plan</w:t>
            </w:r>
          </w:p>
        </w:tc>
        <w:tc>
          <w:tcPr>
            <w:tcW w:w="5765" w:type="dxa"/>
            <w:gridSpan w:val="2"/>
          </w:tcPr>
          <w:p w:rsidR="00B44377" w:rsidRDefault="00B44377" w:rsidP="00B4437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used.  Taken collectively forward notices published on a common platform provide similar information to a forward procurement plan.</w:t>
            </w:r>
          </w:p>
        </w:tc>
        <w:tc>
          <w:tcPr>
            <w:tcW w:w="6024" w:type="dxa"/>
          </w:tcPr>
          <w:p w:rsidR="00B44377" w:rsidRDefault="00B44377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Required to be published annually.</w:t>
            </w:r>
          </w:p>
        </w:tc>
      </w:tr>
      <w:tr w:rsidR="003C7DFE" w:rsidRPr="00B97DEA" w:rsidTr="003C7DFE">
        <w:tc>
          <w:tcPr>
            <w:tcW w:w="2353" w:type="dxa"/>
          </w:tcPr>
          <w:p w:rsidR="006B65D8" w:rsidRDefault="008E69EB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Forward notices</w:t>
            </w:r>
          </w:p>
        </w:tc>
        <w:tc>
          <w:tcPr>
            <w:tcW w:w="5765" w:type="dxa"/>
            <w:gridSpan w:val="2"/>
          </w:tcPr>
          <w:p w:rsidR="006B65D8" w:rsidRDefault="008E69EB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Required for open and Selective tenders.</w:t>
            </w:r>
          </w:p>
        </w:tc>
        <w:tc>
          <w:tcPr>
            <w:tcW w:w="6024" w:type="dxa"/>
          </w:tcPr>
          <w:p w:rsidR="006B65D8" w:rsidRDefault="008E69EB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Optional.</w:t>
            </w:r>
          </w:p>
        </w:tc>
      </w:tr>
      <w:tr w:rsidR="003C7DFE" w:rsidRPr="00B97DEA" w:rsidTr="003C7DFE">
        <w:tc>
          <w:tcPr>
            <w:tcW w:w="2353" w:type="dxa"/>
          </w:tcPr>
          <w:p w:rsidR="006B65D8" w:rsidRDefault="008E69EB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Tender Notices</w:t>
            </w:r>
          </w:p>
        </w:tc>
        <w:tc>
          <w:tcPr>
            <w:tcW w:w="5765" w:type="dxa"/>
            <w:gridSpan w:val="2"/>
          </w:tcPr>
          <w:p w:rsidR="006B65D8" w:rsidRDefault="008E69EB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Required for open and Selective tenders.</w:t>
            </w:r>
          </w:p>
        </w:tc>
        <w:tc>
          <w:tcPr>
            <w:tcW w:w="6024" w:type="dxa"/>
          </w:tcPr>
          <w:p w:rsidR="006B65D8" w:rsidRDefault="008E69EB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Required for open tenders.</w:t>
            </w:r>
          </w:p>
        </w:tc>
      </w:tr>
      <w:tr w:rsidR="003C7DFE" w:rsidRPr="00B97DEA" w:rsidTr="003C7DFE">
        <w:tc>
          <w:tcPr>
            <w:tcW w:w="2353" w:type="dxa"/>
          </w:tcPr>
          <w:p w:rsidR="006B65D8" w:rsidRDefault="008E69EB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Disclosure of contracts</w:t>
            </w:r>
          </w:p>
        </w:tc>
        <w:tc>
          <w:tcPr>
            <w:tcW w:w="5765" w:type="dxa"/>
            <w:gridSpan w:val="2"/>
          </w:tcPr>
          <w:p w:rsidR="009429B7" w:rsidRDefault="00B44377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Follows the requirements</w:t>
            </w:r>
            <w:r w:rsidR="008E69EB">
              <w:rPr>
                <w:rFonts w:ascii="Arial" w:hAnsi="Arial" w:cs="Arial"/>
                <w:sz w:val="16"/>
                <w:szCs w:val="16"/>
              </w:rPr>
              <w:t xml:space="preserve"> established for goods &amp; services procurement, and requires</w:t>
            </w:r>
            <w:r w:rsidR="009429B7">
              <w:rPr>
                <w:rFonts w:ascii="Arial" w:hAnsi="Arial" w:cs="Arial"/>
                <w:sz w:val="16"/>
                <w:szCs w:val="16"/>
              </w:rPr>
              <w:t>,</w:t>
            </w:r>
            <w:r w:rsidR="008E69EB">
              <w:rPr>
                <w:rFonts w:ascii="Arial" w:hAnsi="Arial" w:cs="Arial"/>
                <w:sz w:val="16"/>
                <w:szCs w:val="16"/>
              </w:rPr>
              <w:t xml:space="preserve"> in addition</w:t>
            </w:r>
            <w:r w:rsidR="009429B7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B65D8" w:rsidRDefault="008E69EB" w:rsidP="008C0FE9">
            <w:pPr>
              <w:pStyle w:val="ListParagraph"/>
              <w:numPr>
                <w:ilvl w:val="0"/>
                <w:numId w:val="24"/>
              </w:numPr>
              <w:spacing w:before="60" w:after="60"/>
              <w:ind w:left="341" w:hanging="341"/>
              <w:rPr>
                <w:rFonts w:ascii="Arial" w:hAnsi="Arial" w:cs="Arial"/>
                <w:sz w:val="16"/>
                <w:szCs w:val="16"/>
              </w:rPr>
            </w:pPr>
            <w:r w:rsidRPr="009429B7">
              <w:rPr>
                <w:rFonts w:ascii="Arial" w:hAnsi="Arial" w:cs="Arial"/>
                <w:sz w:val="16"/>
                <w:szCs w:val="16"/>
              </w:rPr>
              <w:t>disclosure of contracts established under panels and standing order arrangements</w:t>
            </w:r>
          </w:p>
          <w:p w:rsidR="009429B7" w:rsidRDefault="009429B7" w:rsidP="008C0FE9">
            <w:pPr>
              <w:pStyle w:val="ListParagraph"/>
              <w:numPr>
                <w:ilvl w:val="0"/>
                <w:numId w:val="24"/>
              </w:numPr>
              <w:spacing w:before="60" w:after="60"/>
              <w:ind w:left="341" w:hanging="3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disclosure of contracts entered into with suppliers from a register, and</w:t>
            </w:r>
          </w:p>
          <w:p w:rsidR="009429B7" w:rsidRPr="009429B7" w:rsidRDefault="009429B7" w:rsidP="008C0FE9">
            <w:pPr>
              <w:pStyle w:val="ListParagraph"/>
              <w:numPr>
                <w:ilvl w:val="0"/>
                <w:numId w:val="24"/>
              </w:numPr>
              <w:spacing w:before="60" w:after="60"/>
              <w:ind w:left="341" w:hanging="3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arrangements to vary any contract that requires disclosure.</w:t>
            </w:r>
          </w:p>
        </w:tc>
        <w:tc>
          <w:tcPr>
            <w:tcW w:w="6024" w:type="dxa"/>
          </w:tcPr>
          <w:p w:rsidR="006B65D8" w:rsidRDefault="008E69EB" w:rsidP="008E69E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Requirements set out in </w:t>
            </w:r>
            <w:hyperlink r:id="rId19" w:history="1">
              <w:r w:rsidRPr="008E69EB">
                <w:rPr>
                  <w:rStyle w:val="Hyperlink"/>
                  <w:rFonts w:ascii="Arial" w:hAnsi="Arial" w:cs="Arial"/>
                  <w:sz w:val="16"/>
                  <w:szCs w:val="16"/>
                </w:rPr>
                <w:t>Contract Management and Disclosure Policy</w:t>
              </w:r>
            </w:hyperlink>
          </w:p>
        </w:tc>
      </w:tr>
      <w:tr w:rsidR="003C7DFE" w:rsidRPr="00B97DEA" w:rsidTr="003C7DFE">
        <w:tc>
          <w:tcPr>
            <w:tcW w:w="2353" w:type="dxa"/>
          </w:tcPr>
          <w:p w:rsidR="006B65D8" w:rsidRDefault="009429B7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Registers of prequalified suppliers</w:t>
            </w:r>
          </w:p>
        </w:tc>
        <w:tc>
          <w:tcPr>
            <w:tcW w:w="5765" w:type="dxa"/>
            <w:gridSpan w:val="2"/>
          </w:tcPr>
          <w:p w:rsidR="006B65D8" w:rsidRDefault="009429B7" w:rsidP="00FC0B3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Establishes requirements </w:t>
            </w:r>
            <w:r w:rsidR="00FC0B35">
              <w:rPr>
                <w:rFonts w:ascii="Arial" w:hAnsi="Arial" w:cs="Arial"/>
                <w:sz w:val="16"/>
                <w:szCs w:val="16"/>
              </w:rPr>
              <w:t xml:space="preserve">to establish and operate </w:t>
            </w:r>
            <w:r w:rsidR="00DB3D36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egisters of prequalified suppliers </w:t>
            </w:r>
            <w:r w:rsidR="00DB3D36">
              <w:rPr>
                <w:rFonts w:ascii="Arial" w:hAnsi="Arial" w:cs="Arial"/>
                <w:sz w:val="16"/>
                <w:szCs w:val="16"/>
              </w:rPr>
              <w:t>and requires that a R</w:t>
            </w:r>
            <w:r>
              <w:rPr>
                <w:rFonts w:ascii="Arial" w:hAnsi="Arial" w:cs="Arial"/>
                <w:sz w:val="16"/>
                <w:szCs w:val="16"/>
              </w:rPr>
              <w:t>egister is approved by the Secretary to the Department of Treasury and Finance.</w:t>
            </w:r>
          </w:p>
        </w:tc>
        <w:tc>
          <w:tcPr>
            <w:tcW w:w="6024" w:type="dxa"/>
          </w:tcPr>
          <w:p w:rsidR="006B65D8" w:rsidRDefault="009429B7" w:rsidP="00C9121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Allows use of registers, but does not prescribe </w:t>
            </w:r>
            <w:r w:rsidR="00C9121F">
              <w:rPr>
                <w:rFonts w:ascii="Arial" w:hAnsi="Arial" w:cs="Arial"/>
                <w:sz w:val="16"/>
                <w:szCs w:val="16"/>
              </w:rPr>
              <w:t>requirements to establish or operate a register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F5F85" w:rsidRPr="00B97DEA" w:rsidTr="003C7DFE">
        <w:tc>
          <w:tcPr>
            <w:tcW w:w="2353" w:type="dxa"/>
          </w:tcPr>
          <w:p w:rsidR="003F5F85" w:rsidRDefault="003F5F85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 form contracts</w:t>
            </w:r>
          </w:p>
        </w:tc>
        <w:tc>
          <w:tcPr>
            <w:tcW w:w="5765" w:type="dxa"/>
            <w:gridSpan w:val="2"/>
          </w:tcPr>
          <w:p w:rsidR="003F5F85" w:rsidRDefault="003F5F85" w:rsidP="003F5F8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</w:t>
            </w:r>
            <w:r w:rsidR="00FC0B35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use of standard form contracts specifically drafted for construction procurement.</w:t>
            </w:r>
          </w:p>
        </w:tc>
        <w:tc>
          <w:tcPr>
            <w:tcW w:w="6024" w:type="dxa"/>
          </w:tcPr>
          <w:p w:rsidR="003F5F85" w:rsidRDefault="003F5F85" w:rsidP="003F5F8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 contracts available for general (non-construction) procurement.</w:t>
            </w:r>
          </w:p>
        </w:tc>
      </w:tr>
      <w:tr w:rsidR="003C7DFE" w:rsidRPr="00B97DEA" w:rsidTr="003C7DFE">
        <w:tc>
          <w:tcPr>
            <w:tcW w:w="2353" w:type="dxa"/>
          </w:tcPr>
          <w:p w:rsidR="006B65D8" w:rsidRDefault="009429B7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Shared reporting regime</w:t>
            </w:r>
          </w:p>
        </w:tc>
        <w:tc>
          <w:tcPr>
            <w:tcW w:w="5765" w:type="dxa"/>
            <w:gridSpan w:val="2"/>
          </w:tcPr>
          <w:p w:rsidR="006B65D8" w:rsidRDefault="009429B7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Establishes a formal process for the assessment of supplier performance and the central recording and sharing of this information.</w:t>
            </w:r>
          </w:p>
        </w:tc>
        <w:tc>
          <w:tcPr>
            <w:tcW w:w="6024" w:type="dxa"/>
          </w:tcPr>
          <w:p w:rsidR="006B65D8" w:rsidRDefault="009429B7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Requires that the performance of a contract is monitored.</w:t>
            </w:r>
          </w:p>
        </w:tc>
      </w:tr>
      <w:tr w:rsidR="003C7DFE" w:rsidRPr="00B97DEA" w:rsidTr="003C7DFE">
        <w:tc>
          <w:tcPr>
            <w:tcW w:w="2353" w:type="dxa"/>
          </w:tcPr>
          <w:p w:rsidR="006B65D8" w:rsidRDefault="009429B7" w:rsidP="00827DD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Accountability</w:t>
            </w:r>
          </w:p>
        </w:tc>
        <w:tc>
          <w:tcPr>
            <w:tcW w:w="5765" w:type="dxa"/>
            <w:gridSpan w:val="2"/>
          </w:tcPr>
          <w:p w:rsidR="006B65D8" w:rsidRDefault="009429B7" w:rsidP="003F5F8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9429B7">
              <w:rPr>
                <w:rFonts w:ascii="Arial" w:hAnsi="Arial" w:cs="Arial"/>
                <w:sz w:val="16"/>
                <w:szCs w:val="16"/>
              </w:rPr>
              <w:t xml:space="preserve">onsistent with the devolved accountability framework in the FMA Standing Directions. </w:t>
            </w:r>
            <w:r w:rsidR="003F5F85">
              <w:rPr>
                <w:rFonts w:ascii="Arial" w:hAnsi="Arial" w:cs="Arial"/>
                <w:sz w:val="16"/>
                <w:szCs w:val="16"/>
              </w:rPr>
              <w:t>Review of</w:t>
            </w:r>
            <w:r w:rsidR="003A602D">
              <w:rPr>
                <w:rFonts w:ascii="Arial" w:hAnsi="Arial" w:cs="Arial"/>
                <w:sz w:val="16"/>
                <w:szCs w:val="16"/>
              </w:rPr>
              <w:t>,</w:t>
            </w:r>
            <w:r w:rsidR="003F5F85">
              <w:rPr>
                <w:rFonts w:ascii="Arial" w:hAnsi="Arial" w:cs="Arial"/>
                <w:sz w:val="16"/>
                <w:szCs w:val="16"/>
              </w:rPr>
              <w:t xml:space="preserve"> and attesting c</w:t>
            </w:r>
            <w:r w:rsidRPr="009429B7">
              <w:rPr>
                <w:rFonts w:ascii="Arial" w:hAnsi="Arial" w:cs="Arial"/>
                <w:sz w:val="16"/>
                <w:szCs w:val="16"/>
              </w:rPr>
              <w:t>ompliance with</w:t>
            </w:r>
            <w:r w:rsidR="003A602D">
              <w:rPr>
                <w:rFonts w:ascii="Arial" w:hAnsi="Arial" w:cs="Arial"/>
                <w:sz w:val="16"/>
                <w:szCs w:val="16"/>
              </w:rPr>
              <w:t>,</w:t>
            </w:r>
            <w:r w:rsidRPr="009429B7">
              <w:rPr>
                <w:rFonts w:ascii="Arial" w:hAnsi="Arial" w:cs="Arial"/>
                <w:sz w:val="16"/>
                <w:szCs w:val="16"/>
              </w:rPr>
              <w:t xml:space="preserve"> the revised Ministerial Directions is part of </w:t>
            </w:r>
            <w:r w:rsidR="003F5F85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9429B7">
              <w:rPr>
                <w:rFonts w:ascii="Arial" w:hAnsi="Arial" w:cs="Arial"/>
                <w:sz w:val="16"/>
                <w:szCs w:val="16"/>
              </w:rPr>
              <w:t>attestation under the FMA Standing Directions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024" w:type="dxa"/>
          </w:tcPr>
          <w:p w:rsidR="006B65D8" w:rsidRDefault="009429B7" w:rsidP="00827DD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Reports submitted to the Victorian Government Purchasing Board.</w:t>
            </w:r>
          </w:p>
        </w:tc>
      </w:tr>
    </w:tbl>
    <w:p w:rsidR="00751A85" w:rsidRPr="00B44377" w:rsidRDefault="00751A85" w:rsidP="00B44377">
      <w:pPr>
        <w:spacing w:after="0" w:line="240" w:lineRule="auto"/>
        <w:rPr>
          <w:rFonts w:ascii="Arial" w:hAnsi="Arial" w:cs="Arial"/>
          <w:sz w:val="10"/>
          <w:szCs w:val="10"/>
        </w:rPr>
      </w:pPr>
    </w:p>
    <w:sectPr w:rsidR="00751A85" w:rsidRPr="00B44377" w:rsidSect="003A602D">
      <w:headerReference w:type="default" r:id="rId20"/>
      <w:footerReference w:type="even" r:id="rId21"/>
      <w:footerReference w:type="default" r:id="rId22"/>
      <w:footerReference w:type="first" r:id="rId23"/>
      <w:pgSz w:w="16838" w:h="11906" w:orient="landscape"/>
      <w:pgMar w:top="1440" w:right="1440" w:bottom="851" w:left="144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142" w:rsidRDefault="006E4142" w:rsidP="00B97DEA">
      <w:pPr>
        <w:spacing w:after="0" w:line="240" w:lineRule="auto"/>
      </w:pPr>
      <w:r>
        <w:separator/>
      </w:r>
    </w:p>
  </w:endnote>
  <w:endnote w:type="continuationSeparator" w:id="0">
    <w:p w:rsidR="006E4142" w:rsidRDefault="006E4142" w:rsidP="00B9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920" w:rsidRDefault="005E3920" w:rsidP="00451477">
    <w:pPr>
      <w:pStyle w:val="Footer"/>
      <w:jc w:val="center"/>
      <w:rPr>
        <w:rFonts w:ascii="Arial" w:hAnsi="Arial" w:cs="Arial"/>
        <w:b/>
        <w:color w:val="FF0000"/>
        <w:sz w:val="29"/>
      </w:rPr>
    </w:pPr>
    <w:bookmarkStart w:id="1" w:name="aliashProtectiveMarkings1FooterEvenPages"/>
  </w:p>
  <w:bookmarkEnd w:id="1"/>
  <w:p w:rsidR="005E3920" w:rsidRDefault="005E3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920" w:rsidRPr="0065104F" w:rsidRDefault="00142A7C" w:rsidP="00AD32F7">
    <w:pPr>
      <w:pStyle w:val="Footer"/>
      <w:tabs>
        <w:tab w:val="clear" w:pos="4513"/>
        <w:tab w:val="clear" w:pos="9026"/>
        <w:tab w:val="center" w:pos="6946"/>
        <w:tab w:val="right" w:pos="1403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noProof/>
        <w:color w:val="4F81BD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3" name="MSIPCM9a894274ae2f90a074e3828b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42A7C" w:rsidRPr="00142A7C" w:rsidRDefault="00142A7C" w:rsidP="00142A7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42A7C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a894274ae2f90a074e3828b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" o:allowincell="f" filled="f" stroked="f" strokeweight=".5pt">
              <v:textbox inset="20pt,0,,0">
                <w:txbxContent>
                  <w:p w:rsidR="00142A7C" w:rsidRPr="00142A7C" w:rsidRDefault="00142A7C" w:rsidP="00142A7C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142A7C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3920" w:rsidRPr="00AD32F7">
      <w:rPr>
        <w:rFonts w:ascii="Arial" w:hAnsi="Arial" w:cs="Arial"/>
        <w:b/>
        <w:color w:val="4F81BD" w:themeColor="accent1"/>
        <w:sz w:val="18"/>
        <w:szCs w:val="18"/>
      </w:rPr>
      <w:fldChar w:fldCharType="begin"/>
    </w:r>
    <w:r w:rsidR="005E3920" w:rsidRPr="00AD32F7">
      <w:rPr>
        <w:rFonts w:ascii="Arial" w:hAnsi="Arial" w:cs="Arial"/>
        <w:b/>
        <w:color w:val="4F81BD" w:themeColor="accent1"/>
        <w:sz w:val="18"/>
        <w:szCs w:val="18"/>
      </w:rPr>
      <w:instrText xml:space="preserve"> StyleRef “Title” </w:instrText>
    </w:r>
    <w:r w:rsidR="005E3920" w:rsidRPr="00AD32F7">
      <w:rPr>
        <w:rFonts w:ascii="Arial" w:hAnsi="Arial" w:cs="Arial"/>
        <w:b/>
        <w:color w:val="4F81BD" w:themeColor="accent1"/>
        <w:sz w:val="18"/>
        <w:szCs w:val="18"/>
      </w:rPr>
      <w:fldChar w:fldCharType="separate"/>
    </w:r>
    <w:r w:rsidR="0054060E">
      <w:rPr>
        <w:rFonts w:ascii="Arial" w:hAnsi="Arial" w:cs="Arial"/>
        <w:b/>
        <w:noProof/>
        <w:color w:val="4F81BD" w:themeColor="accent1"/>
        <w:sz w:val="18"/>
        <w:szCs w:val="18"/>
      </w:rPr>
      <w:t>Fact sheet - Differences between construction procurement and goods &amp; services procurement</w:t>
    </w:r>
    <w:r w:rsidR="005E3920" w:rsidRPr="00AD32F7">
      <w:rPr>
        <w:rFonts w:ascii="Arial" w:hAnsi="Arial" w:cs="Arial"/>
        <w:b/>
        <w:color w:val="4F81BD" w:themeColor="accent1"/>
        <w:sz w:val="18"/>
        <w:szCs w:val="18"/>
      </w:rPr>
      <w:fldChar w:fldCharType="end"/>
    </w:r>
    <w:r w:rsidR="005E3920" w:rsidRPr="00AD32F7">
      <w:rPr>
        <w:rFonts w:ascii="Arial" w:hAnsi="Arial" w:cs="Arial"/>
        <w:b/>
        <w:color w:val="4F81BD" w:themeColor="accent1"/>
        <w:sz w:val="18"/>
        <w:szCs w:val="18"/>
      </w:rPr>
      <w:br/>
    </w:r>
    <w:r w:rsidR="005E3920" w:rsidRPr="00AD32F7">
      <w:rPr>
        <w:rFonts w:ascii="Arial" w:hAnsi="Arial" w:cs="Arial"/>
        <w:sz w:val="18"/>
        <w:szCs w:val="18"/>
      </w:rPr>
      <w:fldChar w:fldCharType="begin"/>
    </w:r>
    <w:r w:rsidR="005E3920" w:rsidRPr="00AD32F7">
      <w:rPr>
        <w:rFonts w:ascii="Arial" w:hAnsi="Arial" w:cs="Arial"/>
        <w:sz w:val="18"/>
        <w:szCs w:val="18"/>
      </w:rPr>
      <w:instrText xml:space="preserve"> StyleRef “Tertiary Title” </w:instrText>
    </w:r>
    <w:r w:rsidR="005E3920" w:rsidRPr="00AD32F7">
      <w:rPr>
        <w:rFonts w:ascii="Arial" w:hAnsi="Arial" w:cs="Arial"/>
        <w:sz w:val="18"/>
        <w:szCs w:val="18"/>
      </w:rPr>
      <w:fldChar w:fldCharType="separate"/>
    </w:r>
    <w:r w:rsidR="0054060E">
      <w:rPr>
        <w:rFonts w:ascii="Arial" w:hAnsi="Arial" w:cs="Arial"/>
        <w:noProof/>
        <w:sz w:val="18"/>
        <w:szCs w:val="18"/>
      </w:rPr>
      <w:t>Effective date 1 July 2018</w:t>
    </w:r>
    <w:r w:rsidR="005E3920" w:rsidRPr="00AD32F7">
      <w:rPr>
        <w:rFonts w:ascii="Arial" w:hAnsi="Arial" w:cs="Arial"/>
        <w:sz w:val="18"/>
        <w:szCs w:val="18"/>
      </w:rPr>
      <w:fldChar w:fldCharType="end"/>
    </w:r>
    <w:r w:rsidR="005E3920" w:rsidRPr="00AD32F7">
      <w:rPr>
        <w:rFonts w:ascii="Arial" w:hAnsi="Arial" w:cs="Arial"/>
        <w:sz w:val="18"/>
        <w:szCs w:val="18"/>
      </w:rPr>
      <w:tab/>
    </w:r>
    <w:r w:rsidR="005E3920">
      <w:rPr>
        <w:rFonts w:ascii="Arial" w:hAnsi="Arial" w:cs="Arial"/>
        <w:sz w:val="18"/>
        <w:szCs w:val="18"/>
      </w:rPr>
      <w:tab/>
    </w:r>
    <w:r w:rsidR="005E3920" w:rsidRPr="0065104F">
      <w:rPr>
        <w:rFonts w:ascii="Arial" w:hAnsi="Arial" w:cs="Arial"/>
        <w:sz w:val="18"/>
        <w:szCs w:val="18"/>
      </w:rPr>
      <w:t xml:space="preserve">Page </w:t>
    </w:r>
    <w:r w:rsidR="005E3920" w:rsidRPr="0065104F">
      <w:rPr>
        <w:rStyle w:val="PageNumber"/>
        <w:rFonts w:ascii="Arial" w:hAnsi="Arial" w:cs="Arial"/>
        <w:sz w:val="18"/>
        <w:szCs w:val="18"/>
      </w:rPr>
      <w:fldChar w:fldCharType="begin"/>
    </w:r>
    <w:r w:rsidR="005E3920" w:rsidRPr="0065104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5E3920" w:rsidRPr="0065104F">
      <w:rPr>
        <w:rStyle w:val="PageNumber"/>
        <w:rFonts w:ascii="Arial" w:hAnsi="Arial" w:cs="Arial"/>
        <w:sz w:val="18"/>
        <w:szCs w:val="18"/>
      </w:rPr>
      <w:fldChar w:fldCharType="separate"/>
    </w:r>
    <w:r w:rsidR="00017E7B">
      <w:rPr>
        <w:rStyle w:val="PageNumber"/>
        <w:rFonts w:ascii="Arial" w:hAnsi="Arial" w:cs="Arial"/>
        <w:noProof/>
        <w:sz w:val="18"/>
        <w:szCs w:val="18"/>
      </w:rPr>
      <w:t>2</w:t>
    </w:r>
    <w:r w:rsidR="005E3920" w:rsidRPr="0065104F">
      <w:rPr>
        <w:rStyle w:val="PageNumber"/>
        <w:rFonts w:ascii="Arial" w:hAnsi="Arial" w:cs="Arial"/>
        <w:sz w:val="18"/>
        <w:szCs w:val="18"/>
      </w:rPr>
      <w:fldChar w:fldCharType="end"/>
    </w:r>
    <w:r w:rsidR="005E3920" w:rsidRPr="0065104F">
      <w:rPr>
        <w:rStyle w:val="PageNumber"/>
        <w:rFonts w:ascii="Arial" w:hAnsi="Arial" w:cs="Arial"/>
        <w:sz w:val="18"/>
        <w:szCs w:val="18"/>
      </w:rPr>
      <w:t xml:space="preserve"> </w:t>
    </w:r>
    <w:r w:rsidR="005E3920" w:rsidRPr="0065104F">
      <w:rPr>
        <w:rFonts w:ascii="Arial" w:hAnsi="Arial" w:cs="Arial"/>
        <w:sz w:val="18"/>
        <w:szCs w:val="18"/>
      </w:rPr>
      <w:t xml:space="preserve">of </w:t>
    </w:r>
    <w:r w:rsidR="005E3920" w:rsidRPr="0065104F">
      <w:rPr>
        <w:rFonts w:ascii="Arial" w:hAnsi="Arial" w:cs="Arial"/>
        <w:bCs/>
        <w:sz w:val="18"/>
        <w:szCs w:val="18"/>
      </w:rPr>
      <w:fldChar w:fldCharType="begin"/>
    </w:r>
    <w:r w:rsidR="005E3920" w:rsidRPr="0065104F">
      <w:rPr>
        <w:rFonts w:ascii="Arial" w:hAnsi="Arial" w:cs="Arial"/>
        <w:bCs/>
        <w:sz w:val="18"/>
        <w:szCs w:val="18"/>
      </w:rPr>
      <w:instrText xml:space="preserve"> NUMPAGES  </w:instrText>
    </w:r>
    <w:r w:rsidR="005E3920" w:rsidRPr="0065104F">
      <w:rPr>
        <w:rFonts w:ascii="Arial" w:hAnsi="Arial" w:cs="Arial"/>
        <w:bCs/>
        <w:sz w:val="18"/>
        <w:szCs w:val="18"/>
      </w:rPr>
      <w:fldChar w:fldCharType="separate"/>
    </w:r>
    <w:r w:rsidR="00017E7B">
      <w:rPr>
        <w:rFonts w:ascii="Arial" w:hAnsi="Arial" w:cs="Arial"/>
        <w:bCs/>
        <w:noProof/>
        <w:sz w:val="18"/>
        <w:szCs w:val="18"/>
      </w:rPr>
      <w:t>3</w:t>
    </w:r>
    <w:r w:rsidR="005E3920" w:rsidRPr="0065104F">
      <w:rPr>
        <w:rFonts w:ascii="Arial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920" w:rsidRDefault="005E3920" w:rsidP="00451477">
    <w:pPr>
      <w:pStyle w:val="Footer"/>
      <w:jc w:val="center"/>
      <w:rPr>
        <w:rFonts w:ascii="Arial" w:hAnsi="Arial" w:cs="Arial"/>
        <w:b/>
        <w:color w:val="FF0000"/>
        <w:sz w:val="29"/>
      </w:rPr>
    </w:pPr>
    <w:bookmarkStart w:id="2" w:name="aliashProtectiveMarkings1FooterFirstPage"/>
  </w:p>
  <w:bookmarkEnd w:id="2"/>
  <w:p w:rsidR="005E3920" w:rsidRDefault="005E3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142" w:rsidRDefault="006E4142" w:rsidP="00B97DEA">
      <w:pPr>
        <w:spacing w:after="0" w:line="240" w:lineRule="auto"/>
      </w:pPr>
      <w:r>
        <w:separator/>
      </w:r>
    </w:p>
  </w:footnote>
  <w:footnote w:type="continuationSeparator" w:id="0">
    <w:p w:rsidR="006E4142" w:rsidRDefault="006E4142" w:rsidP="00B9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920" w:rsidRDefault="005E392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13D66022" wp14:editId="2232B5F2">
          <wp:simplePos x="0" y="0"/>
          <wp:positionH relativeFrom="column">
            <wp:posOffset>-274955</wp:posOffset>
          </wp:positionH>
          <wp:positionV relativeFrom="page">
            <wp:posOffset>191770</wp:posOffset>
          </wp:positionV>
          <wp:extent cx="1183640" cy="3524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64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E7AC43B" wp14:editId="16C6D192">
          <wp:simplePos x="0" y="0"/>
          <wp:positionH relativeFrom="column">
            <wp:posOffset>-2275840</wp:posOffset>
          </wp:positionH>
          <wp:positionV relativeFrom="page">
            <wp:posOffset>67945</wp:posOffset>
          </wp:positionV>
          <wp:extent cx="13157835" cy="548640"/>
          <wp:effectExtent l="0" t="0" r="571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HEADER_9545 DTF Covers A4 Final_Blue6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50"/>
                  <a:stretch/>
                </pic:blipFill>
                <pic:spPr bwMode="auto">
                  <a:xfrm>
                    <a:off x="0" y="0"/>
                    <a:ext cx="13157835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22D"/>
    <w:multiLevelType w:val="hybridMultilevel"/>
    <w:tmpl w:val="406E0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2E87"/>
    <w:multiLevelType w:val="multilevel"/>
    <w:tmpl w:val="630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317B0"/>
    <w:multiLevelType w:val="hybridMultilevel"/>
    <w:tmpl w:val="DD6E7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4DDA"/>
    <w:multiLevelType w:val="hybridMultilevel"/>
    <w:tmpl w:val="4DFAE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F6ABA"/>
    <w:multiLevelType w:val="hybridMultilevel"/>
    <w:tmpl w:val="4EA6B5B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1D953A9"/>
    <w:multiLevelType w:val="hybridMultilevel"/>
    <w:tmpl w:val="7304E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37BEF"/>
    <w:multiLevelType w:val="hybridMultilevel"/>
    <w:tmpl w:val="93E42EA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0D352D"/>
    <w:multiLevelType w:val="hybridMultilevel"/>
    <w:tmpl w:val="69BE2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F1732"/>
    <w:multiLevelType w:val="hybridMultilevel"/>
    <w:tmpl w:val="21529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0309C"/>
    <w:multiLevelType w:val="hybridMultilevel"/>
    <w:tmpl w:val="34FC1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E3FD6"/>
    <w:multiLevelType w:val="hybridMultilevel"/>
    <w:tmpl w:val="65224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D3A6A"/>
    <w:multiLevelType w:val="multilevel"/>
    <w:tmpl w:val="F58A407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2" w15:restartNumberingAfterBreak="0">
    <w:nsid w:val="4565771F"/>
    <w:multiLevelType w:val="hybridMultilevel"/>
    <w:tmpl w:val="78BA1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7B99"/>
    <w:multiLevelType w:val="hybridMultilevel"/>
    <w:tmpl w:val="D0BE8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746EA"/>
    <w:multiLevelType w:val="hybridMultilevel"/>
    <w:tmpl w:val="E87A3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B2AFB"/>
    <w:multiLevelType w:val="hybridMultilevel"/>
    <w:tmpl w:val="10ACD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2499C"/>
    <w:multiLevelType w:val="hybridMultilevel"/>
    <w:tmpl w:val="35F67AEE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5AE30904"/>
    <w:multiLevelType w:val="hybridMultilevel"/>
    <w:tmpl w:val="2206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E58FD"/>
    <w:multiLevelType w:val="hybridMultilevel"/>
    <w:tmpl w:val="497C7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759E0"/>
    <w:multiLevelType w:val="hybridMultilevel"/>
    <w:tmpl w:val="43265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B1D91"/>
    <w:multiLevelType w:val="hybridMultilevel"/>
    <w:tmpl w:val="E0026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506CF"/>
    <w:multiLevelType w:val="hybridMultilevel"/>
    <w:tmpl w:val="6C3A787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7BBA72E0"/>
    <w:multiLevelType w:val="hybridMultilevel"/>
    <w:tmpl w:val="BA1A2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C2375"/>
    <w:multiLevelType w:val="hybridMultilevel"/>
    <w:tmpl w:val="0D2E1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16"/>
  </w:num>
  <w:num w:numId="7">
    <w:abstractNumId w:val="14"/>
  </w:num>
  <w:num w:numId="8">
    <w:abstractNumId w:val="15"/>
  </w:num>
  <w:num w:numId="9">
    <w:abstractNumId w:val="11"/>
  </w:num>
  <w:num w:numId="10">
    <w:abstractNumId w:val="13"/>
  </w:num>
  <w:num w:numId="11">
    <w:abstractNumId w:val="10"/>
  </w:num>
  <w:num w:numId="12">
    <w:abstractNumId w:val="2"/>
  </w:num>
  <w:num w:numId="13">
    <w:abstractNumId w:val="5"/>
  </w:num>
  <w:num w:numId="14">
    <w:abstractNumId w:val="23"/>
  </w:num>
  <w:num w:numId="15">
    <w:abstractNumId w:val="9"/>
  </w:num>
  <w:num w:numId="16">
    <w:abstractNumId w:val="17"/>
  </w:num>
  <w:num w:numId="17">
    <w:abstractNumId w:val="18"/>
  </w:num>
  <w:num w:numId="18">
    <w:abstractNumId w:val="19"/>
  </w:num>
  <w:num w:numId="19">
    <w:abstractNumId w:val="22"/>
  </w:num>
  <w:num w:numId="20">
    <w:abstractNumId w:val="0"/>
  </w:num>
  <w:num w:numId="21">
    <w:abstractNumId w:val="20"/>
  </w:num>
  <w:num w:numId="22">
    <w:abstractNumId w:val="1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EA"/>
    <w:rsid w:val="00017E7B"/>
    <w:rsid w:val="00073A2E"/>
    <w:rsid w:val="00077786"/>
    <w:rsid w:val="0009569D"/>
    <w:rsid w:val="000A1851"/>
    <w:rsid w:val="001037B2"/>
    <w:rsid w:val="00123D92"/>
    <w:rsid w:val="00142A7C"/>
    <w:rsid w:val="00174A5A"/>
    <w:rsid w:val="001968D3"/>
    <w:rsid w:val="001B25D5"/>
    <w:rsid w:val="001E71FA"/>
    <w:rsid w:val="00214A50"/>
    <w:rsid w:val="00237BA3"/>
    <w:rsid w:val="00243CE3"/>
    <w:rsid w:val="0024717B"/>
    <w:rsid w:val="0025535C"/>
    <w:rsid w:val="00270A39"/>
    <w:rsid w:val="00271417"/>
    <w:rsid w:val="002A1F37"/>
    <w:rsid w:val="002C3FF9"/>
    <w:rsid w:val="002F7795"/>
    <w:rsid w:val="0034221B"/>
    <w:rsid w:val="00344732"/>
    <w:rsid w:val="00351279"/>
    <w:rsid w:val="003A602D"/>
    <w:rsid w:val="003B5393"/>
    <w:rsid w:val="003C7DFE"/>
    <w:rsid w:val="003F5F85"/>
    <w:rsid w:val="00402E8F"/>
    <w:rsid w:val="00450698"/>
    <w:rsid w:val="00451477"/>
    <w:rsid w:val="00465780"/>
    <w:rsid w:val="0049248C"/>
    <w:rsid w:val="004B4C68"/>
    <w:rsid w:val="00531C9F"/>
    <w:rsid w:val="0054060E"/>
    <w:rsid w:val="00547F55"/>
    <w:rsid w:val="00571141"/>
    <w:rsid w:val="005722D3"/>
    <w:rsid w:val="00583B48"/>
    <w:rsid w:val="005D1C50"/>
    <w:rsid w:val="005E3920"/>
    <w:rsid w:val="006038D5"/>
    <w:rsid w:val="00611B52"/>
    <w:rsid w:val="006348E1"/>
    <w:rsid w:val="0065104F"/>
    <w:rsid w:val="00667C8D"/>
    <w:rsid w:val="006719E4"/>
    <w:rsid w:val="00676B72"/>
    <w:rsid w:val="00691D3A"/>
    <w:rsid w:val="006A5CA7"/>
    <w:rsid w:val="006B65D8"/>
    <w:rsid w:val="006E4142"/>
    <w:rsid w:val="00715FE9"/>
    <w:rsid w:val="00723B4C"/>
    <w:rsid w:val="00751A85"/>
    <w:rsid w:val="00783878"/>
    <w:rsid w:val="007A08A9"/>
    <w:rsid w:val="007C2CDB"/>
    <w:rsid w:val="007D28DD"/>
    <w:rsid w:val="00841847"/>
    <w:rsid w:val="008B4C06"/>
    <w:rsid w:val="008B764C"/>
    <w:rsid w:val="008C0FE9"/>
    <w:rsid w:val="008D66CC"/>
    <w:rsid w:val="008E69EB"/>
    <w:rsid w:val="009429B7"/>
    <w:rsid w:val="009438E1"/>
    <w:rsid w:val="009644B1"/>
    <w:rsid w:val="00973264"/>
    <w:rsid w:val="009C4F99"/>
    <w:rsid w:val="009F5F90"/>
    <w:rsid w:val="00A60853"/>
    <w:rsid w:val="00AD32F7"/>
    <w:rsid w:val="00AD49C5"/>
    <w:rsid w:val="00B149C9"/>
    <w:rsid w:val="00B44377"/>
    <w:rsid w:val="00B5661A"/>
    <w:rsid w:val="00B83718"/>
    <w:rsid w:val="00B97DEA"/>
    <w:rsid w:val="00BE7F2F"/>
    <w:rsid w:val="00BF51D7"/>
    <w:rsid w:val="00C2356E"/>
    <w:rsid w:val="00C3127D"/>
    <w:rsid w:val="00C40608"/>
    <w:rsid w:val="00C6366F"/>
    <w:rsid w:val="00C9121F"/>
    <w:rsid w:val="00C93D7D"/>
    <w:rsid w:val="00CA2CBC"/>
    <w:rsid w:val="00CB1828"/>
    <w:rsid w:val="00CD43E4"/>
    <w:rsid w:val="00CE22FC"/>
    <w:rsid w:val="00D77FB5"/>
    <w:rsid w:val="00DB3D36"/>
    <w:rsid w:val="00DC27D0"/>
    <w:rsid w:val="00DD491B"/>
    <w:rsid w:val="00DF5019"/>
    <w:rsid w:val="00E03228"/>
    <w:rsid w:val="00E046A0"/>
    <w:rsid w:val="00E04846"/>
    <w:rsid w:val="00E23746"/>
    <w:rsid w:val="00E53E88"/>
    <w:rsid w:val="00EA71A4"/>
    <w:rsid w:val="00EA7AF6"/>
    <w:rsid w:val="00EB1FEF"/>
    <w:rsid w:val="00EC582A"/>
    <w:rsid w:val="00ED22EE"/>
    <w:rsid w:val="00ED49AF"/>
    <w:rsid w:val="00F0434F"/>
    <w:rsid w:val="00F26901"/>
    <w:rsid w:val="00F44480"/>
    <w:rsid w:val="00F55A8A"/>
    <w:rsid w:val="00F95883"/>
    <w:rsid w:val="00FC0B35"/>
    <w:rsid w:val="00FC40BD"/>
    <w:rsid w:val="00FD45DA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B2FE3E4-2886-4BC8-9ADA-63548355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51477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2"/>
      <w:sz w:val="28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D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DEA"/>
  </w:style>
  <w:style w:type="paragraph" w:styleId="Footer">
    <w:name w:val="footer"/>
    <w:basedOn w:val="Normal"/>
    <w:link w:val="FooterChar"/>
    <w:uiPriority w:val="24"/>
    <w:unhideWhenUsed/>
    <w:rsid w:val="00B97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24"/>
    <w:rsid w:val="00B97DEA"/>
  </w:style>
  <w:style w:type="paragraph" w:customStyle="1" w:styleId="TertiaryTitle">
    <w:name w:val="Tertiary Title"/>
    <w:next w:val="Normal"/>
    <w:uiPriority w:val="98"/>
    <w:rsid w:val="00AD49C5"/>
    <w:pPr>
      <w:spacing w:after="0" w:line="440" w:lineRule="exact"/>
    </w:pPr>
    <w:rPr>
      <w:rFonts w:asciiTheme="majorHAnsi" w:eastAsia="Times New Roman" w:hAnsiTheme="majorHAnsi" w:cstheme="majorHAnsi"/>
      <w:color w:val="4F81BD" w:themeColor="accent1"/>
      <w:spacing w:val="-2"/>
      <w:szCs w:val="40"/>
    </w:rPr>
  </w:style>
  <w:style w:type="paragraph" w:styleId="Title">
    <w:name w:val="Title"/>
    <w:link w:val="TitleChar"/>
    <w:uiPriority w:val="97"/>
    <w:rsid w:val="00AD49C5"/>
    <w:pPr>
      <w:spacing w:after="40" w:line="252" w:lineRule="auto"/>
    </w:pPr>
    <w:rPr>
      <w:rFonts w:asciiTheme="majorHAnsi" w:eastAsia="Times New Roman" w:hAnsiTheme="majorHAnsi" w:cstheme="majorHAnsi"/>
      <w:b/>
      <w:color w:val="4F81BD" w:themeColor="accent1"/>
      <w:spacing w:val="-2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97"/>
    <w:rsid w:val="00AD49C5"/>
    <w:rPr>
      <w:rFonts w:asciiTheme="majorHAnsi" w:eastAsia="Times New Roman" w:hAnsiTheme="majorHAnsi" w:cstheme="majorHAnsi"/>
      <w:b/>
      <w:color w:val="4F81BD" w:themeColor="accent1"/>
      <w:spacing w:val="-2"/>
      <w:sz w:val="52"/>
      <w:szCs w:val="52"/>
      <w:lang w:eastAsia="en-AU"/>
    </w:rPr>
  </w:style>
  <w:style w:type="character" w:styleId="PageNumber">
    <w:name w:val="page number"/>
    <w:uiPriority w:val="49"/>
    <w:semiHidden/>
    <w:rsid w:val="00AD32F7"/>
    <w:rPr>
      <w:b w:val="0"/>
      <w:color w:val="000000" w:themeColor="text1"/>
    </w:rPr>
  </w:style>
  <w:style w:type="paragraph" w:customStyle="1" w:styleId="Bullet1">
    <w:name w:val="Bullet 1"/>
    <w:uiPriority w:val="1"/>
    <w:qFormat/>
    <w:rsid w:val="008B764C"/>
    <w:pPr>
      <w:numPr>
        <w:numId w:val="9"/>
      </w:numPr>
      <w:spacing w:before="100" w:after="100" w:line="240" w:lineRule="auto"/>
      <w:contextualSpacing/>
    </w:pPr>
    <w:rPr>
      <w:rFonts w:eastAsia="Times New Roman" w:cs="Calibri"/>
      <w:spacing w:val="2"/>
      <w:sz w:val="20"/>
      <w:szCs w:val="20"/>
      <w:lang w:eastAsia="en-AU"/>
    </w:rPr>
  </w:style>
  <w:style w:type="paragraph" w:customStyle="1" w:styleId="Bullet2">
    <w:name w:val="Bullet 2"/>
    <w:basedOn w:val="Bullet1"/>
    <w:uiPriority w:val="1"/>
    <w:qFormat/>
    <w:rsid w:val="008B764C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8B764C"/>
    <w:pPr>
      <w:numPr>
        <w:ilvl w:val="2"/>
      </w:numPr>
    </w:pPr>
  </w:style>
  <w:style w:type="paragraph" w:styleId="NormalIndent">
    <w:name w:val="Normal Indent"/>
    <w:basedOn w:val="Normal"/>
    <w:uiPriority w:val="9"/>
    <w:qFormat/>
    <w:rsid w:val="008B764C"/>
    <w:pPr>
      <w:spacing w:before="160" w:after="100" w:line="252" w:lineRule="auto"/>
      <w:ind w:left="792"/>
    </w:pPr>
    <w:rPr>
      <w:rFonts w:eastAsiaTheme="minorEastAsia"/>
      <w:spacing w:val="2"/>
      <w:sz w:val="20"/>
      <w:szCs w:val="20"/>
      <w:lang w:eastAsia="en-AU"/>
    </w:rPr>
  </w:style>
  <w:style w:type="paragraph" w:customStyle="1" w:styleId="Bulletindent2">
    <w:name w:val="Bullet indent 2"/>
    <w:basedOn w:val="Normal"/>
    <w:uiPriority w:val="9"/>
    <w:qFormat/>
    <w:rsid w:val="008B764C"/>
    <w:pPr>
      <w:numPr>
        <w:ilvl w:val="3"/>
        <w:numId w:val="9"/>
      </w:numPr>
      <w:spacing w:before="100" w:after="100"/>
      <w:contextualSpacing/>
    </w:pPr>
    <w:rPr>
      <w:rFonts w:eastAsiaTheme="minorEastAsia"/>
      <w:spacing w:val="2"/>
      <w:sz w:val="20"/>
      <w:szCs w:val="20"/>
      <w:lang w:eastAsia="en-AU"/>
    </w:rPr>
  </w:style>
  <w:style w:type="table" w:styleId="LightShading">
    <w:name w:val="Light Shading"/>
    <w:basedOn w:val="TableNormal"/>
    <w:uiPriority w:val="60"/>
    <w:rsid w:val="0065104F"/>
    <w:pPr>
      <w:spacing w:after="0" w:line="240" w:lineRule="auto"/>
    </w:pPr>
    <w:rPr>
      <w:rFonts w:eastAsiaTheme="minorEastAsia"/>
      <w:color w:val="000000" w:themeColor="tex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B18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690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451477"/>
    <w:rPr>
      <w:rFonts w:asciiTheme="majorHAnsi" w:eastAsiaTheme="majorEastAsia" w:hAnsiTheme="majorHAnsi" w:cstheme="majorBidi"/>
      <w:b/>
      <w:bCs/>
      <w:color w:val="4F81BD" w:themeColor="accent1"/>
      <w:spacing w:val="2"/>
      <w:sz w:val="28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urement.vic.gov.au/About-the-VGPB/Scope-of-Policies" TargetMode="External"/><Relationship Id="rId13" Type="http://schemas.openxmlformats.org/officeDocument/2006/relationships/hyperlink" Target="https://www.dtf.vic.gov.au/public-construction-policy-and-resources/ministerial-directions-and-instructions-public-construction-procurement" TargetMode="External"/><Relationship Id="rId18" Type="http://schemas.openxmlformats.org/officeDocument/2006/relationships/hyperlink" Target="http://www.procurement.vic.gov.au/Buyers/Policies-Guides-and-Tools/Complexity-and-Capability-Assessment-Polic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procurement.vic.gov.au/About-the-VGPB/Scope-of-Policies" TargetMode="External"/><Relationship Id="rId17" Type="http://schemas.openxmlformats.org/officeDocument/2006/relationships/hyperlink" Target="http://www.procurement.vic.gov.au/Buyers/Policies-Guides-and-Tool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dtf.vic.gov.au/practitioners-toolkit-fact-sheets-public-construction-procuremen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stlii.edu.au/au/legis/vic/consol_act/paa2004230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tf.vic.gov.au/practitioners-toolkit/practitioners-toolkit-standard-form-contracts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dtf.vic.gov.au/files/953ef0bd-0ab4-4835-af21-a78300bc51ac/Is-your-agency-subject-to-the-Standing-Directions-of-the-Minister-for-Finance.pdf" TargetMode="External"/><Relationship Id="rId19" Type="http://schemas.openxmlformats.org/officeDocument/2006/relationships/hyperlink" Target="http://www.procurement.vic.gov.au/Buyers/Policies-Guides-and-Tools/Contract-Management-and-Contract-Disclosure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truction.procurement@dtf.vic.gov.au?subject=Feedback%20on%20Draft%20Revised%20Ministerial%20Directions" TargetMode="External"/><Relationship Id="rId14" Type="http://schemas.openxmlformats.org/officeDocument/2006/relationships/hyperlink" Target="https://www.dtf.vic.gov.au/practitioners-toolkit/practitioners-toolkit-guidance-public-construction-procurement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6A650D5-6828-4728-B170-30E59BB6F6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Fact-sheet-Differences-between-construction-procurement-and-goods-&amp;-services-procurement</vt:lpstr>
    </vt:vector>
  </TitlesOfParts>
  <Company>Department of Treasury and Finance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Fact-sheet-Differences-between-construction-procurement-and-goods-&amp;-services-procurement</dc:title>
  <dc:creator>Athena Rozenberg</dc:creator>
  <cp:lastModifiedBy>Athena Rozenberg (DTF)</cp:lastModifiedBy>
  <cp:revision>33</cp:revision>
  <dcterms:created xsi:type="dcterms:W3CDTF">2018-05-11T08:03:00Z</dcterms:created>
  <dcterms:modified xsi:type="dcterms:W3CDTF">2020-01-21T01:29:00Z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18df538e-558d-4329-9ab8-bd93460ddfc4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athena.rozenberg@dtf.vic.gov.au</vt:lpwstr>
  </property>
  <property fmtid="{D5CDD505-2E9C-101B-9397-08002B2CF9AE}" pid="7" name="MSIP_Label_7158ebbd-6c5e-441f-bfc9-4eb8c11e3978_SetDate">
    <vt:lpwstr>2020-01-03T04:27:30.0887111Z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Sensitivity">
    <vt:lpwstr>OFFICIAL</vt:lpwstr>
  </property>
</Properties>
</file>