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7A3" w:rsidRPr="00FA266B" w:rsidRDefault="00254E72" w:rsidP="00990A01">
      <w:pPr>
        <w:pStyle w:val="Heading1"/>
        <w:spacing w:before="0" w:after="120"/>
        <w:jc w:val="center"/>
        <w:rPr>
          <w:lang w:eastAsia="en-US"/>
        </w:rPr>
      </w:pPr>
      <w:bookmarkStart w:id="0" w:name="_Toc442780672"/>
      <w:r>
        <w:rPr>
          <w:lang w:eastAsia="en-US"/>
        </w:rPr>
        <w:t xml:space="preserve">Fact-sheet - </w:t>
      </w:r>
      <w:r w:rsidR="006B57A3" w:rsidRPr="00FA266B">
        <w:rPr>
          <w:lang w:eastAsia="en-US"/>
        </w:rPr>
        <w:t xml:space="preserve">Summary of </w:t>
      </w:r>
      <w:r w:rsidR="006B57A3">
        <w:rPr>
          <w:lang w:eastAsia="en-US"/>
        </w:rPr>
        <w:t xml:space="preserve">key changes </w:t>
      </w:r>
      <w:r w:rsidR="007B7C04">
        <w:rPr>
          <w:lang w:eastAsia="en-US"/>
        </w:rPr>
        <w:t xml:space="preserve">in </w:t>
      </w:r>
      <w:r w:rsidR="006B57A3" w:rsidRPr="00FA266B">
        <w:rPr>
          <w:lang w:eastAsia="en-US"/>
        </w:rPr>
        <w:t>the Ministerial Directions for Public Construction</w:t>
      </w:r>
    </w:p>
    <w:p w:rsidR="006B57A3" w:rsidRPr="008B252F" w:rsidRDefault="00254E72" w:rsidP="006B57A3">
      <w:pPr>
        <w:pStyle w:val="TertiaryTitle"/>
        <w:spacing w:line="240" w:lineRule="auto"/>
        <w:rPr>
          <w:b/>
          <w:sz w:val="22"/>
          <w:szCs w:val="22"/>
        </w:rPr>
      </w:pPr>
      <w:r>
        <w:rPr>
          <w:b/>
          <w:sz w:val="22"/>
          <w:szCs w:val="22"/>
        </w:rPr>
        <w:t>Effective date 1 July 2018</w:t>
      </w:r>
    </w:p>
    <w:p w:rsidR="006B57A3" w:rsidRDefault="006B57A3" w:rsidP="006B57A3">
      <w:pPr>
        <w:pStyle w:val="Heading2"/>
        <w:tabs>
          <w:tab w:val="left" w:pos="5952"/>
        </w:tabs>
        <w:rPr>
          <w:lang w:eastAsia="en-US"/>
        </w:rPr>
      </w:pPr>
      <w:r>
        <w:rPr>
          <w:lang w:eastAsia="en-US"/>
        </w:rPr>
        <w:t>Introduction</w:t>
      </w:r>
    </w:p>
    <w:p w:rsidR="006B57A3" w:rsidRPr="00A60B1C" w:rsidRDefault="006B57A3" w:rsidP="006B57A3">
      <w:pPr>
        <w:autoSpaceDE w:val="0"/>
        <w:autoSpaceDN w:val="0"/>
        <w:adjustRightInd w:val="0"/>
        <w:rPr>
          <w:rFonts w:ascii="Helv" w:hAnsi="Helv" w:cs="Helv"/>
          <w:color w:val="000000"/>
          <w:szCs w:val="21"/>
        </w:rPr>
      </w:pPr>
      <w:r>
        <w:rPr>
          <w:rFonts w:ascii="Helv" w:hAnsi="Helv" w:cs="Helv"/>
          <w:color w:val="000000"/>
          <w:szCs w:val="21"/>
        </w:rPr>
        <w:t>T</w:t>
      </w:r>
      <w:r w:rsidRPr="00A60B1C">
        <w:rPr>
          <w:rFonts w:ascii="Helv" w:hAnsi="Helv" w:cs="Helv"/>
          <w:color w:val="000000"/>
          <w:szCs w:val="21"/>
        </w:rPr>
        <w:t xml:space="preserve">he format of the </w:t>
      </w:r>
      <w:r>
        <w:rPr>
          <w:rFonts w:ascii="Helv" w:hAnsi="Helv" w:cs="Helv"/>
          <w:color w:val="000000"/>
          <w:szCs w:val="21"/>
        </w:rPr>
        <w:t xml:space="preserve">Ministerial Directions </w:t>
      </w:r>
      <w:r w:rsidRPr="00A60B1C">
        <w:rPr>
          <w:rFonts w:ascii="Helv" w:hAnsi="Helv" w:cs="Helv"/>
          <w:color w:val="000000"/>
          <w:szCs w:val="21"/>
        </w:rPr>
        <w:t>is a tiered structure of mandatory directions and instructions, supp</w:t>
      </w:r>
      <w:r>
        <w:rPr>
          <w:rFonts w:ascii="Helv" w:hAnsi="Helv" w:cs="Helv"/>
          <w:color w:val="000000"/>
          <w:szCs w:val="21"/>
        </w:rPr>
        <w:t>orted by non-mandatory guidance.</w:t>
      </w:r>
    </w:p>
    <w:p w:rsidR="006B57A3" w:rsidRPr="007424BE" w:rsidRDefault="006B57A3" w:rsidP="006B57A3">
      <w:pPr>
        <w:rPr>
          <w:rFonts w:eastAsia="MS Mincho"/>
        </w:rPr>
      </w:pPr>
      <w:r w:rsidRPr="007424BE">
        <w:rPr>
          <w:rFonts w:eastAsia="MS Mincho"/>
        </w:rPr>
        <w:t xml:space="preserve">The </w:t>
      </w:r>
      <w:hyperlink r:id="rId9" w:history="1">
        <w:r w:rsidRPr="00254E72">
          <w:rPr>
            <w:rStyle w:val="Hyperlink"/>
            <w:rFonts w:eastAsia="MS Mincho"/>
            <w:b/>
          </w:rPr>
          <w:t>Ministerial Directions</w:t>
        </w:r>
        <w:r w:rsidR="00254E72" w:rsidRPr="00254E72">
          <w:rPr>
            <w:rStyle w:val="Hyperlink"/>
            <w:rFonts w:eastAsia="MS Mincho"/>
            <w:b/>
          </w:rPr>
          <w:t xml:space="preserve"> and Instructions</w:t>
        </w:r>
      </w:hyperlink>
      <w:r w:rsidRPr="007424BE">
        <w:rPr>
          <w:rFonts w:eastAsia="MS Mincho"/>
        </w:rPr>
        <w:t xml:space="preserve"> replace the current:</w:t>
      </w:r>
    </w:p>
    <w:p w:rsidR="006B57A3" w:rsidRPr="007424BE" w:rsidRDefault="006B57A3" w:rsidP="006B57A3">
      <w:pPr>
        <w:pStyle w:val="Bullet1"/>
      </w:pPr>
      <w:r w:rsidRPr="007424BE">
        <w:t>Ministerial Direction No 1 – Tendering provisions for public construction</w:t>
      </w:r>
      <w:r>
        <w:t xml:space="preserve">, </w:t>
      </w:r>
    </w:p>
    <w:p w:rsidR="00D656FF" w:rsidRDefault="006B57A3" w:rsidP="00D656FF">
      <w:pPr>
        <w:pStyle w:val="Bullet1"/>
      </w:pPr>
      <w:r w:rsidRPr="007424BE">
        <w:t>Ministerial Direction No 2 – Contractual provision</w:t>
      </w:r>
      <w:r>
        <w:t>s</w:t>
      </w:r>
      <w:r w:rsidRPr="007424BE">
        <w:t xml:space="preserve"> for public construction</w:t>
      </w:r>
      <w:r w:rsidR="00D656FF">
        <w:t>; and</w:t>
      </w:r>
    </w:p>
    <w:p w:rsidR="006B57A3" w:rsidRPr="002A30DA" w:rsidRDefault="00D656FF" w:rsidP="00D656FF">
      <w:pPr>
        <w:pStyle w:val="Bullet1"/>
        <w:rPr>
          <w:rFonts w:cstheme="minorHAnsi"/>
        </w:rPr>
      </w:pPr>
      <w:r w:rsidRPr="002A30DA">
        <w:rPr>
          <w:rFonts w:cstheme="minorHAnsi"/>
        </w:rPr>
        <w:t xml:space="preserve">Ministerial Direction No </w:t>
      </w:r>
      <w:r w:rsidR="002A30DA" w:rsidRPr="002A30DA">
        <w:rPr>
          <w:rFonts w:cstheme="minorHAnsi"/>
        </w:rPr>
        <w:t xml:space="preserve">4 – </w:t>
      </w:r>
      <w:r w:rsidR="002A30DA" w:rsidRPr="002A30DA">
        <w:rPr>
          <w:rFonts w:cstheme="minorHAnsi"/>
          <w:color w:val="000000"/>
          <w:lang w:val="en"/>
        </w:rPr>
        <w:t>Construction Requirements for a Community Fire Refuge</w:t>
      </w:r>
      <w:r w:rsidR="00701012">
        <w:rPr>
          <w:rStyle w:val="FootnoteReference"/>
          <w:rFonts w:cstheme="minorHAnsi"/>
        </w:rPr>
        <w:footnoteReference w:id="1"/>
      </w:r>
      <w:r w:rsidR="006B57A3" w:rsidRPr="002A30DA">
        <w:rPr>
          <w:rFonts w:cstheme="minorHAnsi"/>
        </w:rPr>
        <w:t>.</w:t>
      </w:r>
    </w:p>
    <w:p w:rsidR="006B57A3" w:rsidRDefault="006B57A3" w:rsidP="006B57A3">
      <w:pPr>
        <w:rPr>
          <w:rFonts w:eastAsia="MS Mincho"/>
        </w:rPr>
      </w:pPr>
      <w:r>
        <w:rPr>
          <w:rFonts w:eastAsia="MS Mincho"/>
        </w:rPr>
        <w:t xml:space="preserve">The Guides to the former Ministerial Directions are replaced by mandatory </w:t>
      </w:r>
      <w:r w:rsidRPr="00990A01">
        <w:rPr>
          <w:rFonts w:eastAsia="MS Mincho"/>
          <w:b/>
        </w:rPr>
        <w:t>Instructions</w:t>
      </w:r>
      <w:r w:rsidR="00990A01">
        <w:rPr>
          <w:rFonts w:eastAsia="MS Mincho"/>
        </w:rPr>
        <w:t xml:space="preserve">, </w:t>
      </w:r>
      <w:r>
        <w:rPr>
          <w:rFonts w:eastAsia="MS Mincho"/>
        </w:rPr>
        <w:t>issued by the Secretary</w:t>
      </w:r>
      <w:r w:rsidR="00FC3C0C">
        <w:rPr>
          <w:rFonts w:eastAsia="MS Mincho"/>
        </w:rPr>
        <w:t xml:space="preserve"> of the Department of Treasury and Finance</w:t>
      </w:r>
      <w:r>
        <w:rPr>
          <w:rFonts w:eastAsia="MS Mincho"/>
        </w:rPr>
        <w:t xml:space="preserve">, and non-mandatory </w:t>
      </w:r>
      <w:r w:rsidRPr="005A19AF">
        <w:rPr>
          <w:rFonts w:eastAsia="MS Mincho"/>
          <w:b/>
        </w:rPr>
        <w:t>Guidance</w:t>
      </w:r>
      <w:r w:rsidR="00990A01">
        <w:rPr>
          <w:rFonts w:eastAsia="MS Mincho"/>
          <w:b/>
        </w:rPr>
        <w:t>,</w:t>
      </w:r>
      <w:r w:rsidR="00FB3102">
        <w:rPr>
          <w:rFonts w:eastAsia="MS Mincho"/>
          <w:b/>
        </w:rPr>
        <w:t xml:space="preserve"> </w:t>
      </w:r>
      <w:r w:rsidR="00701012">
        <w:rPr>
          <w:rFonts w:eastAsia="MS Mincho"/>
        </w:rPr>
        <w:t xml:space="preserve">issued by the Department of </w:t>
      </w:r>
      <w:r w:rsidR="00990A01">
        <w:rPr>
          <w:rFonts w:eastAsia="MS Mincho"/>
        </w:rPr>
        <w:t>T</w:t>
      </w:r>
      <w:r w:rsidR="00701012">
        <w:rPr>
          <w:rFonts w:eastAsia="MS Mincho"/>
        </w:rPr>
        <w:t>reasury and Finance.</w:t>
      </w:r>
    </w:p>
    <w:p w:rsidR="006B57A3" w:rsidRPr="00254E72" w:rsidRDefault="006B57A3" w:rsidP="006B57A3">
      <w:pPr>
        <w:rPr>
          <w:rFonts w:eastAsia="MS Mincho"/>
        </w:rPr>
      </w:pPr>
      <w:r w:rsidRPr="006917F9">
        <w:rPr>
          <w:rFonts w:eastAsia="MS Mincho"/>
        </w:rPr>
        <w:t xml:space="preserve">The </w:t>
      </w:r>
      <w:hyperlink r:id="rId10" w:history="1">
        <w:r w:rsidR="00990A01" w:rsidRPr="00254E72">
          <w:rPr>
            <w:rStyle w:val="Hyperlink"/>
            <w:rFonts w:eastAsia="MS Mincho"/>
          </w:rPr>
          <w:t>G</w:t>
        </w:r>
        <w:r w:rsidRPr="00254E72">
          <w:rPr>
            <w:rStyle w:val="Hyperlink"/>
            <w:rFonts w:eastAsia="MS Mincho"/>
          </w:rPr>
          <w:t>uidance</w:t>
        </w:r>
        <w:r w:rsidR="00254E72" w:rsidRPr="00254E72">
          <w:rPr>
            <w:rStyle w:val="Hyperlink"/>
            <w:rFonts w:eastAsia="MS Mincho"/>
          </w:rPr>
          <w:t xml:space="preserve"> for Public Construction</w:t>
        </w:r>
      </w:hyperlink>
      <w:r w:rsidRPr="006917F9">
        <w:rPr>
          <w:rFonts w:eastAsia="MS Mincho"/>
        </w:rPr>
        <w:t xml:space="preserve"> is a new feature to enhance support for the f</w:t>
      </w:r>
      <w:r>
        <w:rPr>
          <w:rFonts w:eastAsia="MS Mincho"/>
        </w:rPr>
        <w:t>ramework by assisting A</w:t>
      </w:r>
      <w:r w:rsidRPr="006917F9">
        <w:rPr>
          <w:rFonts w:eastAsia="MS Mincho"/>
        </w:rPr>
        <w:t xml:space="preserve">gencies to </w:t>
      </w:r>
      <w:r w:rsidR="00B76708" w:rsidRPr="00254E72">
        <w:rPr>
          <w:rFonts w:eastAsia="MS Mincho"/>
        </w:rPr>
        <w:t xml:space="preserve">consistently </w:t>
      </w:r>
      <w:r w:rsidRPr="00254E72">
        <w:rPr>
          <w:rFonts w:eastAsia="MS Mincho"/>
        </w:rPr>
        <w:t>understand and interpret the requirements of the Ministerial Directions and Instructions.</w:t>
      </w:r>
    </w:p>
    <w:p w:rsidR="006B57A3" w:rsidRDefault="006B57A3" w:rsidP="006B57A3">
      <w:pPr>
        <w:rPr>
          <w:rFonts w:eastAsia="MS Mincho"/>
        </w:rPr>
      </w:pPr>
      <w:r w:rsidRPr="00254E72">
        <w:rPr>
          <w:rFonts w:eastAsia="MS Mincho"/>
        </w:rPr>
        <w:t xml:space="preserve">The review of the Ministerial Directions was driven by the implementation of the Government’s endorsed reforms to improve the efficiency of Public Construction Procurement, which are set out in </w:t>
      </w:r>
      <w:hyperlink r:id="rId11" w:history="1">
        <w:r w:rsidRPr="00254E72">
          <w:rPr>
            <w:rStyle w:val="Hyperlink"/>
            <w:rFonts w:eastAsia="MS Mincho"/>
          </w:rPr>
          <w:t>Reforming Public Construction</w:t>
        </w:r>
      </w:hyperlink>
      <w:r w:rsidRPr="00254E72">
        <w:rPr>
          <w:rFonts w:eastAsia="MS Mincho"/>
        </w:rPr>
        <w:t>. The review of the Ministerial Directions also presented an</w:t>
      </w:r>
      <w:r>
        <w:rPr>
          <w:rFonts w:eastAsia="MS Mincho"/>
        </w:rPr>
        <w:t xml:space="preserve"> opportunity to modernise the Ministerial Directions </w:t>
      </w:r>
      <w:r w:rsidRPr="001A25AC">
        <w:rPr>
          <w:rFonts w:eastAsia="MS Mincho"/>
        </w:rPr>
        <w:t>to ensure better alignment</w:t>
      </w:r>
      <w:r>
        <w:rPr>
          <w:rFonts w:eastAsia="MS Mincho"/>
        </w:rPr>
        <w:t xml:space="preserve"> with contemporary procurement practice and governance arrangements in Victoria.</w:t>
      </w:r>
    </w:p>
    <w:p w:rsidR="006B57A3" w:rsidRPr="000F531E" w:rsidRDefault="006B57A3" w:rsidP="006B57A3">
      <w:pPr>
        <w:rPr>
          <w:b/>
        </w:rPr>
      </w:pPr>
      <w:r>
        <w:t>The revised framework has been developed with the support of the Construction Procurement Reform Advisory Panel, an inter-agency panel established by the Government to advise on th</w:t>
      </w:r>
      <w:r w:rsidR="00254E72">
        <w:t>e implementation of the reforms</w:t>
      </w:r>
      <w:r>
        <w:t>.</w:t>
      </w:r>
    </w:p>
    <w:p w:rsidR="006B57A3" w:rsidRDefault="006B57A3" w:rsidP="006B57A3">
      <w:pPr>
        <w:pStyle w:val="Heading2"/>
        <w:keepNext w:val="0"/>
        <w:keepLines w:val="0"/>
        <w:tabs>
          <w:tab w:val="left" w:pos="5952"/>
        </w:tabs>
        <w:rPr>
          <w:lang w:eastAsia="en-US"/>
        </w:rPr>
      </w:pPr>
      <w:r>
        <w:rPr>
          <w:lang w:eastAsia="en-US"/>
        </w:rPr>
        <w:t>About this document</w:t>
      </w:r>
    </w:p>
    <w:p w:rsidR="006B57A3" w:rsidRPr="007424BE" w:rsidRDefault="006B57A3" w:rsidP="006B57A3">
      <w:pPr>
        <w:rPr>
          <w:rFonts w:eastAsia="MS Mincho"/>
        </w:rPr>
      </w:pPr>
      <w:r w:rsidRPr="007424BE">
        <w:rPr>
          <w:rFonts w:eastAsia="MS Mincho"/>
        </w:rPr>
        <w:t xml:space="preserve">This </w:t>
      </w:r>
      <w:r w:rsidR="007C6DAE">
        <w:rPr>
          <w:rFonts w:eastAsia="MS Mincho"/>
        </w:rPr>
        <w:t>Fact sheet</w:t>
      </w:r>
      <w:r>
        <w:rPr>
          <w:rFonts w:eastAsia="MS Mincho"/>
        </w:rPr>
        <w:t xml:space="preserve"> </w:t>
      </w:r>
      <w:r w:rsidRPr="007424BE">
        <w:rPr>
          <w:rFonts w:eastAsia="MS Mincho"/>
        </w:rPr>
        <w:t xml:space="preserve">sets out </w:t>
      </w:r>
      <w:r>
        <w:rPr>
          <w:rFonts w:eastAsia="MS Mincho"/>
        </w:rPr>
        <w:t xml:space="preserve">a summary of key </w:t>
      </w:r>
      <w:r w:rsidRPr="007424BE">
        <w:rPr>
          <w:rFonts w:eastAsia="MS Mincho"/>
        </w:rPr>
        <w:t xml:space="preserve">changes to the Ministerial Directions. It is intended to be read </w:t>
      </w:r>
      <w:r w:rsidRPr="00254E72">
        <w:rPr>
          <w:rFonts w:eastAsia="MS Mincho"/>
        </w:rPr>
        <w:t xml:space="preserve">alongside the </w:t>
      </w:r>
      <w:hyperlink r:id="rId12" w:history="1">
        <w:r w:rsidRPr="00254E72">
          <w:rPr>
            <w:rStyle w:val="Hyperlink"/>
            <w:rFonts w:eastAsia="MS Mincho"/>
          </w:rPr>
          <w:t>Ministerial Directions and Instructions</w:t>
        </w:r>
      </w:hyperlink>
      <w:r w:rsidRPr="00254E72">
        <w:rPr>
          <w:rFonts w:eastAsia="MS Mincho"/>
        </w:rPr>
        <w:t xml:space="preserve"> to explain the reasons for the revised Ministerial Directions</w:t>
      </w:r>
      <w:r w:rsidR="007C6DAE" w:rsidRPr="00254E72">
        <w:rPr>
          <w:rFonts w:eastAsia="MS Mincho"/>
        </w:rPr>
        <w:t xml:space="preserve">. Certain provisions of the Directions are subject to transition provisions as described in the </w:t>
      </w:r>
      <w:hyperlink r:id="rId13" w:history="1">
        <w:r w:rsidRPr="00254E72">
          <w:rPr>
            <w:rStyle w:val="Hyperlink"/>
            <w:rFonts w:ascii="Helv" w:hAnsi="Helv" w:cs="Helv"/>
            <w:szCs w:val="21"/>
          </w:rPr>
          <w:t xml:space="preserve">Fact sheet – Transition provisions for introduction of </w:t>
        </w:r>
        <w:r w:rsidR="007C6DAE" w:rsidRPr="00254E72">
          <w:rPr>
            <w:rStyle w:val="Hyperlink"/>
            <w:rFonts w:ascii="Helv" w:hAnsi="Helv" w:cs="Helv"/>
            <w:szCs w:val="21"/>
          </w:rPr>
          <w:t>revised</w:t>
        </w:r>
        <w:r w:rsidRPr="00254E72">
          <w:rPr>
            <w:rStyle w:val="Hyperlink"/>
            <w:rFonts w:ascii="Helv" w:hAnsi="Helv" w:cs="Helv"/>
            <w:szCs w:val="21"/>
          </w:rPr>
          <w:t xml:space="preserve"> Ministerial Directions for Public Construction</w:t>
        </w:r>
      </w:hyperlink>
      <w:r w:rsidRPr="00254E72">
        <w:rPr>
          <w:rFonts w:ascii="Helv" w:hAnsi="Helv" w:cs="Helv"/>
          <w:szCs w:val="21"/>
        </w:rPr>
        <w:t>.</w:t>
      </w:r>
    </w:p>
    <w:p w:rsidR="006B57A3" w:rsidRDefault="006B57A3" w:rsidP="006B57A3">
      <w:pPr>
        <w:pStyle w:val="Heading2"/>
        <w:tabs>
          <w:tab w:val="left" w:pos="5952"/>
        </w:tabs>
        <w:rPr>
          <w:lang w:eastAsia="en-US"/>
        </w:rPr>
      </w:pPr>
      <w:r>
        <w:rPr>
          <w:lang w:eastAsia="en-US"/>
        </w:rPr>
        <w:t>Help and support</w:t>
      </w:r>
    </w:p>
    <w:p w:rsidR="006B57A3" w:rsidRPr="002A30DA" w:rsidRDefault="006B57A3" w:rsidP="006B57A3">
      <w:pPr>
        <w:autoSpaceDE w:val="0"/>
        <w:autoSpaceDN w:val="0"/>
        <w:adjustRightInd w:val="0"/>
        <w:rPr>
          <w:rFonts w:cstheme="minorHAnsi"/>
          <w:color w:val="000000"/>
          <w:szCs w:val="21"/>
        </w:rPr>
      </w:pPr>
      <w:r w:rsidRPr="002A30DA">
        <w:rPr>
          <w:rFonts w:cstheme="minorHAnsi"/>
          <w:color w:val="000000"/>
          <w:szCs w:val="21"/>
        </w:rPr>
        <w:t>If you have any queries, please do not hesitate to contact the Construction Policy Team on 03 </w:t>
      </w:r>
      <w:r w:rsidR="002270B7">
        <w:rPr>
          <w:rFonts w:cstheme="minorHAnsi"/>
          <w:color w:val="000000"/>
          <w:szCs w:val="21"/>
        </w:rPr>
        <w:t>7005 9533</w:t>
      </w:r>
      <w:bookmarkStart w:id="1" w:name="_GoBack"/>
      <w:bookmarkEnd w:id="1"/>
      <w:r w:rsidRPr="002A30DA">
        <w:rPr>
          <w:rFonts w:cstheme="minorHAnsi"/>
          <w:color w:val="000000"/>
          <w:szCs w:val="21"/>
        </w:rPr>
        <w:t xml:space="preserve"> or by email: </w:t>
      </w:r>
      <w:hyperlink r:id="rId14" w:history="1">
        <w:r w:rsidRPr="002A30DA">
          <w:rPr>
            <w:rStyle w:val="Hyperlink"/>
            <w:rFonts w:cstheme="minorHAnsi"/>
            <w:szCs w:val="21"/>
          </w:rPr>
          <w:t>construction.procurement@dtf.vic.gov.au</w:t>
        </w:r>
      </w:hyperlink>
      <w:r w:rsidRPr="002A30DA">
        <w:rPr>
          <w:rFonts w:cstheme="minorHAnsi"/>
          <w:color w:val="000000"/>
          <w:szCs w:val="21"/>
        </w:rPr>
        <w:t>.</w:t>
      </w:r>
    </w:p>
    <w:p w:rsidR="006B57A3" w:rsidRDefault="006B57A3" w:rsidP="006B57A3">
      <w:pPr>
        <w:pStyle w:val="Heading1"/>
        <w:spacing w:before="0" w:after="120"/>
        <w:rPr>
          <w:lang w:eastAsia="en-US"/>
        </w:rPr>
      </w:pPr>
      <w:r>
        <w:rPr>
          <w:lang w:eastAsia="en-US"/>
        </w:rPr>
        <w:lastRenderedPageBreak/>
        <w:t>Direction 1 – Purpose and application</w:t>
      </w:r>
    </w:p>
    <w:p w:rsidR="006B57A3" w:rsidRDefault="006B57A3" w:rsidP="006B57A3">
      <w:pPr>
        <w:pStyle w:val="Heading2"/>
        <w:tabs>
          <w:tab w:val="left" w:pos="5952"/>
        </w:tabs>
        <w:spacing w:before="120" w:after="120"/>
        <w:rPr>
          <w:lang w:eastAsia="en-US"/>
        </w:rPr>
      </w:pPr>
      <w:r>
        <w:rPr>
          <w:lang w:eastAsia="en-US"/>
        </w:rPr>
        <w:t>Summary</w:t>
      </w:r>
    </w:p>
    <w:p w:rsidR="006B57A3" w:rsidRDefault="006B57A3" w:rsidP="006B57A3">
      <w:pPr>
        <w:rPr>
          <w:lang w:eastAsia="en-US"/>
        </w:rPr>
      </w:pPr>
      <w:r>
        <w:rPr>
          <w:lang w:eastAsia="en-US"/>
        </w:rPr>
        <w:t>Direction 1 sets out the purpose and application of the Ministerial Directions</w:t>
      </w:r>
      <w:r w:rsidR="005A4577">
        <w:rPr>
          <w:lang w:eastAsia="en-US"/>
        </w:rPr>
        <w:t xml:space="preserve"> and</w:t>
      </w:r>
      <w:r>
        <w:rPr>
          <w:lang w:eastAsia="en-US"/>
        </w:rPr>
        <w:t xml:space="preserve"> the </w:t>
      </w:r>
      <w:r w:rsidR="002A30DA">
        <w:rPr>
          <w:lang w:eastAsia="en-US"/>
        </w:rPr>
        <w:t xml:space="preserve">high </w:t>
      </w:r>
      <w:r>
        <w:rPr>
          <w:lang w:eastAsia="en-US"/>
        </w:rPr>
        <w:t xml:space="preserve">level principles that apply to </w:t>
      </w:r>
      <w:r w:rsidR="005A066B">
        <w:rPr>
          <w:lang w:eastAsia="en-US"/>
        </w:rPr>
        <w:t>p</w:t>
      </w:r>
      <w:r>
        <w:rPr>
          <w:lang w:eastAsia="en-US"/>
        </w:rPr>
        <w:t xml:space="preserve">ublic </w:t>
      </w:r>
      <w:r w:rsidR="005A066B">
        <w:rPr>
          <w:lang w:eastAsia="en-US"/>
        </w:rPr>
        <w:t>c</w:t>
      </w:r>
      <w:r>
        <w:rPr>
          <w:lang w:eastAsia="en-US"/>
        </w:rPr>
        <w:t xml:space="preserve">onstruction </w:t>
      </w:r>
      <w:r w:rsidR="005A066B">
        <w:rPr>
          <w:lang w:eastAsia="en-US"/>
        </w:rPr>
        <w:t>p</w:t>
      </w:r>
      <w:r>
        <w:rPr>
          <w:lang w:eastAsia="en-US"/>
        </w:rPr>
        <w:t>rocurement.</w:t>
      </w:r>
    </w:p>
    <w:p w:rsidR="006B57A3" w:rsidRDefault="006B57A3" w:rsidP="006B57A3">
      <w:pPr>
        <w:rPr>
          <w:lang w:eastAsia="en-US"/>
        </w:rPr>
      </w:pPr>
      <w:r w:rsidRPr="005A4577">
        <w:rPr>
          <w:lang w:eastAsia="en-US"/>
        </w:rPr>
        <w:t xml:space="preserve">The </w:t>
      </w:r>
      <w:r w:rsidR="005A4577" w:rsidRPr="00023FBA">
        <w:rPr>
          <w:lang w:eastAsia="en-US"/>
        </w:rPr>
        <w:t xml:space="preserve">Direction sets out the </w:t>
      </w:r>
      <w:r w:rsidRPr="005A4577">
        <w:rPr>
          <w:lang w:eastAsia="en-US"/>
        </w:rPr>
        <w:t>Agencies that must apply the Ministerial Directions, the types of procurement to which the Ministerial Directions apply, and the process for seeking an exemption</w:t>
      </w:r>
      <w:r w:rsidRPr="00023FBA">
        <w:rPr>
          <w:lang w:eastAsia="en-US"/>
        </w:rPr>
        <w:t>.</w:t>
      </w:r>
    </w:p>
    <w:p w:rsidR="006B57A3" w:rsidRPr="00FA266B" w:rsidRDefault="006B57A3" w:rsidP="006B57A3">
      <w:pPr>
        <w:pStyle w:val="Heading2"/>
        <w:tabs>
          <w:tab w:val="left" w:pos="5952"/>
        </w:tabs>
        <w:spacing w:before="120" w:after="120"/>
        <w:rPr>
          <w:lang w:eastAsia="en-US"/>
        </w:rPr>
      </w:pPr>
      <w:r w:rsidRPr="00FA266B">
        <w:rPr>
          <w:lang w:eastAsia="en-US"/>
        </w:rPr>
        <w:t>Key substantive changes</w:t>
      </w:r>
    </w:p>
    <w:p w:rsidR="006B57A3" w:rsidRPr="00FA266B" w:rsidRDefault="006B57A3" w:rsidP="006B57A3">
      <w:pPr>
        <w:pStyle w:val="Heading3"/>
        <w:spacing w:before="120"/>
      </w:pPr>
      <w:r w:rsidRPr="00FA266B">
        <w:t>Direction 1.2 - Principles</w:t>
      </w:r>
    </w:p>
    <w:p w:rsidR="006B57A3" w:rsidRDefault="006B57A3" w:rsidP="006B57A3">
      <w:pPr>
        <w:rPr>
          <w:lang w:eastAsia="en-US"/>
        </w:rPr>
      </w:pPr>
      <w:r w:rsidRPr="007424BE">
        <w:rPr>
          <w:rFonts w:eastAsia="MS Mincho"/>
        </w:rPr>
        <w:t>Specific principles that must be applied when undertaking public constru</w:t>
      </w:r>
      <w:r>
        <w:rPr>
          <w:rFonts w:eastAsia="MS Mincho"/>
        </w:rPr>
        <w:t xml:space="preserve">ction procurement are set out. </w:t>
      </w:r>
      <w:r>
        <w:rPr>
          <w:lang w:eastAsia="en-US"/>
        </w:rPr>
        <w:t>These principles underpin the requirements in the Ministerial Directions and Instructions and should be referenced by Agencies when interpreting what they need to do to comply.</w:t>
      </w:r>
    </w:p>
    <w:p w:rsidR="006B57A3" w:rsidRDefault="006B57A3" w:rsidP="006B57A3">
      <w:pPr>
        <w:rPr>
          <w:lang w:eastAsia="en-US"/>
        </w:rPr>
      </w:pPr>
      <w:r>
        <w:rPr>
          <w:lang w:eastAsia="en-US"/>
        </w:rPr>
        <w:t>The principles also inform decisions on whether exemptions will be granted.</w:t>
      </w:r>
    </w:p>
    <w:p w:rsidR="006B57A3" w:rsidRPr="007424BE" w:rsidRDefault="006B57A3" w:rsidP="006B57A3">
      <w:pPr>
        <w:rPr>
          <w:rFonts w:eastAsia="MS Mincho"/>
        </w:rPr>
      </w:pPr>
      <w:r>
        <w:rPr>
          <w:rFonts w:eastAsia="MS Mincho"/>
        </w:rPr>
        <w:t>The introduction of principles</w:t>
      </w:r>
      <w:r w:rsidRPr="007424BE">
        <w:rPr>
          <w:rFonts w:eastAsia="MS Mincho"/>
        </w:rPr>
        <w:t xml:space="preserve"> is an important new element and enables long overdue alignment with the procurement principles in</w:t>
      </w:r>
      <w:r w:rsidRPr="00B669A0">
        <w:rPr>
          <w:rFonts w:eastAsia="MS Mincho"/>
        </w:rPr>
        <w:t xml:space="preserve"> the </w:t>
      </w:r>
      <w:r w:rsidR="005A066B" w:rsidRPr="00B669A0">
        <w:rPr>
          <w:rFonts w:eastAsia="MS Mincho"/>
          <w:b/>
        </w:rPr>
        <w:t xml:space="preserve">Financial Management Act </w:t>
      </w:r>
      <w:r w:rsidRPr="00B669A0">
        <w:rPr>
          <w:rFonts w:eastAsia="MS Mincho"/>
          <w:b/>
        </w:rPr>
        <w:t xml:space="preserve">Standing </w:t>
      </w:r>
      <w:r w:rsidR="00FC3C0C" w:rsidRPr="00B669A0">
        <w:rPr>
          <w:rFonts w:eastAsia="MS Mincho"/>
          <w:b/>
        </w:rPr>
        <w:t xml:space="preserve">Directions of the Minister for Finance </w:t>
      </w:r>
      <w:r w:rsidR="005A066B" w:rsidRPr="00B669A0">
        <w:rPr>
          <w:rFonts w:eastAsia="MS Mincho"/>
          <w:b/>
        </w:rPr>
        <w:t>2016</w:t>
      </w:r>
      <w:r w:rsidRPr="00B669A0">
        <w:rPr>
          <w:rFonts w:eastAsia="MS Mincho"/>
        </w:rPr>
        <w:t xml:space="preserve"> </w:t>
      </w:r>
      <w:r w:rsidRPr="007424BE">
        <w:rPr>
          <w:rFonts w:eastAsia="MS Mincho"/>
        </w:rPr>
        <w:t>and the principles in the Victorian Government Purchasing Board policies.</w:t>
      </w:r>
    </w:p>
    <w:p w:rsidR="006B57A3" w:rsidRPr="007424BE" w:rsidRDefault="005A066B" w:rsidP="006B57A3">
      <w:pPr>
        <w:pStyle w:val="Heading3"/>
        <w:rPr>
          <w:rFonts w:eastAsia="MS Mincho"/>
        </w:rPr>
      </w:pPr>
      <w:r>
        <w:rPr>
          <w:rFonts w:eastAsia="MS Mincho"/>
        </w:rPr>
        <w:t>Direction 1.3</w:t>
      </w:r>
      <w:r w:rsidR="006B57A3" w:rsidRPr="007424BE">
        <w:rPr>
          <w:rFonts w:eastAsia="MS Mincho"/>
        </w:rPr>
        <w:t xml:space="preserve"> </w:t>
      </w:r>
      <w:r w:rsidR="006B57A3">
        <w:rPr>
          <w:rFonts w:eastAsia="MS Mincho"/>
        </w:rPr>
        <w:t>-</w:t>
      </w:r>
      <w:r w:rsidR="006B57A3" w:rsidRPr="007424BE">
        <w:rPr>
          <w:rFonts w:eastAsia="MS Mincho"/>
        </w:rPr>
        <w:t xml:space="preserve"> Application of the Directions </w:t>
      </w:r>
      <w:r>
        <w:rPr>
          <w:rFonts w:eastAsia="MS Mincho"/>
        </w:rPr>
        <w:t xml:space="preserve">and Instructions </w:t>
      </w:r>
      <w:r w:rsidR="006B57A3" w:rsidRPr="007424BE">
        <w:rPr>
          <w:rFonts w:eastAsia="MS Mincho"/>
        </w:rPr>
        <w:t>to Agencies</w:t>
      </w:r>
    </w:p>
    <w:p w:rsidR="006B57A3" w:rsidRDefault="006B57A3" w:rsidP="006B57A3">
      <w:pPr>
        <w:rPr>
          <w:rFonts w:eastAsia="MS Mincho"/>
        </w:rPr>
      </w:pPr>
      <w:r>
        <w:rPr>
          <w:rFonts w:eastAsia="MS Mincho"/>
        </w:rPr>
        <w:t xml:space="preserve">The Ministerial Directions clearly identify the </w:t>
      </w:r>
      <w:r w:rsidRPr="007424BE">
        <w:rPr>
          <w:rFonts w:eastAsia="MS Mincho"/>
        </w:rPr>
        <w:t xml:space="preserve">Agencies (approximately 300) that must </w:t>
      </w:r>
      <w:r>
        <w:rPr>
          <w:rFonts w:eastAsia="MS Mincho"/>
        </w:rPr>
        <w:t xml:space="preserve">comply, addressing the current ambiguity in the </w:t>
      </w:r>
      <w:r w:rsidR="005A066B">
        <w:rPr>
          <w:rFonts w:eastAsia="MS Mincho"/>
        </w:rPr>
        <w:t>former</w:t>
      </w:r>
      <w:r>
        <w:rPr>
          <w:rFonts w:eastAsia="MS Mincho"/>
        </w:rPr>
        <w:t xml:space="preserve"> Ministerial Directions which refer only to Departments and public bodies.</w:t>
      </w:r>
    </w:p>
    <w:p w:rsidR="006B57A3" w:rsidRPr="00481279" w:rsidRDefault="006B57A3" w:rsidP="006B57A3">
      <w:pPr>
        <w:pStyle w:val="Normalnospacing"/>
      </w:pPr>
      <w:r>
        <w:rPr>
          <w:rFonts w:eastAsia="MS Mincho"/>
        </w:rPr>
        <w:t xml:space="preserve">The scope is the same as the </w:t>
      </w:r>
      <w:r w:rsidRPr="007424BE">
        <w:t xml:space="preserve">Agencies covered by the </w:t>
      </w:r>
      <w:r w:rsidR="00FC3C0C" w:rsidRPr="005A066B">
        <w:rPr>
          <w:rFonts w:eastAsia="MS Mincho"/>
          <w:b/>
        </w:rPr>
        <w:t xml:space="preserve">Financial Management Act Standing </w:t>
      </w:r>
      <w:r w:rsidR="00FC3C0C">
        <w:rPr>
          <w:rFonts w:eastAsia="MS Mincho"/>
          <w:b/>
        </w:rPr>
        <w:t>Directions of the Minister for Finance 2016</w:t>
      </w:r>
      <w:r>
        <w:t>, which</w:t>
      </w:r>
      <w:r w:rsidRPr="007424BE">
        <w:t xml:space="preserve"> are listed in the fact sheet</w:t>
      </w:r>
      <w:r>
        <w:t>:</w:t>
      </w:r>
      <w:r w:rsidRPr="007424BE">
        <w:t xml:space="preserve"> </w:t>
      </w:r>
      <w:hyperlink r:id="rId15" w:history="1">
        <w:r w:rsidRPr="007424BE">
          <w:rPr>
            <w:rStyle w:val="Hyperlink"/>
            <w:rFonts w:cstheme="minorHAnsi"/>
          </w:rPr>
          <w:t>Is your agency subject to the Standing Directions of the Minister for Finance</w:t>
        </w:r>
      </w:hyperlink>
      <w:r w:rsidRPr="00481279">
        <w:t xml:space="preserve">. This </w:t>
      </w:r>
      <w:r>
        <w:t xml:space="preserve">coverage </w:t>
      </w:r>
      <w:r w:rsidRPr="00481279">
        <w:t xml:space="preserve">also aligns with the accountability mechanism, which </w:t>
      </w:r>
      <w:r>
        <w:t xml:space="preserve">is </w:t>
      </w:r>
      <w:r w:rsidRPr="00481279">
        <w:t xml:space="preserve">through the attestation given under the </w:t>
      </w:r>
      <w:hyperlink r:id="rId16" w:history="1">
        <w:r w:rsidR="00FC3C0C" w:rsidRPr="007C4ED4">
          <w:rPr>
            <w:rStyle w:val="Hyperlink"/>
            <w:rFonts w:eastAsia="MS Mincho"/>
          </w:rPr>
          <w:t>Financial Management Act Standing Directions of the Minister for Finance 2016</w:t>
        </w:r>
      </w:hyperlink>
      <w:r w:rsidRPr="00481279">
        <w:t>.</w:t>
      </w:r>
    </w:p>
    <w:p w:rsidR="006B57A3" w:rsidRDefault="006B57A3" w:rsidP="006B57A3">
      <w:pPr>
        <w:rPr>
          <w:rFonts w:eastAsia="MS Mincho"/>
        </w:rPr>
      </w:pPr>
      <w:r>
        <w:rPr>
          <w:rFonts w:eastAsia="MS Mincho"/>
        </w:rPr>
        <w:t>Agencies that are excluded from the direct application of the Ministerial Directions are subject to appropriate requirements put in place by their portfolio department. This allows for appropriate flexibility and scalability of the requirements.</w:t>
      </w:r>
    </w:p>
    <w:p w:rsidR="006B57A3" w:rsidRPr="00B45155" w:rsidRDefault="006B57A3" w:rsidP="006B57A3">
      <w:pPr>
        <w:rPr>
          <w:rFonts w:eastAsia="MS Mincho"/>
        </w:rPr>
      </w:pPr>
      <w:r>
        <w:rPr>
          <w:rFonts w:eastAsia="MS Mincho"/>
        </w:rPr>
        <w:t xml:space="preserve">In addition, </w:t>
      </w:r>
      <w:r w:rsidRPr="00254E72">
        <w:rPr>
          <w:rFonts w:eastAsia="MS Mincho"/>
        </w:rPr>
        <w:t>the</w:t>
      </w:r>
      <w:r w:rsidR="00254E72">
        <w:rPr>
          <w:rFonts w:eastAsia="MS Mincho"/>
        </w:rPr>
        <w:t xml:space="preserve"> </w:t>
      </w:r>
      <w:r w:rsidRPr="00254E72">
        <w:rPr>
          <w:rFonts w:eastAsia="MS Mincho"/>
        </w:rPr>
        <w:t xml:space="preserve">procurement </w:t>
      </w:r>
      <w:r w:rsidR="00254E72">
        <w:rPr>
          <w:rFonts w:eastAsia="MS Mincho"/>
        </w:rPr>
        <w:t xml:space="preserve">model </w:t>
      </w:r>
      <w:r>
        <w:rPr>
          <w:rFonts w:eastAsia="MS Mincho"/>
        </w:rPr>
        <w:t>to which the Ministerial Directions apply has also been cl</w:t>
      </w:r>
      <w:r w:rsidR="00FE7DA2">
        <w:rPr>
          <w:rFonts w:eastAsia="MS Mincho"/>
        </w:rPr>
        <w:t xml:space="preserve">arified through definitions of Works and </w:t>
      </w:r>
      <w:r>
        <w:rPr>
          <w:rFonts w:eastAsia="MS Mincho"/>
        </w:rPr>
        <w:t xml:space="preserve">Construction Services. </w:t>
      </w:r>
      <w:r w:rsidRPr="007424BE">
        <w:rPr>
          <w:rFonts w:eastAsia="MS Mincho"/>
        </w:rPr>
        <w:t xml:space="preserve">Additional guidance on what constitutes Works and Construction Services </w:t>
      </w:r>
      <w:r>
        <w:rPr>
          <w:rFonts w:eastAsia="MS Mincho"/>
        </w:rPr>
        <w:t xml:space="preserve">is </w:t>
      </w:r>
      <w:r w:rsidRPr="00254E72">
        <w:rPr>
          <w:rFonts w:eastAsia="MS Mincho"/>
        </w:rPr>
        <w:t xml:space="preserve">presented in </w:t>
      </w:r>
      <w:hyperlink r:id="rId17" w:history="1">
        <w:r w:rsidR="005A066B" w:rsidRPr="007C4ED4">
          <w:rPr>
            <w:rStyle w:val="Hyperlink"/>
            <w:rFonts w:eastAsia="MS Mincho"/>
          </w:rPr>
          <w:t>Application of the Directions and Instructions (</w:t>
        </w:r>
        <w:r w:rsidRPr="007C4ED4">
          <w:rPr>
            <w:rStyle w:val="Hyperlink"/>
            <w:rFonts w:eastAsia="MS Mincho"/>
          </w:rPr>
          <w:t>Guidance</w:t>
        </w:r>
        <w:r w:rsidR="005A066B" w:rsidRPr="007C4ED4">
          <w:rPr>
            <w:rStyle w:val="Hyperlink"/>
            <w:rFonts w:eastAsia="MS Mincho"/>
          </w:rPr>
          <w:t xml:space="preserve"> 1.3a)</w:t>
        </w:r>
      </w:hyperlink>
      <w:r w:rsidR="00FC3C0C" w:rsidRPr="00254E72">
        <w:rPr>
          <w:rFonts w:eastAsia="MS Mincho"/>
        </w:rPr>
        <w:t xml:space="preserve">. </w:t>
      </w:r>
      <w:r w:rsidR="005A066B" w:rsidRPr="00254E72">
        <w:rPr>
          <w:rFonts w:eastAsia="MS Mincho"/>
        </w:rPr>
        <w:t xml:space="preserve">Guidance on what is public construction is presented in </w:t>
      </w:r>
      <w:hyperlink r:id="rId18" w:history="1">
        <w:r w:rsidR="005A066B" w:rsidRPr="007C4ED4">
          <w:rPr>
            <w:rStyle w:val="Hyperlink"/>
            <w:rFonts w:eastAsia="MS Mincho"/>
          </w:rPr>
          <w:t>Defining public construction (Guidance 1.3b)</w:t>
        </w:r>
      </w:hyperlink>
      <w:r w:rsidRPr="00254E72">
        <w:rPr>
          <w:rFonts w:eastAsia="MS Mincho"/>
        </w:rPr>
        <w:t>.</w:t>
      </w:r>
    </w:p>
    <w:p w:rsidR="006B57A3" w:rsidRPr="00705C39" w:rsidRDefault="005A066B" w:rsidP="006B57A3">
      <w:pPr>
        <w:pStyle w:val="Heading3"/>
      </w:pPr>
      <w:r>
        <w:t>Direction 1.4</w:t>
      </w:r>
      <w:r w:rsidR="006B57A3" w:rsidRPr="00705C39">
        <w:t xml:space="preserve"> – Exemptions</w:t>
      </w:r>
    </w:p>
    <w:p w:rsidR="006B57A3" w:rsidRPr="00705C39" w:rsidRDefault="006B57A3" w:rsidP="006B57A3">
      <w:pPr>
        <w:rPr>
          <w:rFonts w:eastAsia="MS Mincho"/>
        </w:rPr>
      </w:pPr>
      <w:bookmarkStart w:id="2" w:name="_Ref488332502"/>
      <w:r w:rsidRPr="00705C39">
        <w:rPr>
          <w:rFonts w:eastAsia="MS Mincho"/>
        </w:rPr>
        <w:t xml:space="preserve">A key new feature to enhance the flexibility and support devolved accountability of the </w:t>
      </w:r>
      <w:r w:rsidR="005A066B">
        <w:rPr>
          <w:rFonts w:eastAsia="MS Mincho"/>
        </w:rPr>
        <w:t xml:space="preserve">Ministerial </w:t>
      </w:r>
      <w:r w:rsidRPr="00705C39">
        <w:rPr>
          <w:rFonts w:eastAsia="MS Mincho"/>
        </w:rPr>
        <w:t xml:space="preserve">Directions is the introduction of a new general power of the Minister </w:t>
      </w:r>
      <w:r w:rsidR="005A066B">
        <w:rPr>
          <w:rFonts w:eastAsia="MS Mincho"/>
        </w:rPr>
        <w:t xml:space="preserve">for Finance </w:t>
      </w:r>
      <w:r w:rsidRPr="00705C39">
        <w:rPr>
          <w:rFonts w:eastAsia="MS Mincho"/>
        </w:rPr>
        <w:t xml:space="preserve">and the Secretary </w:t>
      </w:r>
      <w:r w:rsidR="00FC3C0C">
        <w:rPr>
          <w:rFonts w:eastAsia="MS Mincho"/>
        </w:rPr>
        <w:t>of</w:t>
      </w:r>
      <w:r w:rsidR="005A066B">
        <w:rPr>
          <w:rFonts w:eastAsia="MS Mincho"/>
        </w:rPr>
        <w:t xml:space="preserve"> the Department of Treasury and Finance </w:t>
      </w:r>
      <w:r w:rsidRPr="00705C39">
        <w:rPr>
          <w:rFonts w:eastAsia="MS Mincho"/>
        </w:rPr>
        <w:t xml:space="preserve">to grant exemptions from the </w:t>
      </w:r>
      <w:r w:rsidR="005A066B">
        <w:rPr>
          <w:rFonts w:eastAsia="MS Mincho"/>
        </w:rPr>
        <w:t xml:space="preserve">Ministerial </w:t>
      </w:r>
      <w:r w:rsidRPr="00705C39">
        <w:rPr>
          <w:rFonts w:eastAsia="MS Mincho"/>
        </w:rPr>
        <w:t xml:space="preserve">Directions and Instructions (respectively) to Agencies, or a class of Agencies, on a standing basis. The way in which the requirements are allocated between the </w:t>
      </w:r>
      <w:r w:rsidR="004D2412">
        <w:rPr>
          <w:rFonts w:eastAsia="MS Mincho"/>
        </w:rPr>
        <w:t xml:space="preserve">Ministerial </w:t>
      </w:r>
      <w:r w:rsidRPr="00705C39">
        <w:rPr>
          <w:rFonts w:eastAsia="MS Mincho"/>
        </w:rPr>
        <w:t>Directions and Instructions means that most exemptions will be sought from the Secretary</w:t>
      </w:r>
      <w:r w:rsidR="004D2412" w:rsidRPr="004D2412">
        <w:rPr>
          <w:rFonts w:eastAsia="MS Mincho"/>
        </w:rPr>
        <w:t xml:space="preserve"> </w:t>
      </w:r>
      <w:r w:rsidR="00FC3C0C">
        <w:rPr>
          <w:rFonts w:eastAsia="MS Mincho"/>
        </w:rPr>
        <w:t>of</w:t>
      </w:r>
      <w:r w:rsidR="004D2412">
        <w:rPr>
          <w:rFonts w:eastAsia="MS Mincho"/>
        </w:rPr>
        <w:t xml:space="preserve"> the Department of Treasury and Finance</w:t>
      </w:r>
      <w:r w:rsidRPr="00705C39">
        <w:rPr>
          <w:rFonts w:eastAsia="MS Mincho"/>
        </w:rPr>
        <w:t>.</w:t>
      </w:r>
      <w:bookmarkEnd w:id="2"/>
    </w:p>
    <w:p w:rsidR="006B57A3" w:rsidRPr="00705C39" w:rsidRDefault="006B57A3" w:rsidP="006B57A3">
      <w:pPr>
        <w:rPr>
          <w:rFonts w:eastAsia="MS Mincho"/>
        </w:rPr>
      </w:pPr>
      <w:r w:rsidRPr="00705C39">
        <w:rPr>
          <w:rFonts w:eastAsia="MS Mincho"/>
        </w:rPr>
        <w:lastRenderedPageBreak/>
        <w:t xml:space="preserve">Agencies </w:t>
      </w:r>
      <w:r>
        <w:rPr>
          <w:rFonts w:eastAsia="MS Mincho"/>
        </w:rPr>
        <w:t xml:space="preserve">are </w:t>
      </w:r>
      <w:r w:rsidRPr="00705C39">
        <w:rPr>
          <w:rFonts w:eastAsia="MS Mincho"/>
        </w:rPr>
        <w:t xml:space="preserve">able to apply to be exempted from a requirement, such as to request alternative thresholds to apply. </w:t>
      </w:r>
      <w:r>
        <w:rPr>
          <w:rFonts w:eastAsia="MS Mincho"/>
        </w:rPr>
        <w:t>T</w:t>
      </w:r>
      <w:r w:rsidRPr="00705C39">
        <w:rPr>
          <w:rFonts w:eastAsia="MS Mincho"/>
        </w:rPr>
        <w:t xml:space="preserve">his aims to balance the desire for greater flexibility </w:t>
      </w:r>
      <w:r>
        <w:rPr>
          <w:rFonts w:eastAsia="MS Mincho"/>
        </w:rPr>
        <w:t>for</w:t>
      </w:r>
      <w:r w:rsidRPr="00705C39">
        <w:rPr>
          <w:rFonts w:eastAsia="MS Mincho"/>
        </w:rPr>
        <w:t xml:space="preserve"> Agencies, while maintaining general consistency in the approach to competition and limiting the burden of tendering</w:t>
      </w:r>
      <w:r>
        <w:rPr>
          <w:rFonts w:eastAsia="MS Mincho"/>
        </w:rPr>
        <w:t>. The determination of an exemption will be based on a rigorous assessment.</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t>Direction 2 – International Agreements</w:t>
      </w:r>
    </w:p>
    <w:p w:rsidR="006B57A3" w:rsidRPr="00FA266B" w:rsidRDefault="006B57A3" w:rsidP="006B57A3">
      <w:pPr>
        <w:pStyle w:val="Heading2"/>
        <w:tabs>
          <w:tab w:val="left" w:pos="5952"/>
        </w:tabs>
        <w:spacing w:before="120" w:after="120"/>
        <w:rPr>
          <w:lang w:eastAsia="en-US"/>
        </w:rPr>
      </w:pPr>
      <w:r w:rsidRPr="00FA266B">
        <w:rPr>
          <w:lang w:eastAsia="en-US"/>
        </w:rPr>
        <w:t>Summary</w:t>
      </w:r>
    </w:p>
    <w:p w:rsidR="006B57A3" w:rsidRPr="00BA2981" w:rsidRDefault="006B57A3" w:rsidP="006B57A3">
      <w:r>
        <w:t>The Ministerial Directions retain the existing approach that requirements for government procurement in International Agreements, such as the Australia-United States Free Trade Agreement, prevail over the requirements of the directions.</w:t>
      </w:r>
    </w:p>
    <w:p w:rsidR="006B57A3" w:rsidRPr="00BA2981" w:rsidRDefault="006B57A3" w:rsidP="006B57A3">
      <w:pPr>
        <w:pStyle w:val="Heading2"/>
        <w:tabs>
          <w:tab w:val="left" w:pos="5952"/>
        </w:tabs>
        <w:spacing w:before="120" w:after="120"/>
        <w:rPr>
          <w:lang w:eastAsia="en-US"/>
        </w:rPr>
      </w:pPr>
      <w:r>
        <w:rPr>
          <w:lang w:eastAsia="en-US"/>
        </w:rPr>
        <w:t>Key substantive changes</w:t>
      </w:r>
    </w:p>
    <w:p w:rsidR="006B57A3" w:rsidRPr="003249A5" w:rsidRDefault="006B57A3" w:rsidP="006B57A3">
      <w:pPr>
        <w:rPr>
          <w:sz w:val="22"/>
          <w:szCs w:val="22"/>
        </w:rPr>
      </w:pPr>
      <w:r>
        <w:rPr>
          <w:rFonts w:eastAsia="MS Mincho"/>
        </w:rPr>
        <w:t xml:space="preserve">Rather than referring Agencies to the International Agreements and risking inconsistencies in interpretation by practitioners, the Instructions </w:t>
      </w:r>
      <w:r w:rsidR="001915D5">
        <w:rPr>
          <w:rFonts w:eastAsia="MS Mincho"/>
        </w:rPr>
        <w:t>state which procurements are covered by International Agreements and set out the additional requirements that must be followed in covered procurements</w:t>
      </w:r>
      <w:r>
        <w:rPr>
          <w:rFonts w:eastAsia="MS Mincho"/>
        </w:rPr>
        <w:t xml:space="preserve">. </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t>Direction 3 – Tendering principles</w:t>
      </w:r>
    </w:p>
    <w:p w:rsidR="006B57A3" w:rsidRDefault="006B57A3" w:rsidP="006B57A3">
      <w:pPr>
        <w:pStyle w:val="Heading2"/>
        <w:tabs>
          <w:tab w:val="left" w:pos="5952"/>
        </w:tabs>
        <w:spacing w:before="120" w:after="120"/>
        <w:rPr>
          <w:lang w:eastAsia="en-US"/>
        </w:rPr>
      </w:pPr>
      <w:r>
        <w:rPr>
          <w:lang w:eastAsia="en-US"/>
        </w:rPr>
        <w:t>Summary</w:t>
      </w:r>
    </w:p>
    <w:p w:rsidR="006B57A3" w:rsidRDefault="006B57A3" w:rsidP="006B57A3">
      <w:pPr>
        <w:rPr>
          <w:lang w:eastAsia="en-US"/>
        </w:rPr>
      </w:pPr>
      <w:r>
        <w:rPr>
          <w:lang w:eastAsia="en-US"/>
        </w:rPr>
        <w:t xml:space="preserve">The tendering principles in the Ministerial Directions are based on the existing requirements. Additional requirements have been included to address </w:t>
      </w:r>
      <w:r w:rsidR="00F35905">
        <w:rPr>
          <w:lang w:eastAsia="en-US"/>
        </w:rPr>
        <w:t xml:space="preserve">and reinforce </w:t>
      </w:r>
      <w:r>
        <w:rPr>
          <w:lang w:eastAsia="en-US"/>
        </w:rPr>
        <w:t>a number of the Government's endorsed reform recommendations to improve the efficiency of tender processes. In particular, preparation and planning, clear notice of upcoming procurement, and using appropriate tender open times and documentation requirements.</w:t>
      </w:r>
    </w:p>
    <w:p w:rsidR="006B57A3" w:rsidRDefault="006B57A3" w:rsidP="006B57A3">
      <w:pPr>
        <w:rPr>
          <w:lang w:eastAsia="en-US"/>
        </w:rPr>
      </w:pPr>
      <w:r>
        <w:rPr>
          <w:lang w:eastAsia="en-US"/>
        </w:rPr>
        <w:t>Requirements such as the mandatory evaluation criteria for occupational health and safety and industrial relations are retained.</w:t>
      </w:r>
    </w:p>
    <w:p w:rsidR="006B57A3" w:rsidRPr="00FA266B" w:rsidRDefault="006B57A3" w:rsidP="006B57A3">
      <w:pPr>
        <w:pStyle w:val="Heading2"/>
        <w:tabs>
          <w:tab w:val="left" w:pos="5952"/>
        </w:tabs>
        <w:spacing w:before="120" w:after="120"/>
        <w:rPr>
          <w:lang w:eastAsia="en-US"/>
        </w:rPr>
      </w:pPr>
      <w:r w:rsidRPr="00FA266B">
        <w:rPr>
          <w:lang w:eastAsia="en-US"/>
        </w:rPr>
        <w:t xml:space="preserve">Key </w:t>
      </w:r>
      <w:r w:rsidRPr="006814CC">
        <w:rPr>
          <w:lang w:eastAsia="en-US"/>
        </w:rPr>
        <w:t>substantive</w:t>
      </w:r>
      <w:r w:rsidRPr="00FA266B">
        <w:rPr>
          <w:lang w:eastAsia="en-US"/>
        </w:rPr>
        <w:t xml:space="preserve"> changes</w:t>
      </w:r>
    </w:p>
    <w:p w:rsidR="006B57A3" w:rsidRDefault="006B57A3" w:rsidP="006B57A3">
      <w:pPr>
        <w:pStyle w:val="Heading3"/>
        <w:spacing w:before="120"/>
        <w:rPr>
          <w:rFonts w:eastAsia="MS Mincho"/>
        </w:rPr>
      </w:pPr>
      <w:r>
        <w:rPr>
          <w:rFonts w:eastAsia="MS Mincho"/>
        </w:rPr>
        <w:t>Direction 3.1 – Tender preparation and planning</w:t>
      </w:r>
    </w:p>
    <w:p w:rsidR="006B57A3" w:rsidRPr="00261799" w:rsidRDefault="006B57A3" w:rsidP="006B57A3">
      <w:pPr>
        <w:rPr>
          <w:rFonts w:eastAsia="MS Mincho"/>
        </w:rPr>
      </w:pPr>
      <w:r w:rsidRPr="00261799">
        <w:rPr>
          <w:rFonts w:eastAsia="MS Mincho"/>
        </w:rPr>
        <w:t>The introduction of preparation and planning requirements is intended to build a continuous improvement approach into procurement of public construction. The requirements are intended to be outcome-focused and scalable.</w:t>
      </w:r>
    </w:p>
    <w:p w:rsidR="006B57A3" w:rsidRPr="00261799" w:rsidRDefault="006B57A3" w:rsidP="006B57A3">
      <w:pPr>
        <w:rPr>
          <w:rFonts w:eastAsia="MS Mincho"/>
        </w:rPr>
      </w:pPr>
      <w:r w:rsidRPr="00261799">
        <w:rPr>
          <w:rFonts w:eastAsia="MS Mincho"/>
        </w:rPr>
        <w:t>While there are key preparation activities that are mandatory</w:t>
      </w:r>
      <w:r>
        <w:rPr>
          <w:rFonts w:eastAsia="MS Mincho"/>
        </w:rPr>
        <w:t xml:space="preserve">, the </w:t>
      </w:r>
      <w:r w:rsidR="004D2412">
        <w:rPr>
          <w:rFonts w:eastAsia="MS Mincho"/>
        </w:rPr>
        <w:t xml:space="preserve">Ministerial </w:t>
      </w:r>
      <w:r>
        <w:rPr>
          <w:rFonts w:eastAsia="MS Mincho"/>
        </w:rPr>
        <w:t xml:space="preserve">Directions are </w:t>
      </w:r>
      <w:r w:rsidRPr="00261799">
        <w:rPr>
          <w:rFonts w:eastAsia="MS Mincho"/>
        </w:rPr>
        <w:t>not prescriptive for things like a p</w:t>
      </w:r>
      <w:r>
        <w:rPr>
          <w:rFonts w:eastAsia="MS Mincho"/>
        </w:rPr>
        <w:t>articular form of 'tender plan'</w:t>
      </w:r>
      <w:r w:rsidRPr="00261799">
        <w:rPr>
          <w:rFonts w:eastAsia="MS Mincho"/>
        </w:rPr>
        <w:t>, for example</w:t>
      </w:r>
      <w:r>
        <w:rPr>
          <w:rFonts w:eastAsia="MS Mincho"/>
        </w:rPr>
        <w:t>, but require that</w:t>
      </w:r>
      <w:r w:rsidRPr="00261799">
        <w:rPr>
          <w:rFonts w:eastAsia="MS Mincho"/>
        </w:rPr>
        <w:t xml:space="preserve"> key dates and time periods in the tender program</w:t>
      </w:r>
      <w:r>
        <w:rPr>
          <w:rFonts w:eastAsia="MS Mincho"/>
        </w:rPr>
        <w:t xml:space="preserve"> are identified. T</w:t>
      </w:r>
      <w:r w:rsidRPr="00261799">
        <w:rPr>
          <w:rFonts w:eastAsia="MS Mincho"/>
        </w:rPr>
        <w:t xml:space="preserve">here is flexibility and scope for Agencies to determine an appropriate level of preparation </w:t>
      </w:r>
      <w:r>
        <w:rPr>
          <w:rFonts w:eastAsia="MS Mincho"/>
        </w:rPr>
        <w:t>based on</w:t>
      </w:r>
      <w:r w:rsidRPr="00261799">
        <w:rPr>
          <w:rFonts w:eastAsia="MS Mincho"/>
        </w:rPr>
        <w:t xml:space="preserve"> the value</w:t>
      </w:r>
      <w:r w:rsidR="00FE7DA2">
        <w:rPr>
          <w:rFonts w:eastAsia="MS Mincho"/>
        </w:rPr>
        <w:t xml:space="preserve"> or </w:t>
      </w:r>
      <w:r w:rsidRPr="00261799">
        <w:rPr>
          <w:rFonts w:eastAsia="MS Mincho"/>
        </w:rPr>
        <w:t>complexity of the procurement, and to allow consistency with existing Agency processes.</w:t>
      </w:r>
    </w:p>
    <w:p w:rsidR="006B57A3" w:rsidRPr="00261799" w:rsidRDefault="006B57A3" w:rsidP="006B57A3">
      <w:pPr>
        <w:rPr>
          <w:rFonts w:eastAsia="MS Mincho"/>
        </w:rPr>
      </w:pPr>
      <w:r>
        <w:rPr>
          <w:rFonts w:eastAsia="MS Mincho"/>
        </w:rPr>
        <w:t>T</w:t>
      </w:r>
      <w:r w:rsidRPr="00261799">
        <w:rPr>
          <w:rFonts w:eastAsia="MS Mincho"/>
        </w:rPr>
        <w:t xml:space="preserve">he elements of the planning and preparation process are not new. They are consistent with existing Government policies and practice, in particular the </w:t>
      </w:r>
      <w:hyperlink r:id="rId19" w:history="1">
        <w:r w:rsidRPr="00FC741A">
          <w:rPr>
            <w:rStyle w:val="Hyperlink"/>
            <w:rFonts w:eastAsia="MS Mincho"/>
          </w:rPr>
          <w:t>Investment Lifecycle Guidelines</w:t>
        </w:r>
      </w:hyperlink>
      <w:r w:rsidRPr="00261799">
        <w:rPr>
          <w:rFonts w:eastAsia="MS Mincho"/>
        </w:rPr>
        <w:t>. Where relevant, the Directions reflect the policy position in the I</w:t>
      </w:r>
      <w:r>
        <w:rPr>
          <w:rFonts w:eastAsia="MS Mincho"/>
        </w:rPr>
        <w:t xml:space="preserve">nvestment </w:t>
      </w:r>
      <w:r w:rsidRPr="00261799">
        <w:rPr>
          <w:rFonts w:eastAsia="MS Mincho"/>
        </w:rPr>
        <w:t>L</w:t>
      </w:r>
      <w:r>
        <w:rPr>
          <w:rFonts w:eastAsia="MS Mincho"/>
        </w:rPr>
        <w:t xml:space="preserve">ifecycle </w:t>
      </w:r>
      <w:r w:rsidRPr="00261799">
        <w:rPr>
          <w:rFonts w:eastAsia="MS Mincho"/>
        </w:rPr>
        <w:t>G</w:t>
      </w:r>
      <w:r>
        <w:rPr>
          <w:rFonts w:eastAsia="MS Mincho"/>
        </w:rPr>
        <w:t>uidelines</w:t>
      </w:r>
      <w:r w:rsidRPr="00261799">
        <w:rPr>
          <w:rFonts w:eastAsia="MS Mincho"/>
        </w:rPr>
        <w:t>.</w:t>
      </w:r>
    </w:p>
    <w:p w:rsidR="006B57A3" w:rsidRDefault="006B57A3" w:rsidP="006B57A3">
      <w:pPr>
        <w:rPr>
          <w:rFonts w:eastAsia="MS Mincho"/>
        </w:rPr>
      </w:pPr>
      <w:r w:rsidRPr="00261799">
        <w:rPr>
          <w:rFonts w:eastAsia="MS Mincho"/>
        </w:rPr>
        <w:lastRenderedPageBreak/>
        <w:t>The Guidance further support</w:t>
      </w:r>
      <w:r>
        <w:rPr>
          <w:rFonts w:eastAsia="MS Mincho"/>
        </w:rPr>
        <w:t>s</w:t>
      </w:r>
      <w:r w:rsidRPr="00261799">
        <w:rPr>
          <w:rFonts w:eastAsia="MS Mincho"/>
        </w:rPr>
        <w:t xml:space="preserve"> a scalable approach to procurement preparation and planning. The Guidance emphasise</w:t>
      </w:r>
      <w:r>
        <w:rPr>
          <w:rFonts w:eastAsia="MS Mincho"/>
        </w:rPr>
        <w:t>s</w:t>
      </w:r>
      <w:r w:rsidRPr="00261799">
        <w:rPr>
          <w:rFonts w:eastAsia="MS Mincho"/>
        </w:rPr>
        <w:t xml:space="preserve"> that the expectations for a simple procurement are different to t</w:t>
      </w:r>
      <w:r>
        <w:rPr>
          <w:rFonts w:eastAsia="MS Mincho"/>
        </w:rPr>
        <w:t>hose for a complex procurement.</w:t>
      </w:r>
    </w:p>
    <w:p w:rsidR="006B57A3" w:rsidRPr="00261799" w:rsidRDefault="006B57A3" w:rsidP="006B57A3">
      <w:pPr>
        <w:pStyle w:val="Heading3"/>
        <w:rPr>
          <w:rFonts w:eastAsia="MS Mincho"/>
        </w:rPr>
      </w:pPr>
      <w:r>
        <w:rPr>
          <w:rFonts w:eastAsia="MS Mincho"/>
        </w:rPr>
        <w:t>Direction</w:t>
      </w:r>
      <w:r w:rsidRPr="00261799">
        <w:rPr>
          <w:rFonts w:eastAsia="MS Mincho"/>
        </w:rPr>
        <w:t xml:space="preserve"> 3.2 – </w:t>
      </w:r>
      <w:r w:rsidR="004D2412">
        <w:rPr>
          <w:rFonts w:eastAsia="MS Mincho"/>
        </w:rPr>
        <w:t>Competition and contestability</w:t>
      </w:r>
    </w:p>
    <w:p w:rsidR="006B57A3" w:rsidRPr="00B669A0" w:rsidRDefault="006B57A3" w:rsidP="006B57A3">
      <w:pPr>
        <w:rPr>
          <w:rFonts w:eastAsia="MS Mincho"/>
        </w:rPr>
      </w:pPr>
      <w:r w:rsidRPr="00B669A0">
        <w:rPr>
          <w:rFonts w:eastAsia="MS Mincho"/>
        </w:rPr>
        <w:t xml:space="preserve">The presentation of the thresholds in the Ministerial Directions has been updated to better align to the approach in International Agreements. Agencies should note that clarifications have been made to the Special Circumstances when a Limited Tender is allowed. This addresses </w:t>
      </w:r>
      <w:r w:rsidR="006F4A2B" w:rsidRPr="00B669A0">
        <w:rPr>
          <w:rFonts w:eastAsia="MS Mincho"/>
        </w:rPr>
        <w:t xml:space="preserve">previous </w:t>
      </w:r>
      <w:r w:rsidRPr="00B669A0">
        <w:rPr>
          <w:rFonts w:eastAsia="MS Mincho"/>
        </w:rPr>
        <w:t>areas of confusion.</w:t>
      </w:r>
    </w:p>
    <w:p w:rsidR="006B57A3" w:rsidRPr="00B669A0" w:rsidRDefault="006B57A3" w:rsidP="006B57A3">
      <w:r w:rsidRPr="00B669A0">
        <w:rPr>
          <w:rFonts w:eastAsia="MS Mincho"/>
        </w:rPr>
        <w:t>The Ministerial Direction includes a requirement for appropriate documentation and approval of Special Circumstances, by the Accountable Officer. This may be delegated in accordance with the Direction 10.2. However, Agencies should be aware that the Accountable Officer is not able to delegate the existence of 'exceptional circumstances' in exemption as noted in Instruction 3.2.1(c)(iii).</w:t>
      </w:r>
    </w:p>
    <w:p w:rsidR="006B57A3" w:rsidRPr="00261799" w:rsidRDefault="006B57A3" w:rsidP="006B57A3">
      <w:pPr>
        <w:pStyle w:val="Heading3"/>
        <w:rPr>
          <w:rFonts w:eastAsia="MS Mincho"/>
        </w:rPr>
      </w:pPr>
      <w:r>
        <w:rPr>
          <w:rFonts w:eastAsia="MS Mincho"/>
        </w:rPr>
        <w:t>Direction</w:t>
      </w:r>
      <w:r w:rsidRPr="00261799">
        <w:rPr>
          <w:rFonts w:eastAsia="MS Mincho"/>
        </w:rPr>
        <w:t xml:space="preserve"> 3.4 – Tender </w:t>
      </w:r>
      <w:r>
        <w:rPr>
          <w:rFonts w:eastAsia="MS Mincho"/>
        </w:rPr>
        <w:t xml:space="preserve">notice </w:t>
      </w:r>
      <w:r w:rsidRPr="00261799">
        <w:rPr>
          <w:rFonts w:eastAsia="MS Mincho"/>
        </w:rPr>
        <w:t>requirements</w:t>
      </w:r>
    </w:p>
    <w:p w:rsidR="006B57A3" w:rsidRDefault="006B57A3" w:rsidP="006B57A3">
      <w:pPr>
        <w:rPr>
          <w:rFonts w:eastAsia="MS Mincho"/>
        </w:rPr>
      </w:pPr>
      <w:r w:rsidRPr="007424BE">
        <w:rPr>
          <w:rFonts w:eastAsia="MS Mincho"/>
        </w:rPr>
        <w:t>A number of the Government's endorsed reforms emphasised the need to improve the type and nature of information given to the market, and to allow appropriate tender open time periods.</w:t>
      </w:r>
    </w:p>
    <w:p w:rsidR="006B57A3" w:rsidRDefault="006B57A3" w:rsidP="006B57A3">
      <w:pPr>
        <w:rPr>
          <w:rFonts w:eastAsia="MS Mincho"/>
        </w:rPr>
      </w:pPr>
      <w:r>
        <w:rPr>
          <w:rFonts w:eastAsia="MS Mincho"/>
        </w:rPr>
        <w:t>Notices must be published on a common website</w:t>
      </w:r>
      <w:r w:rsidR="007C4ED4">
        <w:rPr>
          <w:rFonts w:eastAsia="MS Mincho"/>
        </w:rPr>
        <w:t xml:space="preserve">, currently the </w:t>
      </w:r>
      <w:hyperlink r:id="rId20" w:history="1">
        <w:r w:rsidR="007C4ED4" w:rsidRPr="007C4ED4">
          <w:rPr>
            <w:rStyle w:val="Hyperlink"/>
            <w:rFonts w:eastAsia="MS Mincho"/>
          </w:rPr>
          <w:t>Victorian Government tenders system TendersVIC</w:t>
        </w:r>
      </w:hyperlink>
      <w:r>
        <w:rPr>
          <w:rFonts w:eastAsia="MS Mincho"/>
        </w:rPr>
        <w:t>. This is to enable suppliers to access a single point for information about all government procurement opportunities. The notices required are:</w:t>
      </w:r>
    </w:p>
    <w:p w:rsidR="006B57A3" w:rsidRDefault="006B57A3" w:rsidP="006B57A3">
      <w:pPr>
        <w:pStyle w:val="Bullet1"/>
        <w:rPr>
          <w:rFonts w:eastAsia="MS Mincho"/>
        </w:rPr>
      </w:pPr>
      <w:r>
        <w:rPr>
          <w:rFonts w:eastAsia="MS Mincho"/>
        </w:rPr>
        <w:t>Forward notice for all open and Selective Tenders (Direction 5.1), which must be published an appropriate period in advance. Guidance gives examples of appropriate periods for different types of procurement from simple to complex.</w:t>
      </w:r>
    </w:p>
    <w:p w:rsidR="006B57A3" w:rsidRPr="00301B2F" w:rsidRDefault="006B57A3" w:rsidP="006B57A3">
      <w:pPr>
        <w:pStyle w:val="Bullet1"/>
        <w:rPr>
          <w:rFonts w:eastAsia="MS Mincho"/>
        </w:rPr>
      </w:pPr>
      <w:r>
        <w:rPr>
          <w:rFonts w:eastAsia="MS Mincho"/>
        </w:rPr>
        <w:t>Tender Notice, identifying where tender documents can be found.</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t>Direction 4 – Probity</w:t>
      </w:r>
    </w:p>
    <w:p w:rsidR="006B57A3" w:rsidRPr="00FA266B" w:rsidRDefault="006B57A3" w:rsidP="006B57A3">
      <w:pPr>
        <w:pStyle w:val="Heading2"/>
        <w:tabs>
          <w:tab w:val="left" w:pos="5952"/>
        </w:tabs>
        <w:spacing w:before="120" w:after="120"/>
        <w:rPr>
          <w:lang w:eastAsia="en-US"/>
        </w:rPr>
      </w:pPr>
      <w:r w:rsidRPr="00FA266B">
        <w:rPr>
          <w:lang w:eastAsia="en-US"/>
        </w:rPr>
        <w:t>Summary</w:t>
      </w:r>
    </w:p>
    <w:p w:rsidR="006B57A3" w:rsidRDefault="006B57A3" w:rsidP="006B57A3">
      <w:r>
        <w:t xml:space="preserve">Probity principles listed in the Ministerial Directions </w:t>
      </w:r>
      <w:r>
        <w:rPr>
          <w:rFonts w:eastAsia="MS Mincho"/>
        </w:rPr>
        <w:t>reflect current public sector practices and expectations.</w:t>
      </w:r>
      <w:bookmarkStart w:id="3" w:name="_Ref486876447"/>
      <w:r>
        <w:rPr>
          <w:rFonts w:eastAsia="MS Mincho"/>
        </w:rPr>
        <w:t xml:space="preserve"> </w:t>
      </w:r>
      <w:r>
        <w:t xml:space="preserve">Agencies must have appropriate systems in place to ensure probity for all public construction </w:t>
      </w:r>
      <w:bookmarkEnd w:id="3"/>
      <w:r>
        <w:t>procurement and processes to ensure that procurement is conducted in a manner consistent with the probity principles.</w:t>
      </w:r>
    </w:p>
    <w:p w:rsidR="006B57A3" w:rsidRPr="00FA266B" w:rsidRDefault="006B57A3" w:rsidP="006B57A3">
      <w:pPr>
        <w:pStyle w:val="Heading2"/>
        <w:tabs>
          <w:tab w:val="left" w:pos="5952"/>
        </w:tabs>
        <w:spacing w:before="120" w:after="120"/>
        <w:rPr>
          <w:lang w:eastAsia="en-US"/>
        </w:rPr>
      </w:pPr>
      <w:r w:rsidRPr="00FA266B">
        <w:rPr>
          <w:lang w:eastAsia="en-US"/>
        </w:rPr>
        <w:t>Key substantive changes</w:t>
      </w:r>
    </w:p>
    <w:p w:rsidR="006B57A3" w:rsidRDefault="006B57A3" w:rsidP="006B57A3">
      <w:pPr>
        <w:rPr>
          <w:rFonts w:eastAsia="MS Mincho"/>
        </w:rPr>
      </w:pPr>
      <w:r>
        <w:rPr>
          <w:rFonts w:eastAsia="MS Mincho"/>
        </w:rPr>
        <w:t>Direction 4.1 outlines p</w:t>
      </w:r>
      <w:r w:rsidRPr="00DD570A">
        <w:rPr>
          <w:rFonts w:eastAsia="MS Mincho"/>
        </w:rPr>
        <w:t>rinciples for establishing and main</w:t>
      </w:r>
      <w:r>
        <w:rPr>
          <w:rFonts w:eastAsia="MS Mincho"/>
        </w:rPr>
        <w:t>taining probity in procurement. The principles reflect a common sense approach to managing probity and current public sector practices and expectations.</w:t>
      </w:r>
    </w:p>
    <w:p w:rsidR="006B57A3" w:rsidRPr="006814CC" w:rsidRDefault="006B57A3" w:rsidP="006B57A3">
      <w:r>
        <w:t xml:space="preserve">Each participant in a tender process must make a written commitment stating that they will conduct themselves fairly and honestly and will not engage in collusive tendering or any other anti-competitive practices. This provision in the Ministerial Directions confirms </w:t>
      </w:r>
      <w:r>
        <w:rPr>
          <w:rFonts w:eastAsia="MS Mincho"/>
        </w:rPr>
        <w:t>current public sector practice.</w:t>
      </w:r>
    </w:p>
    <w:p w:rsidR="006B57A3" w:rsidRDefault="006B57A3" w:rsidP="006B57A3">
      <w:r>
        <w:t>Direction 4.2 requires Agencies to have appropriate systems in place to ensure probity for all public construction procurement. A probity plan must be prepared for:</w:t>
      </w:r>
    </w:p>
    <w:p w:rsidR="006B57A3" w:rsidRPr="003A756C" w:rsidRDefault="006B57A3" w:rsidP="009D4246">
      <w:pPr>
        <w:pStyle w:val="ListParagraph"/>
        <w:numPr>
          <w:ilvl w:val="0"/>
          <w:numId w:val="5"/>
        </w:numPr>
        <w:spacing w:before="100" w:after="100" w:line="240" w:lineRule="auto"/>
        <w:ind w:left="1010" w:hanging="505"/>
        <w:contextualSpacing w:val="0"/>
        <w:rPr>
          <w:sz w:val="20"/>
        </w:rPr>
      </w:pPr>
      <w:r w:rsidRPr="003A756C">
        <w:rPr>
          <w:sz w:val="20"/>
        </w:rPr>
        <w:lastRenderedPageBreak/>
        <w:t>high value procurements (likely to be of a value in excess of $10 million (inclusive of GST)</w:t>
      </w:r>
      <w:r>
        <w:rPr>
          <w:sz w:val="20"/>
        </w:rPr>
        <w:t>)</w:t>
      </w:r>
      <w:r w:rsidRPr="003A756C">
        <w:rPr>
          <w:sz w:val="20"/>
        </w:rPr>
        <w:t>, or</w:t>
      </w:r>
    </w:p>
    <w:p w:rsidR="006B57A3" w:rsidRPr="003A756C" w:rsidRDefault="006B57A3" w:rsidP="009D4246">
      <w:pPr>
        <w:pStyle w:val="ListParagraph"/>
        <w:numPr>
          <w:ilvl w:val="0"/>
          <w:numId w:val="5"/>
        </w:numPr>
        <w:spacing w:before="100" w:after="100" w:line="240" w:lineRule="auto"/>
        <w:ind w:left="1010" w:hanging="505"/>
        <w:contextualSpacing w:val="0"/>
        <w:rPr>
          <w:sz w:val="20"/>
        </w:rPr>
      </w:pPr>
      <w:r w:rsidRPr="003A756C">
        <w:rPr>
          <w:sz w:val="20"/>
        </w:rPr>
        <w:t>complex and/or otherwise high risk procurements.</w:t>
      </w:r>
    </w:p>
    <w:p w:rsidR="006B57A3" w:rsidRPr="003A756C" w:rsidRDefault="006B57A3" w:rsidP="006B57A3">
      <w:r>
        <w:t>For all other procurements, Agencies must have appropriate systems and processes in place to manage probity to ensure they are able to conduct the procurement in a manner consistent with the principles in Direction 4.1.</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t>Direction 5 – Openness in Public Construction Procurement</w:t>
      </w:r>
    </w:p>
    <w:p w:rsidR="006B57A3" w:rsidRPr="00FA266B" w:rsidRDefault="006B57A3" w:rsidP="006B57A3">
      <w:pPr>
        <w:pStyle w:val="Heading2"/>
        <w:tabs>
          <w:tab w:val="left" w:pos="5952"/>
        </w:tabs>
        <w:spacing w:before="120" w:after="120"/>
        <w:rPr>
          <w:lang w:eastAsia="en-US"/>
        </w:rPr>
      </w:pPr>
      <w:r w:rsidRPr="00FA266B">
        <w:rPr>
          <w:lang w:eastAsia="en-US"/>
        </w:rPr>
        <w:t>Summary</w:t>
      </w:r>
    </w:p>
    <w:p w:rsidR="006B57A3" w:rsidRDefault="006B57A3" w:rsidP="006B57A3">
      <w:r>
        <w:t xml:space="preserve">The Ministerial Directions require greater transparency of </w:t>
      </w:r>
      <w:r w:rsidR="00F25994">
        <w:t>p</w:t>
      </w:r>
      <w:r>
        <w:t xml:space="preserve">ublic </w:t>
      </w:r>
      <w:r w:rsidR="00F25994">
        <w:t>c</w:t>
      </w:r>
      <w:r>
        <w:t xml:space="preserve">onstruction </w:t>
      </w:r>
      <w:r w:rsidR="00F25994">
        <w:t>p</w:t>
      </w:r>
      <w:r>
        <w:t>rocurement activity through publication of notices and disclosure of procurement details on a common website</w:t>
      </w:r>
      <w:r w:rsidR="007C4ED4">
        <w:t xml:space="preserve">, currently the </w:t>
      </w:r>
      <w:hyperlink r:id="rId21" w:history="1">
        <w:r w:rsidR="007C4ED4" w:rsidRPr="007C4ED4">
          <w:rPr>
            <w:rStyle w:val="Hyperlink"/>
          </w:rPr>
          <w:t>Contracts module on the Victorian Government tenders system TendersVIC</w:t>
        </w:r>
      </w:hyperlink>
      <w:r>
        <w:t>. These requirements cover:</w:t>
      </w:r>
    </w:p>
    <w:p w:rsidR="006B57A3" w:rsidRDefault="006B57A3" w:rsidP="004C5ED4">
      <w:pPr>
        <w:pStyle w:val="Listnum2"/>
        <w:numPr>
          <w:ilvl w:val="1"/>
          <w:numId w:val="4"/>
        </w:numPr>
      </w:pPr>
      <w:r>
        <w:t>Forward notices of intended procurements for all open and Selective tenders, to enable suppliers to have visibility of the upcoming pipeline of government procurements;</w:t>
      </w:r>
    </w:p>
    <w:p w:rsidR="006B57A3" w:rsidRPr="00DE77BE" w:rsidRDefault="006B57A3" w:rsidP="004C5ED4">
      <w:pPr>
        <w:pStyle w:val="Listnum2"/>
        <w:numPr>
          <w:ilvl w:val="1"/>
          <w:numId w:val="4"/>
        </w:numPr>
      </w:pPr>
      <w:r>
        <w:t>Tender notices for Selective and Limited Tenders,</w:t>
      </w:r>
      <w:r w:rsidRPr="006917F9">
        <w:rPr>
          <w:rFonts w:eastAsia="MS Mincho"/>
        </w:rPr>
        <w:t xml:space="preserve"> as well as open tenders</w:t>
      </w:r>
      <w:r>
        <w:rPr>
          <w:rFonts w:eastAsia="MS Mincho"/>
        </w:rPr>
        <w:t>.</w:t>
      </w:r>
    </w:p>
    <w:p w:rsidR="006B57A3" w:rsidRPr="00D349BD" w:rsidRDefault="006B57A3" w:rsidP="004C5ED4">
      <w:pPr>
        <w:pStyle w:val="Listnum2"/>
        <w:numPr>
          <w:ilvl w:val="1"/>
          <w:numId w:val="4"/>
        </w:numPr>
      </w:pPr>
      <w:r>
        <w:rPr>
          <w:rFonts w:eastAsia="MS Mincho"/>
        </w:rPr>
        <w:t xml:space="preserve">Disclosure of </w:t>
      </w:r>
      <w:r w:rsidRPr="006917F9">
        <w:rPr>
          <w:rFonts w:eastAsia="MS Mincho"/>
        </w:rPr>
        <w:t>contract details</w:t>
      </w:r>
      <w:r>
        <w:rPr>
          <w:rFonts w:eastAsia="MS Mincho"/>
        </w:rPr>
        <w:t>.</w:t>
      </w:r>
    </w:p>
    <w:p w:rsidR="006B57A3" w:rsidRPr="00FA266B" w:rsidRDefault="006B57A3" w:rsidP="006B57A3">
      <w:pPr>
        <w:pStyle w:val="Heading2"/>
        <w:tabs>
          <w:tab w:val="left" w:pos="5952"/>
        </w:tabs>
        <w:spacing w:before="120" w:after="120"/>
        <w:rPr>
          <w:lang w:eastAsia="en-US"/>
        </w:rPr>
      </w:pPr>
      <w:r w:rsidRPr="00FA266B">
        <w:rPr>
          <w:lang w:eastAsia="en-US"/>
        </w:rPr>
        <w:t>Key substantive changes</w:t>
      </w:r>
    </w:p>
    <w:p w:rsidR="006B57A3" w:rsidRDefault="006B57A3" w:rsidP="006B57A3">
      <w:pPr>
        <w:rPr>
          <w:rFonts w:eastAsia="MS Mincho"/>
        </w:rPr>
      </w:pPr>
      <w:r>
        <w:t>Direction 5.1 i</w:t>
      </w:r>
      <w:r w:rsidRPr="006917F9">
        <w:rPr>
          <w:rFonts w:eastAsia="MS Mincho"/>
        </w:rPr>
        <w:t>ntroduces the requirement to publish a notice of forthcoming procurements to give the market an indication of the upcoming opportunities</w:t>
      </w:r>
      <w:r>
        <w:rPr>
          <w:rFonts w:eastAsia="MS Mincho"/>
        </w:rPr>
        <w:t>.</w:t>
      </w:r>
    </w:p>
    <w:p w:rsidR="006B57A3" w:rsidRDefault="006B57A3" w:rsidP="006B57A3">
      <w:pPr>
        <w:rPr>
          <w:rFonts w:eastAsia="MS Mincho"/>
        </w:rPr>
      </w:pPr>
      <w:r w:rsidRPr="006917F9">
        <w:rPr>
          <w:rFonts w:eastAsia="MS Mincho"/>
        </w:rPr>
        <w:t>The current requirement for notices of tenders has been extended to include invited as well as open tenders</w:t>
      </w:r>
      <w:r>
        <w:rPr>
          <w:rFonts w:eastAsia="MS Mincho"/>
        </w:rPr>
        <w:t xml:space="preserve"> (Direction 3.4).</w:t>
      </w:r>
    </w:p>
    <w:p w:rsidR="006B57A3" w:rsidRDefault="006B57A3" w:rsidP="006B57A3">
      <w:pPr>
        <w:rPr>
          <w:rFonts w:eastAsia="MS Mincho"/>
        </w:rPr>
      </w:pPr>
      <w:r w:rsidRPr="006917F9">
        <w:rPr>
          <w:rFonts w:eastAsia="MS Mincho"/>
        </w:rPr>
        <w:t>The publication of these notices support better market awareness and improve the ability to present a forward pipeline of upcoming opportunities.</w:t>
      </w:r>
    </w:p>
    <w:p w:rsidR="006B57A3" w:rsidRDefault="006B57A3" w:rsidP="006B57A3">
      <w:pPr>
        <w:rPr>
          <w:rFonts w:eastAsia="MS Mincho"/>
        </w:rPr>
      </w:pPr>
      <w:r w:rsidRPr="006917F9">
        <w:rPr>
          <w:rFonts w:eastAsia="MS Mincho"/>
        </w:rPr>
        <w:t>The requirement for disclosure of cont</w:t>
      </w:r>
      <w:r>
        <w:rPr>
          <w:rFonts w:eastAsia="MS Mincho"/>
        </w:rPr>
        <w:t>ract details has been retained</w:t>
      </w:r>
      <w:r w:rsidR="00F35905">
        <w:rPr>
          <w:rFonts w:eastAsia="MS Mincho"/>
        </w:rPr>
        <w:t xml:space="preserve"> and is reinforced</w:t>
      </w:r>
      <w:r>
        <w:rPr>
          <w:rFonts w:eastAsia="MS Mincho"/>
        </w:rPr>
        <w:t xml:space="preserve">. Direction 5.2 requires the disclosure of key details of contracts with a value greater than $100,000 (inclusive of GST) regardless of the type of tender process. In addition to the requirement to disclose key details of contracts, Direction 5.2 clarifies that where </w:t>
      </w:r>
      <w:hyperlink r:id="rId22" w:history="1">
        <w:r w:rsidRPr="00306DE0">
          <w:rPr>
            <w:rStyle w:val="Hyperlink"/>
            <w:rFonts w:eastAsia="MS Mincho"/>
          </w:rPr>
          <w:t>Financial Reporting Directive 12B Disclosure of major contracts</w:t>
        </w:r>
      </w:hyperlink>
      <w:r>
        <w:rPr>
          <w:rFonts w:eastAsia="MS Mincho"/>
        </w:rPr>
        <w:t xml:space="preserve"> applies, full disclosure of contracts for works and construction services in excess of $10 million (inclusive of GST) is required.</w:t>
      </w:r>
    </w:p>
    <w:p w:rsidR="006B57A3" w:rsidRPr="00DE77BE" w:rsidRDefault="006B57A3" w:rsidP="006B57A3">
      <w:r w:rsidRPr="006917F9">
        <w:rPr>
          <w:rFonts w:eastAsia="MS Mincho"/>
        </w:rPr>
        <w:t>Collectively, the notices and disclosure allow the government to better understand and analyse procurement trends and allow the market to b</w:t>
      </w:r>
      <w:r>
        <w:rPr>
          <w:rFonts w:eastAsia="MS Mincho"/>
        </w:rPr>
        <w:t>etter prioritise its resources.</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lastRenderedPageBreak/>
        <w:t>Direction 6 – Pre-qualification and panel arrangements</w:t>
      </w:r>
    </w:p>
    <w:p w:rsidR="006B57A3" w:rsidRPr="00FA266B" w:rsidRDefault="006B57A3" w:rsidP="006B57A3">
      <w:pPr>
        <w:pStyle w:val="Heading2"/>
        <w:tabs>
          <w:tab w:val="left" w:pos="5952"/>
        </w:tabs>
        <w:spacing w:before="120" w:after="120"/>
        <w:rPr>
          <w:lang w:eastAsia="en-US"/>
        </w:rPr>
      </w:pPr>
      <w:r w:rsidRPr="00FA266B">
        <w:rPr>
          <w:lang w:eastAsia="en-US"/>
        </w:rPr>
        <w:t>Summary</w:t>
      </w:r>
    </w:p>
    <w:p w:rsidR="006B57A3" w:rsidRPr="002417BB" w:rsidRDefault="006B57A3" w:rsidP="006B57A3">
      <w:r>
        <w:rPr>
          <w:lang w:eastAsia="en-US"/>
        </w:rPr>
        <w:t xml:space="preserve">Pre-qualification and panel arrangements in the Ministerial Directions are based on the existing requirements. </w:t>
      </w:r>
      <w:r>
        <w:rPr>
          <w:rFonts w:eastAsia="MS Mincho"/>
        </w:rPr>
        <w:t xml:space="preserve">A mechanism for the establishment and approval of registers of pre-qualified suppliers is described, as </w:t>
      </w:r>
      <w:r w:rsidR="00F35905">
        <w:rPr>
          <w:rFonts w:eastAsia="MS Mincho"/>
        </w:rPr>
        <w:t xml:space="preserve">well as </w:t>
      </w:r>
      <w:r>
        <w:rPr>
          <w:rFonts w:eastAsia="MS Mincho"/>
        </w:rPr>
        <w:t>processes to establish panels of suppliers.</w:t>
      </w:r>
    </w:p>
    <w:p w:rsidR="006B57A3" w:rsidRPr="00FA266B" w:rsidRDefault="006B57A3" w:rsidP="006B57A3">
      <w:pPr>
        <w:pStyle w:val="Heading2"/>
        <w:tabs>
          <w:tab w:val="left" w:pos="5952"/>
        </w:tabs>
        <w:spacing w:before="120" w:after="120"/>
        <w:rPr>
          <w:lang w:eastAsia="en-US"/>
        </w:rPr>
      </w:pPr>
      <w:r w:rsidRPr="00FA266B">
        <w:rPr>
          <w:lang w:eastAsia="en-US"/>
        </w:rPr>
        <w:t>Key substantive changes</w:t>
      </w:r>
    </w:p>
    <w:p w:rsidR="006B57A3" w:rsidRPr="00705C39" w:rsidRDefault="006B57A3" w:rsidP="006B57A3">
      <w:pPr>
        <w:rPr>
          <w:rFonts w:eastAsia="MS Mincho"/>
        </w:rPr>
      </w:pPr>
      <w:r w:rsidRPr="00105F7F">
        <w:rPr>
          <w:rFonts w:eastAsia="MS Mincho"/>
        </w:rPr>
        <w:t>The requirements for prequalification remain relatively unchanged from the existing Ministerial Directions. Most of the improvements that respond to the Government's endorsed reforms will be operational changes to the Construction Supplier Register. These include the introduction of additional subcategories and performance reporting.</w:t>
      </w:r>
    </w:p>
    <w:p w:rsidR="006B57A3" w:rsidRPr="00705C39" w:rsidRDefault="006B57A3" w:rsidP="006B57A3">
      <w:pPr>
        <w:rPr>
          <w:rFonts w:eastAsia="MS Mincho"/>
        </w:rPr>
      </w:pPr>
      <w:r w:rsidRPr="00705C39">
        <w:rPr>
          <w:rFonts w:eastAsia="MS Mincho"/>
        </w:rPr>
        <w:t>Key changes to support these operational changes include:</w:t>
      </w:r>
    </w:p>
    <w:p w:rsidR="006B57A3" w:rsidRPr="00705C39" w:rsidRDefault="006B57A3" w:rsidP="006B57A3">
      <w:pPr>
        <w:pStyle w:val="Bullet1"/>
      </w:pPr>
      <w:r w:rsidRPr="00705C39">
        <w:t>highlighting that selective tenders may be open to a selected group within a category (minimum 3), or all suppliers in a category, to promote a more open approach</w:t>
      </w:r>
      <w:r>
        <w:t xml:space="preserve"> (Direction 3.2); and</w:t>
      </w:r>
    </w:p>
    <w:p w:rsidR="006B57A3" w:rsidRPr="00705C39" w:rsidRDefault="006B57A3" w:rsidP="006B57A3">
      <w:pPr>
        <w:pStyle w:val="Bullet1"/>
      </w:pPr>
      <w:r w:rsidRPr="00705C39">
        <w:t xml:space="preserve">forward notice requirements </w:t>
      </w:r>
      <w:r>
        <w:t xml:space="preserve">(Direction 5.1) </w:t>
      </w:r>
      <w:r w:rsidRPr="00705C39">
        <w:t>giving suppliers an incentive to ensure registration in the relevant pre-qualification scheme and category.</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t>Direction 7 – Contracting requirements</w:t>
      </w:r>
    </w:p>
    <w:p w:rsidR="006B57A3" w:rsidRPr="00FA266B" w:rsidRDefault="006B57A3" w:rsidP="006B57A3">
      <w:pPr>
        <w:pStyle w:val="Heading2"/>
        <w:tabs>
          <w:tab w:val="left" w:pos="5952"/>
        </w:tabs>
        <w:spacing w:before="120" w:after="120"/>
        <w:rPr>
          <w:lang w:eastAsia="en-US"/>
        </w:rPr>
      </w:pPr>
      <w:r w:rsidRPr="00FA266B">
        <w:rPr>
          <w:lang w:eastAsia="en-US"/>
        </w:rPr>
        <w:t>Summary</w:t>
      </w:r>
    </w:p>
    <w:p w:rsidR="00F43D18" w:rsidRDefault="00F43D18" w:rsidP="00F43D18">
      <w:r>
        <w:t xml:space="preserve">The Ministerial Directions retain </w:t>
      </w:r>
      <w:r w:rsidR="00A82EA3">
        <w:t>and reinforce</w:t>
      </w:r>
      <w:r w:rsidR="00F35905">
        <w:t xml:space="preserve"> </w:t>
      </w:r>
      <w:r>
        <w:t xml:space="preserve">the use of mandatory standard forms of construction contract, </w:t>
      </w:r>
      <w:r>
        <w:rPr>
          <w:rFonts w:eastAsia="MS Mincho"/>
        </w:rPr>
        <w:t xml:space="preserve">referred to collectively as the Victorian Public Construction Contracts. Long standing principles that require Agencies to use </w:t>
      </w:r>
      <w:r>
        <w:t xml:space="preserve">the form of contract appropriate for the procurement model, consistent with any government policy applicable to the procurement </w:t>
      </w:r>
      <w:r w:rsidR="009D4246">
        <w:t xml:space="preserve">and to </w:t>
      </w:r>
      <w:r>
        <w:t xml:space="preserve">use of forms of contract known to the relevant segment of the market </w:t>
      </w:r>
      <w:r w:rsidR="00FC3C0C">
        <w:t xml:space="preserve">have </w:t>
      </w:r>
      <w:r>
        <w:t>been retained.</w:t>
      </w:r>
    </w:p>
    <w:p w:rsidR="006B57A3" w:rsidRDefault="006B57A3" w:rsidP="006B57A3">
      <w:r>
        <w:t xml:space="preserve">The </w:t>
      </w:r>
      <w:r w:rsidR="00B122F1">
        <w:t xml:space="preserve">most commonly used </w:t>
      </w:r>
      <w:r w:rsidR="00F43D18">
        <w:rPr>
          <w:rFonts w:eastAsia="MS Mincho"/>
        </w:rPr>
        <w:t>Victorian Public Construction Contracts</w:t>
      </w:r>
      <w:r w:rsidR="00F43D18">
        <w:t xml:space="preserve"> </w:t>
      </w:r>
      <w:r>
        <w:t xml:space="preserve">are supported by </w:t>
      </w:r>
      <w:r w:rsidR="00A82EA3">
        <w:t>Practice Notes</w:t>
      </w:r>
      <w:r>
        <w:t xml:space="preserve"> to promote a common approach to understanding issues that arise in construction contracts. Recognising that the circumstances of each project may differ, the guidance highlights relevant considerations to enable practitioners to better understand and interpret the standard documentation.</w:t>
      </w:r>
    </w:p>
    <w:p w:rsidR="006B57A3" w:rsidRPr="00FA266B" w:rsidRDefault="006B57A3" w:rsidP="006B57A3">
      <w:pPr>
        <w:pStyle w:val="Heading2"/>
        <w:tabs>
          <w:tab w:val="left" w:pos="5952"/>
        </w:tabs>
        <w:spacing w:before="120" w:after="120"/>
        <w:rPr>
          <w:lang w:eastAsia="en-US"/>
        </w:rPr>
      </w:pPr>
      <w:r w:rsidRPr="00FA266B">
        <w:rPr>
          <w:lang w:eastAsia="en-US"/>
        </w:rPr>
        <w:t>Key substantive changes</w:t>
      </w:r>
    </w:p>
    <w:p w:rsidR="007A6490" w:rsidRPr="00261799" w:rsidRDefault="007A6490" w:rsidP="007A6490">
      <w:pPr>
        <w:pStyle w:val="Heading3"/>
        <w:rPr>
          <w:rFonts w:eastAsia="MS Mincho"/>
        </w:rPr>
      </w:pPr>
      <w:r>
        <w:rPr>
          <w:rFonts w:eastAsia="MS Mincho"/>
        </w:rPr>
        <w:t>Direction</w:t>
      </w:r>
      <w:r w:rsidRPr="00261799">
        <w:rPr>
          <w:rFonts w:eastAsia="MS Mincho"/>
        </w:rPr>
        <w:t xml:space="preserve"> </w:t>
      </w:r>
      <w:r>
        <w:rPr>
          <w:rFonts w:eastAsia="MS Mincho"/>
        </w:rPr>
        <w:t>7.1</w:t>
      </w:r>
      <w:r w:rsidRPr="00261799">
        <w:rPr>
          <w:rFonts w:eastAsia="MS Mincho"/>
        </w:rPr>
        <w:t xml:space="preserve"> – </w:t>
      </w:r>
      <w:r>
        <w:rPr>
          <w:rFonts w:eastAsia="MS Mincho"/>
        </w:rPr>
        <w:t>Contracting requirements</w:t>
      </w:r>
    </w:p>
    <w:p w:rsidR="00F43D18" w:rsidRDefault="00F43D18" w:rsidP="006B57A3">
      <w:pPr>
        <w:rPr>
          <w:rFonts w:eastAsia="MS Mincho"/>
        </w:rPr>
      </w:pPr>
      <w:r>
        <w:t xml:space="preserve">The Ministerial Directions retain the use of mandatory standard forms of construction contract, </w:t>
      </w:r>
      <w:r>
        <w:rPr>
          <w:rFonts w:eastAsia="MS Mincho"/>
        </w:rPr>
        <w:t>referred to collectively as the Victorian Public Construction Contracts.</w:t>
      </w:r>
    </w:p>
    <w:p w:rsidR="00F43D18" w:rsidRDefault="00F43D18" w:rsidP="006B57A3">
      <w:pPr>
        <w:rPr>
          <w:rFonts w:eastAsia="MS Mincho"/>
        </w:rPr>
      </w:pPr>
      <w:r>
        <w:rPr>
          <w:rFonts w:eastAsia="MS Mincho"/>
        </w:rPr>
        <w:t>While use of one of the Victorian Public Construction Contracts is the expectation, the requirements of a project may require amendments to a standard contract before release to market, during tender negotiations</w:t>
      </w:r>
      <w:r w:rsidR="00470043">
        <w:rPr>
          <w:rFonts w:eastAsia="MS Mincho"/>
        </w:rPr>
        <w:t>, or during the life of the contract. New processes have been established for the approval of such amendments.</w:t>
      </w:r>
    </w:p>
    <w:p w:rsidR="00470043" w:rsidRDefault="00470043" w:rsidP="00470043">
      <w:r>
        <w:rPr>
          <w:rFonts w:eastAsia="MS Mincho"/>
        </w:rPr>
        <w:lastRenderedPageBreak/>
        <w:t xml:space="preserve">An Agency may issue an amended </w:t>
      </w:r>
      <w:r>
        <w:t>Victorian Public Construction Contract or an alternative form of contract if one or more of the following circumstances apply:</w:t>
      </w:r>
    </w:p>
    <w:p w:rsidR="00470043" w:rsidRPr="00470043" w:rsidRDefault="00470043" w:rsidP="009D4246">
      <w:pPr>
        <w:pStyle w:val="ListParagraph"/>
        <w:numPr>
          <w:ilvl w:val="0"/>
          <w:numId w:val="7"/>
        </w:numPr>
        <w:spacing w:before="100" w:after="100" w:line="240" w:lineRule="auto"/>
        <w:ind w:left="1010" w:hanging="505"/>
        <w:contextualSpacing w:val="0"/>
        <w:rPr>
          <w:sz w:val="20"/>
        </w:rPr>
      </w:pPr>
      <w:r w:rsidRPr="00470043">
        <w:rPr>
          <w:sz w:val="20"/>
        </w:rPr>
        <w:t>Victorian Public Construction Contracts are inappropriate for the type of works being procured;</w:t>
      </w:r>
    </w:p>
    <w:p w:rsidR="00470043" w:rsidRPr="00470043" w:rsidRDefault="00470043" w:rsidP="009D4246">
      <w:pPr>
        <w:pStyle w:val="ListParagraph"/>
        <w:numPr>
          <w:ilvl w:val="0"/>
          <w:numId w:val="7"/>
        </w:numPr>
        <w:spacing w:before="100" w:after="100" w:line="240" w:lineRule="auto"/>
        <w:ind w:left="1010" w:hanging="505"/>
        <w:contextualSpacing w:val="0"/>
        <w:rPr>
          <w:sz w:val="20"/>
        </w:rPr>
      </w:pPr>
      <w:r w:rsidRPr="00470043">
        <w:rPr>
          <w:sz w:val="20"/>
        </w:rPr>
        <w:t>Victorian Public Construction Contracts do not sufficiently address interface issues where there are multiple contractors working on a site or where the works are undertaken on an operational site; or</w:t>
      </w:r>
    </w:p>
    <w:p w:rsidR="00470043" w:rsidRPr="00470043" w:rsidRDefault="00470043" w:rsidP="009D4246">
      <w:pPr>
        <w:pStyle w:val="ListParagraph"/>
        <w:numPr>
          <w:ilvl w:val="0"/>
          <w:numId w:val="7"/>
        </w:numPr>
        <w:spacing w:before="100" w:after="100" w:line="240" w:lineRule="auto"/>
        <w:ind w:left="1010" w:hanging="505"/>
        <w:contextualSpacing w:val="0"/>
        <w:rPr>
          <w:rFonts w:eastAsia="MS Mincho"/>
          <w:sz w:val="20"/>
        </w:rPr>
      </w:pPr>
      <w:r w:rsidRPr="00470043">
        <w:rPr>
          <w:sz w:val="20"/>
        </w:rPr>
        <w:t>the Works or Construction Services relate to leased premises or third party property where the form of contract is required to be approved by the lessor or such third party</w:t>
      </w:r>
      <w:r>
        <w:rPr>
          <w:sz w:val="20"/>
        </w:rPr>
        <w:t>.</w:t>
      </w:r>
    </w:p>
    <w:p w:rsidR="00CF63CC" w:rsidRPr="00E167B0" w:rsidRDefault="00470043" w:rsidP="00A82EA3">
      <w:r>
        <w:t xml:space="preserve">The concept of a material contract departure is introduced. A material contract departure is one that, taking </w:t>
      </w:r>
      <w:r w:rsidRPr="00E167B0">
        <w:t>into account the value, complexity and risk of the Works or Construction Services, could substantially impact the manner in which public construction procurement is undertaken by other Agencies.</w:t>
      </w:r>
      <w:r w:rsidR="00A82EA3" w:rsidRPr="00E167B0">
        <w:t xml:space="preserve"> For example, a</w:t>
      </w:r>
      <w:r w:rsidR="00D0604B" w:rsidRPr="00E167B0">
        <w:t xml:space="preserve">n Agency decision to accept a </w:t>
      </w:r>
      <w:r w:rsidR="00E167B0" w:rsidRPr="00E167B0">
        <w:t xml:space="preserve">tenderer’s </w:t>
      </w:r>
      <w:r w:rsidR="00E167B0">
        <w:t xml:space="preserve">requested </w:t>
      </w:r>
      <w:r w:rsidR="00E167B0" w:rsidRPr="00E167B0">
        <w:t>contract departure that would remove or drastically reduc</w:t>
      </w:r>
      <w:r w:rsidR="00220541">
        <w:t>e a core insurance requirement.</w:t>
      </w:r>
    </w:p>
    <w:p w:rsidR="00470043" w:rsidRDefault="00AD3278" w:rsidP="00470043">
      <w:r w:rsidRPr="00E167B0">
        <w:t>During tender negotiations, a</w:t>
      </w:r>
      <w:r w:rsidR="00470043" w:rsidRPr="00E167B0">
        <w:t xml:space="preserve"> material contract departure must only</w:t>
      </w:r>
      <w:r w:rsidR="00470043" w:rsidRPr="008020D0">
        <w:t xml:space="preserve"> be accepted following approval </w:t>
      </w:r>
      <w:r w:rsidR="00470043" w:rsidRPr="00C521E9">
        <w:t>by the Secretary</w:t>
      </w:r>
      <w:r w:rsidR="001C35C8" w:rsidRPr="001C35C8">
        <w:t xml:space="preserve"> </w:t>
      </w:r>
      <w:r w:rsidR="00FC3C0C">
        <w:t>of</w:t>
      </w:r>
      <w:r w:rsidR="001C35C8">
        <w:t xml:space="preserve"> the Department of Treasury and Finance</w:t>
      </w:r>
      <w:r w:rsidR="00470043" w:rsidRPr="00C521E9">
        <w:t xml:space="preserve"> or a person authorised in writing by the Secreta</w:t>
      </w:r>
      <w:r w:rsidR="00FC3C0C">
        <w:t>ry of</w:t>
      </w:r>
      <w:r w:rsidR="00470043">
        <w:t xml:space="preserve"> the Department of Treasury and Finance.</w:t>
      </w:r>
    </w:p>
    <w:p w:rsidR="001C35C8" w:rsidRPr="001C35C8" w:rsidRDefault="00AD3278" w:rsidP="001C35C8">
      <w:r>
        <w:t>During the life of the contract, a</w:t>
      </w:r>
      <w:r w:rsidR="00470043" w:rsidRPr="007F7FBE">
        <w:t xml:space="preserve"> material </w:t>
      </w:r>
      <w:r w:rsidR="00470043" w:rsidRPr="00C72BD0">
        <w:t>c</w:t>
      </w:r>
      <w:r w:rsidR="00470043" w:rsidRPr="00063AD2">
        <w:t xml:space="preserve">ontract </w:t>
      </w:r>
      <w:r w:rsidR="00470043" w:rsidRPr="008020D0">
        <w:t>amendment must only be agreed to following approval by the Secretary</w:t>
      </w:r>
      <w:r w:rsidR="001C35C8" w:rsidRPr="001C35C8">
        <w:t xml:space="preserve"> </w:t>
      </w:r>
      <w:r w:rsidR="00FC3C0C">
        <w:t>of</w:t>
      </w:r>
      <w:r w:rsidR="001C35C8">
        <w:t xml:space="preserve"> the Department of Treasury and Finance</w:t>
      </w:r>
      <w:r w:rsidR="00470043" w:rsidRPr="008020D0">
        <w:t xml:space="preserve"> or a person authorised in writing by the Secretary</w:t>
      </w:r>
      <w:r w:rsidR="001C35C8" w:rsidRPr="001C35C8">
        <w:t xml:space="preserve"> </w:t>
      </w:r>
      <w:r w:rsidR="00FC3C0C">
        <w:t>of</w:t>
      </w:r>
      <w:r w:rsidR="001C35C8">
        <w:t xml:space="preserve"> the Department of Treasury and Finance.</w:t>
      </w:r>
    </w:p>
    <w:p w:rsidR="007A6490" w:rsidRPr="00261799" w:rsidRDefault="007A6490" w:rsidP="007A6490">
      <w:pPr>
        <w:pStyle w:val="Heading3"/>
        <w:rPr>
          <w:rFonts w:eastAsia="MS Mincho"/>
        </w:rPr>
      </w:pPr>
      <w:r>
        <w:rPr>
          <w:rFonts w:eastAsia="MS Mincho"/>
        </w:rPr>
        <w:t>Direction 7</w:t>
      </w:r>
      <w:r w:rsidRPr="00261799">
        <w:rPr>
          <w:rFonts w:eastAsia="MS Mincho"/>
        </w:rPr>
        <w:t xml:space="preserve">.2 – </w:t>
      </w:r>
      <w:r>
        <w:rPr>
          <w:rFonts w:eastAsia="MS Mincho"/>
        </w:rPr>
        <w:t>Contractual terms and conditions</w:t>
      </w:r>
    </w:p>
    <w:p w:rsidR="007A6490" w:rsidRDefault="007A6490" w:rsidP="001C35C8">
      <w:r>
        <w:t xml:space="preserve">The Direction clarifies </w:t>
      </w:r>
      <w:r w:rsidRPr="007A6490">
        <w:t>that contractual terms and conditions must address certain provisions</w:t>
      </w:r>
      <w:r>
        <w:t>, and must ensure compliance with legislative and policy requirements. The list of applicable policies and legislation is documented.</w:t>
      </w:r>
    </w:p>
    <w:p w:rsidR="001C35C8" w:rsidRDefault="001C35C8" w:rsidP="001C35C8">
      <w:r>
        <w:t>Principles of contracting have been identified where a common approach to issues that affect government is required. For example, reflecting the Victorian Auditor General's follow the dollar powers in contracts.</w:t>
      </w:r>
      <w:r w:rsidRPr="00830E88">
        <w:t xml:space="preserve"> </w:t>
      </w:r>
      <w:r>
        <w:t>Each Agency is required to adopt consistent forms of contract for similar procurements consistent with the contracting principles.</w:t>
      </w:r>
    </w:p>
    <w:p w:rsidR="00FE09B1" w:rsidRPr="00E167B0" w:rsidRDefault="007A6490" w:rsidP="00FC3C0C">
      <w:pPr>
        <w:pStyle w:val="NormalIndent"/>
        <w:tabs>
          <w:tab w:val="left" w:pos="709"/>
        </w:tabs>
        <w:ind w:left="0"/>
      </w:pPr>
      <w:r>
        <w:t xml:space="preserve">The concept of non-standard commercial arrangements is introduced. </w:t>
      </w:r>
      <w:r w:rsidR="009D4246">
        <w:t>A non-standard commercial arrangement is defined as a term or condition in a contract or deed, including the contents of bindi</w:t>
      </w:r>
      <w:r w:rsidR="00FC3C0C">
        <w:t xml:space="preserve">ng schedules or annexures, that </w:t>
      </w:r>
      <w:r w:rsidR="009D4246" w:rsidRPr="009D4246">
        <w:t>in any way contravenes these</w:t>
      </w:r>
      <w:r w:rsidR="00FC3C0C">
        <w:t xml:space="preserve"> Directions or the Instructions,</w:t>
      </w:r>
      <w:r w:rsidR="009D4246" w:rsidRPr="009D4246">
        <w:t xml:space="preserve"> or</w:t>
      </w:r>
      <w:r w:rsidR="00FC3C0C">
        <w:t xml:space="preserve"> </w:t>
      </w:r>
      <w:r w:rsidR="009D4246" w:rsidRPr="009D4246">
        <w:t xml:space="preserve">in all of the circumstances is highly unusual for a procurement of that type and Procurement </w:t>
      </w:r>
      <w:r w:rsidR="009D4246" w:rsidRPr="00FE09B1">
        <w:t xml:space="preserve">Model </w:t>
      </w:r>
      <w:r w:rsidR="00FC3C0C" w:rsidRPr="00FE09B1">
        <w:t xml:space="preserve">as </w:t>
      </w:r>
      <w:r w:rsidR="00FC3C0C" w:rsidRPr="00E167B0">
        <w:t xml:space="preserve">procured by a prudent Agency, </w:t>
      </w:r>
      <w:r w:rsidR="009D4246" w:rsidRPr="00E167B0">
        <w:t>and that is so material as to have potential to impact that market segment generally or contracting practices by the State of Victoria as a whole.</w:t>
      </w:r>
      <w:r w:rsidR="00A82EA3" w:rsidRPr="00E167B0">
        <w:t xml:space="preserve"> For example</w:t>
      </w:r>
      <w:r w:rsidR="00E167B0" w:rsidRPr="00E167B0">
        <w:t>, an Agency decision</w:t>
      </w:r>
      <w:r w:rsidR="00FE09B1" w:rsidRPr="00E167B0">
        <w:t xml:space="preserve">: </w:t>
      </w:r>
    </w:p>
    <w:p w:rsidR="00FE09B1" w:rsidRPr="00E167B0" w:rsidRDefault="00E167B0" w:rsidP="00FE09B1">
      <w:pPr>
        <w:pStyle w:val="NormalIndent"/>
        <w:numPr>
          <w:ilvl w:val="0"/>
          <w:numId w:val="11"/>
        </w:numPr>
        <w:tabs>
          <w:tab w:val="left" w:pos="709"/>
        </w:tabs>
      </w:pPr>
      <w:r w:rsidRPr="00E167B0">
        <w:t xml:space="preserve">to </w:t>
      </w:r>
      <w:r w:rsidR="00FE09B1" w:rsidRPr="00E167B0">
        <w:t xml:space="preserve">accept a unique industrial arrangement or condition that could create significant funding implications for government and potentially set </w:t>
      </w:r>
      <w:r>
        <w:t>indu</w:t>
      </w:r>
      <w:r w:rsidR="00FE09B1" w:rsidRPr="00E167B0">
        <w:t>stry expectation</w:t>
      </w:r>
      <w:r>
        <w:t>s that compromise the State’s bargaining position in the market</w:t>
      </w:r>
      <w:r w:rsidR="00FE09B1" w:rsidRPr="00E167B0">
        <w:t>; or</w:t>
      </w:r>
    </w:p>
    <w:p w:rsidR="009D4246" w:rsidRPr="00E167B0" w:rsidRDefault="00E167B0" w:rsidP="00FE09B1">
      <w:pPr>
        <w:pStyle w:val="NormalIndent"/>
        <w:numPr>
          <w:ilvl w:val="0"/>
          <w:numId w:val="11"/>
        </w:numPr>
        <w:tabs>
          <w:tab w:val="left" w:pos="709"/>
        </w:tabs>
      </w:pPr>
      <w:r w:rsidRPr="00E167B0">
        <w:t xml:space="preserve">to enter into a contract that does not comply with </w:t>
      </w:r>
      <w:r>
        <w:t>a mandatory Government policy requirement</w:t>
      </w:r>
      <w:r w:rsidRPr="00E167B0">
        <w:t>.</w:t>
      </w:r>
    </w:p>
    <w:p w:rsidR="007A6490" w:rsidRDefault="009D4246" w:rsidP="001C35C8">
      <w:r w:rsidRPr="00E167B0">
        <w:t>Non-Standard Commercial Arrangements must only be proposed or agreed to following approval by the Secretary</w:t>
      </w:r>
      <w:r>
        <w:t xml:space="preserve"> of the Department of Treasury and Finance or a person authorised in writing by the Secretary</w:t>
      </w:r>
      <w:r w:rsidRPr="009D4246">
        <w:t xml:space="preserve"> </w:t>
      </w:r>
      <w:r>
        <w:t>of the Department of Treasury and Finance.</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lastRenderedPageBreak/>
        <w:t>Direction 8 – Improving performance and continuous improvement</w:t>
      </w:r>
    </w:p>
    <w:p w:rsidR="006B57A3" w:rsidRPr="00FA266B" w:rsidRDefault="006B57A3" w:rsidP="006B57A3">
      <w:pPr>
        <w:pStyle w:val="Heading2"/>
        <w:tabs>
          <w:tab w:val="left" w:pos="5952"/>
        </w:tabs>
        <w:spacing w:before="120" w:after="120"/>
        <w:rPr>
          <w:lang w:eastAsia="en-US"/>
        </w:rPr>
      </w:pPr>
      <w:r w:rsidRPr="00FA266B">
        <w:rPr>
          <w:lang w:eastAsia="en-US"/>
        </w:rPr>
        <w:t>Summary</w:t>
      </w:r>
    </w:p>
    <w:p w:rsidR="006B57A3" w:rsidRDefault="006B57A3" w:rsidP="006B57A3">
      <w:r>
        <w:t xml:space="preserve">The Ministerial Directions retain the current </w:t>
      </w:r>
      <w:r w:rsidRPr="008A6F66">
        <w:t>requirement</w:t>
      </w:r>
      <w:r>
        <w:t>s to debrief tender participants and</w:t>
      </w:r>
      <w:r w:rsidRPr="008A6F66">
        <w:t xml:space="preserve"> to undertake supplier performance reporting</w:t>
      </w:r>
      <w:r>
        <w:t>.</w:t>
      </w:r>
    </w:p>
    <w:p w:rsidR="006B57A3" w:rsidRPr="00FA757F" w:rsidRDefault="001C35C8" w:rsidP="006B57A3">
      <w:r>
        <w:rPr>
          <w:rFonts w:eastAsia="MS Mincho"/>
        </w:rPr>
        <w:t xml:space="preserve">The </w:t>
      </w:r>
      <w:r w:rsidRPr="008A6F66">
        <w:rPr>
          <w:rFonts w:eastAsia="MS Mincho"/>
        </w:rPr>
        <w:t xml:space="preserve">Secretary </w:t>
      </w:r>
      <w:r w:rsidR="00FC3C0C">
        <w:rPr>
          <w:rFonts w:eastAsia="MS Mincho"/>
        </w:rPr>
        <w:t>of</w:t>
      </w:r>
      <w:r>
        <w:rPr>
          <w:rFonts w:eastAsia="MS Mincho"/>
        </w:rPr>
        <w:t xml:space="preserve"> the Department of Treasury and Finance may establish an</w:t>
      </w:r>
      <w:r w:rsidR="006B57A3" w:rsidRPr="008A6F66">
        <w:rPr>
          <w:rFonts w:eastAsia="MS Mincho"/>
        </w:rPr>
        <w:t xml:space="preserve"> advisory body to support the Minister </w:t>
      </w:r>
      <w:r w:rsidR="007C4ED4">
        <w:rPr>
          <w:rFonts w:eastAsia="MS Mincho"/>
        </w:rPr>
        <w:t xml:space="preserve">for Finance </w:t>
      </w:r>
      <w:r w:rsidR="006B57A3" w:rsidRPr="008A6F66">
        <w:rPr>
          <w:rFonts w:eastAsia="MS Mincho"/>
        </w:rPr>
        <w:t xml:space="preserve">and </w:t>
      </w:r>
      <w:r>
        <w:rPr>
          <w:rFonts w:eastAsia="MS Mincho"/>
        </w:rPr>
        <w:t xml:space="preserve">the </w:t>
      </w:r>
      <w:r w:rsidR="006B57A3" w:rsidRPr="008A6F66">
        <w:rPr>
          <w:rFonts w:eastAsia="MS Mincho"/>
        </w:rPr>
        <w:t xml:space="preserve">Secretary in administering the </w:t>
      </w:r>
      <w:r>
        <w:rPr>
          <w:rFonts w:eastAsia="MS Mincho"/>
        </w:rPr>
        <w:t xml:space="preserve">Ministerial </w:t>
      </w:r>
      <w:r w:rsidR="006B57A3" w:rsidRPr="008A6F66">
        <w:rPr>
          <w:rFonts w:eastAsia="MS Mincho"/>
        </w:rPr>
        <w:t>Directions and Instructions</w:t>
      </w:r>
      <w:r w:rsidR="006B57A3">
        <w:rPr>
          <w:rFonts w:eastAsia="MS Mincho"/>
        </w:rPr>
        <w:t>.</w:t>
      </w:r>
    </w:p>
    <w:p w:rsidR="006B57A3" w:rsidRPr="00FA266B" w:rsidRDefault="006B57A3" w:rsidP="006B57A3">
      <w:pPr>
        <w:pStyle w:val="Heading2"/>
        <w:tabs>
          <w:tab w:val="left" w:pos="5952"/>
        </w:tabs>
        <w:spacing w:before="120" w:after="120"/>
        <w:rPr>
          <w:lang w:eastAsia="en-US"/>
        </w:rPr>
      </w:pPr>
      <w:r w:rsidRPr="00FA266B">
        <w:rPr>
          <w:lang w:eastAsia="en-US"/>
        </w:rPr>
        <w:t>Key substantive changes</w:t>
      </w:r>
    </w:p>
    <w:p w:rsidR="006B57A3" w:rsidRPr="008A6F66" w:rsidRDefault="006B57A3" w:rsidP="006B57A3">
      <w:pPr>
        <w:pStyle w:val="Heading3"/>
        <w:spacing w:before="120"/>
        <w:rPr>
          <w:rFonts w:eastAsia="MS Mincho"/>
        </w:rPr>
      </w:pPr>
      <w:r>
        <w:rPr>
          <w:rFonts w:eastAsia="MS Mincho"/>
        </w:rPr>
        <w:t>Direction 8.2</w:t>
      </w:r>
      <w:r w:rsidRPr="008A6F66">
        <w:rPr>
          <w:rFonts w:eastAsia="MS Mincho"/>
        </w:rPr>
        <w:t xml:space="preserve"> – </w:t>
      </w:r>
      <w:r w:rsidR="001C35C8">
        <w:rPr>
          <w:rFonts w:eastAsia="MS Mincho"/>
        </w:rPr>
        <w:t>Supplier performance and s</w:t>
      </w:r>
      <w:r>
        <w:rPr>
          <w:rFonts w:eastAsia="MS Mincho"/>
        </w:rPr>
        <w:t>hared reporting regime</w:t>
      </w:r>
    </w:p>
    <w:p w:rsidR="006B57A3" w:rsidRDefault="006B57A3" w:rsidP="006B57A3">
      <w:r w:rsidRPr="008A6F66">
        <w:rPr>
          <w:rFonts w:eastAsia="MS Mincho"/>
        </w:rPr>
        <w:t xml:space="preserve">Performance reporting is a vital element in improving informed decision making for the use of </w:t>
      </w:r>
      <w:r>
        <w:rPr>
          <w:rFonts w:eastAsia="MS Mincho"/>
        </w:rPr>
        <w:t>pre-qualification registers</w:t>
      </w:r>
      <w:r w:rsidRPr="008A6F66">
        <w:rPr>
          <w:rFonts w:eastAsia="MS Mincho"/>
        </w:rPr>
        <w:t xml:space="preserve"> and promoting continuous improvement of construction procurement </w:t>
      </w:r>
      <w:r>
        <w:rPr>
          <w:rFonts w:eastAsia="MS Mincho"/>
        </w:rPr>
        <w:t>and delivery across government. Direction 8.2</w:t>
      </w:r>
      <w:r w:rsidRPr="008A6F66">
        <w:rPr>
          <w:rFonts w:eastAsia="MS Mincho"/>
        </w:rPr>
        <w:t xml:space="preserve"> </w:t>
      </w:r>
      <w:r>
        <w:rPr>
          <w:rFonts w:eastAsia="MS Mincho"/>
        </w:rPr>
        <w:t xml:space="preserve">retains </w:t>
      </w:r>
      <w:r w:rsidRPr="008A6F66">
        <w:t xml:space="preserve">the existing requirement to undertake </w:t>
      </w:r>
      <w:r>
        <w:t>supplier performance reporting.</w:t>
      </w:r>
    </w:p>
    <w:p w:rsidR="001C35C8" w:rsidRDefault="001C35C8" w:rsidP="001C35C8">
      <w:r>
        <w:t xml:space="preserve">Agencies must assess how suppliers perform using a the template nominated by the Secretary </w:t>
      </w:r>
      <w:r w:rsidR="00FC3C0C">
        <w:t xml:space="preserve">of the Department of Treasury and Finance </w:t>
      </w:r>
      <w:r>
        <w:t>when:</w:t>
      </w:r>
    </w:p>
    <w:p w:rsidR="001C35C8" w:rsidRPr="001C35C8" w:rsidRDefault="001C35C8" w:rsidP="009D4246">
      <w:pPr>
        <w:pStyle w:val="ListParagraph"/>
        <w:numPr>
          <w:ilvl w:val="0"/>
          <w:numId w:val="8"/>
        </w:numPr>
        <w:spacing w:before="100" w:after="100" w:line="240" w:lineRule="auto"/>
        <w:ind w:left="1010" w:hanging="505"/>
        <w:contextualSpacing w:val="0"/>
        <w:rPr>
          <w:sz w:val="20"/>
        </w:rPr>
      </w:pPr>
      <w:r w:rsidRPr="001C35C8">
        <w:rPr>
          <w:sz w:val="20"/>
        </w:rPr>
        <w:t>for suppliers of Works - the value of the contract engaging the supplier is $500,000 (inclusive of GST) or higher, or</w:t>
      </w:r>
    </w:p>
    <w:p w:rsidR="001C35C8" w:rsidRPr="001C35C8" w:rsidRDefault="001C35C8" w:rsidP="009D4246">
      <w:pPr>
        <w:pStyle w:val="ListParagraph"/>
        <w:numPr>
          <w:ilvl w:val="0"/>
          <w:numId w:val="8"/>
        </w:numPr>
        <w:spacing w:before="100" w:after="100" w:line="240" w:lineRule="auto"/>
        <w:ind w:left="1010" w:hanging="505"/>
        <w:contextualSpacing w:val="0"/>
        <w:rPr>
          <w:sz w:val="20"/>
        </w:rPr>
      </w:pPr>
      <w:r w:rsidRPr="001C35C8">
        <w:rPr>
          <w:sz w:val="20"/>
        </w:rPr>
        <w:t>for suppliers of Construction Services - the value of the contract engaging the supplier is $200,000 (inclusive of GST) or higher;</w:t>
      </w:r>
    </w:p>
    <w:p w:rsidR="001C35C8" w:rsidRDefault="001C35C8" w:rsidP="001C35C8">
      <w:r>
        <w:t>with the exception of suppliers engaged under contracts that comply with the Public Private Partnerships requirements or the Victorian Alliancing Policy.</w:t>
      </w:r>
    </w:p>
    <w:p w:rsidR="001C35C8" w:rsidRDefault="00797D39" w:rsidP="001C35C8">
      <w:r>
        <w:t>Completed performance reports must be submitted to the website or system nominated by the Secretary</w:t>
      </w:r>
      <w:r w:rsidR="00FC3C0C">
        <w:t xml:space="preserve"> of the Department of Treasury and Finance</w:t>
      </w:r>
      <w:r>
        <w:t xml:space="preserve"> at the times set out in Instructions 8.2.2 and 8.2.3.</w:t>
      </w:r>
    </w:p>
    <w:p w:rsidR="00797D39" w:rsidRPr="008A6F66" w:rsidRDefault="00797D39" w:rsidP="001C35C8">
      <w:r>
        <w:t>When assessing how suppliers perform Agencies must provide the supplier with an opportunity to reply to the assessment. This opportunity to reply may be time limited.</w:t>
      </w:r>
    </w:p>
    <w:p w:rsidR="006B57A3" w:rsidRPr="008A6F66" w:rsidRDefault="006B57A3" w:rsidP="006B57A3">
      <w:pPr>
        <w:pStyle w:val="Heading3"/>
        <w:rPr>
          <w:rFonts w:eastAsia="MS Mincho"/>
        </w:rPr>
      </w:pPr>
      <w:r w:rsidRPr="008A6F66">
        <w:rPr>
          <w:rFonts w:eastAsia="MS Mincho"/>
        </w:rPr>
        <w:t xml:space="preserve">Direction 8.4 – Public </w:t>
      </w:r>
      <w:r>
        <w:rPr>
          <w:rFonts w:eastAsia="MS Mincho"/>
        </w:rPr>
        <w:t>C</w:t>
      </w:r>
      <w:r w:rsidRPr="008A6F66">
        <w:rPr>
          <w:rFonts w:eastAsia="MS Mincho"/>
        </w:rPr>
        <w:t xml:space="preserve">onstruction </w:t>
      </w:r>
      <w:r>
        <w:rPr>
          <w:rFonts w:eastAsia="MS Mincho"/>
        </w:rPr>
        <w:t>P</w:t>
      </w:r>
      <w:r w:rsidRPr="008A6F66">
        <w:rPr>
          <w:rFonts w:eastAsia="MS Mincho"/>
        </w:rPr>
        <w:t xml:space="preserve">rocurement </w:t>
      </w:r>
      <w:r w:rsidR="00ED740B">
        <w:rPr>
          <w:rFonts w:eastAsia="MS Mincho"/>
        </w:rPr>
        <w:t>Committee</w:t>
      </w:r>
    </w:p>
    <w:p w:rsidR="006B57A3" w:rsidRPr="008A6F66" w:rsidRDefault="006B57A3" w:rsidP="006B57A3">
      <w:pPr>
        <w:rPr>
          <w:rFonts w:eastAsia="MS Mincho"/>
        </w:rPr>
      </w:pPr>
      <w:r w:rsidRPr="008A6F66">
        <w:rPr>
          <w:rFonts w:eastAsia="MS Mincho"/>
        </w:rPr>
        <w:t xml:space="preserve">Key elements of the </w:t>
      </w:r>
      <w:r w:rsidR="00ED740B">
        <w:rPr>
          <w:rFonts w:eastAsia="MS Mincho"/>
        </w:rPr>
        <w:t>committee’s</w:t>
      </w:r>
      <w:r w:rsidRPr="008A6F66">
        <w:rPr>
          <w:rFonts w:eastAsia="MS Mincho"/>
        </w:rPr>
        <w:t xml:space="preserve"> role </w:t>
      </w:r>
      <w:r>
        <w:rPr>
          <w:rFonts w:eastAsia="MS Mincho"/>
        </w:rPr>
        <w:t>include</w:t>
      </w:r>
      <w:r w:rsidRPr="008A6F66">
        <w:rPr>
          <w:rFonts w:eastAsia="MS Mincho"/>
        </w:rPr>
        <w:t xml:space="preserve"> advising on the </w:t>
      </w:r>
      <w:r>
        <w:rPr>
          <w:rFonts w:eastAsia="MS Mincho"/>
        </w:rPr>
        <w:t xml:space="preserve">dollar value of </w:t>
      </w:r>
      <w:r w:rsidRPr="008A6F66">
        <w:rPr>
          <w:rFonts w:eastAsia="MS Mincho"/>
        </w:rPr>
        <w:t xml:space="preserve">thresholds, contracting principles and model contracts, and information about trends in complying with the Directions. The </w:t>
      </w:r>
      <w:r w:rsidR="00797D39">
        <w:rPr>
          <w:rFonts w:eastAsia="MS Mincho"/>
        </w:rPr>
        <w:t xml:space="preserve">Ministerial </w:t>
      </w:r>
      <w:r w:rsidRPr="008A6F66">
        <w:rPr>
          <w:rFonts w:eastAsia="MS Mincho"/>
        </w:rPr>
        <w:t xml:space="preserve">Directions also require the composition of the </w:t>
      </w:r>
      <w:r w:rsidR="00ED740B">
        <w:rPr>
          <w:rFonts w:eastAsia="MS Mincho"/>
        </w:rPr>
        <w:t>committee</w:t>
      </w:r>
      <w:r w:rsidRPr="008A6F66">
        <w:rPr>
          <w:rFonts w:eastAsia="MS Mincho"/>
        </w:rPr>
        <w:t xml:space="preserve"> to be reflective of the Agencies that need to comply with the </w:t>
      </w:r>
      <w:r w:rsidR="00797D39">
        <w:rPr>
          <w:rFonts w:eastAsia="MS Mincho"/>
        </w:rPr>
        <w:t xml:space="preserve">Ministerial </w:t>
      </w:r>
      <w:r w:rsidRPr="008A6F66">
        <w:rPr>
          <w:rFonts w:eastAsia="MS Mincho"/>
        </w:rPr>
        <w:t xml:space="preserve">Directions. In practice, </w:t>
      </w:r>
      <w:r w:rsidR="00797D39">
        <w:rPr>
          <w:rFonts w:eastAsia="MS Mincho"/>
        </w:rPr>
        <w:t xml:space="preserve">the Department of Treasury and Finance </w:t>
      </w:r>
      <w:r w:rsidRPr="008A6F66">
        <w:rPr>
          <w:rFonts w:eastAsia="MS Mincho"/>
        </w:rPr>
        <w:t>expects that all departments will be represented, along with key procuring agencies and representatives of classes of agencies that undertake significant volumes of construction procurement such as water authorities and health agencies.</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lastRenderedPageBreak/>
        <w:t>Direction 9 – Standards</w:t>
      </w:r>
    </w:p>
    <w:p w:rsidR="006B57A3" w:rsidRPr="00FA266B" w:rsidRDefault="006B57A3" w:rsidP="006B57A3">
      <w:pPr>
        <w:pStyle w:val="Heading2"/>
        <w:tabs>
          <w:tab w:val="left" w:pos="5952"/>
        </w:tabs>
        <w:spacing w:before="120" w:after="120"/>
        <w:rPr>
          <w:lang w:eastAsia="en-US"/>
        </w:rPr>
      </w:pPr>
      <w:r w:rsidRPr="00FA266B">
        <w:rPr>
          <w:lang w:eastAsia="en-US"/>
        </w:rPr>
        <w:t>Summary</w:t>
      </w:r>
    </w:p>
    <w:p w:rsidR="006B57A3" w:rsidRDefault="006B57A3" w:rsidP="006B57A3">
      <w:pPr>
        <w:keepNext/>
        <w:spacing w:before="240" w:after="120"/>
        <w:outlineLvl w:val="2"/>
      </w:pPr>
      <w:r>
        <w:t>The Ministerial Directions retain the power to issue standards for public construction.</w:t>
      </w:r>
    </w:p>
    <w:p w:rsidR="006B57A3" w:rsidRPr="00FA757F" w:rsidRDefault="006B57A3" w:rsidP="006B57A3">
      <w:r>
        <w:t xml:space="preserve">The former </w:t>
      </w:r>
      <w:r w:rsidRPr="00797D39">
        <w:t>Ministerial Direction No 4 – Construction Requirements for a Community Fire Refuge</w:t>
      </w:r>
      <w:r>
        <w:t xml:space="preserve"> remains in operation and is presented as Instruction 9.1.1 Standards for constructing a community fire refuge.</w:t>
      </w:r>
    </w:p>
    <w:p w:rsidR="006B57A3" w:rsidRDefault="006B57A3" w:rsidP="006B57A3">
      <w:pPr>
        <w:rPr>
          <w:rFonts w:eastAsia="MS Mincho"/>
        </w:rPr>
      </w:pPr>
    </w:p>
    <w:p w:rsidR="006B57A3" w:rsidRDefault="006B57A3" w:rsidP="006B57A3">
      <w:pPr>
        <w:pStyle w:val="Heading1"/>
        <w:spacing w:before="0" w:after="120"/>
        <w:rPr>
          <w:lang w:eastAsia="en-US"/>
        </w:rPr>
      </w:pPr>
      <w:r>
        <w:rPr>
          <w:lang w:eastAsia="en-US"/>
        </w:rPr>
        <w:t>Direction 10 – Accountability</w:t>
      </w:r>
    </w:p>
    <w:p w:rsidR="006B57A3" w:rsidRPr="00FA266B" w:rsidRDefault="006B57A3" w:rsidP="006B57A3">
      <w:pPr>
        <w:pStyle w:val="Heading2"/>
        <w:tabs>
          <w:tab w:val="left" w:pos="5952"/>
        </w:tabs>
        <w:spacing w:before="120" w:after="120"/>
        <w:rPr>
          <w:lang w:eastAsia="en-US"/>
        </w:rPr>
      </w:pPr>
      <w:bookmarkStart w:id="4" w:name="_Ref488064880"/>
      <w:r w:rsidRPr="00FA266B">
        <w:rPr>
          <w:lang w:eastAsia="en-US"/>
        </w:rPr>
        <w:t>Summary</w:t>
      </w:r>
    </w:p>
    <w:p w:rsidR="006B57A3" w:rsidRDefault="006B57A3" w:rsidP="006B57A3">
      <w:pPr>
        <w:rPr>
          <w:rFonts w:eastAsia="MS Mincho"/>
        </w:rPr>
      </w:pPr>
      <w:r w:rsidRPr="006917F9">
        <w:rPr>
          <w:rFonts w:eastAsia="MS Mincho"/>
        </w:rPr>
        <w:t xml:space="preserve">The </w:t>
      </w:r>
      <w:r>
        <w:rPr>
          <w:rFonts w:eastAsia="MS Mincho"/>
        </w:rPr>
        <w:t>Ministerial Directions</w:t>
      </w:r>
      <w:r w:rsidRPr="006917F9">
        <w:rPr>
          <w:rFonts w:eastAsia="MS Mincho"/>
        </w:rPr>
        <w:t xml:space="preserve"> </w:t>
      </w:r>
      <w:r>
        <w:rPr>
          <w:rFonts w:eastAsia="MS Mincho"/>
        </w:rPr>
        <w:t>are consistent with the</w:t>
      </w:r>
      <w:r w:rsidRPr="006917F9">
        <w:rPr>
          <w:rFonts w:eastAsia="MS Mincho"/>
        </w:rPr>
        <w:t xml:space="preserve"> devolved accountability framework </w:t>
      </w:r>
      <w:r>
        <w:rPr>
          <w:rFonts w:eastAsia="MS Mincho"/>
        </w:rPr>
        <w:t xml:space="preserve">in the </w:t>
      </w:r>
      <w:hyperlink r:id="rId23" w:history="1">
        <w:r w:rsidR="00FC3C0C" w:rsidRPr="00260727">
          <w:rPr>
            <w:rStyle w:val="Hyperlink"/>
            <w:rFonts w:eastAsia="MS Mincho"/>
          </w:rPr>
          <w:t>Financial Management Act Standing Directions of the Minister for Finance 2016</w:t>
        </w:r>
      </w:hyperlink>
      <w:r>
        <w:rPr>
          <w:rFonts w:eastAsia="MS Mincho"/>
        </w:rPr>
        <w:t xml:space="preserve">. Compliance with the Ministerial Directions is part of affected Agencies' attestation under the </w:t>
      </w:r>
      <w:r w:rsidR="00FC3C0C" w:rsidRPr="005A066B">
        <w:rPr>
          <w:rFonts w:eastAsia="MS Mincho"/>
          <w:b/>
        </w:rPr>
        <w:t xml:space="preserve">Financial Management Act Standing </w:t>
      </w:r>
      <w:r w:rsidR="00FC3C0C">
        <w:rPr>
          <w:rFonts w:eastAsia="MS Mincho"/>
          <w:b/>
        </w:rPr>
        <w:t>Directions of the Minister for Finance 2016</w:t>
      </w:r>
      <w:r w:rsidRPr="006917F9">
        <w:rPr>
          <w:rFonts w:eastAsia="MS Mincho"/>
        </w:rPr>
        <w:t>.</w:t>
      </w:r>
    </w:p>
    <w:p w:rsidR="006B57A3" w:rsidRPr="006917F9" w:rsidRDefault="006B57A3" w:rsidP="006B57A3">
      <w:pPr>
        <w:rPr>
          <w:rFonts w:eastAsia="MS Mincho"/>
        </w:rPr>
      </w:pPr>
      <w:r>
        <w:rPr>
          <w:rFonts w:eastAsia="MS Mincho"/>
        </w:rPr>
        <w:t>The role and responsibility of the Accountable Officer is set out (Direction 10.1), along with clarification around the responsibilities of portfolio departments for their portfolio agencies (Direction 1.3).</w:t>
      </w:r>
    </w:p>
    <w:p w:rsidR="006B57A3" w:rsidRPr="00FA266B" w:rsidRDefault="006B57A3" w:rsidP="006B57A3">
      <w:pPr>
        <w:pStyle w:val="Heading2"/>
        <w:tabs>
          <w:tab w:val="left" w:pos="5952"/>
        </w:tabs>
        <w:spacing w:before="120" w:after="120"/>
        <w:rPr>
          <w:lang w:eastAsia="en-US"/>
        </w:rPr>
      </w:pPr>
      <w:r w:rsidRPr="00FA266B">
        <w:rPr>
          <w:lang w:eastAsia="en-US"/>
        </w:rPr>
        <w:t>Key substantive changes</w:t>
      </w:r>
    </w:p>
    <w:p w:rsidR="006B57A3" w:rsidRDefault="006B57A3" w:rsidP="006B57A3">
      <w:pPr>
        <w:rPr>
          <w:rFonts w:eastAsia="MS Mincho"/>
        </w:rPr>
      </w:pPr>
      <w:r w:rsidRPr="007424BE">
        <w:rPr>
          <w:rFonts w:eastAsia="MS Mincho"/>
        </w:rPr>
        <w:t xml:space="preserve">A devolved accountability framework, supported by attestation is </w:t>
      </w:r>
      <w:r>
        <w:rPr>
          <w:rFonts w:eastAsia="MS Mincho"/>
        </w:rPr>
        <w:t>introduced</w:t>
      </w:r>
      <w:r w:rsidRPr="007424BE">
        <w:rPr>
          <w:rFonts w:eastAsia="MS Mincho"/>
        </w:rPr>
        <w:t>.</w:t>
      </w:r>
    </w:p>
    <w:p w:rsidR="006B57A3" w:rsidRPr="007424BE" w:rsidRDefault="006B57A3" w:rsidP="006B57A3">
      <w:pPr>
        <w:rPr>
          <w:rFonts w:eastAsia="MS Mincho"/>
        </w:rPr>
      </w:pPr>
      <w:r w:rsidRPr="007424BE">
        <w:rPr>
          <w:rFonts w:eastAsia="MS Mincho"/>
        </w:rPr>
        <w:t xml:space="preserve">The accountability mechanism is the existing </w:t>
      </w:r>
      <w:r>
        <w:rPr>
          <w:rFonts w:eastAsia="MS Mincho"/>
        </w:rPr>
        <w:t xml:space="preserve">mechanism used for the </w:t>
      </w:r>
      <w:r w:rsidR="00105F7F" w:rsidRPr="005A066B">
        <w:rPr>
          <w:rFonts w:eastAsia="MS Mincho"/>
          <w:b/>
        </w:rPr>
        <w:t xml:space="preserve">Financial Management Act Standing </w:t>
      </w:r>
      <w:r w:rsidR="00105F7F">
        <w:rPr>
          <w:rFonts w:eastAsia="MS Mincho"/>
          <w:b/>
        </w:rPr>
        <w:t>Directions of the Minister for Finance 2016</w:t>
      </w:r>
      <w:r w:rsidR="00105F7F" w:rsidRPr="007424BE">
        <w:rPr>
          <w:rFonts w:eastAsia="MS Mincho"/>
        </w:rPr>
        <w:t xml:space="preserve"> </w:t>
      </w:r>
      <w:r w:rsidR="00797D39">
        <w:rPr>
          <w:rFonts w:eastAsia="MS Mincho"/>
          <w:b/>
        </w:rPr>
        <w:t xml:space="preserve"> </w:t>
      </w:r>
      <w:r w:rsidRPr="007424BE">
        <w:rPr>
          <w:rFonts w:eastAsia="MS Mincho"/>
        </w:rPr>
        <w:t xml:space="preserve">attestation. The roles and responsibilities of the Accountable Officer, Responsible Body and audit requirements related to the attestation </w:t>
      </w:r>
      <w:r>
        <w:rPr>
          <w:rFonts w:eastAsia="MS Mincho"/>
        </w:rPr>
        <w:t>are</w:t>
      </w:r>
      <w:r w:rsidRPr="007424BE">
        <w:rPr>
          <w:rFonts w:eastAsia="MS Mincho"/>
        </w:rPr>
        <w:t xml:space="preserve"> those set out in the </w:t>
      </w:r>
      <w:r w:rsidR="00105F7F" w:rsidRPr="005A066B">
        <w:rPr>
          <w:rFonts w:eastAsia="MS Mincho"/>
          <w:b/>
        </w:rPr>
        <w:t xml:space="preserve">Financial Management Act Standing </w:t>
      </w:r>
      <w:r w:rsidR="00105F7F">
        <w:rPr>
          <w:rFonts w:eastAsia="MS Mincho"/>
          <w:b/>
        </w:rPr>
        <w:t>Directions of the Minister for Finance 2016</w:t>
      </w:r>
      <w:r w:rsidRPr="007424BE">
        <w:rPr>
          <w:rFonts w:eastAsia="MS Mincho"/>
        </w:rPr>
        <w:t>. This avoids duplication, and improves efficiency as these requirements and processes are already familiar to Agencies.</w:t>
      </w:r>
      <w:bookmarkEnd w:id="4"/>
    </w:p>
    <w:p w:rsidR="006B57A3" w:rsidRPr="007424BE" w:rsidRDefault="006B57A3" w:rsidP="006B57A3">
      <w:pPr>
        <w:rPr>
          <w:rFonts w:eastAsia="MS Mincho"/>
        </w:rPr>
      </w:pPr>
      <w:r>
        <w:rPr>
          <w:rFonts w:eastAsia="MS Mincho"/>
        </w:rPr>
        <w:t>T</w:t>
      </w:r>
      <w:r w:rsidRPr="007424BE">
        <w:rPr>
          <w:rFonts w:eastAsia="MS Mincho"/>
        </w:rPr>
        <w:t>he a</w:t>
      </w:r>
      <w:r>
        <w:rPr>
          <w:rFonts w:eastAsia="MS Mincho"/>
        </w:rPr>
        <w:t>ccountability mechanism identifies</w:t>
      </w:r>
      <w:r w:rsidRPr="007424BE">
        <w:rPr>
          <w:rFonts w:eastAsia="MS Mincho"/>
        </w:rPr>
        <w:t>:</w:t>
      </w:r>
    </w:p>
    <w:p w:rsidR="006B57A3" w:rsidRPr="008A6F66" w:rsidRDefault="006B57A3" w:rsidP="006B57A3">
      <w:pPr>
        <w:pStyle w:val="Bullet1"/>
      </w:pPr>
      <w:r w:rsidRPr="008A6F66">
        <w:t>for applicable Agencies - who is accountable for ensuring compliance; and</w:t>
      </w:r>
    </w:p>
    <w:p w:rsidR="006B57A3" w:rsidRPr="008A6F66" w:rsidRDefault="006B57A3" w:rsidP="006B57A3">
      <w:pPr>
        <w:pStyle w:val="Bullet1"/>
      </w:pPr>
      <w:r w:rsidRPr="008A6F66">
        <w:t xml:space="preserve">in the case of portfolio departments with responsibilities for portfolio agencies, whether or not the </w:t>
      </w:r>
      <w:r>
        <w:t xml:space="preserve">Ministerial </w:t>
      </w:r>
      <w:r w:rsidRPr="008A6F66">
        <w:t>Directions directly apply to the portfolio agency.</w:t>
      </w:r>
    </w:p>
    <w:p w:rsidR="006B57A3" w:rsidRDefault="006B57A3" w:rsidP="006B57A3">
      <w:pPr>
        <w:rPr>
          <w:rFonts w:eastAsia="MS Mincho"/>
        </w:rPr>
      </w:pPr>
      <w:r w:rsidRPr="007424BE">
        <w:rPr>
          <w:rFonts w:eastAsia="MS Mincho"/>
        </w:rPr>
        <w:t xml:space="preserve">The Accountable Officer of an Agency bound by the </w:t>
      </w:r>
      <w:r>
        <w:rPr>
          <w:rFonts w:eastAsia="MS Mincho"/>
        </w:rPr>
        <w:t xml:space="preserve">Ministerial </w:t>
      </w:r>
      <w:r w:rsidRPr="007424BE">
        <w:rPr>
          <w:rFonts w:eastAsia="MS Mincho"/>
        </w:rPr>
        <w:t>Directions has a number of responsibilities set out in Direction</w:t>
      </w:r>
      <w:r>
        <w:rPr>
          <w:rFonts w:eastAsia="MS Mincho"/>
        </w:rPr>
        <w:t> 10</w:t>
      </w:r>
      <w:r w:rsidRPr="007424BE">
        <w:rPr>
          <w:rFonts w:eastAsia="MS Mincho"/>
        </w:rPr>
        <w:t xml:space="preserve">. These responsibilities are focused on 'systems and controls', to ensure the Agency adheres to the requirements in the </w:t>
      </w:r>
      <w:r w:rsidR="00797D39">
        <w:rPr>
          <w:rFonts w:eastAsia="MS Mincho"/>
        </w:rPr>
        <w:t xml:space="preserve">Ministerial </w:t>
      </w:r>
      <w:r w:rsidRPr="007424BE">
        <w:rPr>
          <w:rFonts w:eastAsia="MS Mincho"/>
        </w:rPr>
        <w:t xml:space="preserve">Directions when undertaking Public Construction Procurement, rather than direct responsibility for ensuring that the specific requirements in the </w:t>
      </w:r>
      <w:r w:rsidR="00797D39">
        <w:rPr>
          <w:rFonts w:eastAsia="MS Mincho"/>
        </w:rPr>
        <w:t xml:space="preserve">Ministerial </w:t>
      </w:r>
      <w:r w:rsidRPr="007424BE">
        <w:rPr>
          <w:rFonts w:eastAsia="MS Mincho"/>
        </w:rPr>
        <w:t xml:space="preserve">Directions are applied for each procurement undertaken by the Agency. However, </w:t>
      </w:r>
      <w:r>
        <w:rPr>
          <w:rFonts w:eastAsia="MS Mincho"/>
        </w:rPr>
        <w:t xml:space="preserve">it is important to note that </w:t>
      </w:r>
      <w:r w:rsidRPr="007424BE">
        <w:rPr>
          <w:rFonts w:eastAsia="MS Mincho"/>
        </w:rPr>
        <w:t>the responsibilities include assurance that these systems and controls have achieved the objective</w:t>
      </w:r>
      <w:r>
        <w:rPr>
          <w:rFonts w:eastAsia="MS Mincho"/>
        </w:rPr>
        <w:t xml:space="preserve">. This </w:t>
      </w:r>
      <w:r w:rsidRPr="007424BE">
        <w:rPr>
          <w:rFonts w:eastAsia="MS Mincho"/>
        </w:rPr>
        <w:t>require</w:t>
      </w:r>
      <w:r>
        <w:rPr>
          <w:rFonts w:eastAsia="MS Mincho"/>
        </w:rPr>
        <w:t>s</w:t>
      </w:r>
      <w:r w:rsidRPr="007424BE">
        <w:rPr>
          <w:rFonts w:eastAsia="MS Mincho"/>
        </w:rPr>
        <w:t xml:space="preserve"> the Accountable Officer to monitor effectiveness</w:t>
      </w:r>
      <w:r>
        <w:rPr>
          <w:rFonts w:eastAsia="MS Mincho"/>
        </w:rPr>
        <w:t xml:space="preserve"> of the systems and processes established for construction procurement.</w:t>
      </w:r>
    </w:p>
    <w:p w:rsidR="006B57A3" w:rsidRDefault="006B57A3" w:rsidP="006B57A3">
      <w:pPr>
        <w:rPr>
          <w:rFonts w:eastAsia="MS Mincho"/>
        </w:rPr>
      </w:pPr>
      <w:r w:rsidRPr="007424BE">
        <w:rPr>
          <w:rFonts w:eastAsia="MS Mincho"/>
        </w:rPr>
        <w:t>Accountable Officer</w:t>
      </w:r>
      <w:r>
        <w:rPr>
          <w:rFonts w:eastAsia="MS Mincho"/>
        </w:rPr>
        <w:t xml:space="preserve">s </w:t>
      </w:r>
      <w:r w:rsidRPr="007424BE">
        <w:rPr>
          <w:rFonts w:eastAsia="MS Mincho"/>
        </w:rPr>
        <w:t xml:space="preserve">of 'Portfolio Departments' have additional responsibilities for portfolio agencies. These responsibilities </w:t>
      </w:r>
      <w:r>
        <w:rPr>
          <w:rFonts w:eastAsia="MS Mincho"/>
        </w:rPr>
        <w:t>include:</w:t>
      </w:r>
    </w:p>
    <w:p w:rsidR="006B57A3" w:rsidRPr="0017700E" w:rsidRDefault="006B57A3" w:rsidP="009D4246">
      <w:pPr>
        <w:pStyle w:val="ListParagraph"/>
        <w:numPr>
          <w:ilvl w:val="0"/>
          <w:numId w:val="6"/>
        </w:numPr>
        <w:spacing w:before="100" w:after="100" w:line="240" w:lineRule="auto"/>
        <w:ind w:left="1010" w:hanging="505"/>
        <w:contextualSpacing w:val="0"/>
        <w:rPr>
          <w:rFonts w:eastAsia="MS Mincho"/>
          <w:sz w:val="20"/>
        </w:rPr>
      </w:pPr>
      <w:r w:rsidRPr="0017700E">
        <w:rPr>
          <w:rFonts w:eastAsia="MS Mincho"/>
          <w:sz w:val="20"/>
        </w:rPr>
        <w:t>providing support to Agencies in achieving compliance, and</w:t>
      </w:r>
    </w:p>
    <w:p w:rsidR="006B57A3" w:rsidRPr="0017700E" w:rsidRDefault="006B57A3" w:rsidP="009D4246">
      <w:pPr>
        <w:pStyle w:val="ListParagraph"/>
        <w:numPr>
          <w:ilvl w:val="0"/>
          <w:numId w:val="6"/>
        </w:numPr>
        <w:spacing w:before="100" w:after="100" w:line="240" w:lineRule="auto"/>
        <w:ind w:left="1010" w:hanging="505"/>
        <w:contextualSpacing w:val="0"/>
        <w:rPr>
          <w:rFonts w:eastAsia="MS Mincho"/>
          <w:sz w:val="20"/>
        </w:rPr>
      </w:pPr>
      <w:r w:rsidRPr="0017700E">
        <w:rPr>
          <w:rFonts w:eastAsia="MS Mincho"/>
          <w:sz w:val="20"/>
        </w:rPr>
        <w:lastRenderedPageBreak/>
        <w:t xml:space="preserve">for Agencies excluded </w:t>
      </w:r>
      <w:r>
        <w:rPr>
          <w:rFonts w:eastAsia="MS Mincho"/>
          <w:sz w:val="20"/>
        </w:rPr>
        <w:t>from the Ministerial Directions (refer Direction 1.3.3)</w:t>
      </w:r>
      <w:r w:rsidRPr="0017700E">
        <w:rPr>
          <w:rFonts w:eastAsia="MS Mincho"/>
          <w:sz w:val="20"/>
        </w:rPr>
        <w:t>, the establishment of appropriate construction procure</w:t>
      </w:r>
      <w:r>
        <w:rPr>
          <w:rFonts w:eastAsia="MS Mincho"/>
          <w:sz w:val="20"/>
        </w:rPr>
        <w:t>ment requirements for the excluded entities, including appropriate accountability and monitoring requirements.</w:t>
      </w:r>
    </w:p>
    <w:bookmarkEnd w:id="0"/>
    <w:p w:rsidR="007424BE" w:rsidRPr="006B57A3" w:rsidRDefault="007424BE" w:rsidP="006B57A3"/>
    <w:sectPr w:rsidR="007424BE" w:rsidRPr="006B57A3" w:rsidSect="00EF3999">
      <w:headerReference w:type="even" r:id="rId24"/>
      <w:headerReference w:type="default" r:id="rId25"/>
      <w:footerReference w:type="even" r:id="rId26"/>
      <w:footerReference w:type="default" r:id="rId27"/>
      <w:headerReference w:type="first" r:id="rId28"/>
      <w:footerReference w:type="first" r:id="rId29"/>
      <w:pgSz w:w="11906" w:h="16838" w:code="9"/>
      <w:pgMar w:top="1985" w:right="1440" w:bottom="1134"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0AB" w:rsidRDefault="009730AB" w:rsidP="002D711A">
      <w:pPr>
        <w:spacing w:after="0" w:line="240" w:lineRule="auto"/>
      </w:pPr>
      <w:r>
        <w:separator/>
      </w:r>
    </w:p>
    <w:p w:rsidR="009730AB" w:rsidRDefault="009730AB"/>
  </w:endnote>
  <w:endnote w:type="continuationSeparator" w:id="0">
    <w:p w:rsidR="009730AB" w:rsidRDefault="009730AB" w:rsidP="002D711A">
      <w:pPr>
        <w:spacing w:after="0" w:line="240" w:lineRule="auto"/>
      </w:pPr>
      <w:r>
        <w:continuationSeparator/>
      </w:r>
    </w:p>
    <w:p w:rsidR="009730AB" w:rsidRDefault="00973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Pr="00014213" w:rsidRDefault="00DD570A" w:rsidP="00C022F9">
    <w:pPr>
      <w:pStyle w:val="Footer"/>
    </w:pPr>
    <w:r>
      <w:drawing>
        <wp:anchor distT="0" distB="0" distL="114300" distR="114300" simplePos="0" relativeHeight="251667456" behindDoc="0" locked="0" layoutInCell="1" allowOverlap="1" wp14:anchorId="7D2B265A" wp14:editId="7B6B5862">
          <wp:simplePos x="0" y="0"/>
          <wp:positionH relativeFrom="column">
            <wp:posOffset>4240861</wp:posOffset>
          </wp:positionH>
          <wp:positionV relativeFrom="page">
            <wp:posOffset>9493250</wp:posOffset>
          </wp:positionV>
          <wp:extent cx="1956435" cy="582930"/>
          <wp:effectExtent l="0" t="0" r="5715" b="7620"/>
          <wp:wrapNone/>
          <wp:docPr id="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rsidR="00DD570A" w:rsidRDefault="00DD57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Default="002270B7" w:rsidP="007D3A12">
    <w:pPr>
      <w:pStyle w:val="Spacer"/>
    </w:pPr>
    <w:r>
      <w:rPr>
        <w:noProof/>
      </w:rPr>
      <mc:AlternateContent>
        <mc:Choice Requires="wps">
          <w:drawing>
            <wp:anchor distT="0" distB="0" distL="114300" distR="114300" simplePos="0" relativeHeight="25167155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297a47a38bc93f5fb4d40d2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70B7" w:rsidRPr="002270B7" w:rsidRDefault="002270B7" w:rsidP="002270B7">
                          <w:pPr>
                            <w:spacing w:before="0" w:after="0"/>
                            <w:rPr>
                              <w:rFonts w:ascii="Calibri" w:hAnsi="Calibri" w:cs="Calibri"/>
                              <w:color w:val="000000"/>
                              <w:sz w:val="22"/>
                            </w:rPr>
                          </w:pPr>
                          <w:r w:rsidRPr="002270B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97a47a38bc93f5fb4d40d2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FqbEp0gAwAAOAYAAA4AAAAA&#10;AAAAAAAAAAAALgIAAGRycy9lMm9Eb2MueG1sUEsBAi0AFAAGAAgAAAAhAGARxibeAAAACwEAAA8A&#10;AAAAAAAAAAAAAAAAegUAAGRycy9kb3ducmV2LnhtbFBLBQYAAAAABAAEAPMAAACFBgAAAAA=&#10;" o:allowincell="f" filled="f" stroked="f" strokeweight=".5pt">
              <v:fill o:detectmouseclick="t"/>
              <v:textbox inset="20pt,0,,0">
                <w:txbxContent>
                  <w:p w:rsidR="002270B7" w:rsidRPr="002270B7" w:rsidRDefault="002270B7" w:rsidP="002270B7">
                    <w:pPr>
                      <w:spacing w:before="0" w:after="0"/>
                      <w:rPr>
                        <w:rFonts w:ascii="Calibri" w:hAnsi="Calibri" w:cs="Calibri"/>
                        <w:color w:val="000000"/>
                        <w:sz w:val="22"/>
                      </w:rPr>
                    </w:pPr>
                    <w:r w:rsidRPr="002270B7">
                      <w:rPr>
                        <w:rFonts w:ascii="Calibri" w:hAnsi="Calibri" w:cs="Calibri"/>
                        <w:color w:val="000000"/>
                        <w:sz w:val="22"/>
                      </w:rPr>
                      <w:t>OFFICIAL</w:t>
                    </w:r>
                  </w:p>
                </w:txbxContent>
              </v:textbox>
              <w10:wrap anchorx="page" anchory="page"/>
            </v:shape>
          </w:pict>
        </mc:Fallback>
      </mc:AlternateContent>
    </w:r>
  </w:p>
  <w:p w:rsidR="00DD570A" w:rsidRPr="00C022F9" w:rsidRDefault="00254E72" w:rsidP="003C6FAF">
    <w:pPr>
      <w:pStyle w:val="Footer"/>
      <w:tabs>
        <w:tab w:val="center" w:pos="4111"/>
      </w:tabs>
      <w:spacing w:before="0"/>
    </w:pPr>
    <w:r>
      <w:rPr>
        <w:bCs/>
        <w:color w:val="0063A6" w:themeColor="accent1"/>
        <w:lang w:val="en-US"/>
      </w:rPr>
      <w:t xml:space="preserve">Fact sheet - </w:t>
    </w:r>
    <w:r w:rsidR="007B7C04">
      <w:rPr>
        <w:bCs/>
        <w:color w:val="0063A6" w:themeColor="accent1"/>
        <w:lang w:val="en-US"/>
      </w:rPr>
      <w:t>Summary of key changes in the revised Ministerial Directions for Public Construction</w:t>
    </w:r>
    <w:r w:rsidR="00DD570A" w:rsidRPr="00C022F9">
      <w:tab/>
    </w:r>
    <w:r w:rsidR="00572AE8">
      <w:rPr>
        <w:rStyle w:val="PageNumber"/>
      </w:rPr>
      <w:br/>
    </w:r>
    <w:r>
      <w:rPr>
        <w:rStyle w:val="PageNumber"/>
      </w:rPr>
      <w:t>Effective date 1 July 2018</w:t>
    </w:r>
    <w:r w:rsidR="003C6FAF">
      <w:rPr>
        <w:rStyle w:val="PageNumber"/>
      </w:rPr>
      <w:tab/>
    </w:r>
    <w:r w:rsidR="003C6FAF">
      <w:rPr>
        <w:rStyle w:val="PageNumber"/>
      </w:rPr>
      <w:tab/>
    </w:r>
    <w:r w:rsidRPr="009C047B">
      <w:rPr>
        <w:bCs/>
        <w:lang w:val="en-US"/>
      </w:rPr>
      <w:t>Page</w:t>
    </w:r>
    <w:r w:rsidRPr="009C047B">
      <w:t xml:space="preserv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220541">
      <w:rPr>
        <w:rStyle w:val="PageNumber"/>
      </w:rPr>
      <w:t>2</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B7" w:rsidRDefault="0022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0AB" w:rsidRDefault="009730AB" w:rsidP="002D711A">
      <w:pPr>
        <w:spacing w:after="0" w:line="240" w:lineRule="auto"/>
      </w:pPr>
      <w:r>
        <w:separator/>
      </w:r>
    </w:p>
    <w:p w:rsidR="009730AB" w:rsidRDefault="009730AB"/>
  </w:footnote>
  <w:footnote w:type="continuationSeparator" w:id="0">
    <w:p w:rsidR="009730AB" w:rsidRDefault="009730AB" w:rsidP="002D711A">
      <w:pPr>
        <w:spacing w:after="0" w:line="240" w:lineRule="auto"/>
      </w:pPr>
      <w:r>
        <w:continuationSeparator/>
      </w:r>
    </w:p>
    <w:p w:rsidR="009730AB" w:rsidRDefault="009730AB"/>
  </w:footnote>
  <w:footnote w:id="1">
    <w:p w:rsidR="00701012" w:rsidRPr="00CA789F" w:rsidRDefault="00701012" w:rsidP="00701012">
      <w:pPr>
        <w:pStyle w:val="FootnoteText"/>
        <w:rPr>
          <w:sz w:val="18"/>
          <w:szCs w:val="18"/>
        </w:rPr>
      </w:pPr>
      <w:r w:rsidRPr="00CA789F">
        <w:rPr>
          <w:rStyle w:val="FootnoteReference"/>
          <w:sz w:val="18"/>
          <w:szCs w:val="18"/>
        </w:rPr>
        <w:footnoteRef/>
      </w:r>
      <w:r w:rsidRPr="00CA789F">
        <w:rPr>
          <w:sz w:val="18"/>
          <w:szCs w:val="18"/>
        </w:rPr>
        <w:t xml:space="preserve"> </w:t>
      </w:r>
      <w:r w:rsidR="00990A01" w:rsidRPr="00CA789F">
        <w:rPr>
          <w:sz w:val="18"/>
          <w:szCs w:val="18"/>
        </w:rPr>
        <w:t xml:space="preserve">The requirements of the former </w:t>
      </w:r>
      <w:r w:rsidRPr="00CA789F">
        <w:rPr>
          <w:sz w:val="18"/>
          <w:szCs w:val="18"/>
        </w:rPr>
        <w:t xml:space="preserve">Ministerial Direction No 4 – Construction Requirements for a Community Fire Refuge </w:t>
      </w:r>
      <w:r w:rsidR="00990A01" w:rsidRPr="00CA789F">
        <w:rPr>
          <w:sz w:val="18"/>
          <w:szCs w:val="18"/>
        </w:rPr>
        <w:t>continue</w:t>
      </w:r>
      <w:r w:rsidRPr="00CA789F">
        <w:rPr>
          <w:sz w:val="18"/>
          <w:szCs w:val="18"/>
        </w:rPr>
        <w:t xml:space="preserve"> in operation</w:t>
      </w:r>
      <w:r w:rsidR="00E80BC3">
        <w:rPr>
          <w:sz w:val="18"/>
          <w:szCs w:val="18"/>
        </w:rPr>
        <w:t>,</w:t>
      </w:r>
      <w:r w:rsidRPr="00CA789F">
        <w:rPr>
          <w:sz w:val="18"/>
          <w:szCs w:val="18"/>
        </w:rPr>
        <w:t xml:space="preserve"> presented as Instruction 9.1.1.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B7" w:rsidRDefault="00227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Pr="0041689E" w:rsidRDefault="00DD570A">
    <w:pPr>
      <w:pStyle w:val="Header"/>
    </w:pPr>
    <w:r>
      <w:rPr>
        <w:noProof/>
      </w:rPr>
      <w:drawing>
        <wp:anchor distT="0" distB="0" distL="114300" distR="114300" simplePos="0" relativeHeight="251670528" behindDoc="0" locked="0" layoutInCell="1" allowOverlap="1" wp14:anchorId="218C4C8A" wp14:editId="1E610601">
          <wp:simplePos x="0" y="0"/>
          <wp:positionH relativeFrom="column">
            <wp:posOffset>-319405</wp:posOffset>
          </wp:positionH>
          <wp:positionV relativeFrom="page">
            <wp:posOffset>299085</wp:posOffset>
          </wp:positionV>
          <wp:extent cx="1380490" cy="4114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B300CDD" wp14:editId="4D6A2C1D">
          <wp:simplePos x="0" y="0"/>
          <wp:positionH relativeFrom="column">
            <wp:posOffset>-914400</wp:posOffset>
          </wp:positionH>
          <wp:positionV relativeFrom="page">
            <wp:posOffset>125095</wp:posOffset>
          </wp:positionV>
          <wp:extent cx="7589520" cy="740410"/>
          <wp:effectExtent l="0" t="0" r="0" b="2540"/>
          <wp:wrapNone/>
          <wp:docPr id="2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rsidR="00DD570A" w:rsidRDefault="00DD57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B7" w:rsidRDefault="00227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A857D6"/>
    <w:multiLevelType w:val="hybridMultilevel"/>
    <w:tmpl w:val="EA5091AC"/>
    <w:lvl w:ilvl="0" w:tplc="16C4C4E6">
      <w:start w:val="1"/>
      <w:numFmt w:val="bullet"/>
      <w:lvlText w:val="•"/>
      <w:lvlJc w:val="left"/>
      <w:pPr>
        <w:tabs>
          <w:tab w:val="num" w:pos="720"/>
        </w:tabs>
        <w:ind w:left="720" w:hanging="360"/>
      </w:pPr>
      <w:rPr>
        <w:rFonts w:ascii="Arial" w:hAnsi="Arial" w:hint="default"/>
      </w:rPr>
    </w:lvl>
    <w:lvl w:ilvl="1" w:tplc="3EAE1E18">
      <w:start w:val="1"/>
      <w:numFmt w:val="bullet"/>
      <w:lvlText w:val="•"/>
      <w:lvlJc w:val="left"/>
      <w:pPr>
        <w:tabs>
          <w:tab w:val="num" w:pos="1440"/>
        </w:tabs>
        <w:ind w:left="1440" w:hanging="360"/>
      </w:pPr>
      <w:rPr>
        <w:rFonts w:ascii="Arial" w:hAnsi="Arial" w:hint="default"/>
      </w:rPr>
    </w:lvl>
    <w:lvl w:ilvl="2" w:tplc="E7C88582" w:tentative="1">
      <w:start w:val="1"/>
      <w:numFmt w:val="bullet"/>
      <w:lvlText w:val="•"/>
      <w:lvlJc w:val="left"/>
      <w:pPr>
        <w:tabs>
          <w:tab w:val="num" w:pos="2160"/>
        </w:tabs>
        <w:ind w:left="2160" w:hanging="360"/>
      </w:pPr>
      <w:rPr>
        <w:rFonts w:ascii="Arial" w:hAnsi="Arial" w:hint="default"/>
      </w:rPr>
    </w:lvl>
    <w:lvl w:ilvl="3" w:tplc="770C71FE" w:tentative="1">
      <w:start w:val="1"/>
      <w:numFmt w:val="bullet"/>
      <w:lvlText w:val="•"/>
      <w:lvlJc w:val="left"/>
      <w:pPr>
        <w:tabs>
          <w:tab w:val="num" w:pos="2880"/>
        </w:tabs>
        <w:ind w:left="2880" w:hanging="360"/>
      </w:pPr>
      <w:rPr>
        <w:rFonts w:ascii="Arial" w:hAnsi="Arial" w:hint="default"/>
      </w:rPr>
    </w:lvl>
    <w:lvl w:ilvl="4" w:tplc="9198F6B2" w:tentative="1">
      <w:start w:val="1"/>
      <w:numFmt w:val="bullet"/>
      <w:lvlText w:val="•"/>
      <w:lvlJc w:val="left"/>
      <w:pPr>
        <w:tabs>
          <w:tab w:val="num" w:pos="3600"/>
        </w:tabs>
        <w:ind w:left="3600" w:hanging="360"/>
      </w:pPr>
      <w:rPr>
        <w:rFonts w:ascii="Arial" w:hAnsi="Arial" w:hint="default"/>
      </w:rPr>
    </w:lvl>
    <w:lvl w:ilvl="5" w:tplc="B90CBA02" w:tentative="1">
      <w:start w:val="1"/>
      <w:numFmt w:val="bullet"/>
      <w:lvlText w:val="•"/>
      <w:lvlJc w:val="left"/>
      <w:pPr>
        <w:tabs>
          <w:tab w:val="num" w:pos="4320"/>
        </w:tabs>
        <w:ind w:left="4320" w:hanging="360"/>
      </w:pPr>
      <w:rPr>
        <w:rFonts w:ascii="Arial" w:hAnsi="Arial" w:hint="default"/>
      </w:rPr>
    </w:lvl>
    <w:lvl w:ilvl="6" w:tplc="88165498" w:tentative="1">
      <w:start w:val="1"/>
      <w:numFmt w:val="bullet"/>
      <w:lvlText w:val="•"/>
      <w:lvlJc w:val="left"/>
      <w:pPr>
        <w:tabs>
          <w:tab w:val="num" w:pos="5040"/>
        </w:tabs>
        <w:ind w:left="5040" w:hanging="360"/>
      </w:pPr>
      <w:rPr>
        <w:rFonts w:ascii="Arial" w:hAnsi="Arial" w:hint="default"/>
      </w:rPr>
    </w:lvl>
    <w:lvl w:ilvl="7" w:tplc="CCBCFCD4" w:tentative="1">
      <w:start w:val="1"/>
      <w:numFmt w:val="bullet"/>
      <w:lvlText w:val="•"/>
      <w:lvlJc w:val="left"/>
      <w:pPr>
        <w:tabs>
          <w:tab w:val="num" w:pos="5760"/>
        </w:tabs>
        <w:ind w:left="5760" w:hanging="360"/>
      </w:pPr>
      <w:rPr>
        <w:rFonts w:ascii="Arial" w:hAnsi="Arial" w:hint="default"/>
      </w:rPr>
    </w:lvl>
    <w:lvl w:ilvl="8" w:tplc="15E0AB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1942EC"/>
    <w:multiLevelType w:val="hybridMultilevel"/>
    <w:tmpl w:val="3E64D4B8"/>
    <w:lvl w:ilvl="0" w:tplc="5404798C">
      <w:start w:val="1"/>
      <w:numFmt w:val="bullet"/>
      <w:lvlText w:val="•"/>
      <w:lvlJc w:val="left"/>
      <w:pPr>
        <w:tabs>
          <w:tab w:val="num" w:pos="720"/>
        </w:tabs>
        <w:ind w:left="720" w:hanging="360"/>
      </w:pPr>
      <w:rPr>
        <w:rFonts w:ascii="Arial" w:hAnsi="Arial" w:hint="default"/>
      </w:rPr>
    </w:lvl>
    <w:lvl w:ilvl="1" w:tplc="915E53E2">
      <w:start w:val="1"/>
      <w:numFmt w:val="bullet"/>
      <w:lvlText w:val="•"/>
      <w:lvlJc w:val="left"/>
      <w:pPr>
        <w:tabs>
          <w:tab w:val="num" w:pos="1440"/>
        </w:tabs>
        <w:ind w:left="1440" w:hanging="360"/>
      </w:pPr>
      <w:rPr>
        <w:rFonts w:ascii="Arial" w:hAnsi="Arial" w:hint="default"/>
      </w:rPr>
    </w:lvl>
    <w:lvl w:ilvl="2" w:tplc="72140772" w:tentative="1">
      <w:start w:val="1"/>
      <w:numFmt w:val="bullet"/>
      <w:lvlText w:val="•"/>
      <w:lvlJc w:val="left"/>
      <w:pPr>
        <w:tabs>
          <w:tab w:val="num" w:pos="2160"/>
        </w:tabs>
        <w:ind w:left="2160" w:hanging="360"/>
      </w:pPr>
      <w:rPr>
        <w:rFonts w:ascii="Arial" w:hAnsi="Arial" w:hint="default"/>
      </w:rPr>
    </w:lvl>
    <w:lvl w:ilvl="3" w:tplc="10782FB0" w:tentative="1">
      <w:start w:val="1"/>
      <w:numFmt w:val="bullet"/>
      <w:lvlText w:val="•"/>
      <w:lvlJc w:val="left"/>
      <w:pPr>
        <w:tabs>
          <w:tab w:val="num" w:pos="2880"/>
        </w:tabs>
        <w:ind w:left="2880" w:hanging="360"/>
      </w:pPr>
      <w:rPr>
        <w:rFonts w:ascii="Arial" w:hAnsi="Arial" w:hint="default"/>
      </w:rPr>
    </w:lvl>
    <w:lvl w:ilvl="4" w:tplc="E41A43EA" w:tentative="1">
      <w:start w:val="1"/>
      <w:numFmt w:val="bullet"/>
      <w:lvlText w:val="•"/>
      <w:lvlJc w:val="left"/>
      <w:pPr>
        <w:tabs>
          <w:tab w:val="num" w:pos="3600"/>
        </w:tabs>
        <w:ind w:left="3600" w:hanging="360"/>
      </w:pPr>
      <w:rPr>
        <w:rFonts w:ascii="Arial" w:hAnsi="Arial" w:hint="default"/>
      </w:rPr>
    </w:lvl>
    <w:lvl w:ilvl="5" w:tplc="C97AD8E2" w:tentative="1">
      <w:start w:val="1"/>
      <w:numFmt w:val="bullet"/>
      <w:lvlText w:val="•"/>
      <w:lvlJc w:val="left"/>
      <w:pPr>
        <w:tabs>
          <w:tab w:val="num" w:pos="4320"/>
        </w:tabs>
        <w:ind w:left="4320" w:hanging="360"/>
      </w:pPr>
      <w:rPr>
        <w:rFonts w:ascii="Arial" w:hAnsi="Arial" w:hint="default"/>
      </w:rPr>
    </w:lvl>
    <w:lvl w:ilvl="6" w:tplc="0DE0B2F4" w:tentative="1">
      <w:start w:val="1"/>
      <w:numFmt w:val="bullet"/>
      <w:lvlText w:val="•"/>
      <w:lvlJc w:val="left"/>
      <w:pPr>
        <w:tabs>
          <w:tab w:val="num" w:pos="5040"/>
        </w:tabs>
        <w:ind w:left="5040" w:hanging="360"/>
      </w:pPr>
      <w:rPr>
        <w:rFonts w:ascii="Arial" w:hAnsi="Arial" w:hint="default"/>
      </w:rPr>
    </w:lvl>
    <w:lvl w:ilvl="7" w:tplc="C986AC98" w:tentative="1">
      <w:start w:val="1"/>
      <w:numFmt w:val="bullet"/>
      <w:lvlText w:val="•"/>
      <w:lvlJc w:val="left"/>
      <w:pPr>
        <w:tabs>
          <w:tab w:val="num" w:pos="5760"/>
        </w:tabs>
        <w:ind w:left="5760" w:hanging="360"/>
      </w:pPr>
      <w:rPr>
        <w:rFonts w:ascii="Arial" w:hAnsi="Arial" w:hint="default"/>
      </w:rPr>
    </w:lvl>
    <w:lvl w:ilvl="8" w:tplc="D48A6D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3C3279"/>
    <w:multiLevelType w:val="hybridMultilevel"/>
    <w:tmpl w:val="F8F45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D61E2"/>
    <w:multiLevelType w:val="hybridMultilevel"/>
    <w:tmpl w:val="CD9EE1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46D3A6A"/>
    <w:multiLevelType w:val="multilevel"/>
    <w:tmpl w:val="301CFAB6"/>
    <w:lvl w:ilvl="0">
      <w:start w:val="1"/>
      <w:numFmt w:val="bullet"/>
      <w:pStyle w:val="Bullet1"/>
      <w:lvlText w:val=""/>
      <w:lvlJc w:val="left"/>
      <w:pPr>
        <w:tabs>
          <w:tab w:val="num" w:pos="1008"/>
        </w:tabs>
        <w:ind w:left="1008" w:hanging="504"/>
      </w:pPr>
      <w:rPr>
        <w:rFonts w:ascii="Symbol" w:hAnsi="Symbol" w:hint="default"/>
        <w:b w:val="0"/>
        <w:i w:val="0"/>
        <w:vanish w:val="0"/>
        <w:color w:val="auto"/>
        <w:sz w:val="22"/>
      </w:rPr>
    </w:lvl>
    <w:lvl w:ilvl="1">
      <w:start w:val="1"/>
      <w:numFmt w:val="bullet"/>
      <w:pStyle w:val="Bullet2"/>
      <w:lvlText w:val="–"/>
      <w:lvlJc w:val="left"/>
      <w:pPr>
        <w:tabs>
          <w:tab w:val="num" w:pos="1368"/>
        </w:tabs>
        <w:ind w:left="1368" w:hanging="360"/>
      </w:pPr>
      <w:rPr>
        <w:rFonts w:ascii="Calibri" w:hAnsi="Calibri" w:hint="default"/>
        <w:b w:val="0"/>
        <w:i w:val="0"/>
        <w:vanish w:val="0"/>
        <w:color w:val="auto"/>
        <w:sz w:val="22"/>
      </w:rPr>
    </w:lvl>
    <w:lvl w:ilvl="2">
      <w:start w:val="1"/>
      <w:numFmt w:val="bullet"/>
      <w:lvlText w:val=""/>
      <w:lvlJc w:val="left"/>
      <w:pPr>
        <w:tabs>
          <w:tab w:val="num" w:pos="1656"/>
        </w:tabs>
        <w:ind w:left="1656" w:hanging="360"/>
      </w:pPr>
      <w:rPr>
        <w:rFonts w:ascii="Symbol" w:hAnsi="Symbol" w:hint="default"/>
        <w:b w:val="0"/>
        <w:i w:val="0"/>
        <w:vanish w:val="0"/>
        <w:color w:val="auto"/>
        <w:sz w:val="22"/>
      </w:rPr>
    </w:lvl>
    <w:lvl w:ilvl="3">
      <w:start w:val="1"/>
      <w:numFmt w:val="bullet"/>
      <w:lvlText w:val="–"/>
      <w:lvlJc w:val="left"/>
      <w:pPr>
        <w:tabs>
          <w:tab w:val="num" w:pos="2016"/>
        </w:tabs>
        <w:ind w:left="2016" w:hanging="360"/>
      </w:pPr>
      <w:rPr>
        <w:rFonts w:ascii="Calibri" w:hAnsi="Calibri" w:hint="default"/>
        <w:b w:val="0"/>
        <w:i w:val="0"/>
        <w:vanish w:val="0"/>
        <w:color w:val="auto"/>
        <w:sz w:val="22"/>
      </w:rPr>
    </w:lvl>
    <w:lvl w:ilvl="4">
      <w:start w:val="1"/>
      <w:numFmt w:val="bullet"/>
      <w:lvlText w:val=""/>
      <w:lvlJc w:val="left"/>
      <w:pPr>
        <w:tabs>
          <w:tab w:val="num" w:pos="2715"/>
        </w:tabs>
        <w:ind w:left="2715" w:hanging="283"/>
      </w:pPr>
      <w:rPr>
        <w:rFonts w:ascii="Symbol" w:hAnsi="Symbol" w:hint="default"/>
        <w:b w:val="0"/>
        <w:i w:val="0"/>
        <w:vanish w:val="0"/>
        <w:color w:val="auto"/>
        <w:sz w:val="22"/>
      </w:rPr>
    </w:lvl>
    <w:lvl w:ilvl="5">
      <w:start w:val="1"/>
      <w:numFmt w:val="bullet"/>
      <w:lvlText w:val=""/>
      <w:lvlJc w:val="left"/>
      <w:pPr>
        <w:tabs>
          <w:tab w:val="num" w:pos="2999"/>
        </w:tabs>
        <w:ind w:left="2999" w:hanging="284"/>
      </w:pPr>
      <w:rPr>
        <w:rFonts w:ascii="Symbol" w:hAnsi="Symbol" w:hint="default"/>
        <w:b w:val="0"/>
        <w:i w:val="0"/>
        <w:vanish w:val="0"/>
        <w:color w:val="auto"/>
        <w:sz w:val="22"/>
      </w:rPr>
    </w:lvl>
    <w:lvl w:ilvl="6">
      <w:start w:val="1"/>
      <w:numFmt w:val="bullet"/>
      <w:lvlText w:val=""/>
      <w:lvlJc w:val="left"/>
      <w:pPr>
        <w:tabs>
          <w:tab w:val="num" w:pos="3282"/>
        </w:tabs>
        <w:ind w:left="3282" w:hanging="283"/>
      </w:pPr>
      <w:rPr>
        <w:rFonts w:ascii="Symbol" w:hAnsi="Symbol" w:hint="default"/>
        <w:b w:val="0"/>
        <w:i w:val="0"/>
        <w:vanish w:val="0"/>
        <w:color w:val="auto"/>
        <w:sz w:val="22"/>
      </w:rPr>
    </w:lvl>
    <w:lvl w:ilvl="7">
      <w:start w:val="1"/>
      <w:numFmt w:val="bullet"/>
      <w:lvlText w:val=""/>
      <w:lvlJc w:val="left"/>
      <w:pPr>
        <w:tabs>
          <w:tab w:val="num" w:pos="3566"/>
        </w:tabs>
        <w:ind w:left="3566" w:hanging="284"/>
      </w:pPr>
      <w:rPr>
        <w:rFonts w:ascii="Symbol" w:hAnsi="Symbol" w:hint="default"/>
        <w:b w:val="0"/>
        <w:i w:val="0"/>
        <w:vanish w:val="0"/>
        <w:color w:val="auto"/>
        <w:sz w:val="22"/>
      </w:rPr>
    </w:lvl>
    <w:lvl w:ilvl="8">
      <w:start w:val="1"/>
      <w:numFmt w:val="bullet"/>
      <w:lvlText w:val=""/>
      <w:lvlJc w:val="left"/>
      <w:pPr>
        <w:tabs>
          <w:tab w:val="num" w:pos="3849"/>
        </w:tabs>
        <w:ind w:left="3849" w:hanging="283"/>
      </w:pPr>
      <w:rPr>
        <w:rFonts w:ascii="Symbol" w:hAnsi="Symbol" w:hint="default"/>
        <w:b w:val="0"/>
        <w:i w:val="0"/>
        <w:vanish w:val="0"/>
        <w:color w:val="auto"/>
        <w:sz w:val="22"/>
      </w:rPr>
    </w:lvl>
  </w:abstractNum>
  <w:abstractNum w:abstractNumId="6" w15:restartNumberingAfterBreak="0">
    <w:nsid w:val="55AF6DDC"/>
    <w:multiLevelType w:val="hybridMultilevel"/>
    <w:tmpl w:val="DAA8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7B6FAB"/>
    <w:multiLevelType w:val="hybridMultilevel"/>
    <w:tmpl w:val="9058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7F7B43"/>
    <w:multiLevelType w:val="hybridMultilevel"/>
    <w:tmpl w:val="2088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D44514"/>
    <w:multiLevelType w:val="multilevel"/>
    <w:tmpl w:val="C68C7B46"/>
    <w:lvl w:ilvl="0">
      <w:start w:val="1"/>
      <w:numFmt w:val="decimal"/>
      <w:pStyle w:val="Listnum"/>
      <w:lvlText w:val="%1."/>
      <w:lvlJc w:val="left"/>
      <w:pPr>
        <w:tabs>
          <w:tab w:val="num" w:pos="646"/>
        </w:tabs>
        <w:ind w:left="646" w:hanging="504"/>
      </w:pPr>
      <w:rPr>
        <w:rFonts w:hint="default"/>
      </w:rPr>
    </w:lvl>
    <w:lvl w:ilvl="1">
      <w:start w:val="1"/>
      <w:numFmt w:val="lowerLetter"/>
      <w:pStyle w:val="Listnum2"/>
      <w:lvlText w:val="(%2)"/>
      <w:lvlJc w:val="left"/>
      <w:pPr>
        <w:tabs>
          <w:tab w:val="num" w:pos="1008"/>
        </w:tabs>
        <w:ind w:left="1008" w:hanging="504"/>
      </w:pPr>
      <w:rPr>
        <w:rFonts w:hint="default"/>
      </w:rPr>
    </w:lvl>
    <w:lvl w:ilvl="2">
      <w:start w:val="1"/>
      <w:numFmt w:val="lowerRoman"/>
      <w:pStyle w:val="Listnum3"/>
      <w:lvlText w:val="(%3)"/>
      <w:lvlJc w:val="left"/>
      <w:pPr>
        <w:tabs>
          <w:tab w:val="num" w:pos="1512"/>
        </w:tabs>
        <w:ind w:left="1512" w:hanging="504"/>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5"/>
  </w:num>
  <w:num w:numId="2">
    <w:abstractNumId w:val="9"/>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8"/>
  </w:num>
  <w:num w:numId="8">
    <w:abstractNumId w:val="3"/>
  </w:num>
  <w:num w:numId="9">
    <w:abstractNumId w:val="2"/>
  </w:num>
  <w:num w:numId="10">
    <w:abstractNumId w:val="1"/>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BEE"/>
    <w:rsid w:val="00000EB1"/>
    <w:rsid w:val="00007EEA"/>
    <w:rsid w:val="00012F6F"/>
    <w:rsid w:val="00014213"/>
    <w:rsid w:val="00014B55"/>
    <w:rsid w:val="0001750A"/>
    <w:rsid w:val="00017DBB"/>
    <w:rsid w:val="0002086B"/>
    <w:rsid w:val="00020E3E"/>
    <w:rsid w:val="00022011"/>
    <w:rsid w:val="00023BF3"/>
    <w:rsid w:val="00023FBA"/>
    <w:rsid w:val="00026811"/>
    <w:rsid w:val="00030C5E"/>
    <w:rsid w:val="00030CFA"/>
    <w:rsid w:val="00031134"/>
    <w:rsid w:val="00040F3B"/>
    <w:rsid w:val="0004142E"/>
    <w:rsid w:val="0004356D"/>
    <w:rsid w:val="00044512"/>
    <w:rsid w:val="00045296"/>
    <w:rsid w:val="00046255"/>
    <w:rsid w:val="0004677F"/>
    <w:rsid w:val="0005037D"/>
    <w:rsid w:val="00050F87"/>
    <w:rsid w:val="00075E6C"/>
    <w:rsid w:val="0007793C"/>
    <w:rsid w:val="000779A5"/>
    <w:rsid w:val="0008028C"/>
    <w:rsid w:val="00082F1F"/>
    <w:rsid w:val="000871F5"/>
    <w:rsid w:val="000872D8"/>
    <w:rsid w:val="00091154"/>
    <w:rsid w:val="0009232C"/>
    <w:rsid w:val="00093BA9"/>
    <w:rsid w:val="000963A6"/>
    <w:rsid w:val="000A0805"/>
    <w:rsid w:val="000A346C"/>
    <w:rsid w:val="000A57E7"/>
    <w:rsid w:val="000A77EA"/>
    <w:rsid w:val="000B29AD"/>
    <w:rsid w:val="000B681F"/>
    <w:rsid w:val="000B6919"/>
    <w:rsid w:val="000B7E3F"/>
    <w:rsid w:val="000C0860"/>
    <w:rsid w:val="000C6372"/>
    <w:rsid w:val="000D3085"/>
    <w:rsid w:val="000D4488"/>
    <w:rsid w:val="000E1DE8"/>
    <w:rsid w:val="000E392D"/>
    <w:rsid w:val="000E6505"/>
    <w:rsid w:val="000F2BC8"/>
    <w:rsid w:val="000F4288"/>
    <w:rsid w:val="000F531E"/>
    <w:rsid w:val="000F59D3"/>
    <w:rsid w:val="000F7165"/>
    <w:rsid w:val="000F755A"/>
    <w:rsid w:val="00100C1D"/>
    <w:rsid w:val="00100EB7"/>
    <w:rsid w:val="00100ED1"/>
    <w:rsid w:val="00102379"/>
    <w:rsid w:val="00104D10"/>
    <w:rsid w:val="00105F7F"/>
    <w:rsid w:val="001065D6"/>
    <w:rsid w:val="001067F7"/>
    <w:rsid w:val="00116167"/>
    <w:rsid w:val="00117783"/>
    <w:rsid w:val="00120B7E"/>
    <w:rsid w:val="00121252"/>
    <w:rsid w:val="001224DB"/>
    <w:rsid w:val="0012267B"/>
    <w:rsid w:val="00124609"/>
    <w:rsid w:val="00124B6F"/>
    <w:rsid w:val="001254CE"/>
    <w:rsid w:val="00126AE2"/>
    <w:rsid w:val="00134CEA"/>
    <w:rsid w:val="00135D5D"/>
    <w:rsid w:val="001361A3"/>
    <w:rsid w:val="001366E4"/>
    <w:rsid w:val="001422CC"/>
    <w:rsid w:val="0014288F"/>
    <w:rsid w:val="001437BD"/>
    <w:rsid w:val="00145F69"/>
    <w:rsid w:val="00153056"/>
    <w:rsid w:val="00153A24"/>
    <w:rsid w:val="00160B34"/>
    <w:rsid w:val="001617B6"/>
    <w:rsid w:val="00164754"/>
    <w:rsid w:val="001650A4"/>
    <w:rsid w:val="00165E66"/>
    <w:rsid w:val="00167194"/>
    <w:rsid w:val="0016772D"/>
    <w:rsid w:val="0017324D"/>
    <w:rsid w:val="00173393"/>
    <w:rsid w:val="0017700E"/>
    <w:rsid w:val="00181438"/>
    <w:rsid w:val="00182F03"/>
    <w:rsid w:val="00187FC1"/>
    <w:rsid w:val="001915D5"/>
    <w:rsid w:val="00194645"/>
    <w:rsid w:val="0019644A"/>
    <w:rsid w:val="001969F8"/>
    <w:rsid w:val="001A25AC"/>
    <w:rsid w:val="001A358E"/>
    <w:rsid w:val="001A517F"/>
    <w:rsid w:val="001A610F"/>
    <w:rsid w:val="001A6AC9"/>
    <w:rsid w:val="001B0615"/>
    <w:rsid w:val="001B30BA"/>
    <w:rsid w:val="001B4278"/>
    <w:rsid w:val="001B5B64"/>
    <w:rsid w:val="001C002C"/>
    <w:rsid w:val="001C23DD"/>
    <w:rsid w:val="001C35C8"/>
    <w:rsid w:val="001C7879"/>
    <w:rsid w:val="001C7BAE"/>
    <w:rsid w:val="001D0548"/>
    <w:rsid w:val="001D0B77"/>
    <w:rsid w:val="001D2D77"/>
    <w:rsid w:val="001D3B1E"/>
    <w:rsid w:val="001D446C"/>
    <w:rsid w:val="001D5591"/>
    <w:rsid w:val="001E31FA"/>
    <w:rsid w:val="001E5128"/>
    <w:rsid w:val="001E64F6"/>
    <w:rsid w:val="001E7C2D"/>
    <w:rsid w:val="001F0269"/>
    <w:rsid w:val="001F0800"/>
    <w:rsid w:val="001F43FC"/>
    <w:rsid w:val="001F5248"/>
    <w:rsid w:val="001F58E5"/>
    <w:rsid w:val="00213477"/>
    <w:rsid w:val="00216DA5"/>
    <w:rsid w:val="00220541"/>
    <w:rsid w:val="00222BEB"/>
    <w:rsid w:val="002234B1"/>
    <w:rsid w:val="00224548"/>
    <w:rsid w:val="002247C4"/>
    <w:rsid w:val="00225E60"/>
    <w:rsid w:val="002270B7"/>
    <w:rsid w:val="00230177"/>
    <w:rsid w:val="0023202C"/>
    <w:rsid w:val="0023405E"/>
    <w:rsid w:val="00234188"/>
    <w:rsid w:val="00235D3C"/>
    <w:rsid w:val="00236203"/>
    <w:rsid w:val="002417BB"/>
    <w:rsid w:val="00242E4C"/>
    <w:rsid w:val="002447C4"/>
    <w:rsid w:val="00244958"/>
    <w:rsid w:val="00245043"/>
    <w:rsid w:val="0024536B"/>
    <w:rsid w:val="00250663"/>
    <w:rsid w:val="00251061"/>
    <w:rsid w:val="00251F45"/>
    <w:rsid w:val="00254E72"/>
    <w:rsid w:val="00257760"/>
    <w:rsid w:val="00257875"/>
    <w:rsid w:val="00260727"/>
    <w:rsid w:val="00261799"/>
    <w:rsid w:val="0026344E"/>
    <w:rsid w:val="00263D73"/>
    <w:rsid w:val="00264BF9"/>
    <w:rsid w:val="00265D91"/>
    <w:rsid w:val="00272AB2"/>
    <w:rsid w:val="00272E66"/>
    <w:rsid w:val="00273022"/>
    <w:rsid w:val="00287160"/>
    <w:rsid w:val="00292D36"/>
    <w:rsid w:val="00292D5C"/>
    <w:rsid w:val="002944FB"/>
    <w:rsid w:val="00297189"/>
    <w:rsid w:val="00297281"/>
    <w:rsid w:val="00297F1A"/>
    <w:rsid w:val="002A1562"/>
    <w:rsid w:val="002A30DA"/>
    <w:rsid w:val="002A5181"/>
    <w:rsid w:val="002B0D2A"/>
    <w:rsid w:val="002B6214"/>
    <w:rsid w:val="002B7E7A"/>
    <w:rsid w:val="002C05BB"/>
    <w:rsid w:val="002C4E35"/>
    <w:rsid w:val="002C54E0"/>
    <w:rsid w:val="002C57B1"/>
    <w:rsid w:val="002C729E"/>
    <w:rsid w:val="002C798F"/>
    <w:rsid w:val="002D250D"/>
    <w:rsid w:val="002D405F"/>
    <w:rsid w:val="002D57A4"/>
    <w:rsid w:val="002D711A"/>
    <w:rsid w:val="002D7336"/>
    <w:rsid w:val="002D7835"/>
    <w:rsid w:val="002E3396"/>
    <w:rsid w:val="002F1BCD"/>
    <w:rsid w:val="002F2556"/>
    <w:rsid w:val="002F3739"/>
    <w:rsid w:val="002F41E1"/>
    <w:rsid w:val="002F6F96"/>
    <w:rsid w:val="002F7B8F"/>
    <w:rsid w:val="00301B2F"/>
    <w:rsid w:val="00306DE0"/>
    <w:rsid w:val="003072AB"/>
    <w:rsid w:val="0031149C"/>
    <w:rsid w:val="003132A0"/>
    <w:rsid w:val="00313AD6"/>
    <w:rsid w:val="003167E3"/>
    <w:rsid w:val="00320DC7"/>
    <w:rsid w:val="00323715"/>
    <w:rsid w:val="003249A5"/>
    <w:rsid w:val="00325058"/>
    <w:rsid w:val="00330709"/>
    <w:rsid w:val="00331EA7"/>
    <w:rsid w:val="00332074"/>
    <w:rsid w:val="00332DC0"/>
    <w:rsid w:val="003375FD"/>
    <w:rsid w:val="00340DB6"/>
    <w:rsid w:val="00341AC4"/>
    <w:rsid w:val="003443E0"/>
    <w:rsid w:val="00345195"/>
    <w:rsid w:val="003468E1"/>
    <w:rsid w:val="003500D9"/>
    <w:rsid w:val="003501A2"/>
    <w:rsid w:val="00351AEB"/>
    <w:rsid w:val="0035364C"/>
    <w:rsid w:val="00362FAF"/>
    <w:rsid w:val="00365906"/>
    <w:rsid w:val="00365973"/>
    <w:rsid w:val="00366321"/>
    <w:rsid w:val="003666F6"/>
    <w:rsid w:val="0036783D"/>
    <w:rsid w:val="00373DF6"/>
    <w:rsid w:val="003746F6"/>
    <w:rsid w:val="00381121"/>
    <w:rsid w:val="00382156"/>
    <w:rsid w:val="00384780"/>
    <w:rsid w:val="0038771C"/>
    <w:rsid w:val="00387BC4"/>
    <w:rsid w:val="0039260F"/>
    <w:rsid w:val="0039405B"/>
    <w:rsid w:val="00397978"/>
    <w:rsid w:val="003A1C92"/>
    <w:rsid w:val="003A2813"/>
    <w:rsid w:val="003A51A1"/>
    <w:rsid w:val="003A541A"/>
    <w:rsid w:val="003A6923"/>
    <w:rsid w:val="003A756C"/>
    <w:rsid w:val="003B03B7"/>
    <w:rsid w:val="003B3948"/>
    <w:rsid w:val="003B6067"/>
    <w:rsid w:val="003C154A"/>
    <w:rsid w:val="003C2C67"/>
    <w:rsid w:val="003C344A"/>
    <w:rsid w:val="003C4BD7"/>
    <w:rsid w:val="003C5070"/>
    <w:rsid w:val="003C5509"/>
    <w:rsid w:val="003C5BA4"/>
    <w:rsid w:val="003C6FAF"/>
    <w:rsid w:val="003D0990"/>
    <w:rsid w:val="003D12CF"/>
    <w:rsid w:val="003D2483"/>
    <w:rsid w:val="003D7535"/>
    <w:rsid w:val="003E3934"/>
    <w:rsid w:val="003E3E26"/>
    <w:rsid w:val="003E4DEB"/>
    <w:rsid w:val="003E4DFB"/>
    <w:rsid w:val="003F1295"/>
    <w:rsid w:val="003F3CDA"/>
    <w:rsid w:val="003F4C16"/>
    <w:rsid w:val="003F5115"/>
    <w:rsid w:val="003F76FC"/>
    <w:rsid w:val="003F7CAE"/>
    <w:rsid w:val="004002EB"/>
    <w:rsid w:val="00401BDD"/>
    <w:rsid w:val="00402615"/>
    <w:rsid w:val="00411672"/>
    <w:rsid w:val="0041689E"/>
    <w:rsid w:val="0042080D"/>
    <w:rsid w:val="00420D5D"/>
    <w:rsid w:val="0042262B"/>
    <w:rsid w:val="004236C8"/>
    <w:rsid w:val="00425A7B"/>
    <w:rsid w:val="00427681"/>
    <w:rsid w:val="00427F1E"/>
    <w:rsid w:val="00430832"/>
    <w:rsid w:val="00431E57"/>
    <w:rsid w:val="00433DB7"/>
    <w:rsid w:val="004350F1"/>
    <w:rsid w:val="004440B8"/>
    <w:rsid w:val="004450C0"/>
    <w:rsid w:val="00446F4C"/>
    <w:rsid w:val="00450AB0"/>
    <w:rsid w:val="00453015"/>
    <w:rsid w:val="00453750"/>
    <w:rsid w:val="00454769"/>
    <w:rsid w:val="00456941"/>
    <w:rsid w:val="00457419"/>
    <w:rsid w:val="00463EF0"/>
    <w:rsid w:val="00470043"/>
    <w:rsid w:val="004702EA"/>
    <w:rsid w:val="00472FEA"/>
    <w:rsid w:val="0047446E"/>
    <w:rsid w:val="00481279"/>
    <w:rsid w:val="00481F53"/>
    <w:rsid w:val="00482D02"/>
    <w:rsid w:val="00482DF2"/>
    <w:rsid w:val="00485117"/>
    <w:rsid w:val="004865D7"/>
    <w:rsid w:val="00492BB9"/>
    <w:rsid w:val="00492CCD"/>
    <w:rsid w:val="0049400F"/>
    <w:rsid w:val="0049568A"/>
    <w:rsid w:val="00496A6E"/>
    <w:rsid w:val="004A0651"/>
    <w:rsid w:val="004A1D58"/>
    <w:rsid w:val="004A7519"/>
    <w:rsid w:val="004A77BC"/>
    <w:rsid w:val="004B281B"/>
    <w:rsid w:val="004B42AE"/>
    <w:rsid w:val="004B6983"/>
    <w:rsid w:val="004C1960"/>
    <w:rsid w:val="004C5ED4"/>
    <w:rsid w:val="004C605F"/>
    <w:rsid w:val="004D1902"/>
    <w:rsid w:val="004D2412"/>
    <w:rsid w:val="004D3518"/>
    <w:rsid w:val="004D389C"/>
    <w:rsid w:val="004D62D6"/>
    <w:rsid w:val="004D7589"/>
    <w:rsid w:val="004D7BF6"/>
    <w:rsid w:val="004E014C"/>
    <w:rsid w:val="004E075D"/>
    <w:rsid w:val="004E09B0"/>
    <w:rsid w:val="004E5BC6"/>
    <w:rsid w:val="004E68F0"/>
    <w:rsid w:val="004F176B"/>
    <w:rsid w:val="004F5AE7"/>
    <w:rsid w:val="004F700F"/>
    <w:rsid w:val="0050015E"/>
    <w:rsid w:val="00500412"/>
    <w:rsid w:val="00505FEB"/>
    <w:rsid w:val="00510050"/>
    <w:rsid w:val="005104D1"/>
    <w:rsid w:val="00510724"/>
    <w:rsid w:val="005126F7"/>
    <w:rsid w:val="005133D9"/>
    <w:rsid w:val="00514383"/>
    <w:rsid w:val="00517518"/>
    <w:rsid w:val="0052427D"/>
    <w:rsid w:val="00530577"/>
    <w:rsid w:val="00533CFC"/>
    <w:rsid w:val="00533F6C"/>
    <w:rsid w:val="0053416C"/>
    <w:rsid w:val="00535CCA"/>
    <w:rsid w:val="00540761"/>
    <w:rsid w:val="005417D6"/>
    <w:rsid w:val="00541C2F"/>
    <w:rsid w:val="005436DF"/>
    <w:rsid w:val="00543A16"/>
    <w:rsid w:val="005447E7"/>
    <w:rsid w:val="00547001"/>
    <w:rsid w:val="005521ED"/>
    <w:rsid w:val="00563527"/>
    <w:rsid w:val="0056379C"/>
    <w:rsid w:val="00563BF9"/>
    <w:rsid w:val="00564BEF"/>
    <w:rsid w:val="00572AE8"/>
    <w:rsid w:val="0057324D"/>
    <w:rsid w:val="0058124E"/>
    <w:rsid w:val="005838AC"/>
    <w:rsid w:val="00584CBD"/>
    <w:rsid w:val="005875A3"/>
    <w:rsid w:val="00590638"/>
    <w:rsid w:val="00592C47"/>
    <w:rsid w:val="00596A41"/>
    <w:rsid w:val="005A066B"/>
    <w:rsid w:val="005A1964"/>
    <w:rsid w:val="005A19AF"/>
    <w:rsid w:val="005A1F74"/>
    <w:rsid w:val="005A3416"/>
    <w:rsid w:val="005A396A"/>
    <w:rsid w:val="005A4347"/>
    <w:rsid w:val="005A4577"/>
    <w:rsid w:val="005A5721"/>
    <w:rsid w:val="005B27FE"/>
    <w:rsid w:val="005B344B"/>
    <w:rsid w:val="005B3ABB"/>
    <w:rsid w:val="005B7813"/>
    <w:rsid w:val="005C0CDE"/>
    <w:rsid w:val="005C1849"/>
    <w:rsid w:val="005C206B"/>
    <w:rsid w:val="005C3E6D"/>
    <w:rsid w:val="005C4717"/>
    <w:rsid w:val="005C4FF6"/>
    <w:rsid w:val="005D20C1"/>
    <w:rsid w:val="005D2B16"/>
    <w:rsid w:val="005D3F4A"/>
    <w:rsid w:val="005D4DFB"/>
    <w:rsid w:val="005D77CA"/>
    <w:rsid w:val="005E4748"/>
    <w:rsid w:val="005E4C08"/>
    <w:rsid w:val="005E669C"/>
    <w:rsid w:val="005E7710"/>
    <w:rsid w:val="005F0BD7"/>
    <w:rsid w:val="005F1F79"/>
    <w:rsid w:val="005F3801"/>
    <w:rsid w:val="005F575B"/>
    <w:rsid w:val="005F61DF"/>
    <w:rsid w:val="006023F9"/>
    <w:rsid w:val="00603178"/>
    <w:rsid w:val="00604063"/>
    <w:rsid w:val="00610559"/>
    <w:rsid w:val="00612FD7"/>
    <w:rsid w:val="00623FCB"/>
    <w:rsid w:val="006248E4"/>
    <w:rsid w:val="00625058"/>
    <w:rsid w:val="006274A3"/>
    <w:rsid w:val="00631814"/>
    <w:rsid w:val="00632C6B"/>
    <w:rsid w:val="006332F6"/>
    <w:rsid w:val="00633437"/>
    <w:rsid w:val="0063367A"/>
    <w:rsid w:val="00635B90"/>
    <w:rsid w:val="00636767"/>
    <w:rsid w:val="00641532"/>
    <w:rsid w:val="00642AA9"/>
    <w:rsid w:val="00645BDE"/>
    <w:rsid w:val="006511AC"/>
    <w:rsid w:val="00652D4A"/>
    <w:rsid w:val="006534B2"/>
    <w:rsid w:val="0065615D"/>
    <w:rsid w:val="00657011"/>
    <w:rsid w:val="006573B7"/>
    <w:rsid w:val="00657476"/>
    <w:rsid w:val="0066026E"/>
    <w:rsid w:val="00660C09"/>
    <w:rsid w:val="00661B60"/>
    <w:rsid w:val="00662189"/>
    <w:rsid w:val="00664FC3"/>
    <w:rsid w:val="006650B5"/>
    <w:rsid w:val="006651B1"/>
    <w:rsid w:val="00665778"/>
    <w:rsid w:val="0067321A"/>
    <w:rsid w:val="00673422"/>
    <w:rsid w:val="00674754"/>
    <w:rsid w:val="00675292"/>
    <w:rsid w:val="0067545E"/>
    <w:rsid w:val="00676540"/>
    <w:rsid w:val="00676591"/>
    <w:rsid w:val="00680A8C"/>
    <w:rsid w:val="006814CC"/>
    <w:rsid w:val="00682428"/>
    <w:rsid w:val="00684501"/>
    <w:rsid w:val="006857E3"/>
    <w:rsid w:val="006917F9"/>
    <w:rsid w:val="00692B1C"/>
    <w:rsid w:val="0069465A"/>
    <w:rsid w:val="00694744"/>
    <w:rsid w:val="00694CB3"/>
    <w:rsid w:val="00695867"/>
    <w:rsid w:val="00696159"/>
    <w:rsid w:val="006A0096"/>
    <w:rsid w:val="006A19DA"/>
    <w:rsid w:val="006A23FA"/>
    <w:rsid w:val="006A5B34"/>
    <w:rsid w:val="006A77E7"/>
    <w:rsid w:val="006A7C6B"/>
    <w:rsid w:val="006B06A8"/>
    <w:rsid w:val="006B5733"/>
    <w:rsid w:val="006B57A3"/>
    <w:rsid w:val="006B70CA"/>
    <w:rsid w:val="006B7D16"/>
    <w:rsid w:val="006B7E8B"/>
    <w:rsid w:val="006C00C4"/>
    <w:rsid w:val="006C1B62"/>
    <w:rsid w:val="006C316C"/>
    <w:rsid w:val="006C328E"/>
    <w:rsid w:val="006C77A9"/>
    <w:rsid w:val="006C7A32"/>
    <w:rsid w:val="006C7C97"/>
    <w:rsid w:val="006D261C"/>
    <w:rsid w:val="006D2FA0"/>
    <w:rsid w:val="006D4F31"/>
    <w:rsid w:val="006D519C"/>
    <w:rsid w:val="006D57AC"/>
    <w:rsid w:val="006F0E97"/>
    <w:rsid w:val="006F4A2B"/>
    <w:rsid w:val="006F6693"/>
    <w:rsid w:val="006F7C5C"/>
    <w:rsid w:val="00701012"/>
    <w:rsid w:val="00705189"/>
    <w:rsid w:val="00705C39"/>
    <w:rsid w:val="00707FE8"/>
    <w:rsid w:val="00717639"/>
    <w:rsid w:val="00717AC3"/>
    <w:rsid w:val="0072001F"/>
    <w:rsid w:val="00721EBE"/>
    <w:rsid w:val="00724962"/>
    <w:rsid w:val="00724A0F"/>
    <w:rsid w:val="00725BEE"/>
    <w:rsid w:val="00726B45"/>
    <w:rsid w:val="007270BB"/>
    <w:rsid w:val="00730503"/>
    <w:rsid w:val="0073138A"/>
    <w:rsid w:val="00732162"/>
    <w:rsid w:val="00734048"/>
    <w:rsid w:val="00736732"/>
    <w:rsid w:val="00736CC4"/>
    <w:rsid w:val="00740649"/>
    <w:rsid w:val="007424BE"/>
    <w:rsid w:val="00750CBE"/>
    <w:rsid w:val="00751C6C"/>
    <w:rsid w:val="007539EB"/>
    <w:rsid w:val="00753CBF"/>
    <w:rsid w:val="00755199"/>
    <w:rsid w:val="0075582C"/>
    <w:rsid w:val="00757A4F"/>
    <w:rsid w:val="00763502"/>
    <w:rsid w:val="007646CE"/>
    <w:rsid w:val="007648DE"/>
    <w:rsid w:val="00764AF8"/>
    <w:rsid w:val="007652FD"/>
    <w:rsid w:val="007666B7"/>
    <w:rsid w:val="00766B5A"/>
    <w:rsid w:val="007714CA"/>
    <w:rsid w:val="00775386"/>
    <w:rsid w:val="007816DD"/>
    <w:rsid w:val="00781ABE"/>
    <w:rsid w:val="00782355"/>
    <w:rsid w:val="0078241F"/>
    <w:rsid w:val="007834F2"/>
    <w:rsid w:val="0078417B"/>
    <w:rsid w:val="00784C45"/>
    <w:rsid w:val="007859D8"/>
    <w:rsid w:val="00791020"/>
    <w:rsid w:val="00793FB4"/>
    <w:rsid w:val="00794410"/>
    <w:rsid w:val="00795784"/>
    <w:rsid w:val="00796D2A"/>
    <w:rsid w:val="00797694"/>
    <w:rsid w:val="00797942"/>
    <w:rsid w:val="00797D39"/>
    <w:rsid w:val="007A1D79"/>
    <w:rsid w:val="007A1EE5"/>
    <w:rsid w:val="007A3D6A"/>
    <w:rsid w:val="007A49C2"/>
    <w:rsid w:val="007A5E1B"/>
    <w:rsid w:val="007A5F82"/>
    <w:rsid w:val="007A6490"/>
    <w:rsid w:val="007B01FA"/>
    <w:rsid w:val="007B1CC9"/>
    <w:rsid w:val="007B7992"/>
    <w:rsid w:val="007B7C04"/>
    <w:rsid w:val="007B7E47"/>
    <w:rsid w:val="007C12E3"/>
    <w:rsid w:val="007C1D2E"/>
    <w:rsid w:val="007C4C7B"/>
    <w:rsid w:val="007C4ED4"/>
    <w:rsid w:val="007C6DAE"/>
    <w:rsid w:val="007C776C"/>
    <w:rsid w:val="007D17FB"/>
    <w:rsid w:val="007D20AE"/>
    <w:rsid w:val="007D2F89"/>
    <w:rsid w:val="007D3A12"/>
    <w:rsid w:val="007D6D79"/>
    <w:rsid w:val="007D759B"/>
    <w:rsid w:val="007E0813"/>
    <w:rsid w:val="007E600C"/>
    <w:rsid w:val="007E6BD5"/>
    <w:rsid w:val="007F1890"/>
    <w:rsid w:val="007F1A4C"/>
    <w:rsid w:val="007F36ED"/>
    <w:rsid w:val="007F5CFF"/>
    <w:rsid w:val="007F74AE"/>
    <w:rsid w:val="0080034E"/>
    <w:rsid w:val="00800354"/>
    <w:rsid w:val="00800D5B"/>
    <w:rsid w:val="008022C3"/>
    <w:rsid w:val="008041E6"/>
    <w:rsid w:val="008060BC"/>
    <w:rsid w:val="008065D2"/>
    <w:rsid w:val="00810C37"/>
    <w:rsid w:val="008113F2"/>
    <w:rsid w:val="0081326F"/>
    <w:rsid w:val="00813587"/>
    <w:rsid w:val="00816BD2"/>
    <w:rsid w:val="00817061"/>
    <w:rsid w:val="00820981"/>
    <w:rsid w:val="0082194C"/>
    <w:rsid w:val="008220C4"/>
    <w:rsid w:val="008222FF"/>
    <w:rsid w:val="008241FF"/>
    <w:rsid w:val="00824E6D"/>
    <w:rsid w:val="00830639"/>
    <w:rsid w:val="00830E88"/>
    <w:rsid w:val="008344E6"/>
    <w:rsid w:val="00834B56"/>
    <w:rsid w:val="00837D34"/>
    <w:rsid w:val="008411E9"/>
    <w:rsid w:val="0084200F"/>
    <w:rsid w:val="00843B2C"/>
    <w:rsid w:val="008444E5"/>
    <w:rsid w:val="0084505B"/>
    <w:rsid w:val="00847C1D"/>
    <w:rsid w:val="00850579"/>
    <w:rsid w:val="00861112"/>
    <w:rsid w:val="00862C40"/>
    <w:rsid w:val="00866912"/>
    <w:rsid w:val="00867A50"/>
    <w:rsid w:val="0087392F"/>
    <w:rsid w:val="00876ACD"/>
    <w:rsid w:val="008778E0"/>
    <w:rsid w:val="00884B2C"/>
    <w:rsid w:val="0088559D"/>
    <w:rsid w:val="00885634"/>
    <w:rsid w:val="00886693"/>
    <w:rsid w:val="008876FD"/>
    <w:rsid w:val="0089423F"/>
    <w:rsid w:val="008943B3"/>
    <w:rsid w:val="0089664D"/>
    <w:rsid w:val="008A0257"/>
    <w:rsid w:val="008A0658"/>
    <w:rsid w:val="008A4900"/>
    <w:rsid w:val="008A6F66"/>
    <w:rsid w:val="008A7390"/>
    <w:rsid w:val="008B03DB"/>
    <w:rsid w:val="008B1A24"/>
    <w:rsid w:val="008B4C35"/>
    <w:rsid w:val="008B6FA5"/>
    <w:rsid w:val="008C0DF1"/>
    <w:rsid w:val="008C3004"/>
    <w:rsid w:val="008C44D0"/>
    <w:rsid w:val="008C5A23"/>
    <w:rsid w:val="008D0281"/>
    <w:rsid w:val="008D3CA3"/>
    <w:rsid w:val="008D7F3D"/>
    <w:rsid w:val="008E19BE"/>
    <w:rsid w:val="008E26C1"/>
    <w:rsid w:val="008E3C4E"/>
    <w:rsid w:val="008E6069"/>
    <w:rsid w:val="008E75A2"/>
    <w:rsid w:val="008E7749"/>
    <w:rsid w:val="008F0EF6"/>
    <w:rsid w:val="008F6D45"/>
    <w:rsid w:val="0090296F"/>
    <w:rsid w:val="00902A20"/>
    <w:rsid w:val="0091029F"/>
    <w:rsid w:val="0091547E"/>
    <w:rsid w:val="00917A4A"/>
    <w:rsid w:val="009220C4"/>
    <w:rsid w:val="009225AF"/>
    <w:rsid w:val="009233FA"/>
    <w:rsid w:val="0092483A"/>
    <w:rsid w:val="00924E67"/>
    <w:rsid w:val="0092525D"/>
    <w:rsid w:val="00927F2B"/>
    <w:rsid w:val="00930D68"/>
    <w:rsid w:val="00931313"/>
    <w:rsid w:val="00935518"/>
    <w:rsid w:val="00935E2C"/>
    <w:rsid w:val="00941674"/>
    <w:rsid w:val="00943EC5"/>
    <w:rsid w:val="00944F29"/>
    <w:rsid w:val="00945732"/>
    <w:rsid w:val="00946478"/>
    <w:rsid w:val="009472AF"/>
    <w:rsid w:val="00947F5D"/>
    <w:rsid w:val="0096177C"/>
    <w:rsid w:val="009730AB"/>
    <w:rsid w:val="009834C0"/>
    <w:rsid w:val="00986AAC"/>
    <w:rsid w:val="00987230"/>
    <w:rsid w:val="00990959"/>
    <w:rsid w:val="00990A01"/>
    <w:rsid w:val="00993856"/>
    <w:rsid w:val="009956E3"/>
    <w:rsid w:val="00996CC8"/>
    <w:rsid w:val="00997675"/>
    <w:rsid w:val="00997E95"/>
    <w:rsid w:val="009A01A0"/>
    <w:rsid w:val="009A1DA2"/>
    <w:rsid w:val="009A3704"/>
    <w:rsid w:val="009A4739"/>
    <w:rsid w:val="009A674F"/>
    <w:rsid w:val="009B199C"/>
    <w:rsid w:val="009B54C8"/>
    <w:rsid w:val="009B61F1"/>
    <w:rsid w:val="009B62E0"/>
    <w:rsid w:val="009C047B"/>
    <w:rsid w:val="009C2764"/>
    <w:rsid w:val="009C3D88"/>
    <w:rsid w:val="009C53C0"/>
    <w:rsid w:val="009D29F1"/>
    <w:rsid w:val="009D4246"/>
    <w:rsid w:val="009D56CD"/>
    <w:rsid w:val="009E3858"/>
    <w:rsid w:val="009E4CF8"/>
    <w:rsid w:val="009E503A"/>
    <w:rsid w:val="009E70DD"/>
    <w:rsid w:val="009F10FA"/>
    <w:rsid w:val="009F23C9"/>
    <w:rsid w:val="009F2ED9"/>
    <w:rsid w:val="009F2FAA"/>
    <w:rsid w:val="009F3231"/>
    <w:rsid w:val="009F5BAD"/>
    <w:rsid w:val="009F5C58"/>
    <w:rsid w:val="009F5FFE"/>
    <w:rsid w:val="009F71A4"/>
    <w:rsid w:val="00A023A0"/>
    <w:rsid w:val="00A0358B"/>
    <w:rsid w:val="00A11524"/>
    <w:rsid w:val="00A12E23"/>
    <w:rsid w:val="00A13D90"/>
    <w:rsid w:val="00A1562B"/>
    <w:rsid w:val="00A170F4"/>
    <w:rsid w:val="00A2559E"/>
    <w:rsid w:val="00A25FD9"/>
    <w:rsid w:val="00A33B2C"/>
    <w:rsid w:val="00A3593E"/>
    <w:rsid w:val="00A35A86"/>
    <w:rsid w:val="00A423D5"/>
    <w:rsid w:val="00A46511"/>
    <w:rsid w:val="00A46BA8"/>
    <w:rsid w:val="00A472EF"/>
    <w:rsid w:val="00A47634"/>
    <w:rsid w:val="00A52BAC"/>
    <w:rsid w:val="00A53349"/>
    <w:rsid w:val="00A5482B"/>
    <w:rsid w:val="00A571EB"/>
    <w:rsid w:val="00A602D9"/>
    <w:rsid w:val="00A612FE"/>
    <w:rsid w:val="00A6579E"/>
    <w:rsid w:val="00A7252D"/>
    <w:rsid w:val="00A75841"/>
    <w:rsid w:val="00A8009F"/>
    <w:rsid w:val="00A819EF"/>
    <w:rsid w:val="00A82EA3"/>
    <w:rsid w:val="00A83BDA"/>
    <w:rsid w:val="00A845C2"/>
    <w:rsid w:val="00A87D69"/>
    <w:rsid w:val="00A91498"/>
    <w:rsid w:val="00A91E5A"/>
    <w:rsid w:val="00A93989"/>
    <w:rsid w:val="00A944E4"/>
    <w:rsid w:val="00A95D58"/>
    <w:rsid w:val="00AA26B8"/>
    <w:rsid w:val="00AA2D91"/>
    <w:rsid w:val="00AA577A"/>
    <w:rsid w:val="00AB1B43"/>
    <w:rsid w:val="00AB3063"/>
    <w:rsid w:val="00AB3FE2"/>
    <w:rsid w:val="00AB4494"/>
    <w:rsid w:val="00AC26AF"/>
    <w:rsid w:val="00AD19E7"/>
    <w:rsid w:val="00AD1FEC"/>
    <w:rsid w:val="00AD2C02"/>
    <w:rsid w:val="00AD3278"/>
    <w:rsid w:val="00AD3322"/>
    <w:rsid w:val="00AD3FB3"/>
    <w:rsid w:val="00AD7723"/>
    <w:rsid w:val="00AD7E4E"/>
    <w:rsid w:val="00AE7779"/>
    <w:rsid w:val="00AF2211"/>
    <w:rsid w:val="00AF4D58"/>
    <w:rsid w:val="00AF4F99"/>
    <w:rsid w:val="00AF6666"/>
    <w:rsid w:val="00B0073A"/>
    <w:rsid w:val="00B01BA8"/>
    <w:rsid w:val="00B033AA"/>
    <w:rsid w:val="00B04045"/>
    <w:rsid w:val="00B10154"/>
    <w:rsid w:val="00B122F1"/>
    <w:rsid w:val="00B124AA"/>
    <w:rsid w:val="00B1418E"/>
    <w:rsid w:val="00B156F5"/>
    <w:rsid w:val="00B22C11"/>
    <w:rsid w:val="00B242C9"/>
    <w:rsid w:val="00B267CA"/>
    <w:rsid w:val="00B325E1"/>
    <w:rsid w:val="00B342F4"/>
    <w:rsid w:val="00B45155"/>
    <w:rsid w:val="00B4517B"/>
    <w:rsid w:val="00B45EED"/>
    <w:rsid w:val="00B5522B"/>
    <w:rsid w:val="00B56C1B"/>
    <w:rsid w:val="00B6121D"/>
    <w:rsid w:val="00B61222"/>
    <w:rsid w:val="00B62768"/>
    <w:rsid w:val="00B62F2A"/>
    <w:rsid w:val="00B636BC"/>
    <w:rsid w:val="00B6653A"/>
    <w:rsid w:val="00B669A0"/>
    <w:rsid w:val="00B66E48"/>
    <w:rsid w:val="00B74BD5"/>
    <w:rsid w:val="00B76708"/>
    <w:rsid w:val="00B773FA"/>
    <w:rsid w:val="00B81B44"/>
    <w:rsid w:val="00B82824"/>
    <w:rsid w:val="00B83161"/>
    <w:rsid w:val="00B8531A"/>
    <w:rsid w:val="00B87AAD"/>
    <w:rsid w:val="00B9053B"/>
    <w:rsid w:val="00B907ED"/>
    <w:rsid w:val="00BA2981"/>
    <w:rsid w:val="00BB6CD3"/>
    <w:rsid w:val="00BB6FCA"/>
    <w:rsid w:val="00BC3422"/>
    <w:rsid w:val="00BC4CEA"/>
    <w:rsid w:val="00BC5149"/>
    <w:rsid w:val="00BC5F1B"/>
    <w:rsid w:val="00BD1F75"/>
    <w:rsid w:val="00BD399A"/>
    <w:rsid w:val="00BD57B3"/>
    <w:rsid w:val="00BD5863"/>
    <w:rsid w:val="00BE3A68"/>
    <w:rsid w:val="00BF5638"/>
    <w:rsid w:val="00BF6291"/>
    <w:rsid w:val="00C015B9"/>
    <w:rsid w:val="00C022F9"/>
    <w:rsid w:val="00C02851"/>
    <w:rsid w:val="00C032EA"/>
    <w:rsid w:val="00C05ABC"/>
    <w:rsid w:val="00C06EB5"/>
    <w:rsid w:val="00C1145F"/>
    <w:rsid w:val="00C147DA"/>
    <w:rsid w:val="00C15A88"/>
    <w:rsid w:val="00C23C04"/>
    <w:rsid w:val="00C25F5E"/>
    <w:rsid w:val="00C30D7C"/>
    <w:rsid w:val="00C424C7"/>
    <w:rsid w:val="00C43A5B"/>
    <w:rsid w:val="00C454D8"/>
    <w:rsid w:val="00C4793B"/>
    <w:rsid w:val="00C51413"/>
    <w:rsid w:val="00C5541B"/>
    <w:rsid w:val="00C57AFE"/>
    <w:rsid w:val="00C637E1"/>
    <w:rsid w:val="00C6647E"/>
    <w:rsid w:val="00C679C5"/>
    <w:rsid w:val="00C70D50"/>
    <w:rsid w:val="00C73B69"/>
    <w:rsid w:val="00C747A5"/>
    <w:rsid w:val="00C75641"/>
    <w:rsid w:val="00C76609"/>
    <w:rsid w:val="00C76944"/>
    <w:rsid w:val="00C77293"/>
    <w:rsid w:val="00C8018A"/>
    <w:rsid w:val="00C80FE6"/>
    <w:rsid w:val="00C861B2"/>
    <w:rsid w:val="00C86C8A"/>
    <w:rsid w:val="00C907D7"/>
    <w:rsid w:val="00C92338"/>
    <w:rsid w:val="00C925D4"/>
    <w:rsid w:val="00C95C06"/>
    <w:rsid w:val="00C963BA"/>
    <w:rsid w:val="00CA43E0"/>
    <w:rsid w:val="00CA5362"/>
    <w:rsid w:val="00CA724D"/>
    <w:rsid w:val="00CA7761"/>
    <w:rsid w:val="00CA789F"/>
    <w:rsid w:val="00CA7C3A"/>
    <w:rsid w:val="00CB29F5"/>
    <w:rsid w:val="00CB4319"/>
    <w:rsid w:val="00CB4987"/>
    <w:rsid w:val="00CB679F"/>
    <w:rsid w:val="00CC16B7"/>
    <w:rsid w:val="00CC1ADA"/>
    <w:rsid w:val="00CC1AE0"/>
    <w:rsid w:val="00CC2DB2"/>
    <w:rsid w:val="00CC351D"/>
    <w:rsid w:val="00CC4CCE"/>
    <w:rsid w:val="00CC71CC"/>
    <w:rsid w:val="00CD0307"/>
    <w:rsid w:val="00CD0ADC"/>
    <w:rsid w:val="00CD12A5"/>
    <w:rsid w:val="00CD351A"/>
    <w:rsid w:val="00CD3D1B"/>
    <w:rsid w:val="00CD4354"/>
    <w:rsid w:val="00CD7DB9"/>
    <w:rsid w:val="00CD7FA1"/>
    <w:rsid w:val="00CE5BBF"/>
    <w:rsid w:val="00CE6FB1"/>
    <w:rsid w:val="00CE789E"/>
    <w:rsid w:val="00CF2277"/>
    <w:rsid w:val="00CF63CC"/>
    <w:rsid w:val="00CF7DCA"/>
    <w:rsid w:val="00D021D4"/>
    <w:rsid w:val="00D05CA0"/>
    <w:rsid w:val="00D0604B"/>
    <w:rsid w:val="00D06128"/>
    <w:rsid w:val="00D07DF9"/>
    <w:rsid w:val="00D1017E"/>
    <w:rsid w:val="00D13EE3"/>
    <w:rsid w:val="00D15537"/>
    <w:rsid w:val="00D1642C"/>
    <w:rsid w:val="00D211E9"/>
    <w:rsid w:val="00D2312F"/>
    <w:rsid w:val="00D257A0"/>
    <w:rsid w:val="00D269C1"/>
    <w:rsid w:val="00D26BD2"/>
    <w:rsid w:val="00D26E21"/>
    <w:rsid w:val="00D27592"/>
    <w:rsid w:val="00D2777D"/>
    <w:rsid w:val="00D31015"/>
    <w:rsid w:val="00D33FEF"/>
    <w:rsid w:val="00D349BD"/>
    <w:rsid w:val="00D361B1"/>
    <w:rsid w:val="00D37EA9"/>
    <w:rsid w:val="00D44953"/>
    <w:rsid w:val="00D453F4"/>
    <w:rsid w:val="00D45BCC"/>
    <w:rsid w:val="00D542F3"/>
    <w:rsid w:val="00D54F7B"/>
    <w:rsid w:val="00D5644B"/>
    <w:rsid w:val="00D567F1"/>
    <w:rsid w:val="00D56E25"/>
    <w:rsid w:val="00D61678"/>
    <w:rsid w:val="00D63364"/>
    <w:rsid w:val="00D6464C"/>
    <w:rsid w:val="00D64A44"/>
    <w:rsid w:val="00D65335"/>
    <w:rsid w:val="00D656FF"/>
    <w:rsid w:val="00D71643"/>
    <w:rsid w:val="00D718D7"/>
    <w:rsid w:val="00D7640F"/>
    <w:rsid w:val="00D814B7"/>
    <w:rsid w:val="00D82D25"/>
    <w:rsid w:val="00D8426B"/>
    <w:rsid w:val="00D86E94"/>
    <w:rsid w:val="00D86EB3"/>
    <w:rsid w:val="00D87325"/>
    <w:rsid w:val="00D90688"/>
    <w:rsid w:val="00D9146D"/>
    <w:rsid w:val="00D94914"/>
    <w:rsid w:val="00D954A4"/>
    <w:rsid w:val="00D973E6"/>
    <w:rsid w:val="00DA36CF"/>
    <w:rsid w:val="00DA3AAD"/>
    <w:rsid w:val="00DA5067"/>
    <w:rsid w:val="00DA65E2"/>
    <w:rsid w:val="00DA7205"/>
    <w:rsid w:val="00DB3016"/>
    <w:rsid w:val="00DB312B"/>
    <w:rsid w:val="00DC25F6"/>
    <w:rsid w:val="00DC4870"/>
    <w:rsid w:val="00DC5654"/>
    <w:rsid w:val="00DC658F"/>
    <w:rsid w:val="00DD0F0E"/>
    <w:rsid w:val="00DD265A"/>
    <w:rsid w:val="00DD359A"/>
    <w:rsid w:val="00DD458B"/>
    <w:rsid w:val="00DD570A"/>
    <w:rsid w:val="00DD59D3"/>
    <w:rsid w:val="00DD59E0"/>
    <w:rsid w:val="00DE2C67"/>
    <w:rsid w:val="00DE340A"/>
    <w:rsid w:val="00DE3681"/>
    <w:rsid w:val="00DE48FA"/>
    <w:rsid w:val="00DE60CC"/>
    <w:rsid w:val="00DE6ED5"/>
    <w:rsid w:val="00DE7159"/>
    <w:rsid w:val="00DE77BE"/>
    <w:rsid w:val="00DF0D9B"/>
    <w:rsid w:val="00DF0F9B"/>
    <w:rsid w:val="00DF197A"/>
    <w:rsid w:val="00DF7CD5"/>
    <w:rsid w:val="00E0217B"/>
    <w:rsid w:val="00E03E45"/>
    <w:rsid w:val="00E04496"/>
    <w:rsid w:val="00E0732D"/>
    <w:rsid w:val="00E128D8"/>
    <w:rsid w:val="00E167B0"/>
    <w:rsid w:val="00E2026C"/>
    <w:rsid w:val="00E22FC4"/>
    <w:rsid w:val="00E26B32"/>
    <w:rsid w:val="00E27138"/>
    <w:rsid w:val="00E27F4D"/>
    <w:rsid w:val="00E32372"/>
    <w:rsid w:val="00E3262A"/>
    <w:rsid w:val="00E32853"/>
    <w:rsid w:val="00E407B6"/>
    <w:rsid w:val="00E40BF2"/>
    <w:rsid w:val="00E41EF1"/>
    <w:rsid w:val="00E42942"/>
    <w:rsid w:val="00E43F60"/>
    <w:rsid w:val="00E44A5D"/>
    <w:rsid w:val="00E468A6"/>
    <w:rsid w:val="00E46FFE"/>
    <w:rsid w:val="00E519AA"/>
    <w:rsid w:val="00E55D67"/>
    <w:rsid w:val="00E5675B"/>
    <w:rsid w:val="00E62CD5"/>
    <w:rsid w:val="00E63AA7"/>
    <w:rsid w:val="00E6494C"/>
    <w:rsid w:val="00E65229"/>
    <w:rsid w:val="00E71B5D"/>
    <w:rsid w:val="00E71BDF"/>
    <w:rsid w:val="00E74555"/>
    <w:rsid w:val="00E75A13"/>
    <w:rsid w:val="00E77ECE"/>
    <w:rsid w:val="00E80BC3"/>
    <w:rsid w:val="00E83CA7"/>
    <w:rsid w:val="00E854F7"/>
    <w:rsid w:val="00E85FAC"/>
    <w:rsid w:val="00E91733"/>
    <w:rsid w:val="00E93CCC"/>
    <w:rsid w:val="00E962AA"/>
    <w:rsid w:val="00EA1EE5"/>
    <w:rsid w:val="00EA339C"/>
    <w:rsid w:val="00EB5F9E"/>
    <w:rsid w:val="00EB620F"/>
    <w:rsid w:val="00EB6891"/>
    <w:rsid w:val="00EC171D"/>
    <w:rsid w:val="00EC29E4"/>
    <w:rsid w:val="00EC50D0"/>
    <w:rsid w:val="00EC5560"/>
    <w:rsid w:val="00EC66C9"/>
    <w:rsid w:val="00ED1CD6"/>
    <w:rsid w:val="00ED22C0"/>
    <w:rsid w:val="00ED487E"/>
    <w:rsid w:val="00ED740B"/>
    <w:rsid w:val="00ED7E6D"/>
    <w:rsid w:val="00EE03BA"/>
    <w:rsid w:val="00EE3BB2"/>
    <w:rsid w:val="00EE3F77"/>
    <w:rsid w:val="00EE4224"/>
    <w:rsid w:val="00EE43DC"/>
    <w:rsid w:val="00EE6D0D"/>
    <w:rsid w:val="00EE7A0D"/>
    <w:rsid w:val="00EF16C1"/>
    <w:rsid w:val="00EF3999"/>
    <w:rsid w:val="00EF3BFF"/>
    <w:rsid w:val="00EF6245"/>
    <w:rsid w:val="00EF7877"/>
    <w:rsid w:val="00F00617"/>
    <w:rsid w:val="00F04658"/>
    <w:rsid w:val="00F0492F"/>
    <w:rsid w:val="00F060F1"/>
    <w:rsid w:val="00F06A89"/>
    <w:rsid w:val="00F151BF"/>
    <w:rsid w:val="00F17CE1"/>
    <w:rsid w:val="00F20600"/>
    <w:rsid w:val="00F2115C"/>
    <w:rsid w:val="00F21D7C"/>
    <w:rsid w:val="00F225D6"/>
    <w:rsid w:val="00F22ABA"/>
    <w:rsid w:val="00F2356C"/>
    <w:rsid w:val="00F23C0F"/>
    <w:rsid w:val="00F25994"/>
    <w:rsid w:val="00F25A11"/>
    <w:rsid w:val="00F266E7"/>
    <w:rsid w:val="00F27951"/>
    <w:rsid w:val="00F3115B"/>
    <w:rsid w:val="00F3182B"/>
    <w:rsid w:val="00F31884"/>
    <w:rsid w:val="00F33795"/>
    <w:rsid w:val="00F35905"/>
    <w:rsid w:val="00F35A78"/>
    <w:rsid w:val="00F36583"/>
    <w:rsid w:val="00F36B12"/>
    <w:rsid w:val="00F4077D"/>
    <w:rsid w:val="00F42BF7"/>
    <w:rsid w:val="00F43D18"/>
    <w:rsid w:val="00F43EF5"/>
    <w:rsid w:val="00F4528B"/>
    <w:rsid w:val="00F4752B"/>
    <w:rsid w:val="00F55AF5"/>
    <w:rsid w:val="00F60F9F"/>
    <w:rsid w:val="00F61321"/>
    <w:rsid w:val="00F62334"/>
    <w:rsid w:val="00F64F08"/>
    <w:rsid w:val="00F6527C"/>
    <w:rsid w:val="00F7179D"/>
    <w:rsid w:val="00F72F32"/>
    <w:rsid w:val="00F734F5"/>
    <w:rsid w:val="00F75968"/>
    <w:rsid w:val="00F75D9A"/>
    <w:rsid w:val="00F75DDC"/>
    <w:rsid w:val="00F8228C"/>
    <w:rsid w:val="00F834FB"/>
    <w:rsid w:val="00F91BFB"/>
    <w:rsid w:val="00F91CE4"/>
    <w:rsid w:val="00F91E7C"/>
    <w:rsid w:val="00F93A39"/>
    <w:rsid w:val="00F966B1"/>
    <w:rsid w:val="00F97D48"/>
    <w:rsid w:val="00FA0311"/>
    <w:rsid w:val="00FA05F0"/>
    <w:rsid w:val="00FA536A"/>
    <w:rsid w:val="00FA6F64"/>
    <w:rsid w:val="00FA757F"/>
    <w:rsid w:val="00FB0909"/>
    <w:rsid w:val="00FB117E"/>
    <w:rsid w:val="00FB2712"/>
    <w:rsid w:val="00FB3102"/>
    <w:rsid w:val="00FB36D7"/>
    <w:rsid w:val="00FB3D59"/>
    <w:rsid w:val="00FB62F7"/>
    <w:rsid w:val="00FB6C35"/>
    <w:rsid w:val="00FC3C0C"/>
    <w:rsid w:val="00FC42E5"/>
    <w:rsid w:val="00FC741A"/>
    <w:rsid w:val="00FD555A"/>
    <w:rsid w:val="00FD640F"/>
    <w:rsid w:val="00FD6B4C"/>
    <w:rsid w:val="00FD7B54"/>
    <w:rsid w:val="00FE09B1"/>
    <w:rsid w:val="00FE4744"/>
    <w:rsid w:val="00FE6301"/>
    <w:rsid w:val="00FE7DA2"/>
    <w:rsid w:val="00FF061D"/>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987B4"/>
  <w15:docId w15:val="{41DE96E2-C9F4-4C7E-A8B4-859BDC36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7A3"/>
    <w:pPr>
      <w:spacing w:before="160" w:after="100"/>
    </w:pPr>
    <w:rPr>
      <w:spacing w:val="2"/>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171D"/>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254E72"/>
    <w:rPr>
      <w:color w:val="0063A6" w:themeColor="accent1"/>
      <w:u w:val="singl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3F4C16"/>
    <w:pPr>
      <w:numPr>
        <w:numId w:val="1"/>
      </w:numPr>
      <w:spacing w:before="100" w:after="100" w:line="240" w:lineRule="auto"/>
      <w:ind w:left="1010" w:hanging="505"/>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Normalnospacing">
    <w:name w:val="Normal no spacing"/>
    <w:basedOn w:val="Normal"/>
    <w:qFormat/>
    <w:rsid w:val="007D3A12"/>
    <w:pPr>
      <w:spacing w:before="0" w:after="0" w:line="264" w:lineRule="auto"/>
    </w:pPr>
    <w:rPr>
      <w:rFonts w:eastAsiaTheme="minorHAnsi"/>
      <w:lang w:eastAsia="en-US"/>
    </w:rPr>
  </w:style>
  <w:style w:type="paragraph" w:customStyle="1" w:styleId="Listnum3">
    <w:name w:val="List num 3"/>
    <w:basedOn w:val="Normal"/>
    <w:rsid w:val="00705189"/>
    <w:pPr>
      <w:numPr>
        <w:ilvl w:val="2"/>
        <w:numId w:val="2"/>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Listnum"/>
    <w:uiPriority w:val="9"/>
    <w:qFormat/>
    <w:rsid w:val="00705189"/>
    <w:pPr>
      <w:numPr>
        <w:numId w:val="0"/>
      </w:numPr>
      <w:ind w:left="504"/>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705189"/>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rPr>
        <w:color w:val="FFFFFF" w:themeColor="background1"/>
      </w:rPr>
      <w:tblPr/>
      <w:tcPr>
        <w:shd w:val="clear" w:color="auto" w:fill="0063A6" w:themeFill="accent1"/>
      </w:tcPr>
    </w:tblStylePr>
    <w:tblStylePr w:type="lastCol">
      <w:pPr>
        <w:jc w:val="left"/>
      </w:pPr>
    </w:tblStylePr>
    <w:tblStylePr w:type="band1Vert">
      <w:pPr>
        <w:jc w:val="left"/>
      </w:pPr>
    </w:tblStylePr>
    <w:tblStylePr w:type="band2Vert">
      <w:pPr>
        <w:jc w:val="left"/>
      </w:p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EC171D"/>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tblStylePr w:type="nwCell">
      <w:pPr>
        <w:jc w:val="left"/>
      </w:pPr>
      <w:tblPr/>
      <w:tcPr>
        <w:vAlign w:val="bottom"/>
      </w:tcPr>
    </w:tblStylePr>
  </w:style>
  <w:style w:type="paragraph" w:customStyle="1" w:styleId="Tabletext">
    <w:name w:val="Table text"/>
    <w:basedOn w:val="Normal"/>
    <w:uiPriority w:val="6"/>
    <w:qFormat/>
    <w:rsid w:val="003C154A"/>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
    <w:name w:val="List num"/>
    <w:basedOn w:val="Normal"/>
    <w:uiPriority w:val="2"/>
    <w:qFormat/>
    <w:rsid w:val="00EC171D"/>
    <w:pPr>
      <w:numPr>
        <w:numId w:val="2"/>
      </w:numPr>
    </w:pPr>
  </w:style>
  <w:style w:type="paragraph" w:customStyle="1" w:styleId="Listnum2">
    <w:name w:val="List num 2"/>
    <w:basedOn w:val="Normal"/>
    <w:uiPriority w:val="2"/>
    <w:qFormat/>
    <w:rsid w:val="00EC171D"/>
    <w:pPr>
      <w:numPr>
        <w:ilvl w:val="1"/>
        <w:numId w:val="2"/>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3"/>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table" w:styleId="MediumShading2-Accent1">
    <w:name w:val="Medium Shading 2 Accent 1"/>
    <w:basedOn w:val="TableNormal"/>
    <w:uiPriority w:val="64"/>
    <w:rsid w:val="003C154A"/>
    <w:pPr>
      <w:spacing w:after="0" w:line="240" w:lineRule="auto"/>
    </w:pPr>
    <w:tblPr>
      <w:tblStyleRowBandSize w:val="1"/>
      <w:tblStyleColBandSize w:val="1"/>
      <w:tblBorders>
        <w:top w:val="single" w:sz="12" w:space="0" w:color="0063A6" w:themeColor="accent1"/>
        <w:bottom w:val="single" w:sz="12" w:space="0" w:color="0063A6" w:themeColor="accent1"/>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BB6CD3"/>
    <w:pPr>
      <w:spacing w:before="200" w:after="200"/>
      <w:ind w:left="720"/>
      <w:contextualSpacing/>
    </w:pPr>
    <w:rPr>
      <w:spacing w:val="0"/>
      <w:sz w:val="24"/>
      <w:lang w:eastAsia="en-US"/>
    </w:rPr>
  </w:style>
  <w:style w:type="character" w:styleId="CommentReference">
    <w:name w:val="annotation reference"/>
    <w:basedOn w:val="DefaultParagraphFont"/>
    <w:uiPriority w:val="99"/>
    <w:semiHidden/>
    <w:rsid w:val="00D26E21"/>
    <w:rPr>
      <w:sz w:val="16"/>
      <w:szCs w:val="16"/>
    </w:rPr>
  </w:style>
  <w:style w:type="paragraph" w:styleId="CommentText">
    <w:name w:val="annotation text"/>
    <w:basedOn w:val="Normal"/>
    <w:link w:val="CommentTextChar"/>
    <w:uiPriority w:val="99"/>
    <w:semiHidden/>
    <w:rsid w:val="00D26E21"/>
    <w:pPr>
      <w:spacing w:line="240" w:lineRule="auto"/>
    </w:pPr>
  </w:style>
  <w:style w:type="character" w:customStyle="1" w:styleId="CommentTextChar">
    <w:name w:val="Comment Text Char"/>
    <w:basedOn w:val="DefaultParagraphFont"/>
    <w:link w:val="CommentText"/>
    <w:uiPriority w:val="99"/>
    <w:semiHidden/>
    <w:rsid w:val="00D26E21"/>
    <w:rPr>
      <w:spacing w:val="2"/>
    </w:rPr>
  </w:style>
  <w:style w:type="paragraph" w:styleId="CommentSubject">
    <w:name w:val="annotation subject"/>
    <w:basedOn w:val="CommentText"/>
    <w:next w:val="CommentText"/>
    <w:link w:val="CommentSubjectChar"/>
    <w:uiPriority w:val="99"/>
    <w:semiHidden/>
    <w:rsid w:val="0089664D"/>
    <w:rPr>
      <w:b/>
      <w:bCs/>
    </w:rPr>
  </w:style>
  <w:style w:type="character" w:customStyle="1" w:styleId="CommentSubjectChar">
    <w:name w:val="Comment Subject Char"/>
    <w:basedOn w:val="CommentTextChar"/>
    <w:link w:val="CommentSubject"/>
    <w:uiPriority w:val="99"/>
    <w:semiHidden/>
    <w:rsid w:val="0089664D"/>
    <w:rPr>
      <w:b/>
      <w:bCs/>
      <w:spacing w:val="2"/>
    </w:rPr>
  </w:style>
  <w:style w:type="table" w:styleId="LightList-Accent3">
    <w:name w:val="Light List Accent 3"/>
    <w:basedOn w:val="TableNormal"/>
    <w:uiPriority w:val="61"/>
    <w:rsid w:val="00273022"/>
    <w:pPr>
      <w:spacing w:after="0" w:line="240" w:lineRule="auto"/>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paragraph" w:styleId="Revision">
    <w:name w:val="Revision"/>
    <w:hidden/>
    <w:uiPriority w:val="99"/>
    <w:semiHidden/>
    <w:rsid w:val="00C86C8A"/>
    <w:pPr>
      <w:spacing w:after="0" w:line="240" w:lineRule="auto"/>
    </w:pPr>
    <w:rPr>
      <w:spacing w:val="2"/>
    </w:rPr>
  </w:style>
  <w:style w:type="paragraph" w:styleId="FootnoteText">
    <w:name w:val="footnote text"/>
    <w:basedOn w:val="Normal"/>
    <w:link w:val="FootnoteTextChar"/>
    <w:uiPriority w:val="99"/>
    <w:semiHidden/>
    <w:rsid w:val="003E4DEB"/>
    <w:pPr>
      <w:spacing w:before="0" w:after="0" w:line="240" w:lineRule="auto"/>
    </w:pPr>
  </w:style>
  <w:style w:type="character" w:customStyle="1" w:styleId="FootnoteTextChar">
    <w:name w:val="Footnote Text Char"/>
    <w:basedOn w:val="DefaultParagraphFont"/>
    <w:link w:val="FootnoteText"/>
    <w:uiPriority w:val="99"/>
    <w:semiHidden/>
    <w:rsid w:val="003E4DEB"/>
    <w:rPr>
      <w:spacing w:val="2"/>
    </w:rPr>
  </w:style>
  <w:style w:type="character" w:styleId="FootnoteReference">
    <w:name w:val="footnote reference"/>
    <w:basedOn w:val="DefaultParagraphFont"/>
    <w:uiPriority w:val="99"/>
    <w:semiHidden/>
    <w:rsid w:val="003E4DEB"/>
    <w:rPr>
      <w:vertAlign w:val="superscript"/>
    </w:rPr>
  </w:style>
  <w:style w:type="paragraph" w:customStyle="1" w:styleId="BODY">
    <w:name w:val="BODY"/>
    <w:basedOn w:val="Normal"/>
    <w:next w:val="Normal"/>
    <w:uiPriority w:val="99"/>
    <w:rsid w:val="00160B34"/>
    <w:pPr>
      <w:widowControl w:val="0"/>
      <w:tabs>
        <w:tab w:val="left" w:pos="283"/>
        <w:tab w:val="left" w:pos="1980"/>
        <w:tab w:val="right" w:pos="5920"/>
      </w:tabs>
      <w:suppressAutoHyphens/>
      <w:autoSpaceDE w:val="0"/>
      <w:autoSpaceDN w:val="0"/>
      <w:adjustRightInd w:val="0"/>
      <w:spacing w:before="0" w:after="113" w:line="220" w:lineRule="atLeast"/>
    </w:pPr>
    <w:rPr>
      <w:rFonts w:ascii="Arial" w:eastAsia="MS Mincho" w:hAnsi="Arial" w:cs="Arial"/>
      <w:color w:val="000000"/>
      <w:spacing w:val="0"/>
      <w:sz w:val="18"/>
      <w:szCs w:val="18"/>
      <w:lang w:val="en-GB" w:eastAsia="ja-JP"/>
    </w:rPr>
  </w:style>
  <w:style w:type="character" w:styleId="FollowedHyperlink">
    <w:name w:val="FollowedHyperlink"/>
    <w:basedOn w:val="DefaultParagraphFont"/>
    <w:uiPriority w:val="99"/>
    <w:semiHidden/>
    <w:rsid w:val="00DA7205"/>
    <w:rPr>
      <w:color w:val="8A2A2B" w:themeColor="followedHyperlink"/>
      <w:u w:val="single"/>
    </w:rPr>
  </w:style>
  <w:style w:type="paragraph" w:customStyle="1" w:styleId="Heading1numbered">
    <w:name w:val="Heading 1 numbered"/>
    <w:basedOn w:val="Heading1"/>
    <w:next w:val="NormalIndent"/>
    <w:uiPriority w:val="8"/>
    <w:qFormat/>
    <w:rsid w:val="00470043"/>
    <w:pPr>
      <w:tabs>
        <w:tab w:val="num" w:pos="792"/>
      </w:tabs>
      <w:spacing w:after="240"/>
      <w:ind w:left="792" w:hanging="792"/>
    </w:pPr>
  </w:style>
  <w:style w:type="paragraph" w:customStyle="1" w:styleId="Heading2numbered">
    <w:name w:val="Heading 2 numbered"/>
    <w:basedOn w:val="Heading2"/>
    <w:next w:val="NormalIndent"/>
    <w:uiPriority w:val="8"/>
    <w:qFormat/>
    <w:rsid w:val="00470043"/>
    <w:pPr>
      <w:tabs>
        <w:tab w:val="num" w:pos="792"/>
      </w:tabs>
      <w:ind w:left="792" w:hanging="792"/>
    </w:pPr>
  </w:style>
  <w:style w:type="paragraph" w:customStyle="1" w:styleId="Heading3numbered">
    <w:name w:val="Heading 3 numbered"/>
    <w:basedOn w:val="Heading3"/>
    <w:next w:val="NormalIndent"/>
    <w:uiPriority w:val="8"/>
    <w:qFormat/>
    <w:rsid w:val="00470043"/>
    <w:pPr>
      <w:tabs>
        <w:tab w:val="num" w:pos="792"/>
      </w:tabs>
      <w:ind w:left="792" w:hanging="792"/>
    </w:pPr>
  </w:style>
  <w:style w:type="paragraph" w:customStyle="1" w:styleId="Heading4numbered">
    <w:name w:val="Heading 4 numbered"/>
    <w:basedOn w:val="Heading4"/>
    <w:next w:val="NormalIndent"/>
    <w:uiPriority w:val="8"/>
    <w:qFormat/>
    <w:rsid w:val="00470043"/>
    <w:pPr>
      <w:tabs>
        <w:tab w:val="num" w:pos="792"/>
      </w:tabs>
      <w:ind w:left="792" w:hanging="792"/>
    </w:pPr>
  </w:style>
  <w:style w:type="paragraph" w:customStyle="1" w:styleId="Listnumindent2">
    <w:name w:val="List num indent 2"/>
    <w:basedOn w:val="Normal"/>
    <w:uiPriority w:val="9"/>
    <w:qFormat/>
    <w:rsid w:val="00470043"/>
    <w:pPr>
      <w:spacing w:before="100"/>
    </w:pPr>
  </w:style>
  <w:style w:type="paragraph" w:customStyle="1" w:styleId="Listnumindent">
    <w:name w:val="List num indent"/>
    <w:basedOn w:val="Normal"/>
    <w:uiPriority w:val="9"/>
    <w:qFormat/>
    <w:rsid w:val="00470043"/>
    <w:pPr>
      <w:tabs>
        <w:tab w:val="num" w:pos="1296"/>
      </w:tabs>
      <w:spacing w:before="100"/>
      <w:ind w:left="1296" w:hanging="504"/>
    </w:pPr>
  </w:style>
  <w:style w:type="paragraph" w:customStyle="1" w:styleId="Numparaindent">
    <w:name w:val="Num para indent"/>
    <w:basedOn w:val="Normal"/>
    <w:uiPriority w:val="9"/>
    <w:qFormat/>
    <w:rsid w:val="00470043"/>
    <w:pPr>
      <w:tabs>
        <w:tab w:val="num" w:pos="1296"/>
      </w:tabs>
      <w:ind w:left="1296" w:hanging="504"/>
      <w:contextualSpacing/>
    </w:pPr>
  </w:style>
  <w:style w:type="paragraph" w:customStyle="1" w:styleId="Bulletindent">
    <w:name w:val="Bullet indent"/>
    <w:basedOn w:val="Bullet2"/>
    <w:uiPriority w:val="9"/>
    <w:qFormat/>
    <w:rsid w:val="009D4246"/>
    <w:pPr>
      <w:numPr>
        <w:ilvl w:val="0"/>
        <w:numId w:val="0"/>
      </w:numPr>
      <w:tabs>
        <w:tab w:val="num" w:pos="1152"/>
      </w:tabs>
      <w:ind w:left="1152" w:hanging="360"/>
      <w:contextualSpacing/>
    </w:pPr>
  </w:style>
  <w:style w:type="paragraph" w:customStyle="1" w:styleId="Bulletindent2">
    <w:name w:val="Bullet indent 2"/>
    <w:basedOn w:val="Normal"/>
    <w:uiPriority w:val="9"/>
    <w:qFormat/>
    <w:rsid w:val="009D4246"/>
    <w:pPr>
      <w:tabs>
        <w:tab w:val="num" w:pos="1512"/>
      </w:tabs>
      <w:spacing w:before="100"/>
      <w:ind w:left="1512"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21692">
      <w:bodyDiv w:val="1"/>
      <w:marLeft w:val="0"/>
      <w:marRight w:val="0"/>
      <w:marTop w:val="0"/>
      <w:marBottom w:val="0"/>
      <w:divBdr>
        <w:top w:val="none" w:sz="0" w:space="0" w:color="auto"/>
        <w:left w:val="none" w:sz="0" w:space="0" w:color="auto"/>
        <w:bottom w:val="none" w:sz="0" w:space="0" w:color="auto"/>
        <w:right w:val="none" w:sz="0" w:space="0" w:color="auto"/>
      </w:divBdr>
      <w:divsChild>
        <w:div w:id="190146177">
          <w:marLeft w:val="144"/>
          <w:marRight w:val="0"/>
          <w:marTop w:val="0"/>
          <w:marBottom w:val="0"/>
          <w:divBdr>
            <w:top w:val="none" w:sz="0" w:space="0" w:color="auto"/>
            <w:left w:val="none" w:sz="0" w:space="0" w:color="auto"/>
            <w:bottom w:val="none" w:sz="0" w:space="0" w:color="auto"/>
            <w:right w:val="none" w:sz="0" w:space="0" w:color="auto"/>
          </w:divBdr>
        </w:div>
        <w:div w:id="369689208">
          <w:marLeft w:val="144"/>
          <w:marRight w:val="0"/>
          <w:marTop w:val="0"/>
          <w:marBottom w:val="0"/>
          <w:divBdr>
            <w:top w:val="none" w:sz="0" w:space="0" w:color="auto"/>
            <w:left w:val="none" w:sz="0" w:space="0" w:color="auto"/>
            <w:bottom w:val="none" w:sz="0" w:space="0" w:color="auto"/>
            <w:right w:val="none" w:sz="0" w:space="0" w:color="auto"/>
          </w:divBdr>
        </w:div>
        <w:div w:id="662469745">
          <w:marLeft w:val="144"/>
          <w:marRight w:val="0"/>
          <w:marTop w:val="0"/>
          <w:marBottom w:val="0"/>
          <w:divBdr>
            <w:top w:val="none" w:sz="0" w:space="0" w:color="auto"/>
            <w:left w:val="none" w:sz="0" w:space="0" w:color="auto"/>
            <w:bottom w:val="none" w:sz="0" w:space="0" w:color="auto"/>
            <w:right w:val="none" w:sz="0" w:space="0" w:color="auto"/>
          </w:divBdr>
        </w:div>
        <w:div w:id="956567618">
          <w:marLeft w:val="144"/>
          <w:marRight w:val="0"/>
          <w:marTop w:val="0"/>
          <w:marBottom w:val="0"/>
          <w:divBdr>
            <w:top w:val="none" w:sz="0" w:space="0" w:color="auto"/>
            <w:left w:val="none" w:sz="0" w:space="0" w:color="auto"/>
            <w:bottom w:val="none" w:sz="0" w:space="0" w:color="auto"/>
            <w:right w:val="none" w:sz="0" w:space="0" w:color="auto"/>
          </w:divBdr>
        </w:div>
        <w:div w:id="1640726286">
          <w:marLeft w:val="144"/>
          <w:marRight w:val="0"/>
          <w:marTop w:val="0"/>
          <w:marBottom w:val="0"/>
          <w:divBdr>
            <w:top w:val="none" w:sz="0" w:space="0" w:color="auto"/>
            <w:left w:val="none" w:sz="0" w:space="0" w:color="auto"/>
            <w:bottom w:val="none" w:sz="0" w:space="0" w:color="auto"/>
            <w:right w:val="none" w:sz="0" w:space="0" w:color="auto"/>
          </w:divBdr>
        </w:div>
        <w:div w:id="1200245150">
          <w:marLeft w:val="144"/>
          <w:marRight w:val="0"/>
          <w:marTop w:val="0"/>
          <w:marBottom w:val="0"/>
          <w:divBdr>
            <w:top w:val="none" w:sz="0" w:space="0" w:color="auto"/>
            <w:left w:val="none" w:sz="0" w:space="0" w:color="auto"/>
            <w:bottom w:val="none" w:sz="0" w:space="0" w:color="auto"/>
            <w:right w:val="none" w:sz="0" w:space="0" w:color="auto"/>
          </w:divBdr>
        </w:div>
        <w:div w:id="1556426652">
          <w:marLeft w:val="144"/>
          <w:marRight w:val="0"/>
          <w:marTop w:val="0"/>
          <w:marBottom w:val="0"/>
          <w:divBdr>
            <w:top w:val="none" w:sz="0" w:space="0" w:color="auto"/>
            <w:left w:val="none" w:sz="0" w:space="0" w:color="auto"/>
            <w:bottom w:val="none" w:sz="0" w:space="0" w:color="auto"/>
            <w:right w:val="none" w:sz="0" w:space="0" w:color="auto"/>
          </w:divBdr>
        </w:div>
        <w:div w:id="1114708195">
          <w:marLeft w:val="144"/>
          <w:marRight w:val="0"/>
          <w:marTop w:val="0"/>
          <w:marBottom w:val="0"/>
          <w:divBdr>
            <w:top w:val="none" w:sz="0" w:space="0" w:color="auto"/>
            <w:left w:val="none" w:sz="0" w:space="0" w:color="auto"/>
            <w:bottom w:val="none" w:sz="0" w:space="0" w:color="auto"/>
            <w:right w:val="none" w:sz="0" w:space="0" w:color="auto"/>
          </w:divBdr>
        </w:div>
        <w:div w:id="139926905">
          <w:marLeft w:val="144"/>
          <w:marRight w:val="0"/>
          <w:marTop w:val="0"/>
          <w:marBottom w:val="0"/>
          <w:divBdr>
            <w:top w:val="none" w:sz="0" w:space="0" w:color="auto"/>
            <w:left w:val="none" w:sz="0" w:space="0" w:color="auto"/>
            <w:bottom w:val="none" w:sz="0" w:space="0" w:color="auto"/>
            <w:right w:val="none" w:sz="0" w:space="0" w:color="auto"/>
          </w:divBdr>
        </w:div>
        <w:div w:id="63918615">
          <w:marLeft w:val="144"/>
          <w:marRight w:val="0"/>
          <w:marTop w:val="0"/>
          <w:marBottom w:val="0"/>
          <w:divBdr>
            <w:top w:val="none" w:sz="0" w:space="0" w:color="auto"/>
            <w:left w:val="none" w:sz="0" w:space="0" w:color="auto"/>
            <w:bottom w:val="none" w:sz="0" w:space="0" w:color="auto"/>
            <w:right w:val="none" w:sz="0" w:space="0" w:color="auto"/>
          </w:divBdr>
        </w:div>
        <w:div w:id="1008211731">
          <w:marLeft w:val="144"/>
          <w:marRight w:val="0"/>
          <w:marTop w:val="0"/>
          <w:marBottom w:val="0"/>
          <w:divBdr>
            <w:top w:val="none" w:sz="0" w:space="0" w:color="auto"/>
            <w:left w:val="none" w:sz="0" w:space="0" w:color="auto"/>
            <w:bottom w:val="none" w:sz="0" w:space="0" w:color="auto"/>
            <w:right w:val="none" w:sz="0" w:space="0" w:color="auto"/>
          </w:divBdr>
        </w:div>
        <w:div w:id="486702014">
          <w:marLeft w:val="144"/>
          <w:marRight w:val="0"/>
          <w:marTop w:val="0"/>
          <w:marBottom w:val="0"/>
          <w:divBdr>
            <w:top w:val="none" w:sz="0" w:space="0" w:color="auto"/>
            <w:left w:val="none" w:sz="0" w:space="0" w:color="auto"/>
            <w:bottom w:val="none" w:sz="0" w:space="0" w:color="auto"/>
            <w:right w:val="none" w:sz="0" w:space="0" w:color="auto"/>
          </w:divBdr>
        </w:div>
        <w:div w:id="1006515158">
          <w:marLeft w:val="144"/>
          <w:marRight w:val="0"/>
          <w:marTop w:val="0"/>
          <w:marBottom w:val="0"/>
          <w:divBdr>
            <w:top w:val="none" w:sz="0" w:space="0" w:color="auto"/>
            <w:left w:val="none" w:sz="0" w:space="0" w:color="auto"/>
            <w:bottom w:val="none" w:sz="0" w:space="0" w:color="auto"/>
            <w:right w:val="none" w:sz="0" w:space="0" w:color="auto"/>
          </w:divBdr>
        </w:div>
        <w:div w:id="1740976434">
          <w:marLeft w:val="144"/>
          <w:marRight w:val="0"/>
          <w:marTop w:val="0"/>
          <w:marBottom w:val="0"/>
          <w:divBdr>
            <w:top w:val="none" w:sz="0" w:space="0" w:color="auto"/>
            <w:left w:val="none" w:sz="0" w:space="0" w:color="auto"/>
            <w:bottom w:val="none" w:sz="0" w:space="0" w:color="auto"/>
            <w:right w:val="none" w:sz="0" w:space="0" w:color="auto"/>
          </w:divBdr>
        </w:div>
        <w:div w:id="1980567709">
          <w:marLeft w:val="144"/>
          <w:marRight w:val="0"/>
          <w:marTop w:val="0"/>
          <w:marBottom w:val="0"/>
          <w:divBdr>
            <w:top w:val="none" w:sz="0" w:space="0" w:color="auto"/>
            <w:left w:val="none" w:sz="0" w:space="0" w:color="auto"/>
            <w:bottom w:val="none" w:sz="0" w:space="0" w:color="auto"/>
            <w:right w:val="none" w:sz="0" w:space="0" w:color="auto"/>
          </w:divBdr>
        </w:div>
        <w:div w:id="1405298811">
          <w:marLeft w:val="144"/>
          <w:marRight w:val="0"/>
          <w:marTop w:val="0"/>
          <w:marBottom w:val="0"/>
          <w:divBdr>
            <w:top w:val="none" w:sz="0" w:space="0" w:color="auto"/>
            <w:left w:val="none" w:sz="0" w:space="0" w:color="auto"/>
            <w:bottom w:val="none" w:sz="0" w:space="0" w:color="auto"/>
            <w:right w:val="none" w:sz="0" w:space="0" w:color="auto"/>
          </w:divBdr>
        </w:div>
        <w:div w:id="535966829">
          <w:marLeft w:val="144"/>
          <w:marRight w:val="0"/>
          <w:marTop w:val="0"/>
          <w:marBottom w:val="0"/>
          <w:divBdr>
            <w:top w:val="none" w:sz="0" w:space="0" w:color="auto"/>
            <w:left w:val="none" w:sz="0" w:space="0" w:color="auto"/>
            <w:bottom w:val="none" w:sz="0" w:space="0" w:color="auto"/>
            <w:right w:val="none" w:sz="0" w:space="0" w:color="auto"/>
          </w:divBdr>
        </w:div>
        <w:div w:id="1991860488">
          <w:marLeft w:val="144"/>
          <w:marRight w:val="0"/>
          <w:marTop w:val="0"/>
          <w:marBottom w:val="0"/>
          <w:divBdr>
            <w:top w:val="none" w:sz="0" w:space="0" w:color="auto"/>
            <w:left w:val="none" w:sz="0" w:space="0" w:color="auto"/>
            <w:bottom w:val="none" w:sz="0" w:space="0" w:color="auto"/>
            <w:right w:val="none" w:sz="0" w:space="0" w:color="auto"/>
          </w:divBdr>
        </w:div>
        <w:div w:id="1268346448">
          <w:marLeft w:val="144"/>
          <w:marRight w:val="0"/>
          <w:marTop w:val="0"/>
          <w:marBottom w:val="0"/>
          <w:divBdr>
            <w:top w:val="none" w:sz="0" w:space="0" w:color="auto"/>
            <w:left w:val="none" w:sz="0" w:space="0" w:color="auto"/>
            <w:bottom w:val="none" w:sz="0" w:space="0" w:color="auto"/>
            <w:right w:val="none" w:sz="0" w:space="0" w:color="auto"/>
          </w:divBdr>
        </w:div>
        <w:div w:id="418255993">
          <w:marLeft w:val="144"/>
          <w:marRight w:val="0"/>
          <w:marTop w:val="0"/>
          <w:marBottom w:val="0"/>
          <w:divBdr>
            <w:top w:val="none" w:sz="0" w:space="0" w:color="auto"/>
            <w:left w:val="none" w:sz="0" w:space="0" w:color="auto"/>
            <w:bottom w:val="none" w:sz="0" w:space="0" w:color="auto"/>
            <w:right w:val="none" w:sz="0" w:space="0" w:color="auto"/>
          </w:divBdr>
        </w:div>
        <w:div w:id="1063987199">
          <w:marLeft w:val="144"/>
          <w:marRight w:val="0"/>
          <w:marTop w:val="0"/>
          <w:marBottom w:val="0"/>
          <w:divBdr>
            <w:top w:val="none" w:sz="0" w:space="0" w:color="auto"/>
            <w:left w:val="none" w:sz="0" w:space="0" w:color="auto"/>
            <w:bottom w:val="none" w:sz="0" w:space="0" w:color="auto"/>
            <w:right w:val="none" w:sz="0" w:space="0" w:color="auto"/>
          </w:divBdr>
        </w:div>
        <w:div w:id="1043943691">
          <w:marLeft w:val="144"/>
          <w:marRight w:val="0"/>
          <w:marTop w:val="0"/>
          <w:marBottom w:val="0"/>
          <w:divBdr>
            <w:top w:val="none" w:sz="0" w:space="0" w:color="auto"/>
            <w:left w:val="none" w:sz="0" w:space="0" w:color="auto"/>
            <w:bottom w:val="none" w:sz="0" w:space="0" w:color="auto"/>
            <w:right w:val="none" w:sz="0" w:space="0" w:color="auto"/>
          </w:divBdr>
        </w:div>
        <w:div w:id="1040974597">
          <w:marLeft w:val="144"/>
          <w:marRight w:val="0"/>
          <w:marTop w:val="0"/>
          <w:marBottom w:val="0"/>
          <w:divBdr>
            <w:top w:val="none" w:sz="0" w:space="0" w:color="auto"/>
            <w:left w:val="none" w:sz="0" w:space="0" w:color="auto"/>
            <w:bottom w:val="none" w:sz="0" w:space="0" w:color="auto"/>
            <w:right w:val="none" w:sz="0" w:space="0" w:color="auto"/>
          </w:divBdr>
        </w:div>
      </w:divsChild>
    </w:div>
    <w:div w:id="847721807">
      <w:bodyDiv w:val="1"/>
      <w:marLeft w:val="0"/>
      <w:marRight w:val="0"/>
      <w:marTop w:val="0"/>
      <w:marBottom w:val="0"/>
      <w:divBdr>
        <w:top w:val="none" w:sz="0" w:space="0" w:color="auto"/>
        <w:left w:val="none" w:sz="0" w:space="0" w:color="auto"/>
        <w:bottom w:val="none" w:sz="0" w:space="0" w:color="auto"/>
        <w:right w:val="none" w:sz="0" w:space="0" w:color="auto"/>
      </w:divBdr>
    </w:div>
    <w:div w:id="893539959">
      <w:bodyDiv w:val="1"/>
      <w:marLeft w:val="0"/>
      <w:marRight w:val="0"/>
      <w:marTop w:val="0"/>
      <w:marBottom w:val="0"/>
      <w:divBdr>
        <w:top w:val="none" w:sz="0" w:space="0" w:color="auto"/>
        <w:left w:val="none" w:sz="0" w:space="0" w:color="auto"/>
        <w:bottom w:val="none" w:sz="0" w:space="0" w:color="auto"/>
        <w:right w:val="none" w:sz="0" w:space="0" w:color="auto"/>
      </w:divBdr>
      <w:divsChild>
        <w:div w:id="116066056">
          <w:marLeft w:val="1080"/>
          <w:marRight w:val="0"/>
          <w:marTop w:val="0"/>
          <w:marBottom w:val="120"/>
          <w:divBdr>
            <w:top w:val="none" w:sz="0" w:space="0" w:color="auto"/>
            <w:left w:val="none" w:sz="0" w:space="0" w:color="auto"/>
            <w:bottom w:val="none" w:sz="0" w:space="0" w:color="auto"/>
            <w:right w:val="none" w:sz="0" w:space="0" w:color="auto"/>
          </w:divBdr>
        </w:div>
      </w:divsChild>
    </w:div>
    <w:div w:id="991443046">
      <w:bodyDiv w:val="1"/>
      <w:marLeft w:val="0"/>
      <w:marRight w:val="0"/>
      <w:marTop w:val="0"/>
      <w:marBottom w:val="0"/>
      <w:divBdr>
        <w:top w:val="none" w:sz="0" w:space="0" w:color="auto"/>
        <w:left w:val="none" w:sz="0" w:space="0" w:color="auto"/>
        <w:bottom w:val="none" w:sz="0" w:space="0" w:color="auto"/>
        <w:right w:val="none" w:sz="0" w:space="0" w:color="auto"/>
      </w:divBdr>
      <w:divsChild>
        <w:div w:id="374088304">
          <w:marLeft w:val="144"/>
          <w:marRight w:val="0"/>
          <w:marTop w:val="0"/>
          <w:marBottom w:val="0"/>
          <w:divBdr>
            <w:top w:val="none" w:sz="0" w:space="0" w:color="auto"/>
            <w:left w:val="none" w:sz="0" w:space="0" w:color="auto"/>
            <w:bottom w:val="none" w:sz="0" w:space="0" w:color="auto"/>
            <w:right w:val="none" w:sz="0" w:space="0" w:color="auto"/>
          </w:divBdr>
        </w:div>
        <w:div w:id="1950818569">
          <w:marLeft w:val="144"/>
          <w:marRight w:val="0"/>
          <w:marTop w:val="0"/>
          <w:marBottom w:val="0"/>
          <w:divBdr>
            <w:top w:val="none" w:sz="0" w:space="0" w:color="auto"/>
            <w:left w:val="none" w:sz="0" w:space="0" w:color="auto"/>
            <w:bottom w:val="none" w:sz="0" w:space="0" w:color="auto"/>
            <w:right w:val="none" w:sz="0" w:space="0" w:color="auto"/>
          </w:divBdr>
        </w:div>
        <w:div w:id="2008050646">
          <w:marLeft w:val="144"/>
          <w:marRight w:val="0"/>
          <w:marTop w:val="0"/>
          <w:marBottom w:val="0"/>
          <w:divBdr>
            <w:top w:val="none" w:sz="0" w:space="0" w:color="auto"/>
            <w:left w:val="none" w:sz="0" w:space="0" w:color="auto"/>
            <w:bottom w:val="none" w:sz="0" w:space="0" w:color="auto"/>
            <w:right w:val="none" w:sz="0" w:space="0" w:color="auto"/>
          </w:divBdr>
        </w:div>
        <w:div w:id="375349748">
          <w:marLeft w:val="144"/>
          <w:marRight w:val="0"/>
          <w:marTop w:val="0"/>
          <w:marBottom w:val="0"/>
          <w:divBdr>
            <w:top w:val="none" w:sz="0" w:space="0" w:color="auto"/>
            <w:left w:val="none" w:sz="0" w:space="0" w:color="auto"/>
            <w:bottom w:val="none" w:sz="0" w:space="0" w:color="auto"/>
            <w:right w:val="none" w:sz="0" w:space="0" w:color="auto"/>
          </w:divBdr>
        </w:div>
        <w:div w:id="1942571313">
          <w:marLeft w:val="144"/>
          <w:marRight w:val="0"/>
          <w:marTop w:val="0"/>
          <w:marBottom w:val="0"/>
          <w:divBdr>
            <w:top w:val="none" w:sz="0" w:space="0" w:color="auto"/>
            <w:left w:val="none" w:sz="0" w:space="0" w:color="auto"/>
            <w:bottom w:val="none" w:sz="0" w:space="0" w:color="auto"/>
            <w:right w:val="none" w:sz="0" w:space="0" w:color="auto"/>
          </w:divBdr>
        </w:div>
        <w:div w:id="903837158">
          <w:marLeft w:val="144"/>
          <w:marRight w:val="0"/>
          <w:marTop w:val="0"/>
          <w:marBottom w:val="0"/>
          <w:divBdr>
            <w:top w:val="none" w:sz="0" w:space="0" w:color="auto"/>
            <w:left w:val="none" w:sz="0" w:space="0" w:color="auto"/>
            <w:bottom w:val="none" w:sz="0" w:space="0" w:color="auto"/>
            <w:right w:val="none" w:sz="0" w:space="0" w:color="auto"/>
          </w:divBdr>
        </w:div>
        <w:div w:id="1696923666">
          <w:marLeft w:val="144"/>
          <w:marRight w:val="0"/>
          <w:marTop w:val="0"/>
          <w:marBottom w:val="0"/>
          <w:divBdr>
            <w:top w:val="none" w:sz="0" w:space="0" w:color="auto"/>
            <w:left w:val="none" w:sz="0" w:space="0" w:color="auto"/>
            <w:bottom w:val="none" w:sz="0" w:space="0" w:color="auto"/>
            <w:right w:val="none" w:sz="0" w:space="0" w:color="auto"/>
          </w:divBdr>
        </w:div>
        <w:div w:id="666402787">
          <w:marLeft w:val="144"/>
          <w:marRight w:val="0"/>
          <w:marTop w:val="0"/>
          <w:marBottom w:val="0"/>
          <w:divBdr>
            <w:top w:val="none" w:sz="0" w:space="0" w:color="auto"/>
            <w:left w:val="none" w:sz="0" w:space="0" w:color="auto"/>
            <w:bottom w:val="none" w:sz="0" w:space="0" w:color="auto"/>
            <w:right w:val="none" w:sz="0" w:space="0" w:color="auto"/>
          </w:divBdr>
        </w:div>
        <w:div w:id="157036767">
          <w:marLeft w:val="144"/>
          <w:marRight w:val="0"/>
          <w:marTop w:val="0"/>
          <w:marBottom w:val="0"/>
          <w:divBdr>
            <w:top w:val="none" w:sz="0" w:space="0" w:color="auto"/>
            <w:left w:val="none" w:sz="0" w:space="0" w:color="auto"/>
            <w:bottom w:val="none" w:sz="0" w:space="0" w:color="auto"/>
            <w:right w:val="none" w:sz="0" w:space="0" w:color="auto"/>
          </w:divBdr>
        </w:div>
        <w:div w:id="1580283361">
          <w:marLeft w:val="144"/>
          <w:marRight w:val="0"/>
          <w:marTop w:val="0"/>
          <w:marBottom w:val="0"/>
          <w:divBdr>
            <w:top w:val="none" w:sz="0" w:space="0" w:color="auto"/>
            <w:left w:val="none" w:sz="0" w:space="0" w:color="auto"/>
            <w:bottom w:val="none" w:sz="0" w:space="0" w:color="auto"/>
            <w:right w:val="none" w:sz="0" w:space="0" w:color="auto"/>
          </w:divBdr>
        </w:div>
        <w:div w:id="1788113052">
          <w:marLeft w:val="144"/>
          <w:marRight w:val="0"/>
          <w:marTop w:val="0"/>
          <w:marBottom w:val="0"/>
          <w:divBdr>
            <w:top w:val="none" w:sz="0" w:space="0" w:color="auto"/>
            <w:left w:val="none" w:sz="0" w:space="0" w:color="auto"/>
            <w:bottom w:val="none" w:sz="0" w:space="0" w:color="auto"/>
            <w:right w:val="none" w:sz="0" w:space="0" w:color="auto"/>
          </w:divBdr>
        </w:div>
        <w:div w:id="960765855">
          <w:marLeft w:val="144"/>
          <w:marRight w:val="0"/>
          <w:marTop w:val="0"/>
          <w:marBottom w:val="0"/>
          <w:divBdr>
            <w:top w:val="none" w:sz="0" w:space="0" w:color="auto"/>
            <w:left w:val="none" w:sz="0" w:space="0" w:color="auto"/>
            <w:bottom w:val="none" w:sz="0" w:space="0" w:color="auto"/>
            <w:right w:val="none" w:sz="0" w:space="0" w:color="auto"/>
          </w:divBdr>
        </w:div>
        <w:div w:id="22100600">
          <w:marLeft w:val="144"/>
          <w:marRight w:val="0"/>
          <w:marTop w:val="0"/>
          <w:marBottom w:val="0"/>
          <w:divBdr>
            <w:top w:val="none" w:sz="0" w:space="0" w:color="auto"/>
            <w:left w:val="none" w:sz="0" w:space="0" w:color="auto"/>
            <w:bottom w:val="none" w:sz="0" w:space="0" w:color="auto"/>
            <w:right w:val="none" w:sz="0" w:space="0" w:color="auto"/>
          </w:divBdr>
        </w:div>
        <w:div w:id="796682379">
          <w:marLeft w:val="144"/>
          <w:marRight w:val="0"/>
          <w:marTop w:val="0"/>
          <w:marBottom w:val="0"/>
          <w:divBdr>
            <w:top w:val="none" w:sz="0" w:space="0" w:color="auto"/>
            <w:left w:val="none" w:sz="0" w:space="0" w:color="auto"/>
            <w:bottom w:val="none" w:sz="0" w:space="0" w:color="auto"/>
            <w:right w:val="none" w:sz="0" w:space="0" w:color="auto"/>
          </w:divBdr>
        </w:div>
        <w:div w:id="771824013">
          <w:marLeft w:val="144"/>
          <w:marRight w:val="0"/>
          <w:marTop w:val="0"/>
          <w:marBottom w:val="0"/>
          <w:divBdr>
            <w:top w:val="none" w:sz="0" w:space="0" w:color="auto"/>
            <w:left w:val="none" w:sz="0" w:space="0" w:color="auto"/>
            <w:bottom w:val="none" w:sz="0" w:space="0" w:color="auto"/>
            <w:right w:val="none" w:sz="0" w:space="0" w:color="auto"/>
          </w:divBdr>
        </w:div>
        <w:div w:id="477722763">
          <w:marLeft w:val="144"/>
          <w:marRight w:val="0"/>
          <w:marTop w:val="0"/>
          <w:marBottom w:val="0"/>
          <w:divBdr>
            <w:top w:val="none" w:sz="0" w:space="0" w:color="auto"/>
            <w:left w:val="none" w:sz="0" w:space="0" w:color="auto"/>
            <w:bottom w:val="none" w:sz="0" w:space="0" w:color="auto"/>
            <w:right w:val="none" w:sz="0" w:space="0" w:color="auto"/>
          </w:divBdr>
        </w:div>
        <w:div w:id="370962861">
          <w:marLeft w:val="144"/>
          <w:marRight w:val="0"/>
          <w:marTop w:val="0"/>
          <w:marBottom w:val="0"/>
          <w:divBdr>
            <w:top w:val="none" w:sz="0" w:space="0" w:color="auto"/>
            <w:left w:val="none" w:sz="0" w:space="0" w:color="auto"/>
            <w:bottom w:val="none" w:sz="0" w:space="0" w:color="auto"/>
            <w:right w:val="none" w:sz="0" w:space="0" w:color="auto"/>
          </w:divBdr>
        </w:div>
        <w:div w:id="2115395075">
          <w:marLeft w:val="144"/>
          <w:marRight w:val="0"/>
          <w:marTop w:val="0"/>
          <w:marBottom w:val="0"/>
          <w:divBdr>
            <w:top w:val="none" w:sz="0" w:space="0" w:color="auto"/>
            <w:left w:val="none" w:sz="0" w:space="0" w:color="auto"/>
            <w:bottom w:val="none" w:sz="0" w:space="0" w:color="auto"/>
            <w:right w:val="none" w:sz="0" w:space="0" w:color="auto"/>
          </w:divBdr>
        </w:div>
        <w:div w:id="270744822">
          <w:marLeft w:val="144"/>
          <w:marRight w:val="0"/>
          <w:marTop w:val="0"/>
          <w:marBottom w:val="0"/>
          <w:divBdr>
            <w:top w:val="none" w:sz="0" w:space="0" w:color="auto"/>
            <w:left w:val="none" w:sz="0" w:space="0" w:color="auto"/>
            <w:bottom w:val="none" w:sz="0" w:space="0" w:color="auto"/>
            <w:right w:val="none" w:sz="0" w:space="0" w:color="auto"/>
          </w:divBdr>
        </w:div>
        <w:div w:id="1552380785">
          <w:marLeft w:val="144"/>
          <w:marRight w:val="0"/>
          <w:marTop w:val="0"/>
          <w:marBottom w:val="0"/>
          <w:divBdr>
            <w:top w:val="none" w:sz="0" w:space="0" w:color="auto"/>
            <w:left w:val="none" w:sz="0" w:space="0" w:color="auto"/>
            <w:bottom w:val="none" w:sz="0" w:space="0" w:color="auto"/>
            <w:right w:val="none" w:sz="0" w:space="0" w:color="auto"/>
          </w:divBdr>
        </w:div>
        <w:div w:id="2008484203">
          <w:marLeft w:val="144"/>
          <w:marRight w:val="0"/>
          <w:marTop w:val="0"/>
          <w:marBottom w:val="0"/>
          <w:divBdr>
            <w:top w:val="none" w:sz="0" w:space="0" w:color="auto"/>
            <w:left w:val="none" w:sz="0" w:space="0" w:color="auto"/>
            <w:bottom w:val="none" w:sz="0" w:space="0" w:color="auto"/>
            <w:right w:val="none" w:sz="0" w:space="0" w:color="auto"/>
          </w:divBdr>
        </w:div>
        <w:div w:id="346372506">
          <w:marLeft w:val="144"/>
          <w:marRight w:val="0"/>
          <w:marTop w:val="0"/>
          <w:marBottom w:val="0"/>
          <w:divBdr>
            <w:top w:val="none" w:sz="0" w:space="0" w:color="auto"/>
            <w:left w:val="none" w:sz="0" w:space="0" w:color="auto"/>
            <w:bottom w:val="none" w:sz="0" w:space="0" w:color="auto"/>
            <w:right w:val="none" w:sz="0" w:space="0" w:color="auto"/>
          </w:divBdr>
        </w:div>
        <w:div w:id="1249118211">
          <w:marLeft w:val="144"/>
          <w:marRight w:val="0"/>
          <w:marTop w:val="0"/>
          <w:marBottom w:val="0"/>
          <w:divBdr>
            <w:top w:val="none" w:sz="0" w:space="0" w:color="auto"/>
            <w:left w:val="none" w:sz="0" w:space="0" w:color="auto"/>
            <w:bottom w:val="none" w:sz="0" w:space="0" w:color="auto"/>
            <w:right w:val="none" w:sz="0" w:space="0" w:color="auto"/>
          </w:divBdr>
        </w:div>
      </w:divsChild>
    </w:div>
    <w:div w:id="1095055672">
      <w:bodyDiv w:val="1"/>
      <w:marLeft w:val="0"/>
      <w:marRight w:val="0"/>
      <w:marTop w:val="0"/>
      <w:marBottom w:val="0"/>
      <w:divBdr>
        <w:top w:val="none" w:sz="0" w:space="0" w:color="auto"/>
        <w:left w:val="none" w:sz="0" w:space="0" w:color="auto"/>
        <w:bottom w:val="none" w:sz="0" w:space="0" w:color="auto"/>
        <w:right w:val="none" w:sz="0" w:space="0" w:color="auto"/>
      </w:divBdr>
      <w:divsChild>
        <w:div w:id="2071074872">
          <w:marLeft w:val="144"/>
          <w:marRight w:val="0"/>
          <w:marTop w:val="0"/>
          <w:marBottom w:val="0"/>
          <w:divBdr>
            <w:top w:val="none" w:sz="0" w:space="0" w:color="auto"/>
            <w:left w:val="none" w:sz="0" w:space="0" w:color="auto"/>
            <w:bottom w:val="none" w:sz="0" w:space="0" w:color="auto"/>
            <w:right w:val="none" w:sz="0" w:space="0" w:color="auto"/>
          </w:divBdr>
        </w:div>
        <w:div w:id="1610240036">
          <w:marLeft w:val="144"/>
          <w:marRight w:val="0"/>
          <w:marTop w:val="0"/>
          <w:marBottom w:val="0"/>
          <w:divBdr>
            <w:top w:val="none" w:sz="0" w:space="0" w:color="auto"/>
            <w:left w:val="none" w:sz="0" w:space="0" w:color="auto"/>
            <w:bottom w:val="none" w:sz="0" w:space="0" w:color="auto"/>
            <w:right w:val="none" w:sz="0" w:space="0" w:color="auto"/>
          </w:divBdr>
        </w:div>
        <w:div w:id="34477251">
          <w:marLeft w:val="144"/>
          <w:marRight w:val="0"/>
          <w:marTop w:val="0"/>
          <w:marBottom w:val="0"/>
          <w:divBdr>
            <w:top w:val="none" w:sz="0" w:space="0" w:color="auto"/>
            <w:left w:val="none" w:sz="0" w:space="0" w:color="auto"/>
            <w:bottom w:val="none" w:sz="0" w:space="0" w:color="auto"/>
            <w:right w:val="none" w:sz="0" w:space="0" w:color="auto"/>
          </w:divBdr>
        </w:div>
        <w:div w:id="1188056814">
          <w:marLeft w:val="144"/>
          <w:marRight w:val="0"/>
          <w:marTop w:val="0"/>
          <w:marBottom w:val="0"/>
          <w:divBdr>
            <w:top w:val="none" w:sz="0" w:space="0" w:color="auto"/>
            <w:left w:val="none" w:sz="0" w:space="0" w:color="auto"/>
            <w:bottom w:val="none" w:sz="0" w:space="0" w:color="auto"/>
            <w:right w:val="none" w:sz="0" w:space="0" w:color="auto"/>
          </w:divBdr>
        </w:div>
        <w:div w:id="1351570896">
          <w:marLeft w:val="144"/>
          <w:marRight w:val="0"/>
          <w:marTop w:val="0"/>
          <w:marBottom w:val="0"/>
          <w:divBdr>
            <w:top w:val="none" w:sz="0" w:space="0" w:color="auto"/>
            <w:left w:val="none" w:sz="0" w:space="0" w:color="auto"/>
            <w:bottom w:val="none" w:sz="0" w:space="0" w:color="auto"/>
            <w:right w:val="none" w:sz="0" w:space="0" w:color="auto"/>
          </w:divBdr>
        </w:div>
        <w:div w:id="209340028">
          <w:marLeft w:val="144"/>
          <w:marRight w:val="0"/>
          <w:marTop w:val="0"/>
          <w:marBottom w:val="0"/>
          <w:divBdr>
            <w:top w:val="none" w:sz="0" w:space="0" w:color="auto"/>
            <w:left w:val="none" w:sz="0" w:space="0" w:color="auto"/>
            <w:bottom w:val="none" w:sz="0" w:space="0" w:color="auto"/>
            <w:right w:val="none" w:sz="0" w:space="0" w:color="auto"/>
          </w:divBdr>
        </w:div>
        <w:div w:id="1866747161">
          <w:marLeft w:val="144"/>
          <w:marRight w:val="0"/>
          <w:marTop w:val="0"/>
          <w:marBottom w:val="0"/>
          <w:divBdr>
            <w:top w:val="none" w:sz="0" w:space="0" w:color="auto"/>
            <w:left w:val="none" w:sz="0" w:space="0" w:color="auto"/>
            <w:bottom w:val="none" w:sz="0" w:space="0" w:color="auto"/>
            <w:right w:val="none" w:sz="0" w:space="0" w:color="auto"/>
          </w:divBdr>
        </w:div>
        <w:div w:id="1985310865">
          <w:marLeft w:val="144"/>
          <w:marRight w:val="0"/>
          <w:marTop w:val="0"/>
          <w:marBottom w:val="0"/>
          <w:divBdr>
            <w:top w:val="none" w:sz="0" w:space="0" w:color="auto"/>
            <w:left w:val="none" w:sz="0" w:space="0" w:color="auto"/>
            <w:bottom w:val="none" w:sz="0" w:space="0" w:color="auto"/>
            <w:right w:val="none" w:sz="0" w:space="0" w:color="auto"/>
          </w:divBdr>
        </w:div>
        <w:div w:id="1965228834">
          <w:marLeft w:val="144"/>
          <w:marRight w:val="0"/>
          <w:marTop w:val="0"/>
          <w:marBottom w:val="0"/>
          <w:divBdr>
            <w:top w:val="none" w:sz="0" w:space="0" w:color="auto"/>
            <w:left w:val="none" w:sz="0" w:space="0" w:color="auto"/>
            <w:bottom w:val="none" w:sz="0" w:space="0" w:color="auto"/>
            <w:right w:val="none" w:sz="0" w:space="0" w:color="auto"/>
          </w:divBdr>
        </w:div>
        <w:div w:id="966934361">
          <w:marLeft w:val="144"/>
          <w:marRight w:val="0"/>
          <w:marTop w:val="0"/>
          <w:marBottom w:val="0"/>
          <w:divBdr>
            <w:top w:val="none" w:sz="0" w:space="0" w:color="auto"/>
            <w:left w:val="none" w:sz="0" w:space="0" w:color="auto"/>
            <w:bottom w:val="none" w:sz="0" w:space="0" w:color="auto"/>
            <w:right w:val="none" w:sz="0" w:space="0" w:color="auto"/>
          </w:divBdr>
        </w:div>
        <w:div w:id="640766694">
          <w:marLeft w:val="144"/>
          <w:marRight w:val="0"/>
          <w:marTop w:val="0"/>
          <w:marBottom w:val="0"/>
          <w:divBdr>
            <w:top w:val="none" w:sz="0" w:space="0" w:color="auto"/>
            <w:left w:val="none" w:sz="0" w:space="0" w:color="auto"/>
            <w:bottom w:val="none" w:sz="0" w:space="0" w:color="auto"/>
            <w:right w:val="none" w:sz="0" w:space="0" w:color="auto"/>
          </w:divBdr>
        </w:div>
        <w:div w:id="427964189">
          <w:marLeft w:val="144"/>
          <w:marRight w:val="0"/>
          <w:marTop w:val="0"/>
          <w:marBottom w:val="0"/>
          <w:divBdr>
            <w:top w:val="none" w:sz="0" w:space="0" w:color="auto"/>
            <w:left w:val="none" w:sz="0" w:space="0" w:color="auto"/>
            <w:bottom w:val="none" w:sz="0" w:space="0" w:color="auto"/>
            <w:right w:val="none" w:sz="0" w:space="0" w:color="auto"/>
          </w:divBdr>
        </w:div>
        <w:div w:id="2128086554">
          <w:marLeft w:val="144"/>
          <w:marRight w:val="0"/>
          <w:marTop w:val="0"/>
          <w:marBottom w:val="0"/>
          <w:divBdr>
            <w:top w:val="none" w:sz="0" w:space="0" w:color="auto"/>
            <w:left w:val="none" w:sz="0" w:space="0" w:color="auto"/>
            <w:bottom w:val="none" w:sz="0" w:space="0" w:color="auto"/>
            <w:right w:val="none" w:sz="0" w:space="0" w:color="auto"/>
          </w:divBdr>
        </w:div>
        <w:div w:id="170342571">
          <w:marLeft w:val="144"/>
          <w:marRight w:val="0"/>
          <w:marTop w:val="0"/>
          <w:marBottom w:val="0"/>
          <w:divBdr>
            <w:top w:val="none" w:sz="0" w:space="0" w:color="auto"/>
            <w:left w:val="none" w:sz="0" w:space="0" w:color="auto"/>
            <w:bottom w:val="none" w:sz="0" w:space="0" w:color="auto"/>
            <w:right w:val="none" w:sz="0" w:space="0" w:color="auto"/>
          </w:divBdr>
        </w:div>
        <w:div w:id="1052195490">
          <w:marLeft w:val="144"/>
          <w:marRight w:val="0"/>
          <w:marTop w:val="0"/>
          <w:marBottom w:val="0"/>
          <w:divBdr>
            <w:top w:val="none" w:sz="0" w:space="0" w:color="auto"/>
            <w:left w:val="none" w:sz="0" w:space="0" w:color="auto"/>
            <w:bottom w:val="none" w:sz="0" w:space="0" w:color="auto"/>
            <w:right w:val="none" w:sz="0" w:space="0" w:color="auto"/>
          </w:divBdr>
        </w:div>
        <w:div w:id="729041317">
          <w:marLeft w:val="144"/>
          <w:marRight w:val="0"/>
          <w:marTop w:val="0"/>
          <w:marBottom w:val="0"/>
          <w:divBdr>
            <w:top w:val="none" w:sz="0" w:space="0" w:color="auto"/>
            <w:left w:val="none" w:sz="0" w:space="0" w:color="auto"/>
            <w:bottom w:val="none" w:sz="0" w:space="0" w:color="auto"/>
            <w:right w:val="none" w:sz="0" w:space="0" w:color="auto"/>
          </w:divBdr>
        </w:div>
        <w:div w:id="808399281">
          <w:marLeft w:val="144"/>
          <w:marRight w:val="0"/>
          <w:marTop w:val="0"/>
          <w:marBottom w:val="0"/>
          <w:divBdr>
            <w:top w:val="none" w:sz="0" w:space="0" w:color="auto"/>
            <w:left w:val="none" w:sz="0" w:space="0" w:color="auto"/>
            <w:bottom w:val="none" w:sz="0" w:space="0" w:color="auto"/>
            <w:right w:val="none" w:sz="0" w:space="0" w:color="auto"/>
          </w:divBdr>
        </w:div>
        <w:div w:id="1476264999">
          <w:marLeft w:val="144"/>
          <w:marRight w:val="0"/>
          <w:marTop w:val="0"/>
          <w:marBottom w:val="0"/>
          <w:divBdr>
            <w:top w:val="none" w:sz="0" w:space="0" w:color="auto"/>
            <w:left w:val="none" w:sz="0" w:space="0" w:color="auto"/>
            <w:bottom w:val="none" w:sz="0" w:space="0" w:color="auto"/>
            <w:right w:val="none" w:sz="0" w:space="0" w:color="auto"/>
          </w:divBdr>
        </w:div>
        <w:div w:id="1989551681">
          <w:marLeft w:val="144"/>
          <w:marRight w:val="0"/>
          <w:marTop w:val="0"/>
          <w:marBottom w:val="0"/>
          <w:divBdr>
            <w:top w:val="none" w:sz="0" w:space="0" w:color="auto"/>
            <w:left w:val="none" w:sz="0" w:space="0" w:color="auto"/>
            <w:bottom w:val="none" w:sz="0" w:space="0" w:color="auto"/>
            <w:right w:val="none" w:sz="0" w:space="0" w:color="auto"/>
          </w:divBdr>
        </w:div>
        <w:div w:id="457991471">
          <w:marLeft w:val="144"/>
          <w:marRight w:val="0"/>
          <w:marTop w:val="0"/>
          <w:marBottom w:val="0"/>
          <w:divBdr>
            <w:top w:val="none" w:sz="0" w:space="0" w:color="auto"/>
            <w:left w:val="none" w:sz="0" w:space="0" w:color="auto"/>
            <w:bottom w:val="none" w:sz="0" w:space="0" w:color="auto"/>
            <w:right w:val="none" w:sz="0" w:space="0" w:color="auto"/>
          </w:divBdr>
        </w:div>
        <w:div w:id="709839355">
          <w:marLeft w:val="144"/>
          <w:marRight w:val="0"/>
          <w:marTop w:val="0"/>
          <w:marBottom w:val="0"/>
          <w:divBdr>
            <w:top w:val="none" w:sz="0" w:space="0" w:color="auto"/>
            <w:left w:val="none" w:sz="0" w:space="0" w:color="auto"/>
            <w:bottom w:val="none" w:sz="0" w:space="0" w:color="auto"/>
            <w:right w:val="none" w:sz="0" w:space="0" w:color="auto"/>
          </w:divBdr>
        </w:div>
        <w:div w:id="697396016">
          <w:marLeft w:val="144"/>
          <w:marRight w:val="0"/>
          <w:marTop w:val="0"/>
          <w:marBottom w:val="0"/>
          <w:divBdr>
            <w:top w:val="none" w:sz="0" w:space="0" w:color="auto"/>
            <w:left w:val="none" w:sz="0" w:space="0" w:color="auto"/>
            <w:bottom w:val="none" w:sz="0" w:space="0" w:color="auto"/>
            <w:right w:val="none" w:sz="0" w:space="0" w:color="auto"/>
          </w:divBdr>
        </w:div>
        <w:div w:id="1941374088">
          <w:marLeft w:val="144"/>
          <w:marRight w:val="0"/>
          <w:marTop w:val="0"/>
          <w:marBottom w:val="0"/>
          <w:divBdr>
            <w:top w:val="none" w:sz="0" w:space="0" w:color="auto"/>
            <w:left w:val="none" w:sz="0" w:space="0" w:color="auto"/>
            <w:bottom w:val="none" w:sz="0" w:space="0" w:color="auto"/>
            <w:right w:val="none" w:sz="0" w:space="0" w:color="auto"/>
          </w:divBdr>
        </w:div>
      </w:divsChild>
    </w:div>
    <w:div w:id="1600142050">
      <w:bodyDiv w:val="1"/>
      <w:marLeft w:val="0"/>
      <w:marRight w:val="0"/>
      <w:marTop w:val="0"/>
      <w:marBottom w:val="0"/>
      <w:divBdr>
        <w:top w:val="none" w:sz="0" w:space="0" w:color="auto"/>
        <w:left w:val="none" w:sz="0" w:space="0" w:color="auto"/>
        <w:bottom w:val="none" w:sz="0" w:space="0" w:color="auto"/>
        <w:right w:val="none" w:sz="0" w:space="0" w:color="auto"/>
      </w:divBdr>
      <w:divsChild>
        <w:div w:id="1845902702">
          <w:marLeft w:val="144"/>
          <w:marRight w:val="0"/>
          <w:marTop w:val="0"/>
          <w:marBottom w:val="0"/>
          <w:divBdr>
            <w:top w:val="none" w:sz="0" w:space="0" w:color="auto"/>
            <w:left w:val="none" w:sz="0" w:space="0" w:color="auto"/>
            <w:bottom w:val="none" w:sz="0" w:space="0" w:color="auto"/>
            <w:right w:val="none" w:sz="0" w:space="0" w:color="auto"/>
          </w:divBdr>
        </w:div>
        <w:div w:id="1415664460">
          <w:marLeft w:val="144"/>
          <w:marRight w:val="0"/>
          <w:marTop w:val="0"/>
          <w:marBottom w:val="0"/>
          <w:divBdr>
            <w:top w:val="none" w:sz="0" w:space="0" w:color="auto"/>
            <w:left w:val="none" w:sz="0" w:space="0" w:color="auto"/>
            <w:bottom w:val="none" w:sz="0" w:space="0" w:color="auto"/>
            <w:right w:val="none" w:sz="0" w:space="0" w:color="auto"/>
          </w:divBdr>
        </w:div>
        <w:div w:id="1728916496">
          <w:marLeft w:val="144"/>
          <w:marRight w:val="0"/>
          <w:marTop w:val="0"/>
          <w:marBottom w:val="0"/>
          <w:divBdr>
            <w:top w:val="none" w:sz="0" w:space="0" w:color="auto"/>
            <w:left w:val="none" w:sz="0" w:space="0" w:color="auto"/>
            <w:bottom w:val="none" w:sz="0" w:space="0" w:color="auto"/>
            <w:right w:val="none" w:sz="0" w:space="0" w:color="auto"/>
          </w:divBdr>
        </w:div>
        <w:div w:id="635066221">
          <w:marLeft w:val="144"/>
          <w:marRight w:val="0"/>
          <w:marTop w:val="0"/>
          <w:marBottom w:val="0"/>
          <w:divBdr>
            <w:top w:val="none" w:sz="0" w:space="0" w:color="auto"/>
            <w:left w:val="none" w:sz="0" w:space="0" w:color="auto"/>
            <w:bottom w:val="none" w:sz="0" w:space="0" w:color="auto"/>
            <w:right w:val="none" w:sz="0" w:space="0" w:color="auto"/>
          </w:divBdr>
        </w:div>
        <w:div w:id="178007021">
          <w:marLeft w:val="144"/>
          <w:marRight w:val="0"/>
          <w:marTop w:val="0"/>
          <w:marBottom w:val="0"/>
          <w:divBdr>
            <w:top w:val="none" w:sz="0" w:space="0" w:color="auto"/>
            <w:left w:val="none" w:sz="0" w:space="0" w:color="auto"/>
            <w:bottom w:val="none" w:sz="0" w:space="0" w:color="auto"/>
            <w:right w:val="none" w:sz="0" w:space="0" w:color="auto"/>
          </w:divBdr>
        </w:div>
        <w:div w:id="1459881646">
          <w:marLeft w:val="144"/>
          <w:marRight w:val="0"/>
          <w:marTop w:val="0"/>
          <w:marBottom w:val="0"/>
          <w:divBdr>
            <w:top w:val="none" w:sz="0" w:space="0" w:color="auto"/>
            <w:left w:val="none" w:sz="0" w:space="0" w:color="auto"/>
            <w:bottom w:val="none" w:sz="0" w:space="0" w:color="auto"/>
            <w:right w:val="none" w:sz="0" w:space="0" w:color="auto"/>
          </w:divBdr>
        </w:div>
        <w:div w:id="1585840732">
          <w:marLeft w:val="144"/>
          <w:marRight w:val="0"/>
          <w:marTop w:val="0"/>
          <w:marBottom w:val="0"/>
          <w:divBdr>
            <w:top w:val="none" w:sz="0" w:space="0" w:color="auto"/>
            <w:left w:val="none" w:sz="0" w:space="0" w:color="auto"/>
            <w:bottom w:val="none" w:sz="0" w:space="0" w:color="auto"/>
            <w:right w:val="none" w:sz="0" w:space="0" w:color="auto"/>
          </w:divBdr>
        </w:div>
        <w:div w:id="1135759024">
          <w:marLeft w:val="144"/>
          <w:marRight w:val="0"/>
          <w:marTop w:val="0"/>
          <w:marBottom w:val="0"/>
          <w:divBdr>
            <w:top w:val="none" w:sz="0" w:space="0" w:color="auto"/>
            <w:left w:val="none" w:sz="0" w:space="0" w:color="auto"/>
            <w:bottom w:val="none" w:sz="0" w:space="0" w:color="auto"/>
            <w:right w:val="none" w:sz="0" w:space="0" w:color="auto"/>
          </w:divBdr>
        </w:div>
        <w:div w:id="1760566194">
          <w:marLeft w:val="144"/>
          <w:marRight w:val="0"/>
          <w:marTop w:val="0"/>
          <w:marBottom w:val="0"/>
          <w:divBdr>
            <w:top w:val="none" w:sz="0" w:space="0" w:color="auto"/>
            <w:left w:val="none" w:sz="0" w:space="0" w:color="auto"/>
            <w:bottom w:val="none" w:sz="0" w:space="0" w:color="auto"/>
            <w:right w:val="none" w:sz="0" w:space="0" w:color="auto"/>
          </w:divBdr>
        </w:div>
        <w:div w:id="1239826034">
          <w:marLeft w:val="144"/>
          <w:marRight w:val="0"/>
          <w:marTop w:val="0"/>
          <w:marBottom w:val="0"/>
          <w:divBdr>
            <w:top w:val="none" w:sz="0" w:space="0" w:color="auto"/>
            <w:left w:val="none" w:sz="0" w:space="0" w:color="auto"/>
            <w:bottom w:val="none" w:sz="0" w:space="0" w:color="auto"/>
            <w:right w:val="none" w:sz="0" w:space="0" w:color="auto"/>
          </w:divBdr>
        </w:div>
        <w:div w:id="382363867">
          <w:marLeft w:val="144"/>
          <w:marRight w:val="0"/>
          <w:marTop w:val="0"/>
          <w:marBottom w:val="0"/>
          <w:divBdr>
            <w:top w:val="none" w:sz="0" w:space="0" w:color="auto"/>
            <w:left w:val="none" w:sz="0" w:space="0" w:color="auto"/>
            <w:bottom w:val="none" w:sz="0" w:space="0" w:color="auto"/>
            <w:right w:val="none" w:sz="0" w:space="0" w:color="auto"/>
          </w:divBdr>
        </w:div>
        <w:div w:id="143860782">
          <w:marLeft w:val="144"/>
          <w:marRight w:val="0"/>
          <w:marTop w:val="0"/>
          <w:marBottom w:val="0"/>
          <w:divBdr>
            <w:top w:val="none" w:sz="0" w:space="0" w:color="auto"/>
            <w:left w:val="none" w:sz="0" w:space="0" w:color="auto"/>
            <w:bottom w:val="none" w:sz="0" w:space="0" w:color="auto"/>
            <w:right w:val="none" w:sz="0" w:space="0" w:color="auto"/>
          </w:divBdr>
        </w:div>
        <w:div w:id="488643423">
          <w:marLeft w:val="144"/>
          <w:marRight w:val="0"/>
          <w:marTop w:val="0"/>
          <w:marBottom w:val="0"/>
          <w:divBdr>
            <w:top w:val="none" w:sz="0" w:space="0" w:color="auto"/>
            <w:left w:val="none" w:sz="0" w:space="0" w:color="auto"/>
            <w:bottom w:val="none" w:sz="0" w:space="0" w:color="auto"/>
            <w:right w:val="none" w:sz="0" w:space="0" w:color="auto"/>
          </w:divBdr>
        </w:div>
        <w:div w:id="215704401">
          <w:marLeft w:val="144"/>
          <w:marRight w:val="0"/>
          <w:marTop w:val="0"/>
          <w:marBottom w:val="0"/>
          <w:divBdr>
            <w:top w:val="none" w:sz="0" w:space="0" w:color="auto"/>
            <w:left w:val="none" w:sz="0" w:space="0" w:color="auto"/>
            <w:bottom w:val="none" w:sz="0" w:space="0" w:color="auto"/>
            <w:right w:val="none" w:sz="0" w:space="0" w:color="auto"/>
          </w:divBdr>
        </w:div>
        <w:div w:id="1509831041">
          <w:marLeft w:val="144"/>
          <w:marRight w:val="0"/>
          <w:marTop w:val="0"/>
          <w:marBottom w:val="0"/>
          <w:divBdr>
            <w:top w:val="none" w:sz="0" w:space="0" w:color="auto"/>
            <w:left w:val="none" w:sz="0" w:space="0" w:color="auto"/>
            <w:bottom w:val="none" w:sz="0" w:space="0" w:color="auto"/>
            <w:right w:val="none" w:sz="0" w:space="0" w:color="auto"/>
          </w:divBdr>
        </w:div>
        <w:div w:id="293951693">
          <w:marLeft w:val="144"/>
          <w:marRight w:val="0"/>
          <w:marTop w:val="0"/>
          <w:marBottom w:val="0"/>
          <w:divBdr>
            <w:top w:val="none" w:sz="0" w:space="0" w:color="auto"/>
            <w:left w:val="none" w:sz="0" w:space="0" w:color="auto"/>
            <w:bottom w:val="none" w:sz="0" w:space="0" w:color="auto"/>
            <w:right w:val="none" w:sz="0" w:space="0" w:color="auto"/>
          </w:divBdr>
        </w:div>
        <w:div w:id="732048597">
          <w:marLeft w:val="144"/>
          <w:marRight w:val="0"/>
          <w:marTop w:val="0"/>
          <w:marBottom w:val="0"/>
          <w:divBdr>
            <w:top w:val="none" w:sz="0" w:space="0" w:color="auto"/>
            <w:left w:val="none" w:sz="0" w:space="0" w:color="auto"/>
            <w:bottom w:val="none" w:sz="0" w:space="0" w:color="auto"/>
            <w:right w:val="none" w:sz="0" w:space="0" w:color="auto"/>
          </w:divBdr>
        </w:div>
        <w:div w:id="138962670">
          <w:marLeft w:val="144"/>
          <w:marRight w:val="0"/>
          <w:marTop w:val="0"/>
          <w:marBottom w:val="0"/>
          <w:divBdr>
            <w:top w:val="none" w:sz="0" w:space="0" w:color="auto"/>
            <w:left w:val="none" w:sz="0" w:space="0" w:color="auto"/>
            <w:bottom w:val="none" w:sz="0" w:space="0" w:color="auto"/>
            <w:right w:val="none" w:sz="0" w:space="0" w:color="auto"/>
          </w:divBdr>
        </w:div>
        <w:div w:id="1306206446">
          <w:marLeft w:val="144"/>
          <w:marRight w:val="0"/>
          <w:marTop w:val="0"/>
          <w:marBottom w:val="0"/>
          <w:divBdr>
            <w:top w:val="none" w:sz="0" w:space="0" w:color="auto"/>
            <w:left w:val="none" w:sz="0" w:space="0" w:color="auto"/>
            <w:bottom w:val="none" w:sz="0" w:space="0" w:color="auto"/>
            <w:right w:val="none" w:sz="0" w:space="0" w:color="auto"/>
          </w:divBdr>
        </w:div>
        <w:div w:id="359942379">
          <w:marLeft w:val="144"/>
          <w:marRight w:val="0"/>
          <w:marTop w:val="0"/>
          <w:marBottom w:val="0"/>
          <w:divBdr>
            <w:top w:val="none" w:sz="0" w:space="0" w:color="auto"/>
            <w:left w:val="none" w:sz="0" w:space="0" w:color="auto"/>
            <w:bottom w:val="none" w:sz="0" w:space="0" w:color="auto"/>
            <w:right w:val="none" w:sz="0" w:space="0" w:color="auto"/>
          </w:divBdr>
        </w:div>
        <w:div w:id="1779526758">
          <w:marLeft w:val="144"/>
          <w:marRight w:val="0"/>
          <w:marTop w:val="0"/>
          <w:marBottom w:val="0"/>
          <w:divBdr>
            <w:top w:val="none" w:sz="0" w:space="0" w:color="auto"/>
            <w:left w:val="none" w:sz="0" w:space="0" w:color="auto"/>
            <w:bottom w:val="none" w:sz="0" w:space="0" w:color="auto"/>
            <w:right w:val="none" w:sz="0" w:space="0" w:color="auto"/>
          </w:divBdr>
        </w:div>
        <w:div w:id="1331329399">
          <w:marLeft w:val="144"/>
          <w:marRight w:val="0"/>
          <w:marTop w:val="0"/>
          <w:marBottom w:val="0"/>
          <w:divBdr>
            <w:top w:val="none" w:sz="0" w:space="0" w:color="auto"/>
            <w:left w:val="none" w:sz="0" w:space="0" w:color="auto"/>
            <w:bottom w:val="none" w:sz="0" w:space="0" w:color="auto"/>
            <w:right w:val="none" w:sz="0" w:space="0" w:color="auto"/>
          </w:divBdr>
        </w:div>
        <w:div w:id="1438716161">
          <w:marLeft w:val="144"/>
          <w:marRight w:val="0"/>
          <w:marTop w:val="0"/>
          <w:marBottom w:val="0"/>
          <w:divBdr>
            <w:top w:val="none" w:sz="0" w:space="0" w:color="auto"/>
            <w:left w:val="none" w:sz="0" w:space="0" w:color="auto"/>
            <w:bottom w:val="none" w:sz="0" w:space="0" w:color="auto"/>
            <w:right w:val="none" w:sz="0" w:space="0" w:color="auto"/>
          </w:divBdr>
        </w:div>
      </w:divsChild>
    </w:div>
    <w:div w:id="1721395622">
      <w:bodyDiv w:val="1"/>
      <w:marLeft w:val="0"/>
      <w:marRight w:val="0"/>
      <w:marTop w:val="0"/>
      <w:marBottom w:val="0"/>
      <w:divBdr>
        <w:top w:val="none" w:sz="0" w:space="0" w:color="auto"/>
        <w:left w:val="none" w:sz="0" w:space="0" w:color="auto"/>
        <w:bottom w:val="none" w:sz="0" w:space="0" w:color="auto"/>
        <w:right w:val="none" w:sz="0" w:space="0" w:color="auto"/>
      </w:divBdr>
      <w:divsChild>
        <w:div w:id="598413813">
          <w:marLeft w:val="1080"/>
          <w:marRight w:val="0"/>
          <w:marTop w:val="0"/>
          <w:marBottom w:val="120"/>
          <w:divBdr>
            <w:top w:val="none" w:sz="0" w:space="0" w:color="auto"/>
            <w:left w:val="none" w:sz="0" w:space="0" w:color="auto"/>
            <w:bottom w:val="none" w:sz="0" w:space="0" w:color="auto"/>
            <w:right w:val="none" w:sz="0" w:space="0" w:color="auto"/>
          </w:divBdr>
        </w:div>
      </w:divsChild>
    </w:div>
    <w:div w:id="2047244894">
      <w:bodyDiv w:val="1"/>
      <w:marLeft w:val="0"/>
      <w:marRight w:val="0"/>
      <w:marTop w:val="0"/>
      <w:marBottom w:val="0"/>
      <w:divBdr>
        <w:top w:val="none" w:sz="0" w:space="0" w:color="auto"/>
        <w:left w:val="none" w:sz="0" w:space="0" w:color="auto"/>
        <w:bottom w:val="none" w:sz="0" w:space="0" w:color="auto"/>
        <w:right w:val="none" w:sz="0" w:space="0" w:color="auto"/>
      </w:divBdr>
      <w:divsChild>
        <w:div w:id="543827817">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tf.vic.gov.au/practitioners-toolkit-fact-sheets-public-construction-procurement" TargetMode="External"/><Relationship Id="rId18" Type="http://schemas.openxmlformats.org/officeDocument/2006/relationships/hyperlink" Target="https://www.dtf.vic.gov.au/practitioners-toolkit/practitioners-toolkit-guidance-public-construction-procurement"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tenders.vic.gov.au/tenders/contract/list.do?action=contract-view" TargetMode="External"/><Relationship Id="rId7" Type="http://schemas.openxmlformats.org/officeDocument/2006/relationships/footnotes" Target="footnotes.xml"/><Relationship Id="rId12" Type="http://schemas.openxmlformats.org/officeDocument/2006/relationships/hyperlink" Target="https://www.dtf.vic.gov.au/public-construction-policy-and-resources/ministerial-directions-and-instructions-public-construction-procurement" TargetMode="External"/><Relationship Id="rId17" Type="http://schemas.openxmlformats.org/officeDocument/2006/relationships/hyperlink" Target="https://www.dtf.vic.gov.au/practitioners-toolkit/practitioners-toolkit-guidance-public-construction-procure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tf.vic.gov.au/financial-management-government/standing-directions-minister-finance-2016" TargetMode="External"/><Relationship Id="rId20" Type="http://schemas.openxmlformats.org/officeDocument/2006/relationships/hyperlink" Target="https://www.tenders.vic.gov.au/tenders/index.d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f.vic.gov.au/Infrastructure-Delivery/Reforming-public-constructio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dtf.vic.gov.au/files/953ef0bd-0ab4-4835-af21-a78300bc51ac/Is-your-agency-subject-to-the-Standing-Directions-of-the-Minister-for-Finance.pdf" TargetMode="External"/><Relationship Id="rId23" Type="http://schemas.openxmlformats.org/officeDocument/2006/relationships/hyperlink" Target="https://www.dtf.vic.gov.au/financial-management-government/standing-directions-minister-finance-2016" TargetMode="External"/><Relationship Id="rId28" Type="http://schemas.openxmlformats.org/officeDocument/2006/relationships/header" Target="header3.xml"/><Relationship Id="rId10" Type="http://schemas.openxmlformats.org/officeDocument/2006/relationships/hyperlink" Target="https://www.dtf.vic.gov.au/practitioners-toolkit/practitioners-toolkit-guidance-public-construction-procurement" TargetMode="External"/><Relationship Id="rId19" Type="http://schemas.openxmlformats.org/officeDocument/2006/relationships/hyperlink" Target="https://www.dtf.vic.gov.au/infrastructure-investment/investment-lifecycle-and-high-value-high-risk-guideline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tf.vic.gov.au/public-construction-policy-and-resources/ministerial-directions-and-instructions-public-construction-procurement" TargetMode="External"/><Relationship Id="rId14" Type="http://schemas.openxmlformats.org/officeDocument/2006/relationships/hyperlink" Target="mailto:construction.procurement@dtf.vic.gov.au?subject=Support%20on%20Draft%20Revised%20Ministerial%20Directions" TargetMode="External"/><Relationship Id="rId22" Type="http://schemas.openxmlformats.org/officeDocument/2006/relationships/hyperlink" Target="http://www.dtf.vic.gov.au/files/bf03cb28-29e9-40d9-9ec1-a63200b44f9f/FRD-12B-Disclosure-of-major-contracts.docx"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Memorandum.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7A12-0DE4-40E7-A36D-CC26E7A6AC1A}">
  <ds:schemaRefs>
    <ds:schemaRef ds:uri="http://www.w3.org/2001/XMLSchema"/>
  </ds:schemaRefs>
</ds:datastoreItem>
</file>

<file path=customXml/itemProps2.xml><?xml version="1.0" encoding="utf-8"?>
<ds:datastoreItem xmlns:ds="http://schemas.openxmlformats.org/officeDocument/2006/customXml" ds:itemID="{625BBEA5-A8CD-4D02-A4F4-F255BB23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Memorandum.dotx</Template>
  <TotalTime>614</TotalTime>
  <Pages>10</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Fact-sheet-Summary-of-key-changes-to-the-Ministerial-Directions-for-Public-Construction</vt:lpstr>
    </vt:vector>
  </TitlesOfParts>
  <Company>Department of Treasury and Finance</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Fact-sheet-Summary-of-key-changes-to-the-Ministerial-Directions-for-Public-Construction</dc:title>
  <dc:creator>Krista Vanderheide</dc:creator>
  <cp:lastModifiedBy>Athena Rozenberg (DTF)</cp:lastModifiedBy>
  <cp:revision>56</cp:revision>
  <cp:lastPrinted>2017-09-22T06:23:00Z</cp:lastPrinted>
  <dcterms:created xsi:type="dcterms:W3CDTF">2018-05-11T06:38:00Z</dcterms:created>
  <dcterms:modified xsi:type="dcterms:W3CDTF">2020-01-03T04:32:00Z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86358216-cfcb-46de-8e2e-e2255a555d6d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2020-01-03T04:31:59.3095525Z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