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4A27" w14:textId="701B1E7E" w:rsidR="00EC764D" w:rsidRDefault="00EC764D" w:rsidP="00FF44BC">
      <w:pPr>
        <w:pStyle w:val="Heading1"/>
        <w:spacing w:before="0"/>
      </w:pPr>
      <w:r>
        <w:t xml:space="preserve">GUIDE TO </w:t>
      </w:r>
      <w:r w:rsidR="00042046">
        <w:t>EARLY MARKET ENGAG</w:t>
      </w:r>
      <w:r w:rsidR="00704D53">
        <w:t>EME</w:t>
      </w:r>
      <w:r>
        <w:t xml:space="preserve">NT </w:t>
      </w:r>
    </w:p>
    <w:p w14:paraId="64943446" w14:textId="77777777" w:rsidR="00042046" w:rsidRDefault="00042046" w:rsidP="00042046">
      <w:pPr>
        <w:pStyle w:val="Heading2"/>
      </w:pPr>
      <w:r>
        <w:t>Introduction</w:t>
      </w:r>
    </w:p>
    <w:p w14:paraId="24A65BA4" w14:textId="54886C91" w:rsidR="00042046" w:rsidRDefault="00042046" w:rsidP="00042046">
      <w:r>
        <w:t xml:space="preserve">Find out how to conduct early </w:t>
      </w:r>
      <w:r w:rsidR="00D302F6">
        <w:t xml:space="preserve">market engagement </w:t>
      </w:r>
      <w:r w:rsidR="00781FAB">
        <w:t>prior to procurement</w:t>
      </w:r>
      <w:r>
        <w:t>.</w:t>
      </w:r>
    </w:p>
    <w:p w14:paraId="735D7832" w14:textId="0CD91E9E" w:rsidR="00A2000E" w:rsidRPr="006750BC" w:rsidRDefault="009167ED" w:rsidP="00A2000E">
      <w:pPr>
        <w:pStyle w:val="Heading3"/>
      </w:pPr>
      <w:r>
        <w:t>What is e</w:t>
      </w:r>
      <w:r w:rsidR="00A2000E" w:rsidRPr="006750BC">
        <w:t xml:space="preserve">arly market </w:t>
      </w:r>
      <w:r>
        <w:t>engagement?</w:t>
      </w:r>
    </w:p>
    <w:p w14:paraId="0730A6D6" w14:textId="77777777" w:rsidR="00A27276" w:rsidRDefault="009167ED" w:rsidP="002D77B0">
      <w:r>
        <w:t>Early market engagement</w:t>
      </w:r>
      <w:r w:rsidR="00A2000E">
        <w:t xml:space="preserve"> </w:t>
      </w:r>
      <w:r w:rsidR="00F2078D">
        <w:t>is</w:t>
      </w:r>
      <w:r w:rsidR="00A27276">
        <w:t>:</w:t>
      </w:r>
    </w:p>
    <w:p w14:paraId="05B029CF" w14:textId="77777777" w:rsidR="004B684D" w:rsidRDefault="004B684D" w:rsidP="004B684D">
      <w:pPr>
        <w:pStyle w:val="ListParagraph"/>
        <w:numPr>
          <w:ilvl w:val="0"/>
          <w:numId w:val="45"/>
        </w:numPr>
      </w:pPr>
      <w:r>
        <w:t xml:space="preserve">a </w:t>
      </w:r>
      <w:r w:rsidRPr="000A27DE">
        <w:t>strategi</w:t>
      </w:r>
      <w:r>
        <w:t>c exchange of information with the market;</w:t>
      </w:r>
    </w:p>
    <w:p w14:paraId="218BE73A" w14:textId="24FFDAAE" w:rsidR="00A27276" w:rsidRDefault="00A27276" w:rsidP="00A27276">
      <w:pPr>
        <w:pStyle w:val="ListParagraph"/>
        <w:numPr>
          <w:ilvl w:val="0"/>
          <w:numId w:val="45"/>
        </w:numPr>
      </w:pPr>
      <w:r>
        <w:t>a category management function;</w:t>
      </w:r>
    </w:p>
    <w:p w14:paraId="1D442BDF" w14:textId="354908E8" w:rsidR="00A27276" w:rsidRDefault="00A27276" w:rsidP="00A27276">
      <w:pPr>
        <w:pStyle w:val="ListParagraph"/>
        <w:numPr>
          <w:ilvl w:val="0"/>
          <w:numId w:val="45"/>
        </w:numPr>
      </w:pPr>
      <w:r w:rsidRPr="000A27DE">
        <w:t>focus</w:t>
      </w:r>
      <w:r>
        <w:t>ed</w:t>
      </w:r>
      <w:r w:rsidRPr="000A27DE">
        <w:t xml:space="preserve"> on the </w:t>
      </w:r>
      <w:r>
        <w:t xml:space="preserve">collective </w:t>
      </w:r>
      <w:r w:rsidRPr="000A27DE">
        <w:t>marke</w:t>
      </w:r>
      <w:r>
        <w:t>t (not individual suppliers’ offerings); and</w:t>
      </w:r>
    </w:p>
    <w:p w14:paraId="4776A2A0" w14:textId="3B6F7B9E" w:rsidR="002D77B0" w:rsidRPr="0078611A" w:rsidRDefault="00A27276" w:rsidP="00A27276">
      <w:pPr>
        <w:pStyle w:val="ListParagraph"/>
        <w:numPr>
          <w:ilvl w:val="0"/>
          <w:numId w:val="45"/>
        </w:numPr>
      </w:pPr>
      <w:r>
        <w:t>conduct</w:t>
      </w:r>
      <w:r w:rsidR="004B684D">
        <w:t>ed</w:t>
      </w:r>
      <w:r w:rsidRPr="00A27276">
        <w:t xml:space="preserve"> </w:t>
      </w:r>
      <w:r>
        <w:t>prior to procurement.</w:t>
      </w:r>
    </w:p>
    <w:p w14:paraId="6407651C" w14:textId="76BBA657" w:rsidR="00B4028F" w:rsidRDefault="00B4028F" w:rsidP="00B4028F">
      <w:pPr>
        <w:pStyle w:val="Heading3"/>
      </w:pPr>
      <w:r w:rsidRPr="00B4028F">
        <w:t>Why conduct early market engagement?</w:t>
      </w:r>
    </w:p>
    <w:p w14:paraId="3DD249F1" w14:textId="1E6CEE73" w:rsidR="007C3340" w:rsidRDefault="007C3340" w:rsidP="00CD6D5C">
      <w:r>
        <w:t xml:space="preserve">Use early market engagement to </w:t>
      </w:r>
      <w:r w:rsidRPr="002D77B0">
        <w:t xml:space="preserve">inform </w:t>
      </w:r>
      <w:r>
        <w:t xml:space="preserve">and prepare </w:t>
      </w:r>
      <w:r w:rsidR="00A27276">
        <w:t>your</w:t>
      </w:r>
      <w:r>
        <w:t xml:space="preserve"> </w:t>
      </w:r>
      <w:r w:rsidR="00EE41F0">
        <w:t>agency</w:t>
      </w:r>
      <w:r w:rsidRPr="002D77B0">
        <w:t xml:space="preserve"> and the market </w:t>
      </w:r>
      <w:r>
        <w:t xml:space="preserve">for </w:t>
      </w:r>
      <w:r w:rsidRPr="002D77B0">
        <w:t>subsequent procurement activity</w:t>
      </w:r>
      <w:r>
        <w:t>.</w:t>
      </w:r>
      <w:r w:rsidRPr="002D77B0">
        <w:t xml:space="preserve"> </w:t>
      </w:r>
      <w:r>
        <w:rPr>
          <w:b/>
          <w:bCs/>
        </w:rPr>
        <w:t>Do</w:t>
      </w:r>
      <w:r w:rsidRPr="000A27DE">
        <w:rPr>
          <w:b/>
          <w:bCs/>
        </w:rPr>
        <w:t xml:space="preserve"> not use</w:t>
      </w:r>
      <w:r>
        <w:rPr>
          <w:b/>
          <w:bCs/>
        </w:rPr>
        <w:t xml:space="preserve"> it</w:t>
      </w:r>
      <w:r w:rsidRPr="000A27DE">
        <w:rPr>
          <w:b/>
          <w:bCs/>
        </w:rPr>
        <w:t xml:space="preserve"> </w:t>
      </w:r>
      <w:r>
        <w:rPr>
          <w:b/>
          <w:bCs/>
        </w:rPr>
        <w:t>for</w:t>
      </w:r>
      <w:r w:rsidRPr="000A27DE">
        <w:rPr>
          <w:b/>
          <w:bCs/>
        </w:rPr>
        <w:t xml:space="preserve"> supplier selection</w:t>
      </w:r>
      <w:r w:rsidR="008233C9">
        <w:rPr>
          <w:b/>
          <w:bCs/>
        </w:rPr>
        <w:t>.</w:t>
      </w:r>
      <w:r w:rsidRPr="000A27DE">
        <w:rPr>
          <w:b/>
          <w:bCs/>
        </w:rPr>
        <w:t xml:space="preserve"> </w:t>
      </w:r>
    </w:p>
    <w:p w14:paraId="1F886A55" w14:textId="2C86DCB5" w:rsidR="00CD6D5C" w:rsidRDefault="005F79C6" w:rsidP="00CD6D5C">
      <w:r>
        <w:t xml:space="preserve">You may conduct </w:t>
      </w:r>
      <w:r w:rsidR="00FD36B9">
        <w:t>e</w:t>
      </w:r>
      <w:r w:rsidR="00CD6D5C">
        <w:t>arly market engagement to:</w:t>
      </w:r>
    </w:p>
    <w:p w14:paraId="4F63F739" w14:textId="1AD9B5D3" w:rsidR="00CD6D5C" w:rsidRDefault="00CD6D5C" w:rsidP="00CD6D5C">
      <w:pPr>
        <w:pStyle w:val="Bullet1"/>
        <w:numPr>
          <w:ilvl w:val="0"/>
          <w:numId w:val="39"/>
        </w:numPr>
        <w:spacing w:line="260" w:lineRule="atLeast"/>
      </w:pPr>
      <w:r>
        <w:t xml:space="preserve">foster market participation, </w:t>
      </w:r>
      <w:hyperlink r:id="rId9" w:history="1">
        <w:r w:rsidRPr="000A27DE">
          <w:rPr>
            <w:rStyle w:val="Hyperlink"/>
          </w:rPr>
          <w:t>innovation</w:t>
        </w:r>
      </w:hyperlink>
      <w:r w:rsidR="005405DF">
        <w:rPr>
          <w:rStyle w:val="Hyperlink"/>
        </w:rPr>
        <w:t>,</w:t>
      </w:r>
      <w:r>
        <w:t xml:space="preserve"> and collaboration;</w:t>
      </w:r>
    </w:p>
    <w:p w14:paraId="49103653" w14:textId="2D2132C0" w:rsidR="00CD6D5C" w:rsidRDefault="00CD6D5C" w:rsidP="00CD6D5C">
      <w:pPr>
        <w:pStyle w:val="Bullet1"/>
        <w:numPr>
          <w:ilvl w:val="0"/>
          <w:numId w:val="39"/>
        </w:numPr>
        <w:spacing w:line="260" w:lineRule="atLeast"/>
      </w:pPr>
      <w:r>
        <w:t xml:space="preserve">refine your </w:t>
      </w:r>
      <w:r w:rsidR="00EE41F0">
        <w:t>agency</w:t>
      </w:r>
      <w:r>
        <w:t>’s requirements within a category of goods and services;</w:t>
      </w:r>
    </w:p>
    <w:p w14:paraId="0E00E838" w14:textId="6B45CBDD" w:rsidR="00CD6D5C" w:rsidRDefault="00CD6D5C" w:rsidP="00CD6D5C">
      <w:pPr>
        <w:pStyle w:val="NoSpacing"/>
        <w:numPr>
          <w:ilvl w:val="0"/>
          <w:numId w:val="39"/>
        </w:numPr>
        <w:spacing w:before="0"/>
        <w:rPr>
          <w:rFonts w:ascii="Calibri" w:eastAsia="Times New Roman" w:hAnsi="Calibri" w:cs="Calibri"/>
          <w:sz w:val="22"/>
          <w:szCs w:val="22"/>
          <w:lang w:eastAsia="en-AU"/>
        </w:rPr>
      </w:pPr>
      <w:r w:rsidRPr="000469DD">
        <w:rPr>
          <w:rFonts w:ascii="Calibri" w:eastAsia="Times New Roman" w:hAnsi="Calibri" w:cs="Calibri"/>
          <w:sz w:val="22"/>
          <w:szCs w:val="22"/>
          <w:lang w:eastAsia="en-AU"/>
        </w:rPr>
        <w:t xml:space="preserve">understand </w:t>
      </w:r>
      <w:r>
        <w:rPr>
          <w:rFonts w:ascii="Calibri" w:eastAsia="Times New Roman" w:hAnsi="Calibri" w:cs="Calibri"/>
          <w:sz w:val="22"/>
          <w:szCs w:val="22"/>
          <w:lang w:eastAsia="en-AU"/>
        </w:rPr>
        <w:t xml:space="preserve">the </w:t>
      </w:r>
      <w:r w:rsidRPr="000469DD">
        <w:rPr>
          <w:rFonts w:ascii="Calibri" w:eastAsia="Times New Roman" w:hAnsi="Calibri" w:cs="Calibri"/>
          <w:sz w:val="22"/>
          <w:szCs w:val="22"/>
          <w:lang w:eastAsia="en-AU"/>
        </w:rPr>
        <w:t>market dynamics</w:t>
      </w:r>
      <w:r>
        <w:rPr>
          <w:rFonts w:ascii="Calibri" w:eastAsia="Times New Roman" w:hAnsi="Calibri" w:cs="Calibri"/>
          <w:sz w:val="22"/>
          <w:szCs w:val="22"/>
          <w:lang w:eastAsia="en-AU"/>
        </w:rPr>
        <w:t>,</w:t>
      </w:r>
      <w:r w:rsidRPr="000469DD">
        <w:rPr>
          <w:rFonts w:ascii="Calibri" w:eastAsia="Times New Roman" w:hAnsi="Calibri" w:cs="Calibri"/>
          <w:sz w:val="22"/>
          <w:szCs w:val="22"/>
          <w:lang w:eastAsia="en-AU"/>
        </w:rPr>
        <w:t xml:space="preserve"> supply chain</w:t>
      </w:r>
      <w:r>
        <w:rPr>
          <w:rFonts w:ascii="Calibri" w:eastAsia="Times New Roman" w:hAnsi="Calibri" w:cs="Calibri"/>
          <w:sz w:val="22"/>
          <w:szCs w:val="22"/>
          <w:lang w:eastAsia="en-AU"/>
        </w:rPr>
        <w:t>s</w:t>
      </w:r>
      <w:r w:rsidRPr="00234196">
        <w:rPr>
          <w:rFonts w:ascii="Calibri" w:eastAsia="Times New Roman" w:hAnsi="Calibri" w:cs="Calibri"/>
          <w:sz w:val="22"/>
          <w:szCs w:val="22"/>
          <w:lang w:eastAsia="en-AU"/>
        </w:rPr>
        <w:t xml:space="preserve"> </w:t>
      </w:r>
      <w:r w:rsidRPr="000469DD">
        <w:rPr>
          <w:rFonts w:ascii="Calibri" w:eastAsia="Times New Roman" w:hAnsi="Calibri" w:cs="Calibri"/>
          <w:sz w:val="22"/>
          <w:szCs w:val="22"/>
          <w:lang w:eastAsia="en-AU"/>
        </w:rPr>
        <w:t>and</w:t>
      </w:r>
      <w:r>
        <w:rPr>
          <w:rFonts w:ascii="Calibri" w:eastAsia="Times New Roman" w:hAnsi="Calibri" w:cs="Calibri"/>
          <w:sz w:val="22"/>
          <w:szCs w:val="22"/>
          <w:lang w:eastAsia="en-AU"/>
        </w:rPr>
        <w:t xml:space="preserve"> trends;</w:t>
      </w:r>
    </w:p>
    <w:p w14:paraId="53D96C8E" w14:textId="77777777" w:rsidR="00CD6D5C" w:rsidRDefault="00CD6D5C" w:rsidP="00CD6D5C">
      <w:pPr>
        <w:pStyle w:val="NoSpacing"/>
        <w:numPr>
          <w:ilvl w:val="0"/>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identify</w:t>
      </w:r>
      <w:r w:rsidRPr="006A4171">
        <w:rPr>
          <w:rFonts w:ascii="Calibri" w:eastAsia="Times New Roman" w:hAnsi="Calibri" w:cs="Calibri"/>
          <w:sz w:val="22"/>
          <w:szCs w:val="22"/>
          <w:lang w:eastAsia="en-AU"/>
        </w:rPr>
        <w:t xml:space="preserve"> </w:t>
      </w:r>
      <w:r w:rsidRPr="000469DD">
        <w:rPr>
          <w:rFonts w:ascii="Calibri" w:eastAsia="Times New Roman" w:hAnsi="Calibri" w:cs="Calibri"/>
          <w:sz w:val="22"/>
          <w:szCs w:val="22"/>
          <w:lang w:eastAsia="en-AU"/>
        </w:rPr>
        <w:t xml:space="preserve">the </w:t>
      </w:r>
      <w:r>
        <w:rPr>
          <w:rFonts w:ascii="Calibri" w:eastAsia="Times New Roman" w:hAnsi="Calibri" w:cs="Calibri"/>
          <w:sz w:val="22"/>
          <w:szCs w:val="22"/>
          <w:lang w:eastAsia="en-AU"/>
        </w:rPr>
        <w:t xml:space="preserve">possible generic </w:t>
      </w:r>
      <w:r w:rsidRPr="000469DD">
        <w:rPr>
          <w:rFonts w:ascii="Calibri" w:eastAsia="Times New Roman" w:hAnsi="Calibri" w:cs="Calibri"/>
          <w:sz w:val="22"/>
          <w:szCs w:val="22"/>
          <w:lang w:eastAsia="en-AU"/>
        </w:rPr>
        <w:t xml:space="preserve">range of solutions </w:t>
      </w:r>
      <w:r>
        <w:rPr>
          <w:rFonts w:ascii="Calibri" w:eastAsia="Times New Roman" w:hAnsi="Calibri" w:cs="Calibri"/>
          <w:sz w:val="22"/>
          <w:szCs w:val="22"/>
          <w:lang w:eastAsia="en-AU"/>
        </w:rPr>
        <w:t>in the market;</w:t>
      </w:r>
    </w:p>
    <w:p w14:paraId="572676F9" w14:textId="77777777" w:rsidR="00CD6D5C" w:rsidRDefault="00CD6D5C" w:rsidP="00CD6D5C">
      <w:pPr>
        <w:pStyle w:val="NoSpacing"/>
        <w:numPr>
          <w:ilvl w:val="0"/>
          <w:numId w:val="39"/>
        </w:numPr>
        <w:spacing w:before="0"/>
        <w:rPr>
          <w:rFonts w:ascii="Calibri" w:eastAsia="Times New Roman" w:hAnsi="Calibri" w:cs="Calibri"/>
          <w:sz w:val="22"/>
          <w:szCs w:val="22"/>
          <w:lang w:eastAsia="en-AU"/>
        </w:rPr>
      </w:pPr>
      <w:r w:rsidRPr="006A4171">
        <w:rPr>
          <w:rFonts w:ascii="Calibri" w:eastAsia="Times New Roman" w:hAnsi="Calibri" w:cs="Calibri"/>
          <w:sz w:val="22"/>
          <w:szCs w:val="22"/>
          <w:lang w:eastAsia="en-AU"/>
        </w:rPr>
        <w:t xml:space="preserve">understand the capability and capacity of </w:t>
      </w:r>
      <w:r>
        <w:rPr>
          <w:rFonts w:ascii="Calibri" w:eastAsia="Times New Roman" w:hAnsi="Calibri" w:cs="Calibri"/>
          <w:sz w:val="22"/>
          <w:szCs w:val="22"/>
          <w:lang w:eastAsia="en-AU"/>
        </w:rPr>
        <w:t xml:space="preserve">the market; </w:t>
      </w:r>
    </w:p>
    <w:p w14:paraId="79AF242B" w14:textId="77777777" w:rsidR="00CD6D5C" w:rsidRDefault="00CD6D5C" w:rsidP="00CD6D5C">
      <w:pPr>
        <w:pStyle w:val="Bullet1"/>
        <w:numPr>
          <w:ilvl w:val="0"/>
          <w:numId w:val="39"/>
        </w:numPr>
        <w:spacing w:line="260" w:lineRule="atLeast"/>
      </w:pPr>
      <w:r>
        <w:t>assess the broad scope for achieving:</w:t>
      </w:r>
    </w:p>
    <w:p w14:paraId="4F0B6D2C" w14:textId="6DA4B415" w:rsidR="00CD6D5C" w:rsidRPr="00EB646B" w:rsidRDefault="00CD6D5C" w:rsidP="00CD6D5C">
      <w:pPr>
        <w:pStyle w:val="Bullet1"/>
        <w:numPr>
          <w:ilvl w:val="1"/>
          <w:numId w:val="39"/>
        </w:numPr>
        <w:spacing w:line="260" w:lineRule="atLeast"/>
      </w:pPr>
      <w:r>
        <w:t xml:space="preserve">social and environmental objectives based on your </w:t>
      </w:r>
      <w:r w:rsidR="00EE41F0">
        <w:t>agency</w:t>
      </w:r>
      <w:r>
        <w:t xml:space="preserve">’s </w:t>
      </w:r>
      <w:hyperlink r:id="rId10" w:history="1">
        <w:r w:rsidRPr="000A27DE">
          <w:rPr>
            <w:rStyle w:val="Hyperlink"/>
          </w:rPr>
          <w:t>Social Procurement Strategy</w:t>
        </w:r>
      </w:hyperlink>
      <w:r w:rsidRPr="00EB646B">
        <w:t>;</w:t>
      </w:r>
    </w:p>
    <w:p w14:paraId="04680C07" w14:textId="77777777" w:rsidR="00CD6D5C" w:rsidRDefault="00CD6D5C" w:rsidP="00CD6D5C">
      <w:pPr>
        <w:pStyle w:val="Bullet1"/>
        <w:numPr>
          <w:ilvl w:val="1"/>
          <w:numId w:val="39"/>
        </w:numPr>
        <w:spacing w:line="260" w:lineRule="atLeast"/>
      </w:pPr>
      <w:r>
        <w:t xml:space="preserve">local content and participation by small and medium enterprises (SME) under </w:t>
      </w:r>
      <w:r w:rsidRPr="00EB646B">
        <w:t xml:space="preserve">the </w:t>
      </w:r>
      <w:hyperlink r:id="rId11" w:history="1">
        <w:r w:rsidRPr="000A27DE">
          <w:rPr>
            <w:rStyle w:val="Hyperlink"/>
          </w:rPr>
          <w:t>Local Jobs First policy</w:t>
        </w:r>
      </w:hyperlink>
      <w:r>
        <w:t>; and</w:t>
      </w:r>
    </w:p>
    <w:p w14:paraId="26A21042" w14:textId="77777777" w:rsidR="00CD6D5C" w:rsidRPr="00C72E40" w:rsidRDefault="00CD6D5C" w:rsidP="00CD6D5C">
      <w:pPr>
        <w:pStyle w:val="Bullet1"/>
        <w:numPr>
          <w:ilvl w:val="1"/>
          <w:numId w:val="39"/>
        </w:numPr>
        <w:spacing w:line="260" w:lineRule="atLeast"/>
      </w:pPr>
      <w:r>
        <w:t xml:space="preserve">local manufacture of </w:t>
      </w:r>
      <w:hyperlink r:id="rId12" w:history="1">
        <w:r w:rsidRPr="000A27DE">
          <w:rPr>
            <w:rStyle w:val="Hyperlink"/>
          </w:rPr>
          <w:t>Uniforms and Personal Protective Equipment (PPE)</w:t>
        </w:r>
      </w:hyperlink>
      <w:r w:rsidRPr="00EB646B">
        <w:t xml:space="preserve">; </w:t>
      </w:r>
    </w:p>
    <w:p w14:paraId="325671CB" w14:textId="77777777" w:rsidR="00CD6D5C" w:rsidRPr="00D02DC2" w:rsidRDefault="00CD6D5C" w:rsidP="00CD6D5C">
      <w:pPr>
        <w:pStyle w:val="NoSpacing"/>
        <w:numPr>
          <w:ilvl w:val="0"/>
          <w:numId w:val="39"/>
        </w:numPr>
        <w:spacing w:before="0"/>
        <w:rPr>
          <w:rFonts w:ascii="Calibri" w:eastAsia="Times New Roman" w:hAnsi="Calibri" w:cs="Calibri"/>
          <w:sz w:val="22"/>
          <w:szCs w:val="22"/>
          <w:lang w:eastAsia="en-AU"/>
        </w:rPr>
      </w:pPr>
      <w:r w:rsidRPr="00AD0A7D">
        <w:rPr>
          <w:rFonts w:ascii="Calibri" w:eastAsia="Times New Roman" w:hAnsi="Calibri" w:cs="Calibri"/>
          <w:sz w:val="22"/>
          <w:szCs w:val="22"/>
          <w:lang w:eastAsia="en-AU"/>
        </w:rPr>
        <w:t xml:space="preserve">identify </w:t>
      </w:r>
      <w:r>
        <w:rPr>
          <w:rFonts w:ascii="Calibri" w:eastAsia="Times New Roman" w:hAnsi="Calibri" w:cs="Calibri"/>
          <w:sz w:val="22"/>
          <w:szCs w:val="22"/>
          <w:lang w:eastAsia="en-AU"/>
        </w:rPr>
        <w:t xml:space="preserve">and manage </w:t>
      </w:r>
      <w:r w:rsidRPr="00AD0A7D">
        <w:rPr>
          <w:rFonts w:ascii="Calibri" w:eastAsia="Times New Roman" w:hAnsi="Calibri" w:cs="Calibri"/>
          <w:sz w:val="22"/>
          <w:szCs w:val="22"/>
          <w:lang w:eastAsia="en-AU"/>
        </w:rPr>
        <w:t>issues and risks;</w:t>
      </w:r>
    </w:p>
    <w:p w14:paraId="39584CF7" w14:textId="672EE9A3" w:rsidR="00CD6D5C" w:rsidRDefault="00CD6D5C" w:rsidP="00CD6D5C">
      <w:pPr>
        <w:pStyle w:val="NoSpacing"/>
        <w:numPr>
          <w:ilvl w:val="0"/>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identify the need to buy </w:t>
      </w:r>
      <w:hyperlink r:id="rId13" w:history="1">
        <w:r w:rsidRPr="006A1C68">
          <w:rPr>
            <w:rStyle w:val="Hyperlink"/>
            <w:rFonts w:ascii="Calibri" w:eastAsia="Times New Roman" w:hAnsi="Calibri" w:cs="Calibri"/>
            <w:sz w:val="22"/>
            <w:szCs w:val="22"/>
            <w:lang w:eastAsia="en-AU"/>
          </w:rPr>
          <w:t>solution development</w:t>
        </w:r>
      </w:hyperlink>
      <w:bookmarkStart w:id="0" w:name="_GoBack"/>
      <w:bookmarkEnd w:id="0"/>
      <w:r w:rsidR="006A1C68" w:rsidRPr="006A1C68">
        <w:rPr>
          <w:rFonts w:ascii="Calibri" w:eastAsia="Times New Roman" w:hAnsi="Calibri" w:cs="Calibri"/>
          <w:sz w:val="22"/>
          <w:szCs w:val="22"/>
          <w:lang w:eastAsia="en-AU"/>
        </w:rPr>
        <w:t>;</w:t>
      </w:r>
    </w:p>
    <w:p w14:paraId="0B8D7FDE" w14:textId="629D7CA4" w:rsidR="00CD6D5C" w:rsidRDefault="00CD6D5C" w:rsidP="00CD6D5C">
      <w:pPr>
        <w:pStyle w:val="NoSpacing"/>
        <w:numPr>
          <w:ilvl w:val="0"/>
          <w:numId w:val="39"/>
        </w:numPr>
        <w:spacing w:before="0"/>
        <w:rPr>
          <w:rFonts w:ascii="Calibri" w:eastAsia="Times New Roman" w:hAnsi="Calibri" w:cs="Calibri"/>
          <w:sz w:val="22"/>
          <w:szCs w:val="22"/>
          <w:lang w:eastAsia="en-AU"/>
        </w:rPr>
      </w:pPr>
      <w:r w:rsidRPr="00D02DC2">
        <w:rPr>
          <w:rFonts w:ascii="Calibri" w:eastAsia="Times New Roman" w:hAnsi="Calibri" w:cs="Calibri"/>
          <w:sz w:val="22"/>
          <w:szCs w:val="22"/>
          <w:lang w:eastAsia="en-AU"/>
        </w:rPr>
        <w:t xml:space="preserve">influence and shape the market to be better positioned to meet your </w:t>
      </w:r>
      <w:r w:rsidR="00EE41F0">
        <w:rPr>
          <w:rFonts w:ascii="Calibri" w:eastAsia="Times New Roman" w:hAnsi="Calibri" w:cs="Calibri"/>
          <w:sz w:val="22"/>
          <w:szCs w:val="22"/>
          <w:lang w:eastAsia="en-AU"/>
        </w:rPr>
        <w:t>agency</w:t>
      </w:r>
      <w:r w:rsidRPr="00D02DC2">
        <w:rPr>
          <w:rFonts w:ascii="Calibri" w:eastAsia="Times New Roman" w:hAnsi="Calibri" w:cs="Calibri"/>
          <w:sz w:val="22"/>
          <w:szCs w:val="22"/>
          <w:lang w:eastAsia="en-AU"/>
        </w:rPr>
        <w:t>’s requirements in the future</w:t>
      </w:r>
      <w:r>
        <w:rPr>
          <w:rFonts w:ascii="Calibri" w:eastAsia="Times New Roman" w:hAnsi="Calibri" w:cs="Calibri"/>
          <w:sz w:val="22"/>
          <w:szCs w:val="22"/>
          <w:lang w:eastAsia="en-AU"/>
        </w:rPr>
        <w:t>;</w:t>
      </w:r>
    </w:p>
    <w:p w14:paraId="4E6F1CD9" w14:textId="0784205D" w:rsidR="00CD6D5C" w:rsidRDefault="00E0279D" w:rsidP="00CD6D5C">
      <w:pPr>
        <w:pStyle w:val="NoSpacing"/>
        <w:numPr>
          <w:ilvl w:val="0"/>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give the</w:t>
      </w:r>
      <w:r w:rsidR="00CD6D5C">
        <w:rPr>
          <w:rFonts w:ascii="Calibri" w:eastAsia="Times New Roman" w:hAnsi="Calibri" w:cs="Calibri"/>
          <w:sz w:val="22"/>
          <w:szCs w:val="22"/>
          <w:lang w:eastAsia="en-AU"/>
        </w:rPr>
        <w:t xml:space="preserve"> market the opportunity to solve problems, develop solutions or influence your </w:t>
      </w:r>
      <w:r w:rsidR="00EE41F0">
        <w:rPr>
          <w:rFonts w:ascii="Calibri" w:eastAsia="Times New Roman" w:hAnsi="Calibri" w:cs="Calibri"/>
          <w:sz w:val="22"/>
          <w:szCs w:val="22"/>
          <w:lang w:eastAsia="en-AU"/>
        </w:rPr>
        <w:t>agency</w:t>
      </w:r>
      <w:r w:rsidR="00CD6D5C">
        <w:rPr>
          <w:rFonts w:ascii="Calibri" w:eastAsia="Times New Roman" w:hAnsi="Calibri" w:cs="Calibri"/>
          <w:sz w:val="22"/>
          <w:szCs w:val="22"/>
          <w:lang w:eastAsia="en-AU"/>
        </w:rPr>
        <w:t>’s requirements;</w:t>
      </w:r>
      <w:r w:rsidR="00CD6D5C" w:rsidRPr="00781FAB">
        <w:rPr>
          <w:rFonts w:ascii="Calibri" w:eastAsia="Times New Roman" w:hAnsi="Calibri" w:cs="Calibri"/>
          <w:sz w:val="22"/>
          <w:szCs w:val="22"/>
          <w:lang w:eastAsia="en-AU"/>
        </w:rPr>
        <w:t xml:space="preserve"> </w:t>
      </w:r>
    </w:p>
    <w:p w14:paraId="17B28953" w14:textId="233A4C4F" w:rsidR="00CD6D5C" w:rsidRDefault="00CD6D5C" w:rsidP="00CD6D5C">
      <w:pPr>
        <w:pStyle w:val="NoSpacing"/>
        <w:numPr>
          <w:ilvl w:val="0"/>
          <w:numId w:val="39"/>
        </w:numPr>
        <w:spacing w:before="0"/>
        <w:rPr>
          <w:rFonts w:ascii="Calibri" w:eastAsia="Times New Roman" w:hAnsi="Calibri" w:cs="Calibri"/>
          <w:sz w:val="22"/>
          <w:szCs w:val="22"/>
          <w:lang w:eastAsia="en-AU"/>
        </w:rPr>
      </w:pPr>
      <w:r w:rsidRPr="00D02DC2">
        <w:rPr>
          <w:rFonts w:ascii="Calibri" w:eastAsia="Times New Roman" w:hAnsi="Calibri" w:cs="Calibri"/>
          <w:sz w:val="22"/>
          <w:szCs w:val="22"/>
          <w:lang w:eastAsia="en-AU"/>
        </w:rPr>
        <w:t>inform the category strategy (approaches to market, contracting and supplier relationship management</w:t>
      </w:r>
      <w:r>
        <w:rPr>
          <w:rFonts w:ascii="Calibri" w:eastAsia="Times New Roman" w:hAnsi="Calibri" w:cs="Calibri"/>
          <w:sz w:val="22"/>
          <w:szCs w:val="22"/>
          <w:lang w:eastAsia="en-AU"/>
        </w:rPr>
        <w:t>); and</w:t>
      </w:r>
    </w:p>
    <w:p w14:paraId="624B8015" w14:textId="20A8DBE4" w:rsidR="00EE41F0" w:rsidRDefault="00CD6D5C" w:rsidP="00CD6D5C">
      <w:pPr>
        <w:pStyle w:val="NoSpacing"/>
        <w:numPr>
          <w:ilvl w:val="0"/>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inform subsequent procurement activity’s </w:t>
      </w:r>
      <w:hyperlink r:id="rId14" w:history="1">
        <w:r w:rsidRPr="000A27DE">
          <w:rPr>
            <w:rStyle w:val="Hyperlink"/>
            <w:rFonts w:ascii="Calibri" w:eastAsia="Times New Roman" w:hAnsi="Calibri" w:cs="Calibri"/>
            <w:sz w:val="22"/>
            <w:szCs w:val="22"/>
            <w:lang w:eastAsia="en-AU"/>
          </w:rPr>
          <w:t>market analysis and review</w:t>
        </w:r>
      </w:hyperlink>
      <w:r w:rsidRPr="00C72E40">
        <w:rPr>
          <w:rFonts w:ascii="Calibri" w:eastAsia="Times New Roman" w:hAnsi="Calibri" w:cs="Calibri"/>
          <w:sz w:val="22"/>
          <w:szCs w:val="22"/>
          <w:lang w:eastAsia="en-AU"/>
        </w:rPr>
        <w:t xml:space="preserve">, and </w:t>
      </w:r>
      <w:hyperlink r:id="rId15" w:history="1">
        <w:r w:rsidRPr="000A27DE">
          <w:rPr>
            <w:rStyle w:val="Hyperlink"/>
            <w:rFonts w:ascii="Calibri" w:eastAsia="Times New Roman" w:hAnsi="Calibri" w:cs="Calibri"/>
            <w:sz w:val="22"/>
            <w:szCs w:val="22"/>
            <w:lang w:eastAsia="en-AU"/>
          </w:rPr>
          <w:t>market approach</w:t>
        </w:r>
      </w:hyperlink>
      <w:r>
        <w:rPr>
          <w:rFonts w:ascii="Calibri" w:eastAsia="Times New Roman" w:hAnsi="Calibri" w:cs="Calibri"/>
          <w:sz w:val="22"/>
          <w:szCs w:val="22"/>
          <w:lang w:eastAsia="en-AU"/>
        </w:rPr>
        <w:t xml:space="preserve"> options</w:t>
      </w:r>
      <w:r w:rsidR="008233C9">
        <w:rPr>
          <w:rFonts w:ascii="Calibri" w:eastAsia="Times New Roman" w:hAnsi="Calibri" w:cs="Calibri"/>
          <w:sz w:val="22"/>
          <w:szCs w:val="22"/>
          <w:lang w:eastAsia="en-AU"/>
        </w:rPr>
        <w:t>; for</w:t>
      </w:r>
      <w:r>
        <w:rPr>
          <w:rFonts w:ascii="Calibri" w:eastAsia="Times New Roman" w:hAnsi="Calibri" w:cs="Calibri"/>
          <w:sz w:val="22"/>
          <w:szCs w:val="22"/>
          <w:lang w:eastAsia="en-AU"/>
        </w:rPr>
        <w:t xml:space="preserve"> example</w:t>
      </w:r>
      <w:r w:rsidR="00EE41F0">
        <w:rPr>
          <w:rFonts w:ascii="Calibri" w:eastAsia="Times New Roman" w:hAnsi="Calibri" w:cs="Calibri"/>
          <w:sz w:val="22"/>
          <w:szCs w:val="22"/>
          <w:lang w:eastAsia="en-AU"/>
        </w:rPr>
        <w:t>:</w:t>
      </w:r>
      <w:r>
        <w:rPr>
          <w:rFonts w:ascii="Calibri" w:eastAsia="Times New Roman" w:hAnsi="Calibri" w:cs="Calibri"/>
          <w:sz w:val="22"/>
          <w:szCs w:val="22"/>
          <w:lang w:eastAsia="en-AU"/>
        </w:rPr>
        <w:t xml:space="preserve"> </w:t>
      </w:r>
    </w:p>
    <w:p w14:paraId="747EECAD" w14:textId="77777777" w:rsidR="00EE41F0" w:rsidRDefault="00CD6D5C" w:rsidP="00EE41F0">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selective or open invitation to supply, </w:t>
      </w:r>
    </w:p>
    <w:p w14:paraId="7E7252FB" w14:textId="77777777" w:rsidR="00EE41F0" w:rsidRDefault="00CD6D5C" w:rsidP="00EE41F0">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direct negotiation, </w:t>
      </w:r>
    </w:p>
    <w:p w14:paraId="5D35A5FB" w14:textId="2F098679" w:rsidR="00EE41F0" w:rsidRDefault="00CD6D5C" w:rsidP="00EE41F0">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single or multi-stage</w:t>
      </w:r>
      <w:r w:rsidR="00B94A0B">
        <w:rPr>
          <w:rFonts w:ascii="Calibri" w:eastAsia="Times New Roman" w:hAnsi="Calibri" w:cs="Calibri"/>
          <w:sz w:val="22"/>
          <w:szCs w:val="22"/>
          <w:lang w:eastAsia="en-AU"/>
        </w:rPr>
        <w:t xml:space="preserve"> process</w:t>
      </w:r>
      <w:r>
        <w:rPr>
          <w:rFonts w:ascii="Calibri" w:eastAsia="Times New Roman" w:hAnsi="Calibri" w:cs="Calibri"/>
          <w:sz w:val="22"/>
          <w:szCs w:val="22"/>
          <w:lang w:eastAsia="en-AU"/>
        </w:rPr>
        <w:t xml:space="preserve">, </w:t>
      </w:r>
    </w:p>
    <w:p w14:paraId="631B8764" w14:textId="77777777" w:rsidR="00EE41F0" w:rsidRDefault="00CD6D5C" w:rsidP="00EE41F0">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auction, </w:t>
      </w:r>
    </w:p>
    <w:p w14:paraId="741EEA90" w14:textId="42784906" w:rsidR="00EE41F0" w:rsidRDefault="00CD6D5C" w:rsidP="00EE41F0">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pre-commercial</w:t>
      </w:r>
      <w:r w:rsidR="00B94A0B">
        <w:rPr>
          <w:rFonts w:ascii="Calibri" w:eastAsia="Times New Roman" w:hAnsi="Calibri" w:cs="Calibri"/>
          <w:sz w:val="22"/>
          <w:szCs w:val="22"/>
          <w:lang w:eastAsia="en-AU"/>
        </w:rPr>
        <w:t xml:space="preserve"> procurement</w:t>
      </w:r>
      <w:r>
        <w:rPr>
          <w:rFonts w:ascii="Calibri" w:eastAsia="Times New Roman" w:hAnsi="Calibri" w:cs="Calibri"/>
          <w:sz w:val="22"/>
          <w:szCs w:val="22"/>
          <w:lang w:eastAsia="en-AU"/>
        </w:rPr>
        <w:t xml:space="preserve">, </w:t>
      </w:r>
      <w:r w:rsidR="00EE41F0">
        <w:rPr>
          <w:rFonts w:ascii="Calibri" w:eastAsia="Times New Roman" w:hAnsi="Calibri" w:cs="Calibri"/>
          <w:sz w:val="22"/>
          <w:szCs w:val="22"/>
          <w:lang w:eastAsia="en-AU"/>
        </w:rPr>
        <w:t>and</w:t>
      </w:r>
    </w:p>
    <w:p w14:paraId="374AFC7C" w14:textId="3225EDC2" w:rsidR="00CD6D5C" w:rsidRPr="000469DD" w:rsidRDefault="00CD6D5C" w:rsidP="00E0279D">
      <w:pPr>
        <w:pStyle w:val="NoSpacing"/>
        <w:numPr>
          <w:ilvl w:val="1"/>
          <w:numId w:val="39"/>
        </w:numPr>
        <w:spacing w:before="0"/>
        <w:rPr>
          <w:rFonts w:ascii="Calibri" w:eastAsia="Times New Roman" w:hAnsi="Calibri" w:cs="Calibri"/>
          <w:sz w:val="22"/>
          <w:szCs w:val="22"/>
          <w:lang w:eastAsia="en-AU"/>
        </w:rPr>
      </w:pPr>
      <w:r>
        <w:rPr>
          <w:rFonts w:ascii="Calibri" w:eastAsia="Times New Roman" w:hAnsi="Calibri" w:cs="Calibri"/>
          <w:sz w:val="22"/>
          <w:szCs w:val="22"/>
          <w:lang w:eastAsia="en-AU"/>
        </w:rPr>
        <w:t>alliances or partnerships).</w:t>
      </w:r>
    </w:p>
    <w:p w14:paraId="038B8330" w14:textId="09086BCF" w:rsidR="00193A9B" w:rsidRDefault="005405DF" w:rsidP="00193A9B">
      <w:r>
        <w:t>C</w:t>
      </w:r>
      <w:r w:rsidRPr="00704D53">
        <w:t xml:space="preserve">onduct </w:t>
      </w:r>
      <w:r>
        <w:t>e</w:t>
      </w:r>
      <w:r w:rsidR="001105F6" w:rsidRPr="00704D53">
        <w:t xml:space="preserve">arly market engagement for the </w:t>
      </w:r>
      <w:r w:rsidR="001105F6" w:rsidRPr="00704D53">
        <w:rPr>
          <w:b/>
          <w:bCs/>
        </w:rPr>
        <w:t>mutual benefit</w:t>
      </w:r>
      <w:r w:rsidR="001105F6" w:rsidRPr="00704D53">
        <w:t xml:space="preserve"> of </w:t>
      </w:r>
      <w:r>
        <w:t xml:space="preserve">your </w:t>
      </w:r>
      <w:r w:rsidR="00EE41F0">
        <w:t>agency</w:t>
      </w:r>
      <w:r w:rsidR="001105F6" w:rsidRPr="00704D53">
        <w:t xml:space="preserve"> and </w:t>
      </w:r>
      <w:r w:rsidR="001E3512">
        <w:t>the market</w:t>
      </w:r>
      <w:r w:rsidR="001105F6" w:rsidRPr="00704D53">
        <w:t xml:space="preserve">. </w:t>
      </w:r>
    </w:p>
    <w:p w14:paraId="4B6B6B9F" w14:textId="231C9D99" w:rsidR="00B4028F" w:rsidRPr="00704D53" w:rsidRDefault="001105F6" w:rsidP="00B4028F">
      <w:r w:rsidRPr="00B94A0B">
        <w:lastRenderedPageBreak/>
        <w:t xml:space="preserve">For buyers, understanding what the market can or could supply </w:t>
      </w:r>
      <w:r w:rsidR="008A4D9E" w:rsidRPr="00B94A0B">
        <w:t>informs</w:t>
      </w:r>
      <w:r w:rsidRPr="00B94A0B">
        <w:t xml:space="preserve"> category management</w:t>
      </w:r>
      <w:r w:rsidR="00D11F44" w:rsidRPr="00B94A0B">
        <w:t xml:space="preserve">. It </w:t>
      </w:r>
      <w:r w:rsidR="005405DF" w:rsidRPr="00B94A0B">
        <w:t>enables your</w:t>
      </w:r>
      <w:r w:rsidR="001E3512" w:rsidRPr="00B94A0B">
        <w:t xml:space="preserve"> </w:t>
      </w:r>
      <w:r w:rsidR="00EE41F0" w:rsidRPr="00B94A0B">
        <w:t>agency</w:t>
      </w:r>
      <w:r w:rsidR="001E3512" w:rsidRPr="00B94A0B">
        <w:t xml:space="preserve"> </w:t>
      </w:r>
      <w:r w:rsidR="00D11F44" w:rsidRPr="00B94A0B">
        <w:t xml:space="preserve">to later </w:t>
      </w:r>
      <w:r w:rsidR="001E3512" w:rsidRPr="00B94A0B">
        <w:t xml:space="preserve">ask for the right </w:t>
      </w:r>
      <w:r w:rsidR="008A4D9E" w:rsidRPr="00B94A0B">
        <w:t>solutions</w:t>
      </w:r>
      <w:r w:rsidR="001E3512" w:rsidRPr="00B94A0B">
        <w:t>, in the right way, and at the right time</w:t>
      </w:r>
      <w:r w:rsidR="00D11F44" w:rsidRPr="00B94A0B">
        <w:t>, in a procurement</w:t>
      </w:r>
      <w:r w:rsidR="001E3512" w:rsidRPr="00B94A0B">
        <w:t>.</w:t>
      </w:r>
    </w:p>
    <w:p w14:paraId="68F51D41" w14:textId="50461E4C" w:rsidR="00EE41F0" w:rsidRDefault="001105F6" w:rsidP="00B4028F">
      <w:r w:rsidRPr="00704D53">
        <w:t xml:space="preserve">For </w:t>
      </w:r>
      <w:r w:rsidR="001E3512">
        <w:t>the market</w:t>
      </w:r>
      <w:r w:rsidRPr="00704D53">
        <w:t>, insight into future business opportunities</w:t>
      </w:r>
      <w:r w:rsidR="007E2871" w:rsidRPr="00704D53">
        <w:t xml:space="preserve"> </w:t>
      </w:r>
      <w:r w:rsidR="00234196">
        <w:t xml:space="preserve">or policy changes </w:t>
      </w:r>
      <w:r w:rsidR="007E2871" w:rsidRPr="00704D53">
        <w:t xml:space="preserve">allows </w:t>
      </w:r>
      <w:r w:rsidR="001E3512">
        <w:t>it</w:t>
      </w:r>
      <w:r w:rsidR="00B94A0B" w:rsidRPr="00B94A0B">
        <w:t xml:space="preserve"> </w:t>
      </w:r>
      <w:r w:rsidR="00B94A0B" w:rsidRPr="00704D53">
        <w:t>to</w:t>
      </w:r>
      <w:r w:rsidR="00EE41F0">
        <w:t>:</w:t>
      </w:r>
      <w:r w:rsidR="007E2871" w:rsidRPr="00704D53">
        <w:t xml:space="preserve"> </w:t>
      </w:r>
    </w:p>
    <w:p w14:paraId="5CD363CC" w14:textId="3A3BF84B" w:rsidR="00EE41F0" w:rsidRDefault="001F5571" w:rsidP="00E0279D">
      <w:pPr>
        <w:pStyle w:val="ListParagraph"/>
        <w:numPr>
          <w:ilvl w:val="0"/>
          <w:numId w:val="46"/>
        </w:numPr>
      </w:pPr>
      <w:r>
        <w:t>prepare</w:t>
      </w:r>
      <w:r w:rsidR="007E2871" w:rsidRPr="00704D53">
        <w:t xml:space="preserve"> to supply</w:t>
      </w:r>
      <w:r>
        <w:t xml:space="preserve"> to your </w:t>
      </w:r>
      <w:r w:rsidR="00EE41F0">
        <w:t>agency</w:t>
      </w:r>
      <w:r>
        <w:t>’s requirements</w:t>
      </w:r>
      <w:r w:rsidR="00B94A0B">
        <w:t>;</w:t>
      </w:r>
      <w:r>
        <w:t xml:space="preserve"> and </w:t>
      </w:r>
    </w:p>
    <w:p w14:paraId="507CF971" w14:textId="40BC53BD" w:rsidR="00EE41F0" w:rsidRDefault="001F5571" w:rsidP="00E0279D">
      <w:pPr>
        <w:pStyle w:val="ListParagraph"/>
        <w:numPr>
          <w:ilvl w:val="0"/>
          <w:numId w:val="46"/>
        </w:numPr>
      </w:pPr>
      <w:r>
        <w:t xml:space="preserve">make </w:t>
      </w:r>
      <w:r w:rsidRPr="00C10E1D">
        <w:t xml:space="preserve">good quality </w:t>
      </w:r>
      <w:r>
        <w:t>offers</w:t>
      </w:r>
      <w:r w:rsidR="007E2871" w:rsidRPr="00704D53">
        <w:t xml:space="preserve">. </w:t>
      </w:r>
    </w:p>
    <w:p w14:paraId="78287718" w14:textId="25051ED8" w:rsidR="001F5571" w:rsidRDefault="007E2871" w:rsidP="00B4028F">
      <w:r w:rsidRPr="00704D53">
        <w:t xml:space="preserve">Advance notice of requirements </w:t>
      </w:r>
      <w:r w:rsidR="0068353D">
        <w:t>may</w:t>
      </w:r>
      <w:r w:rsidR="0068353D" w:rsidRPr="00704D53">
        <w:t xml:space="preserve"> </w:t>
      </w:r>
      <w:r w:rsidRPr="00704D53">
        <w:t>allow suppliers to</w:t>
      </w:r>
      <w:r w:rsidR="001F5571">
        <w:t>:</w:t>
      </w:r>
    </w:p>
    <w:p w14:paraId="142D881B" w14:textId="77777777" w:rsidR="001F5571" w:rsidRDefault="001F5571" w:rsidP="001F5571">
      <w:pPr>
        <w:pStyle w:val="ListParagraph"/>
        <w:numPr>
          <w:ilvl w:val="0"/>
          <w:numId w:val="40"/>
        </w:numPr>
        <w:rPr>
          <w:lang w:eastAsia="en-US"/>
        </w:rPr>
      </w:pPr>
      <w:r>
        <w:t>enter the market;</w:t>
      </w:r>
    </w:p>
    <w:p w14:paraId="4FF3E304" w14:textId="25214837" w:rsidR="001F5571" w:rsidRDefault="00DD6D24" w:rsidP="001F5571">
      <w:pPr>
        <w:pStyle w:val="ListParagraph"/>
        <w:numPr>
          <w:ilvl w:val="0"/>
          <w:numId w:val="40"/>
        </w:numPr>
        <w:rPr>
          <w:lang w:eastAsia="en-US"/>
        </w:rPr>
      </w:pPr>
      <w:r>
        <w:t xml:space="preserve">innovate to </w:t>
      </w:r>
      <w:r w:rsidR="001F5571" w:rsidRPr="00704D53">
        <w:t xml:space="preserve">develop new </w:t>
      </w:r>
      <w:r w:rsidR="0068353D">
        <w:t xml:space="preserve">or modified </w:t>
      </w:r>
      <w:r w:rsidR="001F5571" w:rsidRPr="00704D53">
        <w:t>offerings</w:t>
      </w:r>
      <w:r w:rsidR="001F5571">
        <w:t>;</w:t>
      </w:r>
    </w:p>
    <w:p w14:paraId="4822C7D6" w14:textId="04758DFA" w:rsidR="009D62AB" w:rsidRDefault="009D62AB" w:rsidP="001F5571">
      <w:pPr>
        <w:pStyle w:val="ListParagraph"/>
        <w:numPr>
          <w:ilvl w:val="0"/>
          <w:numId w:val="40"/>
        </w:numPr>
        <w:rPr>
          <w:lang w:eastAsia="en-US"/>
        </w:rPr>
      </w:pPr>
      <w:r>
        <w:t xml:space="preserve">prepare </w:t>
      </w:r>
      <w:r w:rsidR="00DD6D24">
        <w:t xml:space="preserve">the resources </w:t>
      </w:r>
      <w:r>
        <w:t>to respond to a market engagement;</w:t>
      </w:r>
    </w:p>
    <w:p w14:paraId="4335A079" w14:textId="0D0C2418" w:rsidR="001F5571" w:rsidRDefault="00704D53" w:rsidP="001F5571">
      <w:pPr>
        <w:pStyle w:val="ListParagraph"/>
        <w:numPr>
          <w:ilvl w:val="0"/>
          <w:numId w:val="40"/>
        </w:numPr>
        <w:rPr>
          <w:lang w:eastAsia="en-US"/>
        </w:rPr>
      </w:pPr>
      <w:r>
        <w:t xml:space="preserve">invest in new resources and </w:t>
      </w:r>
      <w:r w:rsidR="00F2728B" w:rsidRPr="00C10E1D">
        <w:t xml:space="preserve">build </w:t>
      </w:r>
      <w:r>
        <w:t>capabilities</w:t>
      </w:r>
      <w:r w:rsidR="001F5571">
        <w:t>;</w:t>
      </w:r>
      <w:r w:rsidR="00F2728B">
        <w:t xml:space="preserve"> and</w:t>
      </w:r>
    </w:p>
    <w:p w14:paraId="6B1509CE" w14:textId="0E260B4A" w:rsidR="00F2728B" w:rsidRDefault="001F5571" w:rsidP="00F2728B">
      <w:pPr>
        <w:pStyle w:val="ListParagraph"/>
        <w:numPr>
          <w:ilvl w:val="0"/>
          <w:numId w:val="40"/>
        </w:numPr>
        <w:rPr>
          <w:lang w:eastAsia="en-US"/>
        </w:rPr>
      </w:pPr>
      <w:r>
        <w:t>establish</w:t>
      </w:r>
      <w:r w:rsidR="007E2871" w:rsidRPr="00704D53">
        <w:t xml:space="preserve"> </w:t>
      </w:r>
      <w:r w:rsidR="00F2728B">
        <w:t xml:space="preserve">new supply chains, including </w:t>
      </w:r>
      <w:r w:rsidR="007E2871" w:rsidRPr="00704D53">
        <w:t>subcontract</w:t>
      </w:r>
      <w:r>
        <w:t>ing or</w:t>
      </w:r>
      <w:r w:rsidR="00704D53">
        <w:t xml:space="preserve"> </w:t>
      </w:r>
      <w:r w:rsidR="007E2871" w:rsidRPr="00704D53">
        <w:t xml:space="preserve">partnerships. </w:t>
      </w:r>
    </w:p>
    <w:p w14:paraId="0FDA41AC" w14:textId="48DC3B0A" w:rsidR="001105F6" w:rsidRPr="00704D53" w:rsidRDefault="007E2871" w:rsidP="00F2728B">
      <w:pPr>
        <w:rPr>
          <w:lang w:eastAsia="en-US"/>
        </w:rPr>
      </w:pPr>
      <w:r w:rsidRPr="00704D53">
        <w:t xml:space="preserve">It is in the buyer’s interest that the market is given the </w:t>
      </w:r>
      <w:r w:rsidR="00704D53">
        <w:t xml:space="preserve">best </w:t>
      </w:r>
      <w:r w:rsidRPr="00704D53">
        <w:t>opportunity to prepare itself for upcoming supply opportunities</w:t>
      </w:r>
      <w:r w:rsidR="00273A42">
        <w:t>. This is</w:t>
      </w:r>
      <w:r w:rsidRPr="00704D53">
        <w:t xml:space="preserve"> </w:t>
      </w:r>
      <w:r w:rsidR="0068353D">
        <w:t>because</w:t>
      </w:r>
      <w:r w:rsidRPr="00704D53">
        <w:t xml:space="preserve"> it can result in the buyer receiving more and better offers to select from.</w:t>
      </w:r>
    </w:p>
    <w:p w14:paraId="738DEF05" w14:textId="66D2E3A6" w:rsidR="00DD2C9D" w:rsidRDefault="00CD6D5C" w:rsidP="00DD2C9D">
      <w:pPr>
        <w:pStyle w:val="Heading3"/>
      </w:pPr>
      <w:r>
        <w:t>How to conduct e</w:t>
      </w:r>
      <w:r w:rsidR="00DD2C9D" w:rsidRPr="009167ED">
        <w:t>arly market engagement</w:t>
      </w:r>
    </w:p>
    <w:p w14:paraId="3FDAA90A" w14:textId="005F1A00" w:rsidR="00666B17" w:rsidRDefault="00DD2C9D" w:rsidP="00BD4270">
      <w:r w:rsidRPr="00C84153">
        <w:t xml:space="preserve">There is no </w:t>
      </w:r>
      <w:r w:rsidR="00666B17">
        <w:t>set</w:t>
      </w:r>
      <w:r w:rsidRPr="00C84153">
        <w:t xml:space="preserve"> process </w:t>
      </w:r>
      <w:r w:rsidR="00666B17">
        <w:t xml:space="preserve">or activities </w:t>
      </w:r>
      <w:r w:rsidRPr="00C84153">
        <w:t xml:space="preserve">for early market </w:t>
      </w:r>
      <w:r>
        <w:t>engagement, and it</w:t>
      </w:r>
      <w:r w:rsidRPr="00666B17">
        <w:t xml:space="preserve"> can take many forms.</w:t>
      </w:r>
      <w:r w:rsidR="0068353D">
        <w:t xml:space="preserve"> </w:t>
      </w:r>
      <w:r w:rsidR="00BD4270" w:rsidRPr="00666B17">
        <w:t xml:space="preserve">Your </w:t>
      </w:r>
      <w:r w:rsidR="00EE41F0">
        <w:t>agency</w:t>
      </w:r>
      <w:r w:rsidR="00BD4270" w:rsidRPr="00666B17">
        <w:t xml:space="preserve"> may routinely conduct a range of </w:t>
      </w:r>
      <w:r w:rsidR="00E66462" w:rsidRPr="00666B17">
        <w:t>activities</w:t>
      </w:r>
      <w:r w:rsidR="00BD4270" w:rsidRPr="00666B17">
        <w:t xml:space="preserve"> that apply to most categories and procurements. For example, the VGPB requires </w:t>
      </w:r>
      <w:r w:rsidR="00EE41F0">
        <w:t>agenc</w:t>
      </w:r>
      <w:r w:rsidR="00273A42">
        <w:t>ie</w:t>
      </w:r>
      <w:r w:rsidR="00BD4270" w:rsidRPr="00666B17">
        <w:t xml:space="preserve">s to publish </w:t>
      </w:r>
      <w:bookmarkStart w:id="1" w:name="_Hlk41904180"/>
      <w:r w:rsidR="00BD4270" w:rsidRPr="00666B17">
        <w:t>forward procurement activity plans</w:t>
      </w:r>
      <w:bookmarkEnd w:id="1"/>
      <w:r w:rsidR="00BD4270" w:rsidRPr="00666B17">
        <w:t xml:space="preserve"> annually </w:t>
      </w:r>
      <w:r w:rsidR="00666B17">
        <w:t>(</w:t>
      </w:r>
      <w:r w:rsidR="00BD4270" w:rsidRPr="00666B17">
        <w:t>at a minimum</w:t>
      </w:r>
      <w:r w:rsidR="00666B17">
        <w:t>) to provide advance notice to the market</w:t>
      </w:r>
      <w:r w:rsidR="00BD4270" w:rsidRPr="00666B17">
        <w:t xml:space="preserve">. </w:t>
      </w:r>
    </w:p>
    <w:p w14:paraId="01C429CE" w14:textId="12FE9AF4" w:rsidR="005F79C6" w:rsidRDefault="00273A42" w:rsidP="005F79C6">
      <w:r>
        <w:t>T</w:t>
      </w:r>
      <w:r w:rsidR="00666B17">
        <w:t>here may be standard activities</w:t>
      </w:r>
      <w:r w:rsidR="00114E99">
        <w:t xml:space="preserve"> in </w:t>
      </w:r>
      <w:r w:rsidR="005F79C6">
        <w:t>your</w:t>
      </w:r>
      <w:r w:rsidR="00114E99">
        <w:t xml:space="preserve"> </w:t>
      </w:r>
      <w:r w:rsidR="00EE41F0">
        <w:t>agency</w:t>
      </w:r>
      <w:r w:rsidR="00910F09">
        <w:t xml:space="preserve">. </w:t>
      </w:r>
      <w:r w:rsidR="00E0279D">
        <w:t>However,</w:t>
      </w:r>
      <w:r w:rsidR="00666B17">
        <w:t xml:space="preserve"> </w:t>
      </w:r>
      <w:r w:rsidR="005F79C6">
        <w:t xml:space="preserve">you should </w:t>
      </w:r>
      <w:r w:rsidR="005F79C6" w:rsidRPr="00666B17">
        <w:t xml:space="preserve">consider </w:t>
      </w:r>
      <w:r w:rsidR="00BD4270" w:rsidRPr="00C84153">
        <w:t xml:space="preserve">early market </w:t>
      </w:r>
      <w:r w:rsidR="00BD4270">
        <w:t>engagement</w:t>
      </w:r>
      <w:r w:rsidR="00BD4270" w:rsidRPr="00666B17">
        <w:t xml:space="preserve"> for each category</w:t>
      </w:r>
      <w:r w:rsidR="00910F09">
        <w:t>. This is</w:t>
      </w:r>
      <w:r w:rsidR="00BD4270" w:rsidRPr="00666B17">
        <w:t xml:space="preserve"> to ensure that the engagement is optimal. </w:t>
      </w:r>
      <w:r w:rsidR="005F79C6">
        <w:t xml:space="preserve">You should conduct several activities. </w:t>
      </w:r>
    </w:p>
    <w:p w14:paraId="7A35875E" w14:textId="7ABC1AB4" w:rsidR="00BD4270" w:rsidRPr="00666B17" w:rsidRDefault="005F79C6" w:rsidP="00BD4270">
      <w:r>
        <w:t>Here</w:t>
      </w:r>
      <w:r w:rsidR="00666B17">
        <w:t xml:space="preserve"> is a</w:t>
      </w:r>
      <w:r>
        <w:t xml:space="preserve"> sample</w:t>
      </w:r>
      <w:r w:rsidR="00666B17">
        <w:t xml:space="preserve"> list of early market engagement activities:</w:t>
      </w:r>
    </w:p>
    <w:p w14:paraId="4F906D9B" w14:textId="77777777" w:rsidR="008233C9" w:rsidRDefault="008233C9" w:rsidP="008233C9">
      <w:pPr>
        <w:pStyle w:val="ListParagraph"/>
        <w:numPr>
          <w:ilvl w:val="0"/>
          <w:numId w:val="41"/>
        </w:numPr>
      </w:pPr>
      <w:r>
        <w:t xml:space="preserve">publish </w:t>
      </w:r>
      <w:r w:rsidRPr="00804224">
        <w:t>forward procurement activity plans</w:t>
      </w:r>
      <w:r>
        <w:t>;</w:t>
      </w:r>
    </w:p>
    <w:p w14:paraId="72C9A667" w14:textId="77777777" w:rsidR="008233C9" w:rsidRDefault="008233C9" w:rsidP="008233C9">
      <w:pPr>
        <w:pStyle w:val="ListParagraph"/>
        <w:numPr>
          <w:ilvl w:val="0"/>
          <w:numId w:val="41"/>
        </w:numPr>
      </w:pPr>
      <w:r>
        <w:t>carry out regular strategic market sector scanning with industry bodies, independent market experts, and</w:t>
      </w:r>
      <w:r w:rsidRPr="00234196">
        <w:t xml:space="preserve"> </w:t>
      </w:r>
      <w:r w:rsidRPr="00C10E1D">
        <w:t>current supplier(s)</w:t>
      </w:r>
      <w:r>
        <w:t>;</w:t>
      </w:r>
    </w:p>
    <w:p w14:paraId="3D01A81E" w14:textId="77777777" w:rsidR="008233C9" w:rsidRDefault="008233C9" w:rsidP="008233C9">
      <w:pPr>
        <w:pStyle w:val="ListParagraph"/>
        <w:numPr>
          <w:ilvl w:val="0"/>
          <w:numId w:val="41"/>
        </w:numPr>
      </w:pPr>
      <w:r>
        <w:t>establish a public and private sector reference group with public officials and senior representatives from industry;</w:t>
      </w:r>
    </w:p>
    <w:p w14:paraId="039B538E" w14:textId="77777777" w:rsidR="008233C9" w:rsidRDefault="008233C9" w:rsidP="008233C9">
      <w:pPr>
        <w:pStyle w:val="ListParagraph"/>
        <w:numPr>
          <w:ilvl w:val="0"/>
          <w:numId w:val="41"/>
        </w:numPr>
      </w:pPr>
      <w:r>
        <w:t>conduct market sounding focused on the market to assess its reaction to a proposed market approach or proposed requirements;</w:t>
      </w:r>
    </w:p>
    <w:p w14:paraId="78E11B17" w14:textId="77777777" w:rsidR="008233C9" w:rsidRDefault="008233C9" w:rsidP="008233C9">
      <w:pPr>
        <w:pStyle w:val="ListParagraph"/>
        <w:numPr>
          <w:ilvl w:val="0"/>
          <w:numId w:val="41"/>
        </w:numPr>
      </w:pPr>
      <w:r>
        <w:t xml:space="preserve">engage </w:t>
      </w:r>
      <w:r w:rsidRPr="00C10E1D">
        <w:t>subject matter experts in the industry</w:t>
      </w:r>
      <w:r>
        <w:t xml:space="preserve"> (consultants and contractors);</w:t>
      </w:r>
    </w:p>
    <w:p w14:paraId="6ED93D82" w14:textId="77777777" w:rsidR="008233C9" w:rsidRDefault="008233C9" w:rsidP="008233C9">
      <w:pPr>
        <w:pStyle w:val="ListParagraph"/>
        <w:numPr>
          <w:ilvl w:val="0"/>
          <w:numId w:val="41"/>
        </w:numPr>
      </w:pPr>
      <w:r>
        <w:t>conduct events, such as forums and industry briefings, to facilitate exchange of information;</w:t>
      </w:r>
      <w:r w:rsidRPr="0068353D">
        <w:t xml:space="preserve"> </w:t>
      </w:r>
      <w:r>
        <w:t>and</w:t>
      </w:r>
    </w:p>
    <w:p w14:paraId="2DDDDE5D" w14:textId="4F17B341" w:rsidR="00804224" w:rsidRDefault="008233C9" w:rsidP="00B94A0B">
      <w:pPr>
        <w:pStyle w:val="ListParagraph"/>
        <w:numPr>
          <w:ilvl w:val="0"/>
          <w:numId w:val="41"/>
        </w:numPr>
      </w:pPr>
      <w:r>
        <w:t>attend trade shows.</w:t>
      </w:r>
      <w:r w:rsidRPr="0068353D">
        <w:t xml:space="preserve"> </w:t>
      </w:r>
    </w:p>
    <w:p w14:paraId="1A08283A" w14:textId="24F15AE0" w:rsidR="00A2000E" w:rsidRDefault="001B27EE" w:rsidP="009167ED">
      <w:pPr>
        <w:pStyle w:val="Heading3"/>
      </w:pPr>
      <w:r>
        <w:t>C</w:t>
      </w:r>
      <w:r w:rsidR="009167ED">
        <w:t xml:space="preserve">onsiderations for </w:t>
      </w:r>
      <w:r w:rsidR="009167ED" w:rsidRPr="009167ED">
        <w:t>early market engagement</w:t>
      </w:r>
    </w:p>
    <w:p w14:paraId="133CEEC9" w14:textId="77777777" w:rsidR="00D319C9" w:rsidRDefault="001B27EE" w:rsidP="001B27EE">
      <w:pPr>
        <w:rPr>
          <w:b/>
          <w:bCs/>
        </w:rPr>
      </w:pPr>
      <w:r>
        <w:rPr>
          <w:b/>
          <w:bCs/>
        </w:rPr>
        <w:t>Accountability.</w:t>
      </w:r>
      <w:r w:rsidR="0063395C">
        <w:rPr>
          <w:b/>
          <w:bCs/>
        </w:rPr>
        <w:t xml:space="preserve"> </w:t>
      </w:r>
    </w:p>
    <w:p w14:paraId="3846C484" w14:textId="0E8E30E5" w:rsidR="00910F09" w:rsidRDefault="005405DF" w:rsidP="001B27EE">
      <w:r>
        <w:t xml:space="preserve">Your </w:t>
      </w:r>
      <w:r w:rsidR="00EE41F0">
        <w:t>agency</w:t>
      </w:r>
      <w:r>
        <w:t xml:space="preserve"> should govern e</w:t>
      </w:r>
      <w:r w:rsidR="0063395C" w:rsidRPr="00704D53">
        <w:t>arly market engagement</w:t>
      </w:r>
      <w:r w:rsidR="0063395C">
        <w:t xml:space="preserve"> under </w:t>
      </w:r>
      <w:r>
        <w:t xml:space="preserve">your </w:t>
      </w:r>
      <w:r w:rsidR="0009464E">
        <w:t>procurement and</w:t>
      </w:r>
      <w:r w:rsidR="0068353D">
        <w:t>/</w:t>
      </w:r>
      <w:r w:rsidR="0009464E">
        <w:t xml:space="preserve">or </w:t>
      </w:r>
      <w:r w:rsidR="0063395C">
        <w:t xml:space="preserve">category management </w:t>
      </w:r>
      <w:r w:rsidR="0009464E">
        <w:t>framework</w:t>
      </w:r>
      <w:r w:rsidR="0063395C">
        <w:t xml:space="preserve">. </w:t>
      </w:r>
      <w:r>
        <w:t>Your</w:t>
      </w:r>
      <w:r w:rsidR="0063395C">
        <w:t xml:space="preserve"> activities should be planned and approved, with clear accountabilities for </w:t>
      </w:r>
      <w:r>
        <w:t>their</w:t>
      </w:r>
      <w:r w:rsidR="0063395C">
        <w:t xml:space="preserve"> </w:t>
      </w:r>
      <w:r w:rsidR="00D632E4">
        <w:t xml:space="preserve">conduct. </w:t>
      </w:r>
    </w:p>
    <w:p w14:paraId="42B94284" w14:textId="358D780F" w:rsidR="00910F09" w:rsidRDefault="00B94A0B" w:rsidP="001B27EE">
      <w:r>
        <w:t>You should record e</w:t>
      </w:r>
      <w:r w:rsidRPr="00704D53">
        <w:t>arly market engagement</w:t>
      </w:r>
      <w:r>
        <w:t xml:space="preserve"> to</w:t>
      </w:r>
      <w:r w:rsidR="00E0279D">
        <w:t xml:space="preserve"> maintain corporate knowledge and for later audit/investigation</w:t>
      </w:r>
      <w:r>
        <w:t>. Record</w:t>
      </w:r>
      <w:r w:rsidR="00910F09">
        <w:t>:</w:t>
      </w:r>
      <w:r w:rsidR="005405DF">
        <w:t xml:space="preserve"> </w:t>
      </w:r>
    </w:p>
    <w:p w14:paraId="34121851" w14:textId="1B270B28" w:rsidR="00910F09" w:rsidRDefault="00295731" w:rsidP="00E0279D">
      <w:pPr>
        <w:pStyle w:val="ListParagraph"/>
        <w:numPr>
          <w:ilvl w:val="0"/>
          <w:numId w:val="52"/>
        </w:numPr>
      </w:pPr>
      <w:r>
        <w:lastRenderedPageBreak/>
        <w:t xml:space="preserve">activities </w:t>
      </w:r>
      <w:r w:rsidR="0068353D">
        <w:t>conduct</w:t>
      </w:r>
      <w:r>
        <w:t>ed</w:t>
      </w:r>
      <w:r w:rsidR="00E0279D">
        <w:t>;</w:t>
      </w:r>
      <w:r w:rsidR="0068353D">
        <w:t xml:space="preserve"> </w:t>
      </w:r>
    </w:p>
    <w:p w14:paraId="110A20DD" w14:textId="5480FD79" w:rsidR="00910F09" w:rsidRDefault="0068353D" w:rsidP="00E0279D">
      <w:pPr>
        <w:pStyle w:val="ListParagraph"/>
        <w:numPr>
          <w:ilvl w:val="0"/>
          <w:numId w:val="52"/>
        </w:numPr>
      </w:pPr>
      <w:r>
        <w:t>information</w:t>
      </w:r>
      <w:r w:rsidR="00295731">
        <w:t xml:space="preserve"> exchanged</w:t>
      </w:r>
      <w:r w:rsidR="00E0279D">
        <w:t>; and</w:t>
      </w:r>
      <w:r>
        <w:t xml:space="preserve"> </w:t>
      </w:r>
    </w:p>
    <w:p w14:paraId="6794952F" w14:textId="2DF482E3" w:rsidR="001B27EE" w:rsidRPr="00E0279D" w:rsidRDefault="0068353D" w:rsidP="00E0279D">
      <w:pPr>
        <w:pStyle w:val="ListParagraph"/>
        <w:numPr>
          <w:ilvl w:val="0"/>
          <w:numId w:val="52"/>
        </w:numPr>
      </w:pPr>
      <w:r>
        <w:t>outcomes of the engagement</w:t>
      </w:r>
      <w:r w:rsidR="00295731">
        <w:t>.</w:t>
      </w:r>
    </w:p>
    <w:p w14:paraId="66A7C001" w14:textId="77777777" w:rsidR="00D319C9" w:rsidRDefault="001B27EE" w:rsidP="001B27EE">
      <w:r w:rsidRPr="001B27EE">
        <w:rPr>
          <w:b/>
          <w:bCs/>
        </w:rPr>
        <w:t>Probity.</w:t>
      </w:r>
      <w:r>
        <w:t xml:space="preserve"> </w:t>
      </w:r>
    </w:p>
    <w:p w14:paraId="6E2CC02C" w14:textId="2DC4A876" w:rsidR="00AA2732" w:rsidRDefault="006A1C68" w:rsidP="001B27EE">
      <w:hyperlink r:id="rId16" w:history="1">
        <w:r w:rsidR="0038205B">
          <w:rPr>
            <w:rStyle w:val="Hyperlink"/>
          </w:rPr>
          <w:t>P</w:t>
        </w:r>
        <w:r w:rsidR="00AA2732" w:rsidRPr="00D2478F">
          <w:rPr>
            <w:rStyle w:val="Hyperlink"/>
          </w:rPr>
          <w:t>robity</w:t>
        </w:r>
      </w:hyperlink>
      <w:r w:rsidR="00AA2732">
        <w:t xml:space="preserve"> needs to be at the forefront of procurers’ minds when planning and conducting e</w:t>
      </w:r>
      <w:r w:rsidR="001B27EE" w:rsidRPr="00C84153">
        <w:t xml:space="preserve">arly market </w:t>
      </w:r>
      <w:r w:rsidR="001B27EE">
        <w:t>engagement activities</w:t>
      </w:r>
      <w:r w:rsidR="00AA2732">
        <w:t xml:space="preserve">. All activities </w:t>
      </w:r>
      <w:r w:rsidR="001B27EE" w:rsidRPr="00C84153">
        <w:t>should be open, transparent and fair</w:t>
      </w:r>
      <w:r w:rsidR="001B27EE">
        <w:t xml:space="preserve">. </w:t>
      </w:r>
    </w:p>
    <w:p w14:paraId="6A46E3B3" w14:textId="7AADF05B" w:rsidR="0038205B" w:rsidRDefault="0038205B" w:rsidP="0038205B">
      <w:r>
        <w:t>Plan and manage e</w:t>
      </w:r>
      <w:r w:rsidRPr="00C84153">
        <w:t xml:space="preserve">arly market </w:t>
      </w:r>
      <w:r>
        <w:t>engagement</w:t>
      </w:r>
      <w:r w:rsidRPr="00C84153">
        <w:t xml:space="preserve"> </w:t>
      </w:r>
      <w:r>
        <w:t xml:space="preserve">to ensure probity is maintained. Probity issues can compromise a procurement and cause negative consequences for your organisation. </w:t>
      </w:r>
    </w:p>
    <w:p w14:paraId="3C03EC4D" w14:textId="1A0F5D49" w:rsidR="00A77349" w:rsidRDefault="00A77349" w:rsidP="00B94A0B">
      <w:r w:rsidRPr="00A77349">
        <w:t>The</w:t>
      </w:r>
      <w:r>
        <w:t xml:space="preserve"> </w:t>
      </w:r>
      <w:r w:rsidR="0028131A">
        <w:t>main</w:t>
      </w:r>
      <w:r w:rsidRPr="00A77349">
        <w:t xml:space="preserve"> way to deal with probity is </w:t>
      </w:r>
      <w:r w:rsidR="00E0279D" w:rsidRPr="00A77349">
        <w:t>to communicate</w:t>
      </w:r>
      <w:r w:rsidRPr="00A77349">
        <w:t xml:space="preserve"> </w:t>
      </w:r>
      <w:r>
        <w:t>the purpose of the early market engagement</w:t>
      </w:r>
      <w:r w:rsidR="0038205B" w:rsidRPr="0038205B">
        <w:t xml:space="preserve"> </w:t>
      </w:r>
      <w:r w:rsidR="0038205B">
        <w:t>to the market.</w:t>
      </w:r>
      <w:r>
        <w:t xml:space="preserve"> </w:t>
      </w:r>
      <w:r w:rsidR="0038205B">
        <w:t>B</w:t>
      </w:r>
      <w:r>
        <w:t xml:space="preserve">e clear </w:t>
      </w:r>
      <w:r w:rsidRPr="00A77349">
        <w:t xml:space="preserve">that </w:t>
      </w:r>
      <w:r>
        <w:t>it is not for the purpose of selecting solutions or suppliers</w:t>
      </w:r>
      <w:r w:rsidR="0028131A">
        <w:t xml:space="preserve">. </w:t>
      </w:r>
      <w:r w:rsidR="00E0279D">
        <w:t>Selection will</w:t>
      </w:r>
      <w:r>
        <w:t xml:space="preserve"> occur during </w:t>
      </w:r>
      <w:r w:rsidR="00B94A0B">
        <w:t>procurement</w:t>
      </w:r>
      <w:r w:rsidRPr="00A77349">
        <w:t>.</w:t>
      </w:r>
      <w:r>
        <w:t xml:space="preserve"> </w:t>
      </w:r>
    </w:p>
    <w:p w14:paraId="0BB99FCB" w14:textId="5B40D133" w:rsidR="001712DA" w:rsidRDefault="00A77349" w:rsidP="001B27EE">
      <w:r>
        <w:t>Other w</w:t>
      </w:r>
      <w:r w:rsidR="001712DA">
        <w:t>ays to avoid or mitigate probity risk may include:</w:t>
      </w:r>
    </w:p>
    <w:p w14:paraId="4238B46F" w14:textId="7FF66B86" w:rsidR="001712DA" w:rsidRDefault="00B94A0B" w:rsidP="001712DA">
      <w:pPr>
        <w:pStyle w:val="ListParagraph"/>
        <w:numPr>
          <w:ilvl w:val="0"/>
          <w:numId w:val="44"/>
        </w:numPr>
      </w:pPr>
      <w:r>
        <w:t>e</w:t>
      </w:r>
      <w:r w:rsidR="00E0279D">
        <w:t xml:space="preserve">ngage </w:t>
      </w:r>
      <w:r w:rsidR="00DE75A9">
        <w:t>parties that are not potential suppliers (industry bodie</w:t>
      </w:r>
      <w:r w:rsidR="00A22FC7">
        <w:t>s and</w:t>
      </w:r>
      <w:r w:rsidR="00DE75A9">
        <w:t xml:space="preserve"> </w:t>
      </w:r>
      <w:r w:rsidR="00A22FC7">
        <w:t>independent market experts)</w:t>
      </w:r>
      <w:r>
        <w:t>;</w:t>
      </w:r>
    </w:p>
    <w:p w14:paraId="10C4D35A" w14:textId="0BB3B84A" w:rsidR="001712DA" w:rsidRDefault="00A22FC7" w:rsidP="001712DA">
      <w:pPr>
        <w:pStyle w:val="ListParagraph"/>
        <w:numPr>
          <w:ilvl w:val="0"/>
          <w:numId w:val="44"/>
        </w:numPr>
      </w:pPr>
      <w:r>
        <w:t>engage</w:t>
      </w:r>
      <w:r w:rsidR="00B94A0B">
        <w:t xml:space="preserve"> with suppliers in a “safe space” like</w:t>
      </w:r>
      <w:r>
        <w:t xml:space="preserve"> events or trade shows</w:t>
      </w:r>
      <w:r w:rsidR="00B94A0B">
        <w:t>;</w:t>
      </w:r>
    </w:p>
    <w:p w14:paraId="5BB51157" w14:textId="588E5B91" w:rsidR="00A22FC7" w:rsidRDefault="004A5C2E" w:rsidP="00A22FC7">
      <w:pPr>
        <w:pStyle w:val="ListParagraph"/>
        <w:numPr>
          <w:ilvl w:val="0"/>
          <w:numId w:val="43"/>
        </w:numPr>
      </w:pPr>
      <w:r>
        <w:t>u</w:t>
      </w:r>
      <w:r w:rsidR="0038205B">
        <w:t>se separate groups for e</w:t>
      </w:r>
      <w:r w:rsidR="0038205B" w:rsidRPr="00C84153">
        <w:t xml:space="preserve">arly market </w:t>
      </w:r>
      <w:r w:rsidR="0038205B">
        <w:t>engagement activities and procurement</w:t>
      </w:r>
      <w:r>
        <w:t xml:space="preserve"> to avoid</w:t>
      </w:r>
      <w:r w:rsidR="001712DA">
        <w:t xml:space="preserve"> supplier bias in the procurement team</w:t>
      </w:r>
      <w:r>
        <w:t>;</w:t>
      </w:r>
    </w:p>
    <w:p w14:paraId="3F183F82" w14:textId="78189954" w:rsidR="00A22FC7" w:rsidRDefault="004A5C2E" w:rsidP="00A22FC7">
      <w:pPr>
        <w:pStyle w:val="ListParagraph"/>
        <w:numPr>
          <w:ilvl w:val="0"/>
          <w:numId w:val="43"/>
        </w:numPr>
      </w:pPr>
      <w:r>
        <w:t>d</w:t>
      </w:r>
      <w:r w:rsidR="00A22FC7">
        <w:t xml:space="preserve">e-identify offers </w:t>
      </w:r>
      <w:r>
        <w:t>in the following procurement</w:t>
      </w:r>
      <w:r w:rsidR="00A22FC7">
        <w:t xml:space="preserve"> </w:t>
      </w:r>
      <w:r w:rsidR="00A91FBE">
        <w:t>to</w:t>
      </w:r>
      <w:r>
        <w:t xml:space="preserve"> avoid supplier bias</w:t>
      </w:r>
      <w:r w:rsidR="00A91FBE">
        <w:t>.</w:t>
      </w:r>
    </w:p>
    <w:p w14:paraId="64DC4D38" w14:textId="77777777" w:rsidR="00D319C9" w:rsidRDefault="001B27EE" w:rsidP="001B27EE">
      <w:pPr>
        <w:rPr>
          <w:b/>
          <w:bCs/>
          <w:lang w:eastAsia="en-US"/>
        </w:rPr>
      </w:pPr>
      <w:r w:rsidRPr="001B27EE">
        <w:rPr>
          <w:b/>
          <w:bCs/>
          <w:lang w:eastAsia="en-US"/>
        </w:rPr>
        <w:t xml:space="preserve">Scalability. </w:t>
      </w:r>
    </w:p>
    <w:p w14:paraId="323336B2" w14:textId="7E12CE81" w:rsidR="005C4CAB" w:rsidRDefault="001B27EE" w:rsidP="00BB2DFE">
      <w:r>
        <w:t>E</w:t>
      </w:r>
      <w:r w:rsidRPr="00C84153">
        <w:t xml:space="preserve">arly market </w:t>
      </w:r>
      <w:r>
        <w:t>engagement</w:t>
      </w:r>
      <w:r w:rsidRPr="00346B24">
        <w:t xml:space="preserve"> </w:t>
      </w:r>
      <w:r w:rsidR="00BB2DFE">
        <w:t xml:space="preserve">activities </w:t>
      </w:r>
      <w:r w:rsidRPr="00346B24">
        <w:t>should be scal</w:t>
      </w:r>
      <w:r w:rsidR="00BB2DFE">
        <w:t xml:space="preserve">ed to suit the category and expected benefits. </w:t>
      </w:r>
    </w:p>
    <w:p w14:paraId="69F377F4" w14:textId="51FB6BB8" w:rsidR="00D02FF2" w:rsidRDefault="001B27EE" w:rsidP="001B27EE">
      <w:r>
        <w:t xml:space="preserve">The VGPB </w:t>
      </w:r>
      <w:hyperlink r:id="rId17" w:anchor="complexity-assessment-model" w:history="1">
        <w:r w:rsidRPr="000A27DE">
          <w:rPr>
            <w:rStyle w:val="Hyperlink"/>
          </w:rPr>
          <w:t>complexity quadrants</w:t>
        </w:r>
      </w:hyperlink>
      <w:r>
        <w:t xml:space="preserve"> may be a useful </w:t>
      </w:r>
      <w:r w:rsidR="007F71F7">
        <w:t>indicator</w:t>
      </w:r>
      <w:r>
        <w:t xml:space="preserve"> for </w:t>
      </w:r>
      <w:r w:rsidR="007F71F7">
        <w:t>the</w:t>
      </w:r>
      <w:r>
        <w:t xml:space="preserve"> </w:t>
      </w:r>
      <w:r w:rsidR="007F71F7">
        <w:t xml:space="preserve">appropriate level of </w:t>
      </w:r>
      <w:r>
        <w:t xml:space="preserve">engagement.  </w:t>
      </w:r>
      <w:r w:rsidR="00295731">
        <w:t>E</w:t>
      </w:r>
      <w:r w:rsidRPr="00C84153">
        <w:t xml:space="preserve">arly market </w:t>
      </w:r>
      <w:r>
        <w:t xml:space="preserve">engagement </w:t>
      </w:r>
      <w:r w:rsidR="00295731">
        <w:t xml:space="preserve">may be viewed as a spectrum </w:t>
      </w:r>
      <w:r>
        <w:t>from no</w:t>
      </w:r>
      <w:r w:rsidR="00FB659B">
        <w:t>/low</w:t>
      </w:r>
      <w:r>
        <w:t xml:space="preserve"> to full engagement</w:t>
      </w:r>
      <w:r w:rsidR="00BB2DFE">
        <w:t>:</w:t>
      </w:r>
    </w:p>
    <w:p w14:paraId="54B2B26E" w14:textId="7CF56D15" w:rsidR="00D02FF2" w:rsidRDefault="001B27EE" w:rsidP="00D02FF2">
      <w:pPr>
        <w:pStyle w:val="ListParagraph"/>
        <w:numPr>
          <w:ilvl w:val="0"/>
          <w:numId w:val="48"/>
        </w:numPr>
      </w:pPr>
      <w:r>
        <w:t xml:space="preserve">Transactional </w:t>
      </w:r>
      <w:bookmarkStart w:id="2" w:name="_Hlk41916610"/>
      <w:r w:rsidR="007F71F7">
        <w:t>categories</w:t>
      </w:r>
      <w:r>
        <w:t xml:space="preserve"> </w:t>
      </w:r>
      <w:bookmarkEnd w:id="2"/>
      <w:r>
        <w:t xml:space="preserve">typically lie at the </w:t>
      </w:r>
      <w:r w:rsidR="00FB659B">
        <w:t>no/</w:t>
      </w:r>
      <w:r>
        <w:t>low engagement end</w:t>
      </w:r>
      <w:r w:rsidR="00295731" w:rsidRPr="00295731">
        <w:t xml:space="preserve"> </w:t>
      </w:r>
      <w:r w:rsidR="00295731">
        <w:t>of the spectrum</w:t>
      </w:r>
      <w:r w:rsidR="00D02FF2">
        <w:t>.</w:t>
      </w:r>
    </w:p>
    <w:p w14:paraId="6BF1433F" w14:textId="2299876C" w:rsidR="00BB2DFE" w:rsidRDefault="00BB2DFE" w:rsidP="00BB2DFE">
      <w:pPr>
        <w:pStyle w:val="ListParagraph"/>
        <w:numPr>
          <w:ilvl w:val="0"/>
          <w:numId w:val="48"/>
        </w:numPr>
      </w:pPr>
      <w:r>
        <w:t xml:space="preserve">Leveraged and Focused </w:t>
      </w:r>
      <w:r w:rsidRPr="007F71F7">
        <w:t xml:space="preserve">categories </w:t>
      </w:r>
      <w:r>
        <w:t xml:space="preserve">are likely to span the middle of the spectrum. </w:t>
      </w:r>
    </w:p>
    <w:p w14:paraId="2FD89DD5" w14:textId="71FB9DE7" w:rsidR="00D02FF2" w:rsidRDefault="001B27EE" w:rsidP="00D02FF2">
      <w:pPr>
        <w:pStyle w:val="ListParagraph"/>
        <w:numPr>
          <w:ilvl w:val="0"/>
          <w:numId w:val="48"/>
        </w:numPr>
      </w:pPr>
      <w:r>
        <w:t xml:space="preserve">Strategic </w:t>
      </w:r>
      <w:r w:rsidR="007F71F7" w:rsidRPr="007F71F7">
        <w:t xml:space="preserve">categories </w:t>
      </w:r>
      <w:r w:rsidR="00BB2DFE">
        <w:t xml:space="preserve">usually </w:t>
      </w:r>
      <w:r w:rsidR="00295731">
        <w:t>warrant</w:t>
      </w:r>
      <w:r w:rsidR="00995531">
        <w:t xml:space="preserve"> </w:t>
      </w:r>
      <w:r>
        <w:t>high</w:t>
      </w:r>
      <w:r w:rsidR="00295731">
        <w:t xml:space="preserve"> levels of</w:t>
      </w:r>
      <w:r>
        <w:t xml:space="preserve"> </w:t>
      </w:r>
      <w:r w:rsidR="00995531">
        <w:t>engagement</w:t>
      </w:r>
      <w:r w:rsidR="00D02FF2">
        <w:t>.</w:t>
      </w:r>
      <w:r>
        <w:t xml:space="preserve"> </w:t>
      </w:r>
    </w:p>
    <w:p w14:paraId="04CCDA3F" w14:textId="77777777" w:rsidR="00D319C9" w:rsidRDefault="008B33D6" w:rsidP="00302068">
      <w:r w:rsidRPr="008B33D6">
        <w:rPr>
          <w:b/>
          <w:bCs/>
        </w:rPr>
        <w:t>Capability.</w:t>
      </w:r>
      <w:r>
        <w:t xml:space="preserve"> </w:t>
      </w:r>
    </w:p>
    <w:p w14:paraId="6941BB9B" w14:textId="1C8271FC" w:rsidR="00302068" w:rsidRDefault="00302068" w:rsidP="00302068">
      <w:r>
        <w:t>E</w:t>
      </w:r>
      <w:r w:rsidRPr="00C84153">
        <w:t xml:space="preserve">arly market </w:t>
      </w:r>
      <w:r>
        <w:t>engagement should be planned and conducted</w:t>
      </w:r>
      <w:r w:rsidR="00E0279D">
        <w:t xml:space="preserve"> or </w:t>
      </w:r>
      <w:r>
        <w:t xml:space="preserve">managed by adept or advanced procurement </w:t>
      </w:r>
      <w:r w:rsidR="001F1E32">
        <w:t>buyers</w:t>
      </w:r>
      <w:r>
        <w:t>. Foundation level practitioners may conduct e</w:t>
      </w:r>
      <w:r w:rsidRPr="00C84153">
        <w:t xml:space="preserve">arly market </w:t>
      </w:r>
      <w:r>
        <w:t xml:space="preserve">engagement with clear instructions and </w:t>
      </w:r>
      <w:r w:rsidR="00C75746">
        <w:t>supervision. Your</w:t>
      </w:r>
      <w:r w:rsidR="008B33D6">
        <w:t xml:space="preserve"> </w:t>
      </w:r>
      <w:r w:rsidR="00EE41F0">
        <w:t>agency</w:t>
      </w:r>
      <w:r w:rsidR="008B33D6">
        <w:t xml:space="preserve"> must ensure that those involved in the planning and conduct have appropriate levels of understanding of policy and process, </w:t>
      </w:r>
      <w:r w:rsidR="001B2978">
        <w:t>and</w:t>
      </w:r>
      <w:r w:rsidR="008B33D6">
        <w:t xml:space="preserve"> business acumen.</w:t>
      </w:r>
    </w:p>
    <w:p w14:paraId="3B56CA24" w14:textId="18C03593" w:rsidR="00D319C9" w:rsidRDefault="0036342A" w:rsidP="0036342A">
      <w:r w:rsidRPr="00114E99">
        <w:rPr>
          <w:b/>
          <w:bCs/>
        </w:rPr>
        <w:t>Intellectual property</w:t>
      </w:r>
      <w:r>
        <w:rPr>
          <w:b/>
          <w:bCs/>
        </w:rPr>
        <w:t xml:space="preserve"> </w:t>
      </w:r>
      <w:r w:rsidRPr="00114E99">
        <w:rPr>
          <w:b/>
          <w:bCs/>
        </w:rPr>
        <w:t>and commercial confidentiality.</w:t>
      </w:r>
      <w:r>
        <w:t xml:space="preserve"> </w:t>
      </w:r>
    </w:p>
    <w:p w14:paraId="247AF062" w14:textId="6C66EE1A" w:rsidR="0036342A" w:rsidRPr="00C84153" w:rsidRDefault="0036342A" w:rsidP="00E0279D">
      <w:r>
        <w:t xml:space="preserve">Protecting intellectual property and commercial confidentiality will be key to encouraging participation and ensuring fairness. Communicating to the market how your </w:t>
      </w:r>
      <w:r w:rsidR="00EE41F0">
        <w:t>agency</w:t>
      </w:r>
      <w:r>
        <w:t xml:space="preserve"> will handle these matters will provide confidence to the market</w:t>
      </w:r>
      <w:r w:rsidR="00E0279D">
        <w:t xml:space="preserve"> and increase participation</w:t>
      </w:r>
      <w:r>
        <w:t xml:space="preserve">. </w:t>
      </w:r>
    </w:p>
    <w:p w14:paraId="2020F7A3" w14:textId="77777777" w:rsidR="003F3D31" w:rsidRPr="003F3D31" w:rsidRDefault="003F3D31" w:rsidP="00302068">
      <w:pPr>
        <w:rPr>
          <w:b/>
          <w:bCs/>
          <w:lang w:eastAsia="en-US"/>
        </w:rPr>
      </w:pPr>
      <w:r w:rsidRPr="003F3D31">
        <w:rPr>
          <w:b/>
          <w:bCs/>
          <w:lang w:eastAsia="en-US"/>
        </w:rPr>
        <w:t>Risk.</w:t>
      </w:r>
    </w:p>
    <w:p w14:paraId="2C1BFEFE" w14:textId="77777777" w:rsidR="001F1E32" w:rsidRDefault="00114E99" w:rsidP="00AA2732">
      <w:r>
        <w:t>E</w:t>
      </w:r>
      <w:r w:rsidRPr="00C84153">
        <w:t xml:space="preserve">arly market </w:t>
      </w:r>
      <w:r>
        <w:t xml:space="preserve">engagement can </w:t>
      </w:r>
      <w:r w:rsidR="00BC5C55">
        <w:t xml:space="preserve">introduce </w:t>
      </w:r>
      <w:r>
        <w:t>risk</w:t>
      </w:r>
      <w:r w:rsidR="005A4D59">
        <w:t xml:space="preserve">, particularly for probity in subsequent </w:t>
      </w:r>
      <w:r w:rsidR="00D632E4">
        <w:t>procurements</w:t>
      </w:r>
      <w:r>
        <w:t xml:space="preserve">. </w:t>
      </w:r>
      <w:r w:rsidR="005A4D59">
        <w:t>A risk assessment should be conducted as part of planning for e</w:t>
      </w:r>
      <w:r w:rsidR="005A4D59" w:rsidRPr="00AA2732">
        <w:t>arly market engagement</w:t>
      </w:r>
      <w:r w:rsidR="005A4D59">
        <w:t xml:space="preserve">. </w:t>
      </w:r>
      <w:r w:rsidR="00AA2732">
        <w:t xml:space="preserve">Planning should result in </w:t>
      </w:r>
      <w:r w:rsidR="00AA2732" w:rsidRPr="00C84153">
        <w:t>clear instructions on</w:t>
      </w:r>
      <w:r w:rsidR="001F1E32">
        <w:t>:</w:t>
      </w:r>
      <w:r w:rsidR="00AA2732" w:rsidRPr="00C84153">
        <w:t xml:space="preserve"> </w:t>
      </w:r>
    </w:p>
    <w:p w14:paraId="6C6E3936" w14:textId="77777777" w:rsidR="001F1E32" w:rsidRDefault="00AA2732" w:rsidP="00E0279D">
      <w:pPr>
        <w:pStyle w:val="ListParagraph"/>
        <w:numPr>
          <w:ilvl w:val="0"/>
          <w:numId w:val="51"/>
        </w:numPr>
      </w:pPr>
      <w:r>
        <w:t>what activities to conduct</w:t>
      </w:r>
      <w:r w:rsidR="001F1E32">
        <w:t>,</w:t>
      </w:r>
      <w:r>
        <w:t xml:space="preserve"> and </w:t>
      </w:r>
    </w:p>
    <w:p w14:paraId="57D80828" w14:textId="571219A2" w:rsidR="00AA2732" w:rsidRDefault="00AA2732" w:rsidP="00E0279D">
      <w:pPr>
        <w:pStyle w:val="ListParagraph"/>
        <w:numPr>
          <w:ilvl w:val="0"/>
          <w:numId w:val="51"/>
        </w:numPr>
      </w:pPr>
      <w:r w:rsidRPr="00C84153">
        <w:lastRenderedPageBreak/>
        <w:t xml:space="preserve">how to </w:t>
      </w:r>
      <w:r>
        <w:t>conduct/</w:t>
      </w:r>
      <w:r w:rsidRPr="00C84153">
        <w:t xml:space="preserve">manage </w:t>
      </w:r>
      <w:r>
        <w:t xml:space="preserve">the activities, including </w:t>
      </w:r>
      <w:r w:rsidRPr="00C84153">
        <w:t>communication</w:t>
      </w:r>
      <w:r>
        <w:t>,</w:t>
      </w:r>
      <w:r w:rsidRPr="00C84153">
        <w:t xml:space="preserve"> information, and intellectual property</w:t>
      </w:r>
      <w:r>
        <w:t>.</w:t>
      </w:r>
    </w:p>
    <w:p w14:paraId="2D93E97A" w14:textId="43C957C0" w:rsidR="00426C78" w:rsidRDefault="005A4D59" w:rsidP="00302068">
      <w:r>
        <w:t>While probity is the principal risk</w:t>
      </w:r>
      <w:r w:rsidR="005C4CAB">
        <w:t xml:space="preserve"> in e</w:t>
      </w:r>
      <w:r w:rsidR="005C4CAB" w:rsidRPr="00C84153">
        <w:t xml:space="preserve">arly market </w:t>
      </w:r>
      <w:r w:rsidR="005C4CAB">
        <w:t>engagement</w:t>
      </w:r>
      <w:r>
        <w:t xml:space="preserve">, there is </w:t>
      </w:r>
      <w:r w:rsidR="005C4CAB">
        <w:t xml:space="preserve">also </w:t>
      </w:r>
      <w:r>
        <w:t>risk of misunderstanding or misinformation, p</w:t>
      </w:r>
      <w:r w:rsidR="00426C78">
        <w:t xml:space="preserve">articularly </w:t>
      </w:r>
      <w:r>
        <w:t>when e</w:t>
      </w:r>
      <w:r w:rsidRPr="00C84153">
        <w:t xml:space="preserve">arly market </w:t>
      </w:r>
      <w:r>
        <w:t xml:space="preserve">engagement is not well planned and managed. </w:t>
      </w:r>
      <w:r w:rsidR="00426C78">
        <w:t>For example, a</w:t>
      </w:r>
      <w:r w:rsidR="00426C78">
        <w:rPr>
          <w:lang w:eastAsia="en-US"/>
        </w:rPr>
        <w:t xml:space="preserve"> business unit may “informally” conduct market research and engage suppliers </w:t>
      </w:r>
      <w:r w:rsidR="00426C78" w:rsidRPr="008B33D6">
        <w:t xml:space="preserve">before </w:t>
      </w:r>
      <w:r w:rsidR="00426C78">
        <w:t xml:space="preserve">a procurement is formally initiated without the necessary capability for the complexity of the procurement. Suppliers may think that an individual speaks for the </w:t>
      </w:r>
      <w:r w:rsidR="00EE41F0">
        <w:t>agency</w:t>
      </w:r>
      <w:r w:rsidR="00426C78">
        <w:t xml:space="preserve"> and act on what is said when the individual does not have the authority or approval to </w:t>
      </w:r>
      <w:r w:rsidR="005C4CAB">
        <w:t xml:space="preserve">engage the market or to </w:t>
      </w:r>
      <w:r w:rsidR="00426C78">
        <w:t>procure.</w:t>
      </w:r>
    </w:p>
    <w:p w14:paraId="71570F23" w14:textId="1E3847C7" w:rsidR="005A4D59" w:rsidRDefault="00426C78" w:rsidP="005A4D59">
      <w:r>
        <w:t>B</w:t>
      </w:r>
      <w:r w:rsidR="0096251B">
        <w:t xml:space="preserve">uyers </w:t>
      </w:r>
      <w:r w:rsidR="00AE6FDD">
        <w:t>should note</w:t>
      </w:r>
      <w:r w:rsidR="0096251B">
        <w:t xml:space="preserve"> that misunderstanding</w:t>
      </w:r>
      <w:r w:rsidR="00AE6FDD">
        <w:t>s</w:t>
      </w:r>
      <w:r w:rsidR="0096251B">
        <w:t xml:space="preserve"> or misinformation can cause significant problems for suppliers. These problems are not always visible to the buyer</w:t>
      </w:r>
      <w:r w:rsidR="00AE6FDD">
        <w:t xml:space="preserve"> but will </w:t>
      </w:r>
      <w:r w:rsidR="005C4CAB">
        <w:t xml:space="preserve">likely </w:t>
      </w:r>
      <w:r w:rsidR="00AE6FDD">
        <w:t>have a</w:t>
      </w:r>
      <w:r w:rsidR="00130776">
        <w:t xml:space="preserve"> negative</w:t>
      </w:r>
      <w:r w:rsidR="00AE6FDD">
        <w:t xml:space="preserve"> impact in some way. </w:t>
      </w:r>
      <w:r w:rsidR="0096251B">
        <w:t xml:space="preserve"> </w:t>
      </w:r>
    </w:p>
    <w:p w14:paraId="1151DE05" w14:textId="7F543281" w:rsidR="00114E99" w:rsidRDefault="0096251B" w:rsidP="00302068">
      <w:r>
        <w:t xml:space="preserve">Examples </w:t>
      </w:r>
      <w:r w:rsidR="0030077A">
        <w:t>of pr</w:t>
      </w:r>
      <w:r w:rsidR="00E31202">
        <w:t>o</w:t>
      </w:r>
      <w:r w:rsidR="0030077A">
        <w:t xml:space="preserve">blems </w:t>
      </w:r>
      <w:r w:rsidR="00E31202">
        <w:t xml:space="preserve">for suppliers </w:t>
      </w:r>
      <w:r w:rsidR="0030077A">
        <w:t>caused by</w:t>
      </w:r>
      <w:r>
        <w:t xml:space="preserve"> a </w:t>
      </w:r>
      <w:r w:rsidR="0030077A">
        <w:t xml:space="preserve">misunderstanding or misinformation </w:t>
      </w:r>
      <w:r w:rsidR="0036342A">
        <w:t>during e</w:t>
      </w:r>
      <w:r w:rsidR="0036342A" w:rsidRPr="00C84153">
        <w:t xml:space="preserve">arly market </w:t>
      </w:r>
      <w:r w:rsidR="0036342A">
        <w:t xml:space="preserve">engagement </w:t>
      </w:r>
      <w:r>
        <w:t>include:</w:t>
      </w:r>
    </w:p>
    <w:p w14:paraId="40B586B3" w14:textId="2DFD23E5" w:rsidR="00E31202" w:rsidRDefault="0096251B" w:rsidP="0096251B">
      <w:pPr>
        <w:pStyle w:val="ListParagraph"/>
        <w:numPr>
          <w:ilvl w:val="0"/>
          <w:numId w:val="42"/>
        </w:numPr>
      </w:pPr>
      <w:r>
        <w:t xml:space="preserve">a supplier invests in </w:t>
      </w:r>
      <w:r w:rsidR="0036342A">
        <w:t xml:space="preserve">capability, product development or supply chains for </w:t>
      </w:r>
      <w:r w:rsidR="0030077A">
        <w:t>goods or services that</w:t>
      </w:r>
      <w:r>
        <w:t xml:space="preserve"> the </w:t>
      </w:r>
      <w:r w:rsidR="00EE41F0">
        <w:t>agency</w:t>
      </w:r>
      <w:r>
        <w:t xml:space="preserve"> does not require or </w:t>
      </w:r>
      <w:r w:rsidR="005A4D59">
        <w:t xml:space="preserve">subsequently </w:t>
      </w:r>
      <w:r>
        <w:t>approach the market for</w:t>
      </w:r>
      <w:r w:rsidR="0030077A">
        <w:t xml:space="preserve">; </w:t>
      </w:r>
    </w:p>
    <w:p w14:paraId="5B9816B0" w14:textId="3A3C5A8F" w:rsidR="0096251B" w:rsidRDefault="00E31202" w:rsidP="0096251B">
      <w:pPr>
        <w:pStyle w:val="ListParagraph"/>
        <w:numPr>
          <w:ilvl w:val="0"/>
          <w:numId w:val="42"/>
        </w:numPr>
      </w:pPr>
      <w:r>
        <w:t xml:space="preserve">a supplier </w:t>
      </w:r>
      <w:r w:rsidR="0036342A">
        <w:t xml:space="preserve">pays for testing based on advice about the specification in the upcoming tender, but when the tender is released to the market it specifies a different standard and test; </w:t>
      </w:r>
      <w:r w:rsidR="0030077A">
        <w:t>and</w:t>
      </w:r>
    </w:p>
    <w:p w14:paraId="737B3D97" w14:textId="79DE9C74" w:rsidR="0096251B" w:rsidRDefault="0030077A" w:rsidP="0030077A">
      <w:pPr>
        <w:pStyle w:val="ListParagraph"/>
        <w:numPr>
          <w:ilvl w:val="0"/>
          <w:numId w:val="42"/>
        </w:numPr>
      </w:pPr>
      <w:r w:rsidRPr="0030077A">
        <w:t xml:space="preserve">a supplier </w:t>
      </w:r>
      <w:r>
        <w:t>wrongly understands that an order has been placed and supplies the goods.</w:t>
      </w:r>
    </w:p>
    <w:p w14:paraId="500284BD" w14:textId="4A961C4A" w:rsidR="000C09E4" w:rsidRDefault="000C09E4" w:rsidP="000C09E4">
      <w:r>
        <w:t>The risks of conducting e</w:t>
      </w:r>
      <w:r w:rsidRPr="00C84153">
        <w:t xml:space="preserve">arly market </w:t>
      </w:r>
      <w:r>
        <w:t xml:space="preserve">engagement should not discourage </w:t>
      </w:r>
      <w:r w:rsidR="00E0279D">
        <w:t>agencies</w:t>
      </w:r>
      <w:r>
        <w:t xml:space="preserve"> from engaging the market and </w:t>
      </w:r>
      <w:r w:rsidR="00E0279D">
        <w:t>gaining</w:t>
      </w:r>
      <w:r>
        <w:t xml:space="preserve"> the benefits. </w:t>
      </w:r>
    </w:p>
    <w:p w14:paraId="04DCD568" w14:textId="7F4E1BF4" w:rsidR="0036342A" w:rsidRPr="001B27EE" w:rsidRDefault="0036342A" w:rsidP="0036342A">
      <w:pPr>
        <w:rPr>
          <w:b/>
          <w:bCs/>
          <w:lang w:eastAsia="en-US"/>
        </w:rPr>
      </w:pPr>
      <w:r>
        <w:rPr>
          <w:b/>
          <w:bCs/>
          <w:lang w:eastAsia="en-US"/>
        </w:rPr>
        <w:t xml:space="preserve">Value for money. </w:t>
      </w:r>
    </w:p>
    <w:p w14:paraId="26F39B0C" w14:textId="40C5D5CA" w:rsidR="0036342A" w:rsidRDefault="00426C78" w:rsidP="0036342A">
      <w:r w:rsidRPr="00E0279D">
        <w:t>T</w:t>
      </w:r>
      <w:r w:rsidR="0036342A" w:rsidRPr="00E0279D">
        <w:t>he successful conduct of early market engagement</w:t>
      </w:r>
      <w:r w:rsidR="001E3512" w:rsidRPr="00E0279D">
        <w:t xml:space="preserve">, coupled with robust category management, </w:t>
      </w:r>
      <w:r w:rsidR="0036342A" w:rsidRPr="00E0279D">
        <w:t xml:space="preserve">can be expected to deliver mutual benefits for </w:t>
      </w:r>
      <w:r w:rsidR="001E3512" w:rsidRPr="00E0279D">
        <w:t xml:space="preserve">your </w:t>
      </w:r>
      <w:r w:rsidR="00EE41F0" w:rsidRPr="00E0279D">
        <w:t>agency</w:t>
      </w:r>
      <w:r w:rsidR="0036342A" w:rsidRPr="00E0279D">
        <w:t xml:space="preserve"> and </w:t>
      </w:r>
      <w:r w:rsidR="001E3512" w:rsidRPr="00E0279D">
        <w:t xml:space="preserve">the market. </w:t>
      </w:r>
      <w:r w:rsidR="00A43C6A" w:rsidRPr="00E0279D">
        <w:t xml:space="preserve">Early engagement with the market will help your </w:t>
      </w:r>
      <w:r w:rsidR="00EE41F0" w:rsidRPr="00E0279D">
        <w:t>agency</w:t>
      </w:r>
      <w:r w:rsidR="00A43C6A" w:rsidRPr="00E0279D">
        <w:t xml:space="preserve"> to subsequently approach the market in the optimal way, and </w:t>
      </w:r>
      <w:r w:rsidR="008A4D9E" w:rsidRPr="00E0279D">
        <w:t xml:space="preserve">it </w:t>
      </w:r>
      <w:r w:rsidR="00771AD1" w:rsidRPr="00E0279D">
        <w:t xml:space="preserve">will also </w:t>
      </w:r>
      <w:r w:rsidR="00A43C6A" w:rsidRPr="00E0279D">
        <w:t xml:space="preserve">enable the market to be well prepared to offer competitive, fit-for-purpose solutions. </w:t>
      </w:r>
      <w:r w:rsidR="00771AD1" w:rsidRPr="00E0279D">
        <w:t xml:space="preserve">In these ways, early market </w:t>
      </w:r>
      <w:r w:rsidR="00D632E4" w:rsidRPr="00E0279D">
        <w:t>engagement</w:t>
      </w:r>
      <w:r w:rsidR="00A43C6A" w:rsidRPr="00E0279D">
        <w:t xml:space="preserve"> </w:t>
      </w:r>
      <w:r w:rsidR="00771AD1" w:rsidRPr="00E0279D">
        <w:t xml:space="preserve">sets the </w:t>
      </w:r>
      <w:r w:rsidR="00A43C6A" w:rsidRPr="00E0279D">
        <w:t xml:space="preserve">conditions </w:t>
      </w:r>
      <w:r w:rsidR="00771AD1" w:rsidRPr="00E0279D">
        <w:t>for obtaining the best possible value for money.</w:t>
      </w:r>
      <w:r w:rsidR="00771AD1">
        <w:t xml:space="preserve"> </w:t>
      </w:r>
      <w:r w:rsidR="00A43C6A">
        <w:t xml:space="preserve"> </w:t>
      </w:r>
    </w:p>
    <w:p w14:paraId="5C5AF66B" w14:textId="6F92E5AF" w:rsidR="00302068" w:rsidRDefault="00302068" w:rsidP="00704D53"/>
    <w:p w14:paraId="71826F45" w14:textId="77777777" w:rsidR="0036342A" w:rsidRDefault="0036342A" w:rsidP="00704D53"/>
    <w:p w14:paraId="513B9734" w14:textId="7FB43633" w:rsidR="007F1BA7" w:rsidRPr="00843160" w:rsidRDefault="00655AEA" w:rsidP="0092057D">
      <w:r>
        <w:t xml:space="preserve">© </w:t>
      </w:r>
      <w:r w:rsidR="007F1BA7" w:rsidRPr="00843160">
        <w:t xml:space="preserve">State of Victoria </w:t>
      </w:r>
      <w:r w:rsidR="00111D26">
        <w:t>2020</w:t>
      </w:r>
      <w:r>
        <w:t xml:space="preserve"> (</w:t>
      </w:r>
      <w:r w:rsidR="00111D26">
        <w:t>Department of Treasury and Finance</w:t>
      </w:r>
      <w:r w:rsidR="00D32372">
        <w:t>)</w:t>
      </w:r>
    </w:p>
    <w:p w14:paraId="76248D70" w14:textId="77777777" w:rsidR="007F1BA7" w:rsidRPr="00843160" w:rsidRDefault="007F1BA7" w:rsidP="0092057D">
      <w:r w:rsidRPr="00843160">
        <w:rPr>
          <w:noProof/>
        </w:rPr>
        <w:drawing>
          <wp:inline distT="0" distB="0" distL="0" distR="0" wp14:anchorId="0F5F074F" wp14:editId="4BA811A7">
            <wp:extent cx="1117460" cy="390972"/>
            <wp:effectExtent l="0" t="0" r="6985" b="9525"/>
            <wp:docPr id="2" name="Picture 2">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735302F0" w14:textId="77777777" w:rsidR="007F1BA7" w:rsidRPr="00843160" w:rsidRDefault="007F1BA7" w:rsidP="0092057D">
      <w:r w:rsidRPr="00843160">
        <w:t xml:space="preserve">This work is licensed under a </w:t>
      </w:r>
      <w:hyperlink r:id="rId20"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2A497C3" w14:textId="77777777" w:rsidR="00EB0A46" w:rsidRPr="00337BFD" w:rsidRDefault="007F1BA7" w:rsidP="0092057D">
      <w:pPr>
        <w:rPr>
          <w:color w:val="660B68"/>
        </w:rPr>
      </w:pPr>
      <w:r w:rsidRPr="00843160">
        <w:t xml:space="preserve">Copyright queries may be directed to </w:t>
      </w:r>
      <w:hyperlink r:id="rId21" w:history="1">
        <w:r w:rsidRPr="00C551C4">
          <w:rPr>
            <w:rStyle w:val="Hyperlink"/>
          </w:rPr>
          <w:t>IPpolicy@dtf.vic.gov.au</w:t>
        </w:r>
      </w:hyperlink>
    </w:p>
    <w:sectPr w:rsidR="00EB0A46" w:rsidRPr="00337BFD" w:rsidSect="0092057D">
      <w:headerReference w:type="default" r:id="rId22"/>
      <w:footerReference w:type="default" r:id="rId23"/>
      <w:headerReference w:type="first" r:id="rId24"/>
      <w:footerReference w:type="first" r:id="rId25"/>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2F2F" w14:textId="77777777" w:rsidR="00772ED1" w:rsidRDefault="00772ED1" w:rsidP="0092057D">
      <w:r>
        <w:separator/>
      </w:r>
    </w:p>
    <w:p w14:paraId="319BF25F" w14:textId="77777777" w:rsidR="00772ED1" w:rsidRDefault="00772ED1" w:rsidP="0092057D"/>
  </w:endnote>
  <w:endnote w:type="continuationSeparator" w:id="0">
    <w:p w14:paraId="188D59B2" w14:textId="77777777" w:rsidR="00772ED1" w:rsidRDefault="00772ED1" w:rsidP="0092057D">
      <w:r>
        <w:continuationSeparator/>
      </w:r>
    </w:p>
    <w:p w14:paraId="01B6B42B" w14:textId="77777777" w:rsidR="00772ED1" w:rsidRDefault="00772ED1"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EEE8" w14:textId="7FC96C29" w:rsidR="00D16A79" w:rsidRDefault="00D16A79" w:rsidP="00E074C6">
    <w:pPr>
      <w:pStyle w:val="Footer"/>
      <w:tabs>
        <w:tab w:val="clear" w:pos="8220"/>
        <w:tab w:val="right" w:pos="9741"/>
      </w:tabs>
      <w:jc w:val="left"/>
    </w:pPr>
    <w:r>
      <w:t>Victorian Government Purchasing Board</w:t>
    </w:r>
  </w:p>
  <w:p w14:paraId="728CDF25" w14:textId="292F3A83" w:rsidR="00D16A79" w:rsidRDefault="00D16A79" w:rsidP="00E074C6">
    <w:pPr>
      <w:pStyle w:val="Footer"/>
      <w:tabs>
        <w:tab w:val="clear" w:pos="8220"/>
        <w:tab w:val="right" w:pos="9741"/>
      </w:tabs>
      <w:jc w:val="left"/>
    </w:pPr>
    <w:r>
      <mc:AlternateContent>
        <mc:Choice Requires="wps">
          <w:drawing>
            <wp:anchor distT="0" distB="0" distL="114300" distR="114300" simplePos="0" relativeHeight="251658752" behindDoc="1" locked="0" layoutInCell="0" allowOverlap="1" wp14:anchorId="1FA215A1" wp14:editId="28247A10">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E4F5D" w14:textId="77777777" w:rsidR="00D16A79" w:rsidRPr="0092057D" w:rsidRDefault="00D16A79"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215A1"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" o:allowincell="f" filled="f" stroked="f" strokeweight=".5pt">
              <v:textbox inset="20pt,0,,0">
                <w:txbxContent>
                  <w:p w14:paraId="393E4F5D" w14:textId="77777777" w:rsidR="00D16A79" w:rsidRPr="0092057D" w:rsidRDefault="00D16A79"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t>GUIDE TO EARLY MARKET ENGAGEMENT</w:t>
            </w:r>
            <w:r>
              <w:br/>
              <w:t>June 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882E" w14:textId="77777777" w:rsidR="00D16A79" w:rsidRDefault="00D16A79" w:rsidP="003C0F49">
    <w:pPr>
      <w:pStyle w:val="Footer"/>
    </w:pPr>
    <w:r>
      <mc:AlternateContent>
        <mc:Choice Requires="wps">
          <w:drawing>
            <wp:anchor distT="0" distB="0" distL="114300" distR="114300" simplePos="0" relativeHeight="251657728" behindDoc="0" locked="0" layoutInCell="0" allowOverlap="1" wp14:anchorId="3F0D6763" wp14:editId="00440EBF">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E44A8" w14:textId="77777777" w:rsidR="00D16A79" w:rsidRPr="003A7B94" w:rsidRDefault="00D16A79"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0D6763"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GBHwMAAEE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aCMxgR8DAABBBgAADgAAAAAA&#10;AAAAAAAAAAAuAgAAZHJzL2Uyb0RvYy54bWxQSwECLQAUAAYACAAAACEAyEQiD94AAAALAQAADwAA&#10;AAAAAAAAAAAAAAB5BQAAZHJzL2Rvd25yZXYueG1sUEsFBgAAAAAEAAQA8wAAAIQGAAAAAA==&#10;" o:allowincell="f" filled="f" stroked="f" strokeweight=".5pt">
              <v:textbox inset="20pt,0,,0">
                <w:txbxContent>
                  <w:p w14:paraId="529E44A8" w14:textId="77777777" w:rsidR="00D16A79" w:rsidRPr="003A7B94" w:rsidRDefault="00D16A79"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4DF65754" wp14:editId="7E811638">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D827" w14:textId="77777777" w:rsidR="00772ED1" w:rsidRDefault="00772ED1" w:rsidP="0092057D">
      <w:r>
        <w:separator/>
      </w:r>
    </w:p>
    <w:p w14:paraId="7F5D35EB" w14:textId="77777777" w:rsidR="00772ED1" w:rsidRDefault="00772ED1" w:rsidP="0092057D"/>
  </w:footnote>
  <w:footnote w:type="continuationSeparator" w:id="0">
    <w:p w14:paraId="7D37C722" w14:textId="77777777" w:rsidR="00772ED1" w:rsidRDefault="00772ED1" w:rsidP="0092057D">
      <w:r>
        <w:continuationSeparator/>
      </w:r>
    </w:p>
    <w:p w14:paraId="5FDF4DC0" w14:textId="77777777" w:rsidR="00772ED1" w:rsidRDefault="00772ED1"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0D5F" w14:textId="4AEFFE27" w:rsidR="00D16A79" w:rsidRPr="00E074C6" w:rsidRDefault="00D16A79" w:rsidP="0092057D">
    <w:pPr>
      <w:pStyle w:val="Header"/>
      <w:spacing w:before="200" w:after="0"/>
      <w:ind w:right="-461"/>
    </w:pPr>
    <w:r>
      <w:drawing>
        <wp:inline distT="0" distB="0" distL="0" distR="0" wp14:anchorId="0DA7C1D3" wp14:editId="77C36FB9">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D722" w14:textId="77777777" w:rsidR="00D16A79" w:rsidRPr="007602D7" w:rsidRDefault="00D16A79" w:rsidP="0092057D">
    <w:pPr>
      <w:pStyle w:val="Header"/>
    </w:pPr>
    <w:r w:rsidRPr="000E286D">
      <w:drawing>
        <wp:anchor distT="0" distB="0" distL="114300" distR="114300" simplePos="0" relativeHeight="251656704" behindDoc="1" locked="0" layoutInCell="1" allowOverlap="1" wp14:anchorId="1A6B709C" wp14:editId="26CBDE60">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61ECA36" wp14:editId="16406272">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C40D0F"/>
    <w:multiLevelType w:val="hybridMultilevel"/>
    <w:tmpl w:val="4DC2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54455F4"/>
    <w:multiLevelType w:val="hybridMultilevel"/>
    <w:tmpl w:val="6CBC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DF6765F"/>
    <w:multiLevelType w:val="hybridMultilevel"/>
    <w:tmpl w:val="F888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4D0EAB"/>
    <w:multiLevelType w:val="hybridMultilevel"/>
    <w:tmpl w:val="ED1CC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16A50"/>
    <w:multiLevelType w:val="hybridMultilevel"/>
    <w:tmpl w:val="4AD08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6" w15:restartNumberingAfterBreak="0">
    <w:nsid w:val="459B1105"/>
    <w:multiLevelType w:val="hybridMultilevel"/>
    <w:tmpl w:val="587AC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9" w15:restartNumberingAfterBreak="0">
    <w:nsid w:val="4C6628D4"/>
    <w:multiLevelType w:val="hybridMultilevel"/>
    <w:tmpl w:val="10F04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26E17DD"/>
    <w:multiLevelType w:val="hybridMultilevel"/>
    <w:tmpl w:val="618A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5882359A"/>
    <w:multiLevelType w:val="hybridMultilevel"/>
    <w:tmpl w:val="0542F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171B95"/>
    <w:multiLevelType w:val="hybridMultilevel"/>
    <w:tmpl w:val="C1E8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6699A"/>
    <w:multiLevelType w:val="hybridMultilevel"/>
    <w:tmpl w:val="31A2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5B9418FC"/>
    <w:multiLevelType w:val="hybridMultilevel"/>
    <w:tmpl w:val="6C5C9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3" w15:restartNumberingAfterBreak="0">
    <w:nsid w:val="6579200E"/>
    <w:multiLevelType w:val="hybridMultilevel"/>
    <w:tmpl w:val="017E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5"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6"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7C0803"/>
    <w:multiLevelType w:val="hybridMultilevel"/>
    <w:tmpl w:val="331663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8" w15:restartNumberingAfterBreak="0">
    <w:nsid w:val="71982356"/>
    <w:multiLevelType w:val="hybridMultilevel"/>
    <w:tmpl w:val="CB66C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26861F3"/>
    <w:multiLevelType w:val="hybridMultilevel"/>
    <w:tmpl w:val="E7ECEA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7" w15:restartNumberingAfterBreak="0">
    <w:nsid w:val="7EB11955"/>
    <w:multiLevelType w:val="hybridMultilevel"/>
    <w:tmpl w:val="FE98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FC4A00"/>
    <w:multiLevelType w:val="hybridMultilevel"/>
    <w:tmpl w:val="5826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2"/>
  </w:num>
  <w:num w:numId="4">
    <w:abstractNumId w:val="25"/>
  </w:num>
  <w:num w:numId="5">
    <w:abstractNumId w:val="6"/>
  </w:num>
  <w:num w:numId="6">
    <w:abstractNumId w:val="5"/>
  </w:num>
  <w:num w:numId="7">
    <w:abstractNumId w:val="4"/>
  </w:num>
  <w:num w:numId="8">
    <w:abstractNumId w:val="50"/>
  </w:num>
  <w:num w:numId="9">
    <w:abstractNumId w:val="28"/>
  </w:num>
  <w:num w:numId="10">
    <w:abstractNumId w:val="12"/>
  </w:num>
  <w:num w:numId="11">
    <w:abstractNumId w:val="15"/>
  </w:num>
  <w:num w:numId="12">
    <w:abstractNumId w:val="49"/>
  </w:num>
  <w:num w:numId="13">
    <w:abstractNumId w:val="17"/>
  </w:num>
  <w:num w:numId="14">
    <w:abstractNumId w:val="37"/>
  </w:num>
  <w:num w:numId="15">
    <w:abstractNumId w:val="3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3"/>
  </w:num>
  <w:num w:numId="19">
    <w:abstractNumId w:val="2"/>
  </w:num>
  <w:num w:numId="20">
    <w:abstractNumId w:val="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8"/>
    <w:lvlOverride w:ilvl="0">
      <w:startOverride w:val="1"/>
    </w:lvlOverride>
  </w:num>
  <w:num w:numId="24">
    <w:abstractNumId w:val="38"/>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1"/>
  </w:num>
  <w:num w:numId="30">
    <w:abstractNumId w:val="21"/>
  </w:num>
  <w:num w:numId="31">
    <w:abstractNumId w:val="32"/>
  </w:num>
  <w:num w:numId="32">
    <w:abstractNumId w:val="44"/>
  </w:num>
  <w:num w:numId="33">
    <w:abstractNumId w:val="24"/>
  </w:num>
  <w:num w:numId="34">
    <w:abstractNumId w:val="58"/>
  </w:num>
  <w:num w:numId="35">
    <w:abstractNumId w:val="26"/>
  </w:num>
  <w:num w:numId="36">
    <w:abstractNumId w:val="19"/>
  </w:num>
  <w:num w:numId="37">
    <w:abstractNumId w:val="57"/>
  </w:num>
  <w:num w:numId="38">
    <w:abstractNumId w:val="34"/>
  </w:num>
  <w:num w:numId="39">
    <w:abstractNumId w:val="51"/>
  </w:num>
  <w:num w:numId="40">
    <w:abstractNumId w:val="59"/>
  </w:num>
  <w:num w:numId="41">
    <w:abstractNumId w:val="16"/>
  </w:num>
  <w:num w:numId="42">
    <w:abstractNumId w:val="36"/>
  </w:num>
  <w:num w:numId="43">
    <w:abstractNumId w:val="29"/>
  </w:num>
  <w:num w:numId="44">
    <w:abstractNumId w:val="14"/>
  </w:num>
  <w:num w:numId="45">
    <w:abstractNumId w:val="47"/>
  </w:num>
  <w:num w:numId="46">
    <w:abstractNumId w:val="43"/>
  </w:num>
  <w:num w:numId="47">
    <w:abstractNumId w:val="7"/>
  </w:num>
  <w:num w:numId="48">
    <w:abstractNumId w:val="18"/>
  </w:num>
  <w:num w:numId="49">
    <w:abstractNumId w:val="48"/>
  </w:num>
  <w:num w:numId="50">
    <w:abstractNumId w:val="31"/>
  </w:num>
  <w:num w:numId="51">
    <w:abstractNumId w:val="39"/>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2046"/>
    <w:rsid w:val="00045F7E"/>
    <w:rsid w:val="0004698A"/>
    <w:rsid w:val="000469DD"/>
    <w:rsid w:val="00055951"/>
    <w:rsid w:val="00063BFD"/>
    <w:rsid w:val="00070887"/>
    <w:rsid w:val="000851F5"/>
    <w:rsid w:val="00086691"/>
    <w:rsid w:val="000904BE"/>
    <w:rsid w:val="0009464E"/>
    <w:rsid w:val="000949CB"/>
    <w:rsid w:val="000A12C1"/>
    <w:rsid w:val="000A27DE"/>
    <w:rsid w:val="000B2BA4"/>
    <w:rsid w:val="000C09E4"/>
    <w:rsid w:val="000C141A"/>
    <w:rsid w:val="000C1C01"/>
    <w:rsid w:val="000C306C"/>
    <w:rsid w:val="000C3368"/>
    <w:rsid w:val="000C3814"/>
    <w:rsid w:val="000D0E2E"/>
    <w:rsid w:val="000E4881"/>
    <w:rsid w:val="000E5B4E"/>
    <w:rsid w:val="000F048A"/>
    <w:rsid w:val="000F389D"/>
    <w:rsid w:val="000F54E7"/>
    <w:rsid w:val="00100E93"/>
    <w:rsid w:val="0010299A"/>
    <w:rsid w:val="00104077"/>
    <w:rsid w:val="001105F6"/>
    <w:rsid w:val="00111D26"/>
    <w:rsid w:val="0011259B"/>
    <w:rsid w:val="00114E99"/>
    <w:rsid w:val="00115857"/>
    <w:rsid w:val="0011789C"/>
    <w:rsid w:val="001213BE"/>
    <w:rsid w:val="001251C4"/>
    <w:rsid w:val="00126C86"/>
    <w:rsid w:val="001279C6"/>
    <w:rsid w:val="00130776"/>
    <w:rsid w:val="00131480"/>
    <w:rsid w:val="00135230"/>
    <w:rsid w:val="00143A23"/>
    <w:rsid w:val="00157448"/>
    <w:rsid w:val="00164424"/>
    <w:rsid w:val="001712DA"/>
    <w:rsid w:val="00181844"/>
    <w:rsid w:val="00184E1A"/>
    <w:rsid w:val="0018749C"/>
    <w:rsid w:val="00191EC4"/>
    <w:rsid w:val="00193A9B"/>
    <w:rsid w:val="001A1E3B"/>
    <w:rsid w:val="001A7B19"/>
    <w:rsid w:val="001B0B3F"/>
    <w:rsid w:val="001B27EE"/>
    <w:rsid w:val="001B2978"/>
    <w:rsid w:val="001B45F3"/>
    <w:rsid w:val="001C0319"/>
    <w:rsid w:val="001C26F5"/>
    <w:rsid w:val="001C351D"/>
    <w:rsid w:val="001C6970"/>
    <w:rsid w:val="001D0547"/>
    <w:rsid w:val="001D60E6"/>
    <w:rsid w:val="001E0A43"/>
    <w:rsid w:val="001E3512"/>
    <w:rsid w:val="001E67A9"/>
    <w:rsid w:val="001F1E32"/>
    <w:rsid w:val="001F5571"/>
    <w:rsid w:val="001F79B7"/>
    <w:rsid w:val="00205B35"/>
    <w:rsid w:val="002063AC"/>
    <w:rsid w:val="00207B19"/>
    <w:rsid w:val="002123EC"/>
    <w:rsid w:val="00225175"/>
    <w:rsid w:val="00230BF1"/>
    <w:rsid w:val="00234196"/>
    <w:rsid w:val="002344F7"/>
    <w:rsid w:val="00240DCA"/>
    <w:rsid w:val="00241099"/>
    <w:rsid w:val="00250417"/>
    <w:rsid w:val="00252D94"/>
    <w:rsid w:val="00252F44"/>
    <w:rsid w:val="002578C1"/>
    <w:rsid w:val="00260106"/>
    <w:rsid w:val="00267317"/>
    <w:rsid w:val="00267638"/>
    <w:rsid w:val="00273A42"/>
    <w:rsid w:val="0028131A"/>
    <w:rsid w:val="00283A24"/>
    <w:rsid w:val="00295731"/>
    <w:rsid w:val="002A18C2"/>
    <w:rsid w:val="002A4C3E"/>
    <w:rsid w:val="002C23A0"/>
    <w:rsid w:val="002C2E83"/>
    <w:rsid w:val="002C4EC9"/>
    <w:rsid w:val="002C6424"/>
    <w:rsid w:val="002D77B0"/>
    <w:rsid w:val="002E7EFC"/>
    <w:rsid w:val="002F2549"/>
    <w:rsid w:val="002F64DF"/>
    <w:rsid w:val="002F759B"/>
    <w:rsid w:val="002F7AEB"/>
    <w:rsid w:val="0030077A"/>
    <w:rsid w:val="00302068"/>
    <w:rsid w:val="00307CC0"/>
    <w:rsid w:val="00322500"/>
    <w:rsid w:val="00325356"/>
    <w:rsid w:val="00337BFD"/>
    <w:rsid w:val="00346B24"/>
    <w:rsid w:val="00351035"/>
    <w:rsid w:val="0035331C"/>
    <w:rsid w:val="00356750"/>
    <w:rsid w:val="0036342A"/>
    <w:rsid w:val="00365045"/>
    <w:rsid w:val="00366405"/>
    <w:rsid w:val="003738EE"/>
    <w:rsid w:val="00376BA1"/>
    <w:rsid w:val="0038205B"/>
    <w:rsid w:val="00386859"/>
    <w:rsid w:val="00391977"/>
    <w:rsid w:val="00392E0C"/>
    <w:rsid w:val="00394D1C"/>
    <w:rsid w:val="00394EA9"/>
    <w:rsid w:val="003969A2"/>
    <w:rsid w:val="003A32E0"/>
    <w:rsid w:val="003A4A87"/>
    <w:rsid w:val="003A7900"/>
    <w:rsid w:val="003A7B94"/>
    <w:rsid w:val="003B0731"/>
    <w:rsid w:val="003B5700"/>
    <w:rsid w:val="003B5EDB"/>
    <w:rsid w:val="003B6A2C"/>
    <w:rsid w:val="003C0F49"/>
    <w:rsid w:val="003C3ED0"/>
    <w:rsid w:val="003D01BD"/>
    <w:rsid w:val="003E230C"/>
    <w:rsid w:val="003E66B9"/>
    <w:rsid w:val="003F016E"/>
    <w:rsid w:val="003F0864"/>
    <w:rsid w:val="003F3D31"/>
    <w:rsid w:val="003F45D9"/>
    <w:rsid w:val="003F4E27"/>
    <w:rsid w:val="003F516F"/>
    <w:rsid w:val="004113E1"/>
    <w:rsid w:val="00422FAB"/>
    <w:rsid w:val="00426C78"/>
    <w:rsid w:val="00427659"/>
    <w:rsid w:val="00430A03"/>
    <w:rsid w:val="00430F08"/>
    <w:rsid w:val="00435162"/>
    <w:rsid w:val="00436091"/>
    <w:rsid w:val="004455A7"/>
    <w:rsid w:val="00451758"/>
    <w:rsid w:val="00462DB3"/>
    <w:rsid w:val="00466D77"/>
    <w:rsid w:val="00467979"/>
    <w:rsid w:val="00475FC8"/>
    <w:rsid w:val="00480708"/>
    <w:rsid w:val="004907E5"/>
    <w:rsid w:val="0049402F"/>
    <w:rsid w:val="004978FC"/>
    <w:rsid w:val="004A2DD7"/>
    <w:rsid w:val="004A460D"/>
    <w:rsid w:val="004A5C2E"/>
    <w:rsid w:val="004B0978"/>
    <w:rsid w:val="004B534D"/>
    <w:rsid w:val="004B684D"/>
    <w:rsid w:val="004C7E27"/>
    <w:rsid w:val="004D7D40"/>
    <w:rsid w:val="004F1A9B"/>
    <w:rsid w:val="004F4904"/>
    <w:rsid w:val="004F6237"/>
    <w:rsid w:val="005013B3"/>
    <w:rsid w:val="00501AEF"/>
    <w:rsid w:val="00504595"/>
    <w:rsid w:val="00505FD8"/>
    <w:rsid w:val="00506E38"/>
    <w:rsid w:val="00510293"/>
    <w:rsid w:val="0051295C"/>
    <w:rsid w:val="005155EC"/>
    <w:rsid w:val="00517919"/>
    <w:rsid w:val="00535B0C"/>
    <w:rsid w:val="00536699"/>
    <w:rsid w:val="0054032A"/>
    <w:rsid w:val="005405DF"/>
    <w:rsid w:val="00542A7C"/>
    <w:rsid w:val="005433CB"/>
    <w:rsid w:val="005530CD"/>
    <w:rsid w:val="00562809"/>
    <w:rsid w:val="005637F1"/>
    <w:rsid w:val="00564D54"/>
    <w:rsid w:val="005733B2"/>
    <w:rsid w:val="00573DFF"/>
    <w:rsid w:val="00574189"/>
    <w:rsid w:val="00576A56"/>
    <w:rsid w:val="00577C5A"/>
    <w:rsid w:val="0058000E"/>
    <w:rsid w:val="00580BCC"/>
    <w:rsid w:val="00583851"/>
    <w:rsid w:val="005867F0"/>
    <w:rsid w:val="005A2294"/>
    <w:rsid w:val="005A4D59"/>
    <w:rsid w:val="005A51DC"/>
    <w:rsid w:val="005B39F7"/>
    <w:rsid w:val="005B4291"/>
    <w:rsid w:val="005B7317"/>
    <w:rsid w:val="005C4CAB"/>
    <w:rsid w:val="005C60BE"/>
    <w:rsid w:val="005C69CC"/>
    <w:rsid w:val="005C754B"/>
    <w:rsid w:val="005D09DE"/>
    <w:rsid w:val="005D33BD"/>
    <w:rsid w:val="005D3801"/>
    <w:rsid w:val="005D4796"/>
    <w:rsid w:val="005D502E"/>
    <w:rsid w:val="005D5CB0"/>
    <w:rsid w:val="005E006C"/>
    <w:rsid w:val="005E32AE"/>
    <w:rsid w:val="005F0BBF"/>
    <w:rsid w:val="005F0BE7"/>
    <w:rsid w:val="005F6958"/>
    <w:rsid w:val="005F79C6"/>
    <w:rsid w:val="0060373E"/>
    <w:rsid w:val="00610AFF"/>
    <w:rsid w:val="0061436C"/>
    <w:rsid w:val="00621843"/>
    <w:rsid w:val="0062775C"/>
    <w:rsid w:val="0063395C"/>
    <w:rsid w:val="00636B57"/>
    <w:rsid w:val="006438F6"/>
    <w:rsid w:val="00645ADA"/>
    <w:rsid w:val="00647E27"/>
    <w:rsid w:val="00652482"/>
    <w:rsid w:val="00655AEA"/>
    <w:rsid w:val="00662658"/>
    <w:rsid w:val="00662F3F"/>
    <w:rsid w:val="006666E4"/>
    <w:rsid w:val="0066682B"/>
    <w:rsid w:val="00666B17"/>
    <w:rsid w:val="00670B66"/>
    <w:rsid w:val="00677AD1"/>
    <w:rsid w:val="0068353D"/>
    <w:rsid w:val="0068495A"/>
    <w:rsid w:val="006866A7"/>
    <w:rsid w:val="006913E2"/>
    <w:rsid w:val="00692CFF"/>
    <w:rsid w:val="00694E47"/>
    <w:rsid w:val="006A1C68"/>
    <w:rsid w:val="006A4171"/>
    <w:rsid w:val="006A5C14"/>
    <w:rsid w:val="006A627F"/>
    <w:rsid w:val="006A7D93"/>
    <w:rsid w:val="006A7ED6"/>
    <w:rsid w:val="006A7FFE"/>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4D53"/>
    <w:rsid w:val="00706BFC"/>
    <w:rsid w:val="00715221"/>
    <w:rsid w:val="0071554E"/>
    <w:rsid w:val="00721AE2"/>
    <w:rsid w:val="007236B8"/>
    <w:rsid w:val="0072437E"/>
    <w:rsid w:val="00724EA7"/>
    <w:rsid w:val="007254AC"/>
    <w:rsid w:val="00730EE9"/>
    <w:rsid w:val="00731D56"/>
    <w:rsid w:val="0073778D"/>
    <w:rsid w:val="00745F07"/>
    <w:rsid w:val="00747EAA"/>
    <w:rsid w:val="00750B16"/>
    <w:rsid w:val="00752AD5"/>
    <w:rsid w:val="00753A37"/>
    <w:rsid w:val="0075637D"/>
    <w:rsid w:val="007602D7"/>
    <w:rsid w:val="00771AD1"/>
    <w:rsid w:val="00771EC3"/>
    <w:rsid w:val="00772ED1"/>
    <w:rsid w:val="0077373E"/>
    <w:rsid w:val="00773ACE"/>
    <w:rsid w:val="0077512D"/>
    <w:rsid w:val="007809B7"/>
    <w:rsid w:val="00781FAB"/>
    <w:rsid w:val="00782E8F"/>
    <w:rsid w:val="00782F61"/>
    <w:rsid w:val="00784401"/>
    <w:rsid w:val="00785F89"/>
    <w:rsid w:val="0078611A"/>
    <w:rsid w:val="0078774E"/>
    <w:rsid w:val="00790E3E"/>
    <w:rsid w:val="00794FD6"/>
    <w:rsid w:val="007A6388"/>
    <w:rsid w:val="007B0B41"/>
    <w:rsid w:val="007B0E7B"/>
    <w:rsid w:val="007B4F5D"/>
    <w:rsid w:val="007B511D"/>
    <w:rsid w:val="007B546A"/>
    <w:rsid w:val="007C0F87"/>
    <w:rsid w:val="007C1C48"/>
    <w:rsid w:val="007C3340"/>
    <w:rsid w:val="007C35C1"/>
    <w:rsid w:val="007C7C80"/>
    <w:rsid w:val="007D6194"/>
    <w:rsid w:val="007E2871"/>
    <w:rsid w:val="007E68A0"/>
    <w:rsid w:val="007F1BA7"/>
    <w:rsid w:val="007F71F7"/>
    <w:rsid w:val="00801190"/>
    <w:rsid w:val="00803B4C"/>
    <w:rsid w:val="00804224"/>
    <w:rsid w:val="00810AB4"/>
    <w:rsid w:val="00813444"/>
    <w:rsid w:val="00813D23"/>
    <w:rsid w:val="00820D82"/>
    <w:rsid w:val="00821B10"/>
    <w:rsid w:val="0082311D"/>
    <w:rsid w:val="0082337A"/>
    <w:rsid w:val="008233C9"/>
    <w:rsid w:val="00840293"/>
    <w:rsid w:val="008410D5"/>
    <w:rsid w:val="00842A8F"/>
    <w:rsid w:val="008433CF"/>
    <w:rsid w:val="00846677"/>
    <w:rsid w:val="00850E55"/>
    <w:rsid w:val="008645CD"/>
    <w:rsid w:val="0086474A"/>
    <w:rsid w:val="00866F67"/>
    <w:rsid w:val="00870531"/>
    <w:rsid w:val="0087108A"/>
    <w:rsid w:val="00872CD7"/>
    <w:rsid w:val="00886A1C"/>
    <w:rsid w:val="008A0907"/>
    <w:rsid w:val="008A3BC9"/>
    <w:rsid w:val="008A3BE3"/>
    <w:rsid w:val="008A4D9E"/>
    <w:rsid w:val="008B00A2"/>
    <w:rsid w:val="008B33D6"/>
    <w:rsid w:val="008B75C0"/>
    <w:rsid w:val="008B7C35"/>
    <w:rsid w:val="008C5DD9"/>
    <w:rsid w:val="008D2825"/>
    <w:rsid w:val="008D74B1"/>
    <w:rsid w:val="008E5070"/>
    <w:rsid w:val="008E7403"/>
    <w:rsid w:val="008F1C0C"/>
    <w:rsid w:val="008F1E40"/>
    <w:rsid w:val="00900A09"/>
    <w:rsid w:val="009047F0"/>
    <w:rsid w:val="009074D9"/>
    <w:rsid w:val="00910F09"/>
    <w:rsid w:val="0091211A"/>
    <w:rsid w:val="00915450"/>
    <w:rsid w:val="009167ED"/>
    <w:rsid w:val="0091711E"/>
    <w:rsid w:val="0092057D"/>
    <w:rsid w:val="00925CAA"/>
    <w:rsid w:val="00933996"/>
    <w:rsid w:val="009342B3"/>
    <w:rsid w:val="00935427"/>
    <w:rsid w:val="00936266"/>
    <w:rsid w:val="00951F3D"/>
    <w:rsid w:val="00956416"/>
    <w:rsid w:val="009572B6"/>
    <w:rsid w:val="0096064E"/>
    <w:rsid w:val="009622DF"/>
    <w:rsid w:val="0096251B"/>
    <w:rsid w:val="009647C8"/>
    <w:rsid w:val="00967F9A"/>
    <w:rsid w:val="0097681F"/>
    <w:rsid w:val="00976B7B"/>
    <w:rsid w:val="0098017E"/>
    <w:rsid w:val="009803D6"/>
    <w:rsid w:val="00985279"/>
    <w:rsid w:val="0098787E"/>
    <w:rsid w:val="00992321"/>
    <w:rsid w:val="00993D1E"/>
    <w:rsid w:val="00995531"/>
    <w:rsid w:val="009A419F"/>
    <w:rsid w:val="009A488C"/>
    <w:rsid w:val="009A6A13"/>
    <w:rsid w:val="009C2652"/>
    <w:rsid w:val="009C2923"/>
    <w:rsid w:val="009C3719"/>
    <w:rsid w:val="009C51C5"/>
    <w:rsid w:val="009C759C"/>
    <w:rsid w:val="009D19FA"/>
    <w:rsid w:val="009D1B11"/>
    <w:rsid w:val="009D34EB"/>
    <w:rsid w:val="009D62AB"/>
    <w:rsid w:val="009E5467"/>
    <w:rsid w:val="009E5F72"/>
    <w:rsid w:val="00A011B7"/>
    <w:rsid w:val="00A12765"/>
    <w:rsid w:val="00A135CF"/>
    <w:rsid w:val="00A13A1B"/>
    <w:rsid w:val="00A2000E"/>
    <w:rsid w:val="00A21A89"/>
    <w:rsid w:val="00A22FC7"/>
    <w:rsid w:val="00A23384"/>
    <w:rsid w:val="00A26015"/>
    <w:rsid w:val="00A27276"/>
    <w:rsid w:val="00A37A4F"/>
    <w:rsid w:val="00A40F98"/>
    <w:rsid w:val="00A43C6A"/>
    <w:rsid w:val="00A47708"/>
    <w:rsid w:val="00A51772"/>
    <w:rsid w:val="00A5202A"/>
    <w:rsid w:val="00A52822"/>
    <w:rsid w:val="00A56E0B"/>
    <w:rsid w:val="00A62523"/>
    <w:rsid w:val="00A6456E"/>
    <w:rsid w:val="00A67EEB"/>
    <w:rsid w:val="00A77349"/>
    <w:rsid w:val="00A8571E"/>
    <w:rsid w:val="00A874BB"/>
    <w:rsid w:val="00A87845"/>
    <w:rsid w:val="00A87DB4"/>
    <w:rsid w:val="00A9084A"/>
    <w:rsid w:val="00A90F14"/>
    <w:rsid w:val="00A91FBE"/>
    <w:rsid w:val="00AA1F0F"/>
    <w:rsid w:val="00AA2732"/>
    <w:rsid w:val="00AB7CF9"/>
    <w:rsid w:val="00AC27DA"/>
    <w:rsid w:val="00AC476E"/>
    <w:rsid w:val="00AC748E"/>
    <w:rsid w:val="00AD0A7D"/>
    <w:rsid w:val="00AD2349"/>
    <w:rsid w:val="00AE6C2E"/>
    <w:rsid w:val="00AE6FDD"/>
    <w:rsid w:val="00AE7BC6"/>
    <w:rsid w:val="00AF07AF"/>
    <w:rsid w:val="00AF3197"/>
    <w:rsid w:val="00AF61ED"/>
    <w:rsid w:val="00AF63CF"/>
    <w:rsid w:val="00AF7E39"/>
    <w:rsid w:val="00B10361"/>
    <w:rsid w:val="00B12BD8"/>
    <w:rsid w:val="00B217D9"/>
    <w:rsid w:val="00B329C5"/>
    <w:rsid w:val="00B3351E"/>
    <w:rsid w:val="00B36FD5"/>
    <w:rsid w:val="00B4028F"/>
    <w:rsid w:val="00B44C41"/>
    <w:rsid w:val="00B54CCA"/>
    <w:rsid w:val="00B54F88"/>
    <w:rsid w:val="00B5641B"/>
    <w:rsid w:val="00B57C72"/>
    <w:rsid w:val="00B60925"/>
    <w:rsid w:val="00B766F6"/>
    <w:rsid w:val="00B76A1F"/>
    <w:rsid w:val="00B82136"/>
    <w:rsid w:val="00B94A0B"/>
    <w:rsid w:val="00B96F20"/>
    <w:rsid w:val="00BA06BB"/>
    <w:rsid w:val="00BA277B"/>
    <w:rsid w:val="00BA68D3"/>
    <w:rsid w:val="00BA7830"/>
    <w:rsid w:val="00BB13B7"/>
    <w:rsid w:val="00BB2DFE"/>
    <w:rsid w:val="00BC0072"/>
    <w:rsid w:val="00BC0888"/>
    <w:rsid w:val="00BC5C55"/>
    <w:rsid w:val="00BC60A9"/>
    <w:rsid w:val="00BD157D"/>
    <w:rsid w:val="00BD4270"/>
    <w:rsid w:val="00BD45AA"/>
    <w:rsid w:val="00BD58B2"/>
    <w:rsid w:val="00BE09D0"/>
    <w:rsid w:val="00BE1393"/>
    <w:rsid w:val="00BE47AF"/>
    <w:rsid w:val="00BF1768"/>
    <w:rsid w:val="00BF45C5"/>
    <w:rsid w:val="00C01977"/>
    <w:rsid w:val="00C10E1D"/>
    <w:rsid w:val="00C16FF3"/>
    <w:rsid w:val="00C20BD7"/>
    <w:rsid w:val="00C252AE"/>
    <w:rsid w:val="00C3191D"/>
    <w:rsid w:val="00C32BE7"/>
    <w:rsid w:val="00C41C46"/>
    <w:rsid w:val="00C54459"/>
    <w:rsid w:val="00C551C4"/>
    <w:rsid w:val="00C61274"/>
    <w:rsid w:val="00C71D9D"/>
    <w:rsid w:val="00C72E40"/>
    <w:rsid w:val="00C75746"/>
    <w:rsid w:val="00C76683"/>
    <w:rsid w:val="00C81316"/>
    <w:rsid w:val="00C84E26"/>
    <w:rsid w:val="00C850E0"/>
    <w:rsid w:val="00C95127"/>
    <w:rsid w:val="00CA4310"/>
    <w:rsid w:val="00CB72F7"/>
    <w:rsid w:val="00CB793A"/>
    <w:rsid w:val="00CC166E"/>
    <w:rsid w:val="00CC53FE"/>
    <w:rsid w:val="00CC68C9"/>
    <w:rsid w:val="00CD6D5C"/>
    <w:rsid w:val="00CE2166"/>
    <w:rsid w:val="00CE3DDF"/>
    <w:rsid w:val="00CF1608"/>
    <w:rsid w:val="00D000C1"/>
    <w:rsid w:val="00D02DC2"/>
    <w:rsid w:val="00D02FF2"/>
    <w:rsid w:val="00D06C25"/>
    <w:rsid w:val="00D11F44"/>
    <w:rsid w:val="00D16A79"/>
    <w:rsid w:val="00D1748F"/>
    <w:rsid w:val="00D23B31"/>
    <w:rsid w:val="00D2478F"/>
    <w:rsid w:val="00D25125"/>
    <w:rsid w:val="00D302F6"/>
    <w:rsid w:val="00D319C9"/>
    <w:rsid w:val="00D31E02"/>
    <w:rsid w:val="00D32372"/>
    <w:rsid w:val="00D355EE"/>
    <w:rsid w:val="00D40B9E"/>
    <w:rsid w:val="00D456E5"/>
    <w:rsid w:val="00D57AA5"/>
    <w:rsid w:val="00D61950"/>
    <w:rsid w:val="00D632E4"/>
    <w:rsid w:val="00D74C3E"/>
    <w:rsid w:val="00D75112"/>
    <w:rsid w:val="00D7522D"/>
    <w:rsid w:val="00D75501"/>
    <w:rsid w:val="00D80AEE"/>
    <w:rsid w:val="00D90B1F"/>
    <w:rsid w:val="00D9495D"/>
    <w:rsid w:val="00D9558C"/>
    <w:rsid w:val="00DA1FE7"/>
    <w:rsid w:val="00DA4453"/>
    <w:rsid w:val="00DA659B"/>
    <w:rsid w:val="00DB464D"/>
    <w:rsid w:val="00DB4C5B"/>
    <w:rsid w:val="00DB5A6E"/>
    <w:rsid w:val="00DB74A7"/>
    <w:rsid w:val="00DC3EAB"/>
    <w:rsid w:val="00DC4436"/>
    <w:rsid w:val="00DD2C1F"/>
    <w:rsid w:val="00DD2C9D"/>
    <w:rsid w:val="00DD3C58"/>
    <w:rsid w:val="00DD4AC6"/>
    <w:rsid w:val="00DD6206"/>
    <w:rsid w:val="00DD6D24"/>
    <w:rsid w:val="00DE2773"/>
    <w:rsid w:val="00DE3260"/>
    <w:rsid w:val="00DE6D90"/>
    <w:rsid w:val="00DE75A9"/>
    <w:rsid w:val="00DE7990"/>
    <w:rsid w:val="00E0279D"/>
    <w:rsid w:val="00E03C3C"/>
    <w:rsid w:val="00E05F22"/>
    <w:rsid w:val="00E074C6"/>
    <w:rsid w:val="00E12836"/>
    <w:rsid w:val="00E14C9A"/>
    <w:rsid w:val="00E20BB5"/>
    <w:rsid w:val="00E23EC0"/>
    <w:rsid w:val="00E307C9"/>
    <w:rsid w:val="00E31202"/>
    <w:rsid w:val="00E32254"/>
    <w:rsid w:val="00E35100"/>
    <w:rsid w:val="00E3726E"/>
    <w:rsid w:val="00E4603A"/>
    <w:rsid w:val="00E46801"/>
    <w:rsid w:val="00E500D1"/>
    <w:rsid w:val="00E5224A"/>
    <w:rsid w:val="00E557E9"/>
    <w:rsid w:val="00E66462"/>
    <w:rsid w:val="00E728E9"/>
    <w:rsid w:val="00E7585E"/>
    <w:rsid w:val="00E8092E"/>
    <w:rsid w:val="00E900DF"/>
    <w:rsid w:val="00E9720E"/>
    <w:rsid w:val="00E97E50"/>
    <w:rsid w:val="00EA07C3"/>
    <w:rsid w:val="00EA24D2"/>
    <w:rsid w:val="00EA2773"/>
    <w:rsid w:val="00EB0A46"/>
    <w:rsid w:val="00EB2189"/>
    <w:rsid w:val="00EB646B"/>
    <w:rsid w:val="00EC0F51"/>
    <w:rsid w:val="00EC1C00"/>
    <w:rsid w:val="00EC708F"/>
    <w:rsid w:val="00EC764D"/>
    <w:rsid w:val="00ED03A1"/>
    <w:rsid w:val="00ED22BC"/>
    <w:rsid w:val="00ED26A1"/>
    <w:rsid w:val="00ED3FF9"/>
    <w:rsid w:val="00ED45BB"/>
    <w:rsid w:val="00EE41F0"/>
    <w:rsid w:val="00EE7442"/>
    <w:rsid w:val="00EF03B9"/>
    <w:rsid w:val="00EF17FB"/>
    <w:rsid w:val="00EF2DC9"/>
    <w:rsid w:val="00EF637C"/>
    <w:rsid w:val="00F006B6"/>
    <w:rsid w:val="00F00827"/>
    <w:rsid w:val="00F031EB"/>
    <w:rsid w:val="00F15703"/>
    <w:rsid w:val="00F2078D"/>
    <w:rsid w:val="00F23661"/>
    <w:rsid w:val="00F2435D"/>
    <w:rsid w:val="00F2502B"/>
    <w:rsid w:val="00F25823"/>
    <w:rsid w:val="00F26F35"/>
    <w:rsid w:val="00F2728B"/>
    <w:rsid w:val="00F31235"/>
    <w:rsid w:val="00F35509"/>
    <w:rsid w:val="00F355BA"/>
    <w:rsid w:val="00F42424"/>
    <w:rsid w:val="00F42854"/>
    <w:rsid w:val="00F51ECD"/>
    <w:rsid w:val="00F52F0F"/>
    <w:rsid w:val="00F56CE8"/>
    <w:rsid w:val="00F57633"/>
    <w:rsid w:val="00F64DD4"/>
    <w:rsid w:val="00F67E0A"/>
    <w:rsid w:val="00F75426"/>
    <w:rsid w:val="00F85551"/>
    <w:rsid w:val="00F96D72"/>
    <w:rsid w:val="00FA0273"/>
    <w:rsid w:val="00FB659B"/>
    <w:rsid w:val="00FB6B27"/>
    <w:rsid w:val="00FC023A"/>
    <w:rsid w:val="00FD36B9"/>
    <w:rsid w:val="00FF1032"/>
    <w:rsid w:val="00FF44BC"/>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9,#4d4d4d,maroon"/>
    </o:shapedefaults>
    <o:shapelayout v:ext="edit">
      <o:idmap v:ext="edit" data="1"/>
    </o:shapelayout>
  </w:shapeDefaults>
  <w:decimalSymbol w:val="."/>
  <w:listSeparator w:val=","/>
  <w14:docId w14:val="3642BF27"/>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uiPriority w:val="22"/>
    <w:qFormat/>
    <w:rsid w:val="009803D6"/>
    <w:rPr>
      <w:b/>
      <w:bCs/>
    </w:rPr>
  </w:style>
  <w:style w:type="paragraph" w:styleId="NoSpacing">
    <w:name w:val="No Spacing"/>
    <w:uiPriority w:val="1"/>
    <w:qFormat/>
    <w:rsid w:val="009803D6"/>
    <w:pPr>
      <w:spacing w:before="100"/>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pre-commercial-procurement-goods-and-services-procurement-guide" TargetMode="External"/><Relationship Id="rId18" Type="http://schemas.openxmlformats.org/officeDocument/2006/relationships/hyperlink" Target="http://creativecommons.org/licenses/by/3.0/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Ppolicy@dtf.vic.gov.au" TargetMode="External"/><Relationship Id="rId7" Type="http://schemas.openxmlformats.org/officeDocument/2006/relationships/footnotes" Target="footnotes.xml"/><Relationship Id="rId12" Type="http://schemas.openxmlformats.org/officeDocument/2006/relationships/hyperlink" Target="https://www.buyingfor.vic.gov.au/guide-procuring-uniforms-and-personal-protective-equipment" TargetMode="External"/><Relationship Id="rId17" Type="http://schemas.openxmlformats.org/officeDocument/2006/relationships/hyperlink" Target="https://www.buyingfor.vic.gov.au/complexity-goods-and-services-procurement-gui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uyingfor.vic.gov.au/probity-procurement-goods-and-services-procurement-guide"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local-jobs-firs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uyingfor.vic.gov.au/market-approach-goods-and-services-policy-and-guides" TargetMode="External"/><Relationship Id="rId23" Type="http://schemas.openxmlformats.org/officeDocument/2006/relationships/footer" Target="footer1.xml"/><Relationship Id="rId10" Type="http://schemas.openxmlformats.org/officeDocument/2006/relationships/hyperlink" Target="https://www.buyingfor.vic.gov.au/social-procurement-victorian-government-approach"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buyingfor.vic.gov.au/innovation-and-procurement-process-goods-and-services-procurement-guide" TargetMode="External"/><Relationship Id="rId14" Type="http://schemas.openxmlformats.org/officeDocument/2006/relationships/hyperlink" Target="https://www.buyingfor.vic.gov.au/market-analysis-and-review-goods-and-services-policy-and-guide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0D5F-D5C2-46C6-A14E-392069768753}">
  <ds:schemaRefs>
    <ds:schemaRef ds:uri="http://www.w3.org/2001/XMLSchema"/>
  </ds:schemaRefs>
</ds:datastoreItem>
</file>

<file path=customXml/itemProps2.xml><?xml version="1.0" encoding="utf-8"?>
<ds:datastoreItem xmlns:ds="http://schemas.openxmlformats.org/officeDocument/2006/customXml" ds:itemID="{22D0F5C4-326A-4BEC-B84B-A14A09FF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 Huynh (DTF)</dc:creator>
  <dc:description>TRIM Record Number: in TRIM database:PT</dc:description>
  <cp:lastModifiedBy>Vanessa Coles (DTF)</cp:lastModifiedBy>
  <cp:revision>4</cp:revision>
  <cp:lastPrinted>2019-06-14T02:15:00Z</cp:lastPrinted>
  <dcterms:created xsi:type="dcterms:W3CDTF">2020-06-30T03:10:00Z</dcterms:created>
  <dcterms:modified xsi:type="dcterms:W3CDTF">2020-06-30T04:35:00Z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