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10596" w14:textId="3513B61B" w:rsidR="0096595A" w:rsidRDefault="0096595A" w:rsidP="0096595A">
      <w:pPr>
        <w:pStyle w:val="Caption"/>
        <w:rPr>
          <w:rFonts w:asciiTheme="majorHAnsi" w:eastAsiaTheme="majorEastAsia" w:hAnsiTheme="majorHAnsi" w:cstheme="majorHAnsi"/>
          <w:bCs/>
          <w:color w:val="000000" w:themeColor="text1"/>
          <w:sz w:val="28"/>
          <w:szCs w:val="28"/>
        </w:rPr>
      </w:pPr>
      <w:bookmarkStart w:id="0" w:name="_Ref519678912"/>
      <w:bookmarkStart w:id="1" w:name="_Toc503949257"/>
      <w:bookmarkStart w:id="2" w:name="_Toc12717998"/>
      <w:bookmarkStart w:id="3" w:name="_Toc17130220"/>
      <w:bookmarkStart w:id="4" w:name="_Toc48837167"/>
      <w:bookmarkStart w:id="5" w:name="_Toc49185557"/>
      <w:r w:rsidRPr="00F42DAB">
        <w:rPr>
          <w:rFonts w:asciiTheme="majorHAnsi" w:eastAsiaTheme="majorEastAsia" w:hAnsiTheme="majorHAnsi" w:cstheme="majorHAnsi"/>
          <w:bCs/>
          <w:color w:val="000000" w:themeColor="text1"/>
          <w:sz w:val="28"/>
          <w:szCs w:val="28"/>
        </w:rPr>
        <w:t xml:space="preserve">Table </w:t>
      </w:r>
      <w:bookmarkEnd w:id="0"/>
      <w:r w:rsidRPr="00F42DAB">
        <w:rPr>
          <w:rFonts w:asciiTheme="majorHAnsi" w:eastAsiaTheme="majorEastAsia" w:hAnsiTheme="majorHAnsi" w:cstheme="majorHAnsi"/>
          <w:bCs/>
          <w:color w:val="000000" w:themeColor="text1"/>
          <w:sz w:val="28"/>
          <w:szCs w:val="28"/>
        </w:rPr>
        <w:t xml:space="preserve">Cenitex performance in </w:t>
      </w:r>
      <w:bookmarkEnd w:id="1"/>
      <w:r w:rsidRPr="00F42DAB">
        <w:rPr>
          <w:rFonts w:asciiTheme="majorHAnsi" w:eastAsiaTheme="majorEastAsia" w:hAnsiTheme="majorHAnsi" w:cstheme="majorHAnsi"/>
          <w:bCs/>
          <w:color w:val="000000" w:themeColor="text1"/>
          <w:sz w:val="28"/>
          <w:szCs w:val="28"/>
        </w:rPr>
        <w:t>2019–20</w:t>
      </w:r>
      <w:bookmarkEnd w:id="2"/>
      <w:bookmarkEnd w:id="3"/>
      <w:bookmarkEnd w:id="4"/>
      <w:bookmarkEnd w:id="5"/>
    </w:p>
    <w:p w14:paraId="503E005A" w14:textId="77777777" w:rsidR="00F42DAB" w:rsidRPr="00F42DAB" w:rsidRDefault="00F42DAB" w:rsidP="00F42DAB"/>
    <w:p w14:paraId="3EC0FFB1" w14:textId="1A4DC2EA" w:rsidR="00F42DAB" w:rsidRPr="00F42DAB" w:rsidRDefault="00F42DAB" w:rsidP="00F42DAB">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Extract from Victorian Gover</w:t>
      </w:r>
      <w:bookmarkStart w:id="6" w:name="_GoBack"/>
      <w:bookmarkEnd w:id="6"/>
      <w:r w:rsidRPr="008A4523">
        <w:rPr>
          <w:rFonts w:ascii="Calibri" w:eastAsiaTheme="minorHAnsi" w:hAnsi="Calibri" w:cs="Calibri"/>
          <w:sz w:val="20"/>
          <w:szCs w:val="20"/>
          <w:lang w:val="en-US" w:eastAsia="en-US"/>
        </w:rPr>
        <w:t xml:space="preserve">nment Purchasing Board </w:t>
      </w:r>
      <w:r w:rsidR="00F004B3">
        <w:rPr>
          <w:rFonts w:ascii="Calibri" w:eastAsiaTheme="minorHAnsi" w:hAnsi="Calibri" w:cs="Calibri"/>
          <w:sz w:val="20"/>
          <w:szCs w:val="20"/>
          <w:lang w:val="en-US" w:eastAsia="en-US"/>
        </w:rPr>
        <w:t xml:space="preserve">Annual Report </w:t>
      </w:r>
      <w:r w:rsidRPr="008A4523">
        <w:rPr>
          <w:rFonts w:ascii="Calibri" w:eastAsiaTheme="minorHAnsi" w:hAnsi="Calibri" w:cs="Calibri"/>
          <w:sz w:val="20"/>
          <w:szCs w:val="20"/>
          <w:lang w:val="en-US" w:eastAsia="en-US"/>
        </w:rPr>
        <w:t>2019-20</w:t>
      </w:r>
    </w:p>
    <w:p w14:paraId="53E6E830" w14:textId="77777777" w:rsidR="00F42DAB" w:rsidRPr="00F42DAB" w:rsidRDefault="00F42DAB" w:rsidP="00F42DAB"/>
    <w:tbl>
      <w:tblPr>
        <w:tblStyle w:val="TableGrid1"/>
        <w:tblW w:w="9072" w:type="dxa"/>
        <w:tblInd w:w="704" w:type="dxa"/>
        <w:tblLook w:val="04A0" w:firstRow="1" w:lastRow="0" w:firstColumn="1" w:lastColumn="0" w:noHBand="0" w:noVBand="1"/>
      </w:tblPr>
      <w:tblGrid>
        <w:gridCol w:w="3402"/>
        <w:gridCol w:w="2263"/>
        <w:gridCol w:w="6"/>
        <w:gridCol w:w="1133"/>
        <w:gridCol w:w="1134"/>
        <w:gridCol w:w="1134"/>
      </w:tblGrid>
      <w:tr w:rsidR="0096595A" w:rsidRPr="00DA1E79" w14:paraId="733075BC" w14:textId="77777777" w:rsidTr="002F32B2">
        <w:tc>
          <w:tcPr>
            <w:tcW w:w="5671" w:type="dxa"/>
            <w:gridSpan w:val="3"/>
            <w:vMerge w:val="restart"/>
          </w:tcPr>
          <w:p w14:paraId="7F102062" w14:textId="77777777" w:rsidR="0096595A" w:rsidRPr="00DA1E79" w:rsidRDefault="0096595A" w:rsidP="002F32B2">
            <w:pPr>
              <w:pStyle w:val="TableHeader"/>
            </w:pPr>
            <w:r w:rsidRPr="00DA1E79">
              <w:t>Performance measure</w:t>
            </w:r>
          </w:p>
        </w:tc>
        <w:tc>
          <w:tcPr>
            <w:tcW w:w="1133" w:type="dxa"/>
          </w:tcPr>
          <w:p w14:paraId="28B74817" w14:textId="77777777" w:rsidR="0096595A" w:rsidRPr="00DA1E79" w:rsidRDefault="0096595A" w:rsidP="002F32B2">
            <w:pPr>
              <w:pStyle w:val="TableHeader"/>
            </w:pPr>
            <w:r w:rsidRPr="00DA1E79">
              <w:t>2017–18</w:t>
            </w:r>
          </w:p>
        </w:tc>
        <w:tc>
          <w:tcPr>
            <w:tcW w:w="1134" w:type="dxa"/>
          </w:tcPr>
          <w:p w14:paraId="1A5550D5" w14:textId="77777777" w:rsidR="0096595A" w:rsidRPr="00DA1E79" w:rsidRDefault="0096595A" w:rsidP="002F32B2">
            <w:pPr>
              <w:pStyle w:val="TableHeader"/>
            </w:pPr>
            <w:r w:rsidRPr="00DA1E79">
              <w:t>2018–19</w:t>
            </w:r>
          </w:p>
        </w:tc>
        <w:tc>
          <w:tcPr>
            <w:tcW w:w="1134" w:type="dxa"/>
          </w:tcPr>
          <w:p w14:paraId="560AB0E0" w14:textId="77777777" w:rsidR="0096595A" w:rsidRPr="00DA1E79" w:rsidRDefault="0096595A" w:rsidP="002F32B2">
            <w:pPr>
              <w:pStyle w:val="TableHeader"/>
            </w:pPr>
            <w:r w:rsidRPr="00DA1E79">
              <w:t>2019–20</w:t>
            </w:r>
          </w:p>
        </w:tc>
      </w:tr>
      <w:tr w:rsidR="0096595A" w:rsidRPr="00DA1E79" w14:paraId="2F3DE374" w14:textId="77777777" w:rsidTr="002F32B2">
        <w:tc>
          <w:tcPr>
            <w:tcW w:w="5671" w:type="dxa"/>
            <w:gridSpan w:val="3"/>
            <w:vMerge/>
          </w:tcPr>
          <w:p w14:paraId="2521B0DF" w14:textId="77777777" w:rsidR="0096595A" w:rsidRPr="00DA1E79" w:rsidRDefault="0096595A" w:rsidP="002F32B2">
            <w:pPr>
              <w:pStyle w:val="TableHeader"/>
            </w:pPr>
          </w:p>
        </w:tc>
        <w:tc>
          <w:tcPr>
            <w:tcW w:w="3401" w:type="dxa"/>
            <w:gridSpan w:val="3"/>
          </w:tcPr>
          <w:p w14:paraId="188B335B" w14:textId="77777777" w:rsidR="0096595A" w:rsidRPr="00DA1E79" w:rsidRDefault="0096595A" w:rsidP="002F32B2">
            <w:pPr>
              <w:pStyle w:val="TableHeader"/>
            </w:pPr>
            <w:r w:rsidRPr="00DA1E79">
              <w:t>(%)</w:t>
            </w:r>
          </w:p>
        </w:tc>
      </w:tr>
      <w:tr w:rsidR="0096595A" w:rsidRPr="005C4F4A" w14:paraId="3BFF4E72" w14:textId="77777777" w:rsidTr="002F32B2">
        <w:tc>
          <w:tcPr>
            <w:tcW w:w="5671" w:type="dxa"/>
            <w:gridSpan w:val="3"/>
          </w:tcPr>
          <w:p w14:paraId="744BB839" w14:textId="77777777" w:rsidR="0096595A" w:rsidRPr="005C4F4A" w:rsidRDefault="0096595A" w:rsidP="002F32B2">
            <w:pPr>
              <w:pStyle w:val="TableText"/>
              <w:rPr>
                <w:rStyle w:val="Strong"/>
              </w:rPr>
            </w:pPr>
            <w:r w:rsidRPr="005C4F4A">
              <w:rPr>
                <w:rStyle w:val="Strong"/>
              </w:rPr>
              <w:t>Value created from department procurement activity</w:t>
            </w:r>
          </w:p>
        </w:tc>
        <w:tc>
          <w:tcPr>
            <w:tcW w:w="1133" w:type="dxa"/>
          </w:tcPr>
          <w:p w14:paraId="17E74FCE" w14:textId="77777777" w:rsidR="0096595A" w:rsidRPr="005C4F4A" w:rsidRDefault="0096595A" w:rsidP="002F32B2">
            <w:pPr>
              <w:pStyle w:val="TableText"/>
              <w:rPr>
                <w:rStyle w:val="Strong"/>
              </w:rPr>
            </w:pPr>
            <w:r w:rsidRPr="005C4F4A">
              <w:rPr>
                <w:rStyle w:val="Strong"/>
              </w:rPr>
              <w:t>6.9</w:t>
            </w:r>
          </w:p>
        </w:tc>
        <w:tc>
          <w:tcPr>
            <w:tcW w:w="1134" w:type="dxa"/>
          </w:tcPr>
          <w:p w14:paraId="1FED574C" w14:textId="77777777" w:rsidR="0096595A" w:rsidRPr="005C4F4A" w:rsidRDefault="0096595A" w:rsidP="002F32B2">
            <w:pPr>
              <w:pStyle w:val="TableText"/>
              <w:rPr>
                <w:rStyle w:val="Strong"/>
              </w:rPr>
            </w:pPr>
            <w:r w:rsidRPr="005C4F4A">
              <w:rPr>
                <w:rStyle w:val="Strong"/>
              </w:rPr>
              <w:t>7.5</w:t>
            </w:r>
          </w:p>
        </w:tc>
        <w:tc>
          <w:tcPr>
            <w:tcW w:w="1134" w:type="dxa"/>
          </w:tcPr>
          <w:p w14:paraId="6F3AC0B2" w14:textId="77777777" w:rsidR="0096595A" w:rsidRPr="005C4F4A" w:rsidRDefault="0096595A" w:rsidP="002F32B2">
            <w:pPr>
              <w:pStyle w:val="TableText"/>
              <w:rPr>
                <w:rStyle w:val="Strong"/>
              </w:rPr>
            </w:pPr>
            <w:r w:rsidRPr="005C4F4A">
              <w:rPr>
                <w:rStyle w:val="Strong"/>
              </w:rPr>
              <w:t>10.8</w:t>
            </w:r>
          </w:p>
        </w:tc>
      </w:tr>
      <w:tr w:rsidR="0096595A" w:rsidRPr="005F2BDA" w14:paraId="65710380" w14:textId="77777777" w:rsidTr="002F32B2">
        <w:tc>
          <w:tcPr>
            <w:tcW w:w="9072" w:type="dxa"/>
            <w:gridSpan w:val="6"/>
          </w:tcPr>
          <w:p w14:paraId="4C7146E7" w14:textId="77777777" w:rsidR="0096595A" w:rsidRDefault="0096595A" w:rsidP="002F32B2">
            <w:pPr>
              <w:pStyle w:val="TableText"/>
            </w:pPr>
            <w:r>
              <w:t xml:space="preserve">In 2018–19, Cenitex revised its benefits register processes and in 2019–20, it renewed its focus on </w:t>
            </w:r>
            <w:r w:rsidRPr="00011A0D">
              <w:t xml:space="preserve">benefits </w:t>
            </w:r>
            <w:proofErr w:type="spellStart"/>
            <w:r>
              <w:t>realisation</w:t>
            </w:r>
            <w:proofErr w:type="spellEnd"/>
            <w:r>
              <w:t xml:space="preserve"> by building it </w:t>
            </w:r>
            <w:r w:rsidRPr="00011A0D">
              <w:t xml:space="preserve">into every contract renewal through its </w:t>
            </w:r>
            <w:r>
              <w:t>c</w:t>
            </w:r>
            <w:r w:rsidRPr="00011A0D">
              <w:t xml:space="preserve">ategory team, and </w:t>
            </w:r>
            <w:r>
              <w:t xml:space="preserve">using </w:t>
            </w:r>
            <w:r w:rsidRPr="00011A0D">
              <w:t>dashboards to identify contract consolidation and substitution opportunities.</w:t>
            </w:r>
          </w:p>
          <w:p w14:paraId="30B9DD71" w14:textId="77777777" w:rsidR="0096595A" w:rsidRPr="005F2BDA" w:rsidRDefault="0096595A" w:rsidP="002F32B2">
            <w:pPr>
              <w:pStyle w:val="TableText"/>
            </w:pPr>
            <w:r w:rsidRPr="00011A0D">
              <w:t xml:space="preserve">Cenitex had several </w:t>
            </w:r>
            <w:r>
              <w:t>high-</w:t>
            </w:r>
            <w:r w:rsidRPr="00011A0D">
              <w:t>value, long</w:t>
            </w:r>
            <w:r>
              <w:t>-</w:t>
            </w:r>
            <w:r w:rsidRPr="00011A0D">
              <w:t>term contracts renewed or returned to market this year, which contributed to a higher value of cost savings.</w:t>
            </w:r>
            <w:r>
              <w:t xml:space="preserve"> However, total </w:t>
            </w:r>
            <w:proofErr w:type="spellStart"/>
            <w:r>
              <w:t>organisational</w:t>
            </w:r>
            <w:proofErr w:type="spellEnd"/>
            <w:r>
              <w:t xml:space="preserve"> spend was lower than last year which shows that Cenitex is creating value where it matters. </w:t>
            </w:r>
          </w:p>
        </w:tc>
      </w:tr>
      <w:tr w:rsidR="0096595A" w:rsidRPr="005C4F4A" w14:paraId="1072C70D" w14:textId="77777777" w:rsidTr="002F32B2">
        <w:tc>
          <w:tcPr>
            <w:tcW w:w="5671" w:type="dxa"/>
            <w:gridSpan w:val="3"/>
          </w:tcPr>
          <w:p w14:paraId="3BA04255" w14:textId="77777777" w:rsidR="0096595A" w:rsidRPr="005C4F4A" w:rsidRDefault="0096595A" w:rsidP="002F32B2">
            <w:pPr>
              <w:pStyle w:val="TableText"/>
              <w:rPr>
                <w:rStyle w:val="Strong"/>
              </w:rPr>
            </w:pPr>
            <w:r w:rsidRPr="005C4F4A">
              <w:rPr>
                <w:rStyle w:val="Strong"/>
              </w:rPr>
              <w:t>Managed spend</w:t>
            </w:r>
          </w:p>
        </w:tc>
        <w:tc>
          <w:tcPr>
            <w:tcW w:w="1133" w:type="dxa"/>
            <w:shd w:val="clear" w:color="auto" w:fill="FFFFFF" w:themeFill="background1"/>
          </w:tcPr>
          <w:p w14:paraId="0E1D81E3" w14:textId="77777777" w:rsidR="0096595A" w:rsidRPr="005C4F4A" w:rsidRDefault="0096595A" w:rsidP="002F32B2">
            <w:pPr>
              <w:pStyle w:val="TableText"/>
              <w:rPr>
                <w:rStyle w:val="Strong"/>
              </w:rPr>
            </w:pPr>
            <w:r w:rsidRPr="005C4F4A">
              <w:rPr>
                <w:rStyle w:val="Strong"/>
              </w:rPr>
              <w:t>n/a</w:t>
            </w:r>
          </w:p>
        </w:tc>
        <w:tc>
          <w:tcPr>
            <w:tcW w:w="1134" w:type="dxa"/>
            <w:shd w:val="clear" w:color="auto" w:fill="FFFFFF" w:themeFill="background1"/>
          </w:tcPr>
          <w:p w14:paraId="1D0C8E20" w14:textId="77777777" w:rsidR="0096595A" w:rsidRPr="005C4F4A" w:rsidRDefault="0096595A" w:rsidP="002F32B2">
            <w:pPr>
              <w:pStyle w:val="TableText"/>
              <w:rPr>
                <w:rStyle w:val="Strong"/>
              </w:rPr>
            </w:pPr>
            <w:r w:rsidRPr="005C4F4A">
              <w:rPr>
                <w:rStyle w:val="Strong"/>
              </w:rPr>
              <w:t>n/a</w:t>
            </w:r>
          </w:p>
        </w:tc>
        <w:tc>
          <w:tcPr>
            <w:tcW w:w="1134" w:type="dxa"/>
          </w:tcPr>
          <w:p w14:paraId="05B51EFF" w14:textId="77777777" w:rsidR="0096595A" w:rsidRPr="005C4F4A" w:rsidRDefault="0096595A" w:rsidP="002F32B2">
            <w:pPr>
              <w:pStyle w:val="TableText"/>
              <w:rPr>
                <w:rStyle w:val="Strong"/>
              </w:rPr>
            </w:pPr>
            <w:r w:rsidRPr="005C4F4A">
              <w:rPr>
                <w:rStyle w:val="Strong"/>
              </w:rPr>
              <w:t>100</w:t>
            </w:r>
          </w:p>
        </w:tc>
      </w:tr>
      <w:tr w:rsidR="0096595A" w:rsidRPr="00505378" w14:paraId="3AFA4FE0" w14:textId="77777777" w:rsidTr="002F32B2">
        <w:tc>
          <w:tcPr>
            <w:tcW w:w="9072" w:type="dxa"/>
            <w:gridSpan w:val="6"/>
          </w:tcPr>
          <w:p w14:paraId="1E4AE9DC" w14:textId="77777777" w:rsidR="0096595A" w:rsidRPr="00C000FB" w:rsidRDefault="0096595A" w:rsidP="002F32B2">
            <w:pPr>
              <w:pStyle w:val="TableText"/>
            </w:pPr>
            <w:r>
              <w:t>Cenitex has a 'no purchase order, no pay' policy which ensures all goods and services spend receives procurement oversight. As Cenitex grows its self-service functions for stakeholders, it will monitor to check that spend does not occur outside of the procurement governance process.</w:t>
            </w:r>
          </w:p>
        </w:tc>
      </w:tr>
      <w:tr w:rsidR="0096595A" w:rsidRPr="005C4F4A" w14:paraId="5AAB7717" w14:textId="77777777" w:rsidTr="002F32B2">
        <w:tc>
          <w:tcPr>
            <w:tcW w:w="5671" w:type="dxa"/>
            <w:gridSpan w:val="3"/>
          </w:tcPr>
          <w:p w14:paraId="2FD70BA2" w14:textId="77777777" w:rsidR="0096595A" w:rsidRPr="005C4F4A" w:rsidRDefault="0096595A" w:rsidP="002F32B2">
            <w:pPr>
              <w:pStyle w:val="TableText"/>
              <w:rPr>
                <w:rStyle w:val="Strong"/>
              </w:rPr>
            </w:pPr>
            <w:r w:rsidRPr="005C4F4A">
              <w:rPr>
                <w:rStyle w:val="Strong"/>
              </w:rPr>
              <w:t>Increase in procurement capability</w:t>
            </w:r>
          </w:p>
        </w:tc>
        <w:tc>
          <w:tcPr>
            <w:tcW w:w="1133" w:type="dxa"/>
          </w:tcPr>
          <w:p w14:paraId="67E615B9" w14:textId="77777777" w:rsidR="0096595A" w:rsidRPr="005C4F4A" w:rsidRDefault="0096595A" w:rsidP="002F32B2">
            <w:pPr>
              <w:pStyle w:val="TableText"/>
              <w:rPr>
                <w:rStyle w:val="Strong"/>
              </w:rPr>
            </w:pPr>
            <w:r w:rsidRPr="005C4F4A">
              <w:rPr>
                <w:rStyle w:val="Strong"/>
              </w:rPr>
              <w:t>n/a</w:t>
            </w:r>
          </w:p>
        </w:tc>
        <w:tc>
          <w:tcPr>
            <w:tcW w:w="1134" w:type="dxa"/>
          </w:tcPr>
          <w:p w14:paraId="00DC4C2D" w14:textId="77777777" w:rsidR="0096595A" w:rsidRPr="005C4F4A" w:rsidRDefault="0096595A" w:rsidP="002F32B2">
            <w:pPr>
              <w:pStyle w:val="TableText"/>
              <w:rPr>
                <w:rStyle w:val="Strong"/>
              </w:rPr>
            </w:pPr>
            <w:r w:rsidRPr="005C4F4A">
              <w:rPr>
                <w:rStyle w:val="Strong"/>
              </w:rPr>
              <w:t>2.7</w:t>
            </w:r>
          </w:p>
        </w:tc>
        <w:tc>
          <w:tcPr>
            <w:tcW w:w="1134" w:type="dxa"/>
          </w:tcPr>
          <w:p w14:paraId="1E631864" w14:textId="77777777" w:rsidR="0096595A" w:rsidRPr="005C4F4A" w:rsidRDefault="0096595A" w:rsidP="002F32B2">
            <w:pPr>
              <w:pStyle w:val="TableText"/>
              <w:rPr>
                <w:rStyle w:val="Strong"/>
              </w:rPr>
            </w:pPr>
            <w:r w:rsidRPr="005C4F4A">
              <w:rPr>
                <w:rStyle w:val="Strong"/>
              </w:rPr>
              <w:t>8.6</w:t>
            </w:r>
          </w:p>
        </w:tc>
      </w:tr>
      <w:tr w:rsidR="0096595A" w:rsidRPr="00505378" w14:paraId="6C93C16B" w14:textId="77777777" w:rsidTr="002F32B2">
        <w:tc>
          <w:tcPr>
            <w:tcW w:w="9072" w:type="dxa"/>
            <w:gridSpan w:val="6"/>
          </w:tcPr>
          <w:p w14:paraId="7F048CA0" w14:textId="77777777" w:rsidR="0096595A" w:rsidRPr="00C000FB" w:rsidRDefault="0096595A" w:rsidP="002F32B2">
            <w:pPr>
              <w:pStyle w:val="TableText"/>
            </w:pPr>
            <w:r>
              <w:t xml:space="preserve">Procurement capability increased from 116 to 126 out of 150. Improvements to governance and planning have greatly improved capability across the </w:t>
            </w:r>
            <w:proofErr w:type="spellStart"/>
            <w:r>
              <w:t>organisation</w:t>
            </w:r>
            <w:proofErr w:type="spellEnd"/>
            <w:r>
              <w:t xml:space="preserve">, as well as the implementation of some catalogue purchasing allowing stakeholders to access self-service purchasing. Cenitex will now focus on </w:t>
            </w:r>
            <w:r w:rsidRPr="00CA04DA">
              <w:t>market approach, from pre-market through to contract management, to look at improvements to processes, templates and systems.</w:t>
            </w:r>
          </w:p>
        </w:tc>
      </w:tr>
      <w:tr w:rsidR="0096595A" w:rsidRPr="005C4F4A" w14:paraId="1460B2AC" w14:textId="77777777" w:rsidTr="002F32B2">
        <w:tc>
          <w:tcPr>
            <w:tcW w:w="3402" w:type="dxa"/>
            <w:vMerge w:val="restart"/>
          </w:tcPr>
          <w:p w14:paraId="7B702A44" w14:textId="77777777" w:rsidR="0096595A" w:rsidRPr="005C4F4A" w:rsidRDefault="0096595A" w:rsidP="002F32B2">
            <w:pPr>
              <w:pStyle w:val="TableText"/>
              <w:rPr>
                <w:rStyle w:val="Strong"/>
              </w:rPr>
            </w:pPr>
            <w:r w:rsidRPr="005C4F4A">
              <w:rPr>
                <w:rStyle w:val="Strong"/>
              </w:rPr>
              <w:t>Supplier satisfaction assessment</w:t>
            </w:r>
          </w:p>
        </w:tc>
        <w:tc>
          <w:tcPr>
            <w:tcW w:w="2263" w:type="dxa"/>
          </w:tcPr>
          <w:p w14:paraId="19127169" w14:textId="77777777" w:rsidR="0096595A" w:rsidRPr="005C4F4A" w:rsidRDefault="0096595A" w:rsidP="002F32B2">
            <w:pPr>
              <w:pStyle w:val="TableText"/>
              <w:rPr>
                <w:rStyle w:val="Strong"/>
              </w:rPr>
            </w:pPr>
            <w:r w:rsidRPr="005C4F4A">
              <w:rPr>
                <w:rStyle w:val="Strong"/>
              </w:rPr>
              <w:t>Successful satisfied</w:t>
            </w:r>
          </w:p>
        </w:tc>
        <w:tc>
          <w:tcPr>
            <w:tcW w:w="1139" w:type="dxa"/>
            <w:gridSpan w:val="2"/>
          </w:tcPr>
          <w:p w14:paraId="7395829D" w14:textId="77777777" w:rsidR="0096595A" w:rsidRPr="005C4F4A" w:rsidRDefault="0096595A" w:rsidP="002F32B2">
            <w:pPr>
              <w:pStyle w:val="TableText"/>
              <w:rPr>
                <w:rStyle w:val="Strong"/>
              </w:rPr>
            </w:pPr>
            <w:r w:rsidRPr="005C4F4A">
              <w:rPr>
                <w:rStyle w:val="Strong"/>
              </w:rPr>
              <w:t>100</w:t>
            </w:r>
          </w:p>
        </w:tc>
        <w:tc>
          <w:tcPr>
            <w:tcW w:w="1134" w:type="dxa"/>
          </w:tcPr>
          <w:p w14:paraId="49C0A716" w14:textId="77777777" w:rsidR="0096595A" w:rsidRPr="005C4F4A" w:rsidRDefault="0096595A" w:rsidP="002F32B2">
            <w:pPr>
              <w:pStyle w:val="TableText"/>
              <w:rPr>
                <w:rStyle w:val="Strong"/>
              </w:rPr>
            </w:pPr>
            <w:r w:rsidRPr="005C4F4A">
              <w:rPr>
                <w:rStyle w:val="Strong"/>
              </w:rPr>
              <w:t>100</w:t>
            </w:r>
          </w:p>
        </w:tc>
        <w:tc>
          <w:tcPr>
            <w:tcW w:w="1134" w:type="dxa"/>
          </w:tcPr>
          <w:p w14:paraId="7ED6E01D" w14:textId="77777777" w:rsidR="0096595A" w:rsidRPr="005C4F4A" w:rsidRDefault="0096595A" w:rsidP="002F32B2">
            <w:pPr>
              <w:pStyle w:val="TableText"/>
              <w:rPr>
                <w:rStyle w:val="Strong"/>
              </w:rPr>
            </w:pPr>
            <w:r w:rsidRPr="005C4F4A">
              <w:rPr>
                <w:rStyle w:val="Strong"/>
              </w:rPr>
              <w:t>67</w:t>
            </w:r>
          </w:p>
        </w:tc>
      </w:tr>
      <w:tr w:rsidR="0096595A" w:rsidRPr="005C4F4A" w14:paraId="74CB5C00" w14:textId="77777777" w:rsidTr="002F32B2">
        <w:tc>
          <w:tcPr>
            <w:tcW w:w="3402" w:type="dxa"/>
            <w:vMerge/>
          </w:tcPr>
          <w:p w14:paraId="5CB326F5" w14:textId="77777777" w:rsidR="0096595A" w:rsidRPr="005C4F4A" w:rsidRDefault="0096595A" w:rsidP="002F32B2">
            <w:pPr>
              <w:pStyle w:val="TableText"/>
              <w:rPr>
                <w:rStyle w:val="Strong"/>
              </w:rPr>
            </w:pPr>
          </w:p>
        </w:tc>
        <w:tc>
          <w:tcPr>
            <w:tcW w:w="2263" w:type="dxa"/>
          </w:tcPr>
          <w:p w14:paraId="5FEA60DD" w14:textId="77777777" w:rsidR="0096595A" w:rsidRPr="005C4F4A" w:rsidRDefault="0096595A" w:rsidP="002F32B2">
            <w:pPr>
              <w:pStyle w:val="TableText"/>
              <w:rPr>
                <w:rStyle w:val="Strong"/>
              </w:rPr>
            </w:pPr>
            <w:r w:rsidRPr="005C4F4A">
              <w:rPr>
                <w:rStyle w:val="Strong"/>
              </w:rPr>
              <w:t>Unsuccessful satisfied</w:t>
            </w:r>
          </w:p>
        </w:tc>
        <w:tc>
          <w:tcPr>
            <w:tcW w:w="1139" w:type="dxa"/>
            <w:gridSpan w:val="2"/>
          </w:tcPr>
          <w:p w14:paraId="3D92F2A6" w14:textId="77777777" w:rsidR="0096595A" w:rsidRPr="005C4F4A" w:rsidRDefault="0096595A" w:rsidP="002F32B2">
            <w:pPr>
              <w:pStyle w:val="TableText"/>
              <w:rPr>
                <w:rStyle w:val="Strong"/>
              </w:rPr>
            </w:pPr>
            <w:r w:rsidRPr="005C4F4A">
              <w:rPr>
                <w:rStyle w:val="Strong"/>
              </w:rPr>
              <w:t>33</w:t>
            </w:r>
          </w:p>
        </w:tc>
        <w:tc>
          <w:tcPr>
            <w:tcW w:w="1134" w:type="dxa"/>
          </w:tcPr>
          <w:p w14:paraId="4973A784" w14:textId="77777777" w:rsidR="0096595A" w:rsidRPr="005C4F4A" w:rsidRDefault="0096595A" w:rsidP="002F32B2">
            <w:pPr>
              <w:pStyle w:val="TableText"/>
              <w:rPr>
                <w:rStyle w:val="Strong"/>
              </w:rPr>
            </w:pPr>
            <w:r w:rsidRPr="005C4F4A">
              <w:rPr>
                <w:rStyle w:val="Strong"/>
              </w:rPr>
              <w:t>50</w:t>
            </w:r>
          </w:p>
        </w:tc>
        <w:tc>
          <w:tcPr>
            <w:tcW w:w="1134" w:type="dxa"/>
          </w:tcPr>
          <w:p w14:paraId="74EE4B4A" w14:textId="77777777" w:rsidR="0096595A" w:rsidRPr="005C4F4A" w:rsidRDefault="0096595A" w:rsidP="002F32B2">
            <w:pPr>
              <w:pStyle w:val="TableText"/>
              <w:rPr>
                <w:rStyle w:val="Strong"/>
              </w:rPr>
            </w:pPr>
            <w:r w:rsidRPr="005C4F4A">
              <w:rPr>
                <w:rStyle w:val="Strong"/>
              </w:rPr>
              <w:t>40</w:t>
            </w:r>
          </w:p>
        </w:tc>
      </w:tr>
      <w:tr w:rsidR="0096595A" w:rsidRPr="00505378" w14:paraId="5833CF53" w14:textId="77777777" w:rsidTr="002F32B2">
        <w:tc>
          <w:tcPr>
            <w:tcW w:w="9072" w:type="dxa"/>
            <w:gridSpan w:val="6"/>
          </w:tcPr>
          <w:p w14:paraId="38957199" w14:textId="77777777" w:rsidR="0096595A" w:rsidRPr="00C000FB" w:rsidRDefault="0096595A" w:rsidP="002F32B2">
            <w:pPr>
              <w:pStyle w:val="TableText"/>
            </w:pPr>
            <w:r>
              <w:t xml:space="preserve">Cenitex increased its survey response rate from 8 to 24 per cent. The larger response range most likely accounts for the drop in satisfaction, as last year’s results were based on only five suppliers, compared to 29 this year. Cenitex scored well on </w:t>
            </w:r>
            <w:r w:rsidRPr="00641985">
              <w:t>supply documentation and submission, clarity of information and evaluation criteria, professional nature and eas</w:t>
            </w:r>
            <w:r>
              <w:t>y to engage</w:t>
            </w:r>
            <w:r w:rsidRPr="00641985">
              <w:t xml:space="preserve"> with, and openness and responsive to questions.</w:t>
            </w:r>
            <w:r>
              <w:t xml:space="preserve"> Negative responses related mostly to communication and timeliness. The </w:t>
            </w:r>
            <w:r w:rsidRPr="00641985">
              <w:t xml:space="preserve">team has just implemented a source-to-award tool to improve management of procurement activity. </w:t>
            </w:r>
            <w:r>
              <w:t>Cenitex is also</w:t>
            </w:r>
            <w:r w:rsidRPr="00641985">
              <w:t xml:space="preserve"> documenting more processes specifically related to the sourcing process and updating all templates</w:t>
            </w:r>
            <w:r>
              <w:t xml:space="preserve"> to </w:t>
            </w:r>
            <w:r w:rsidRPr="00641985">
              <w:t>improve</w:t>
            </w:r>
            <w:r>
              <w:t xml:space="preserve"> </w:t>
            </w:r>
            <w:r w:rsidRPr="00641985">
              <w:t>communication and timeliness.</w:t>
            </w:r>
          </w:p>
        </w:tc>
      </w:tr>
      <w:tr w:rsidR="0096595A" w:rsidRPr="005C4F4A" w14:paraId="2795275A" w14:textId="77777777" w:rsidTr="002F32B2">
        <w:tc>
          <w:tcPr>
            <w:tcW w:w="5671" w:type="dxa"/>
            <w:gridSpan w:val="3"/>
          </w:tcPr>
          <w:p w14:paraId="56A58DB3" w14:textId="77777777" w:rsidR="0096595A" w:rsidRPr="005C4F4A" w:rsidRDefault="0096595A" w:rsidP="002F32B2">
            <w:pPr>
              <w:pStyle w:val="TableText"/>
              <w:rPr>
                <w:rStyle w:val="Strong"/>
              </w:rPr>
            </w:pPr>
            <w:r w:rsidRPr="005C4F4A">
              <w:rPr>
                <w:rStyle w:val="Strong"/>
              </w:rPr>
              <w:t>Planned procurement activity as a % of actual procurement activity</w:t>
            </w:r>
          </w:p>
        </w:tc>
        <w:tc>
          <w:tcPr>
            <w:tcW w:w="1133" w:type="dxa"/>
          </w:tcPr>
          <w:p w14:paraId="2839F11B" w14:textId="77777777" w:rsidR="0096595A" w:rsidRPr="005C4F4A" w:rsidRDefault="0096595A" w:rsidP="002F32B2">
            <w:pPr>
              <w:pStyle w:val="TableText"/>
              <w:rPr>
                <w:rStyle w:val="Strong"/>
              </w:rPr>
            </w:pPr>
            <w:r w:rsidRPr="005C4F4A">
              <w:rPr>
                <w:rStyle w:val="Strong"/>
              </w:rPr>
              <w:t>18.0</w:t>
            </w:r>
          </w:p>
        </w:tc>
        <w:tc>
          <w:tcPr>
            <w:tcW w:w="1134" w:type="dxa"/>
          </w:tcPr>
          <w:p w14:paraId="51E373EC" w14:textId="77777777" w:rsidR="0096595A" w:rsidRPr="005C4F4A" w:rsidRDefault="0096595A" w:rsidP="002F32B2">
            <w:pPr>
              <w:pStyle w:val="TableText"/>
              <w:rPr>
                <w:rStyle w:val="Strong"/>
              </w:rPr>
            </w:pPr>
            <w:r w:rsidRPr="005C4F4A">
              <w:rPr>
                <w:rStyle w:val="Strong"/>
              </w:rPr>
              <w:t>22.2</w:t>
            </w:r>
          </w:p>
        </w:tc>
        <w:tc>
          <w:tcPr>
            <w:tcW w:w="1134" w:type="dxa"/>
          </w:tcPr>
          <w:p w14:paraId="1DE2F9C8" w14:textId="77777777" w:rsidR="0096595A" w:rsidRPr="005C4F4A" w:rsidRDefault="0096595A" w:rsidP="002F32B2">
            <w:pPr>
              <w:pStyle w:val="TableText"/>
              <w:rPr>
                <w:rStyle w:val="Strong"/>
              </w:rPr>
            </w:pPr>
            <w:r w:rsidRPr="005C4F4A">
              <w:rPr>
                <w:rStyle w:val="Strong"/>
              </w:rPr>
              <w:t>35.7</w:t>
            </w:r>
          </w:p>
        </w:tc>
      </w:tr>
      <w:tr w:rsidR="0096595A" w:rsidRPr="006C6059" w14:paraId="2693FF7F" w14:textId="77777777" w:rsidTr="002F32B2">
        <w:tc>
          <w:tcPr>
            <w:tcW w:w="9072" w:type="dxa"/>
            <w:gridSpan w:val="6"/>
          </w:tcPr>
          <w:p w14:paraId="20137C4B" w14:textId="77777777" w:rsidR="0096595A" w:rsidRPr="005F2BDA" w:rsidRDefault="0096595A" w:rsidP="002F32B2">
            <w:pPr>
              <w:pStyle w:val="TableText"/>
            </w:pPr>
            <w:r>
              <w:t xml:space="preserve">Cenitex put considerable </w:t>
            </w:r>
            <w:r w:rsidRPr="00641985">
              <w:t>effort into forward planning</w:t>
            </w:r>
            <w:r>
              <w:t xml:space="preserve"> in 2019–20, including </w:t>
            </w:r>
            <w:r w:rsidRPr="00641985">
              <w:t>detailed interview</w:t>
            </w:r>
            <w:r>
              <w:t xml:space="preserve">s </w:t>
            </w:r>
            <w:r w:rsidRPr="00641985">
              <w:t>with a broad section of its stakeholder base</w:t>
            </w:r>
            <w:r>
              <w:t xml:space="preserve">. </w:t>
            </w:r>
          </w:p>
        </w:tc>
      </w:tr>
    </w:tbl>
    <w:p w14:paraId="16BD7219" w14:textId="77777777" w:rsidR="0096595A" w:rsidRPr="00914284" w:rsidRDefault="0096595A" w:rsidP="0096595A">
      <w:pPr>
        <w:pStyle w:val="Tablenotes"/>
      </w:pPr>
      <w:r w:rsidRPr="00914284">
        <w:t>Note: Cenitex transitioned to the VGPB on 1</w:t>
      </w:r>
      <w:r>
        <w:t> </w:t>
      </w:r>
      <w:r w:rsidRPr="00914284">
        <w:t>July</w:t>
      </w:r>
      <w:r>
        <w:t> </w:t>
      </w:r>
      <w:r w:rsidRPr="00914284">
        <w:t>201</w:t>
      </w:r>
      <w:r>
        <w:t>7</w:t>
      </w:r>
      <w:r w:rsidRPr="00914284">
        <w:t xml:space="preserve">, so began measuring its increase in procurement capability </w:t>
      </w:r>
      <w:r w:rsidRPr="00914284">
        <w:rPr>
          <w:rFonts w:ascii="Myriad Pro" w:hAnsi="Myriad Pro" w:cs="Myriad Pro"/>
          <w:color w:val="000000"/>
          <w:sz w:val="17"/>
          <w:szCs w:val="17"/>
        </w:rPr>
        <w:t>from</w:t>
      </w:r>
      <w:r>
        <w:rPr>
          <w:rFonts w:ascii="Myriad Pro" w:hAnsi="Myriad Pro" w:cs="Myriad Pro"/>
          <w:b/>
          <w:bCs/>
          <w:color w:val="000000"/>
          <w:sz w:val="17"/>
          <w:szCs w:val="17"/>
        </w:rPr>
        <w:t xml:space="preserve"> </w:t>
      </w:r>
      <w:r w:rsidRPr="00914284">
        <w:rPr>
          <w:rFonts w:ascii="Myriad Pro" w:hAnsi="Myriad Pro" w:cs="Myriad Pro"/>
          <w:color w:val="000000"/>
          <w:sz w:val="17"/>
          <w:szCs w:val="17"/>
        </w:rPr>
        <w:t>2018–19.</w:t>
      </w:r>
    </w:p>
    <w:p w14:paraId="7CCEDD14" w14:textId="77777777" w:rsidR="000C1A89" w:rsidRDefault="00F004B3"/>
    <w:sectPr w:rsidR="000C1A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14E05" w14:textId="77777777" w:rsidR="0096595A" w:rsidRDefault="0096595A" w:rsidP="0096595A">
      <w:r>
        <w:separator/>
      </w:r>
    </w:p>
  </w:endnote>
  <w:endnote w:type="continuationSeparator" w:id="0">
    <w:p w14:paraId="5F92CD65" w14:textId="77777777" w:rsidR="0096595A" w:rsidRDefault="0096595A" w:rsidP="0096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2673" w14:textId="77777777" w:rsidR="00F004B3" w:rsidRDefault="00F0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4F4F" w14:textId="77777777" w:rsidR="0096595A" w:rsidRDefault="0096595A">
    <w:pPr>
      <w:pStyle w:val="Footer"/>
    </w:pPr>
    <w:r>
      <w:rPr>
        <w:noProof/>
      </w:rPr>
      <mc:AlternateContent>
        <mc:Choice Requires="wps">
          <w:drawing>
            <wp:anchor distT="0" distB="0" distL="114300" distR="114300" simplePos="0" relativeHeight="251659264" behindDoc="0" locked="0" layoutInCell="0" allowOverlap="1" wp14:anchorId="18C76789" wp14:editId="34DBA38D">
              <wp:simplePos x="0" y="0"/>
              <wp:positionH relativeFrom="page">
                <wp:posOffset>0</wp:posOffset>
              </wp:positionH>
              <wp:positionV relativeFrom="page">
                <wp:posOffset>10234930</wp:posOffset>
              </wp:positionV>
              <wp:extent cx="7560310" cy="266700"/>
              <wp:effectExtent l="0" t="0" r="0" b="0"/>
              <wp:wrapNone/>
              <wp:docPr id="1" name="MSIPCM5f1a409ea2fe24a822ec9f3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E1536" w14:textId="77777777" w:rsidR="0096595A" w:rsidRPr="0096595A" w:rsidRDefault="0096595A" w:rsidP="0096595A">
                          <w:pPr>
                            <w:rPr>
                              <w:rFonts w:ascii="Calibri" w:hAnsi="Calibri" w:cs="Calibri"/>
                              <w:color w:val="000000"/>
                              <w:sz w:val="22"/>
                            </w:rPr>
                          </w:pPr>
                          <w:r w:rsidRPr="0096595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f1a409ea2fe24a822ec9f3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EbQzQWxAgAASAUAAA4A&#10;AAAAAAAAAAAAAAAALgIAAGRycy9lMm9Eb2MueG1sUEsBAi0AFAAGAAgAAAAhAGARxibeAAAACwEA&#10;AA8AAAAAAAAAAAAAAAAACwUAAGRycy9kb3ducmV2LnhtbFBLBQYAAAAABAAEAPMAAAAWBgAAAAA=&#10;" o:allowincell="f" filled="f" stroked="f" strokeweight=".5pt">
              <v:fill o:detectmouseclick="t"/>
              <v:textbox inset="20pt,0,,0">
                <w:txbxContent>
                  <w:p w:rsidR="0096595A" w:rsidRPr="0096595A" w:rsidRDefault="0096595A" w:rsidP="0096595A">
                    <w:pPr>
                      <w:rPr>
                        <w:rFonts w:ascii="Calibri" w:hAnsi="Calibri" w:cs="Calibri"/>
                        <w:color w:val="000000"/>
                        <w:sz w:val="22"/>
                      </w:rPr>
                    </w:pPr>
                    <w:r w:rsidRPr="0096595A">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65E3" w14:textId="77777777" w:rsidR="00F004B3" w:rsidRDefault="00F0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44AB8" w14:textId="77777777" w:rsidR="0096595A" w:rsidRDefault="0096595A" w:rsidP="0096595A">
      <w:r>
        <w:separator/>
      </w:r>
    </w:p>
  </w:footnote>
  <w:footnote w:type="continuationSeparator" w:id="0">
    <w:p w14:paraId="777D53AE" w14:textId="77777777" w:rsidR="0096595A" w:rsidRDefault="0096595A" w:rsidP="0096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D442" w14:textId="77777777" w:rsidR="00F004B3" w:rsidRDefault="00F00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300B" w14:textId="77777777" w:rsidR="00F004B3" w:rsidRDefault="00F00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5DD0" w14:textId="77777777" w:rsidR="00F004B3" w:rsidRDefault="00F00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5A"/>
    <w:rsid w:val="0096595A"/>
    <w:rsid w:val="009721B1"/>
    <w:rsid w:val="00B4701F"/>
    <w:rsid w:val="00E744CF"/>
    <w:rsid w:val="00F004B3"/>
    <w:rsid w:val="00F42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B8C5"/>
  <w15:chartTrackingRefBased/>
  <w15:docId w15:val="{81AEA0C6-5802-4FAB-870E-CFCEE487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95A"/>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96595A"/>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96595A"/>
    <w:rPr>
      <w:rFonts w:ascii="Calibri" w:eastAsia="Times New Roman" w:hAnsi="Calibri" w:cs="Calibri"/>
      <w:b/>
      <w:lang w:eastAsia="en-AU"/>
    </w:rPr>
  </w:style>
  <w:style w:type="character" w:styleId="Strong">
    <w:name w:val="Strong"/>
    <w:uiPriority w:val="22"/>
    <w:qFormat/>
    <w:rsid w:val="0096595A"/>
    <w:rPr>
      <w:b/>
      <w:bCs/>
    </w:rPr>
  </w:style>
  <w:style w:type="paragraph" w:customStyle="1" w:styleId="TableText">
    <w:name w:val="Table Text"/>
    <w:basedOn w:val="Normal"/>
    <w:link w:val="TableTextChar"/>
    <w:uiPriority w:val="15"/>
    <w:qFormat/>
    <w:rsid w:val="0096595A"/>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96595A"/>
    <w:rPr>
      <w:rFonts w:ascii="Calibri" w:hAnsi="Calibri" w:cs="Calibri"/>
      <w:sz w:val="20"/>
      <w:szCs w:val="20"/>
      <w:lang w:val="en-US"/>
    </w:rPr>
  </w:style>
  <w:style w:type="paragraph" w:customStyle="1" w:styleId="TableHeader">
    <w:name w:val="Table Header"/>
    <w:basedOn w:val="TableText"/>
    <w:link w:val="TableHeaderChar"/>
    <w:uiPriority w:val="15"/>
    <w:qFormat/>
    <w:rsid w:val="0096595A"/>
    <w:pPr>
      <w:keepNext/>
      <w:spacing w:before="40" w:after="40"/>
    </w:pPr>
    <w:rPr>
      <w:sz w:val="24"/>
      <w:szCs w:val="24"/>
    </w:rPr>
  </w:style>
  <w:style w:type="paragraph" w:customStyle="1" w:styleId="Tablenotes">
    <w:name w:val="Table notes"/>
    <w:basedOn w:val="Normal"/>
    <w:link w:val="TablenotesChar"/>
    <w:qFormat/>
    <w:rsid w:val="0096595A"/>
    <w:pPr>
      <w:spacing w:before="20"/>
      <w:ind w:left="851"/>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96595A"/>
    <w:rPr>
      <w:rFonts w:ascii="Calibri" w:eastAsia="Calibri" w:hAnsi="Calibri" w:cs="Times New Roman"/>
      <w:spacing w:val="-2"/>
      <w:sz w:val="18"/>
      <w:szCs w:val="18"/>
    </w:rPr>
  </w:style>
  <w:style w:type="table" w:customStyle="1" w:styleId="TableGrid1">
    <w:name w:val="Table Grid1"/>
    <w:basedOn w:val="TableNormal"/>
    <w:next w:val="TableGrid"/>
    <w:uiPriority w:val="39"/>
    <w:rsid w:val="009659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96595A"/>
    <w:rPr>
      <w:rFonts w:ascii="Calibri" w:hAnsi="Calibri" w:cs="Calibri"/>
      <w:sz w:val="24"/>
      <w:szCs w:val="24"/>
      <w:lang w:val="en-US"/>
    </w:rPr>
  </w:style>
  <w:style w:type="table" w:styleId="TableGrid">
    <w:name w:val="Table Grid"/>
    <w:basedOn w:val="TableNormal"/>
    <w:uiPriority w:val="39"/>
    <w:rsid w:val="00965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95A"/>
    <w:pPr>
      <w:tabs>
        <w:tab w:val="center" w:pos="4513"/>
        <w:tab w:val="right" w:pos="9026"/>
      </w:tabs>
    </w:pPr>
  </w:style>
  <w:style w:type="character" w:customStyle="1" w:styleId="HeaderChar">
    <w:name w:val="Header Char"/>
    <w:basedOn w:val="DefaultParagraphFont"/>
    <w:link w:val="Header"/>
    <w:uiPriority w:val="99"/>
    <w:rsid w:val="0096595A"/>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96595A"/>
    <w:pPr>
      <w:tabs>
        <w:tab w:val="center" w:pos="4513"/>
        <w:tab w:val="right" w:pos="9026"/>
      </w:tabs>
    </w:pPr>
  </w:style>
  <w:style w:type="character" w:customStyle="1" w:styleId="FooterChar">
    <w:name w:val="Footer Char"/>
    <w:basedOn w:val="DefaultParagraphFont"/>
    <w:link w:val="Footer"/>
    <w:uiPriority w:val="99"/>
    <w:rsid w:val="0096595A"/>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03B7DE5-C49B-44B4-974A-63B1AF7084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Athena Rozenberg (DTF)</cp:lastModifiedBy>
  <cp:revision>3</cp:revision>
  <dcterms:created xsi:type="dcterms:W3CDTF">2020-10-12T05:29:00Z</dcterms:created>
  <dcterms:modified xsi:type="dcterms:W3CDTF">2020-10-12T05:30:00Z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Vanessa.Coles@dtf.vic.gov.au</vt:lpwstr>
  </property>
  <property fmtid="{D5CDD505-2E9C-101B-9397-08002B2CF9AE}" pid="5" name="MSIP_Label_7158ebbd-6c5e-441f-bfc9-4eb8c11e3978_SetDate">
    <vt:lpwstr>2020-10-11T02:41:35.4201799Z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