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719D" w14:textId="4F98EBF5" w:rsidR="00F72578" w:rsidRPr="00457876" w:rsidRDefault="00F72578" w:rsidP="00F72578">
      <w:pPr>
        <w:pStyle w:val="Caption"/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</w:pPr>
      <w:bookmarkStart w:id="0" w:name="_Ref16587759"/>
      <w:bookmarkStart w:id="1" w:name="_Toc12717990"/>
      <w:bookmarkStart w:id="2" w:name="_Ref16587748"/>
      <w:bookmarkStart w:id="3" w:name="_Toc17130213"/>
      <w:bookmarkStart w:id="4" w:name="_Toc48837159"/>
      <w:bookmarkStart w:id="5" w:name="_Toc49185549"/>
      <w:r w:rsidRPr="00457876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>Table</w:t>
      </w:r>
      <w:bookmarkEnd w:id="0"/>
      <w:r w:rsidRPr="00457876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 xml:space="preserve"> Department of Education and Training performance in 2019–20</w:t>
      </w:r>
      <w:bookmarkEnd w:id="1"/>
      <w:bookmarkEnd w:id="2"/>
      <w:bookmarkEnd w:id="3"/>
      <w:bookmarkEnd w:id="4"/>
      <w:bookmarkEnd w:id="5"/>
    </w:p>
    <w:p w14:paraId="38A0F4CA" w14:textId="11DBBA9C" w:rsidR="00457876" w:rsidRDefault="00457876" w:rsidP="00457876"/>
    <w:p w14:paraId="78AF8C64" w14:textId="7B312574" w:rsidR="00457876" w:rsidRPr="008A4523" w:rsidRDefault="00457876" w:rsidP="00457876">
      <w:pPr>
        <w:ind w:firstLine="720"/>
        <w:rPr>
          <w:rFonts w:ascii="Calibri" w:eastAsiaTheme="minorHAnsi" w:hAnsi="Calibri" w:cs="Calibri"/>
          <w:sz w:val="20"/>
          <w:szCs w:val="20"/>
          <w:lang w:val="en-US" w:eastAsia="en-US"/>
        </w:rPr>
      </w:pPr>
      <w:r w:rsidRPr="008A4523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Extract from Victorian Government Purchasing Board </w:t>
      </w:r>
      <w:r w:rsidR="00D479BB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Annual Report </w:t>
      </w:r>
      <w:bookmarkStart w:id="6" w:name="_GoBack"/>
      <w:bookmarkEnd w:id="6"/>
      <w:r w:rsidRPr="008A4523">
        <w:rPr>
          <w:rFonts w:ascii="Calibri" w:eastAsiaTheme="minorHAnsi" w:hAnsi="Calibri" w:cs="Calibri"/>
          <w:sz w:val="20"/>
          <w:szCs w:val="20"/>
          <w:lang w:val="en-US" w:eastAsia="en-US"/>
        </w:rPr>
        <w:t>2019-20</w:t>
      </w:r>
    </w:p>
    <w:p w14:paraId="3592A241" w14:textId="77777777" w:rsidR="00457876" w:rsidRPr="00457876" w:rsidRDefault="00457876" w:rsidP="00457876"/>
    <w:tbl>
      <w:tblPr>
        <w:tblStyle w:val="TableGrid1"/>
        <w:tblW w:w="9214" w:type="dxa"/>
        <w:tblInd w:w="704" w:type="dxa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1134"/>
        <w:gridCol w:w="1134"/>
      </w:tblGrid>
      <w:tr w:rsidR="00F72578" w:rsidRPr="004E7CDE" w14:paraId="2F788F83" w14:textId="77777777" w:rsidTr="002F32B2">
        <w:tc>
          <w:tcPr>
            <w:tcW w:w="5812" w:type="dxa"/>
            <w:gridSpan w:val="2"/>
            <w:vMerge w:val="restart"/>
            <w:shd w:val="clear" w:color="auto" w:fill="FFFFFF" w:themeFill="background1"/>
          </w:tcPr>
          <w:p w14:paraId="623C5F09" w14:textId="77777777" w:rsidR="00F72578" w:rsidRPr="00DA1E79" w:rsidRDefault="00F72578" w:rsidP="002F32B2">
            <w:pPr>
              <w:pStyle w:val="TableHeader"/>
            </w:pPr>
            <w:r w:rsidRPr="00DA1E79">
              <w:t>Performance measure</w:t>
            </w:r>
          </w:p>
        </w:tc>
        <w:tc>
          <w:tcPr>
            <w:tcW w:w="1134" w:type="dxa"/>
            <w:shd w:val="clear" w:color="auto" w:fill="FFFFFF" w:themeFill="background1"/>
          </w:tcPr>
          <w:p w14:paraId="4116D5A7" w14:textId="77777777" w:rsidR="00F72578" w:rsidRPr="00DA1E79" w:rsidRDefault="00F72578" w:rsidP="002F32B2">
            <w:pPr>
              <w:pStyle w:val="TableHeader"/>
            </w:pPr>
            <w:r w:rsidRPr="00DA1E79">
              <w:t xml:space="preserve">2017–18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0F4B66" w14:textId="77777777" w:rsidR="00F72578" w:rsidRPr="00DA1E79" w:rsidRDefault="00F72578" w:rsidP="002F32B2">
            <w:pPr>
              <w:pStyle w:val="TableHeader"/>
            </w:pPr>
            <w:r w:rsidRPr="00DA1E79">
              <w:t>2018–19</w:t>
            </w:r>
          </w:p>
        </w:tc>
        <w:tc>
          <w:tcPr>
            <w:tcW w:w="1134" w:type="dxa"/>
            <w:shd w:val="clear" w:color="auto" w:fill="FFFFFF" w:themeFill="background1"/>
          </w:tcPr>
          <w:p w14:paraId="79CC58D3" w14:textId="77777777" w:rsidR="00F72578" w:rsidRPr="00DA1E79" w:rsidRDefault="00F72578" w:rsidP="002F32B2">
            <w:pPr>
              <w:pStyle w:val="TableHeader"/>
            </w:pPr>
            <w:r w:rsidRPr="00DA1E79">
              <w:t>2019–20</w:t>
            </w:r>
          </w:p>
        </w:tc>
      </w:tr>
      <w:tr w:rsidR="00F72578" w:rsidRPr="006C6059" w14:paraId="3EF3FBE6" w14:textId="77777777" w:rsidTr="002F32B2">
        <w:tc>
          <w:tcPr>
            <w:tcW w:w="5812" w:type="dxa"/>
            <w:gridSpan w:val="2"/>
            <w:vMerge/>
            <w:shd w:val="clear" w:color="auto" w:fill="FFFFFF" w:themeFill="background1"/>
          </w:tcPr>
          <w:p w14:paraId="3F266DFB" w14:textId="77777777" w:rsidR="00F72578" w:rsidRPr="00DA1E79" w:rsidRDefault="00F72578" w:rsidP="002F32B2">
            <w:pPr>
              <w:keepNext/>
              <w:spacing w:before="40" w:after="40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40560469" w14:textId="77777777" w:rsidR="00F72578" w:rsidRPr="00DA1E79" w:rsidRDefault="00F72578" w:rsidP="002F32B2">
            <w:pPr>
              <w:pStyle w:val="TableHeader"/>
            </w:pPr>
            <w:r w:rsidRPr="00DA1E79">
              <w:t>(%)</w:t>
            </w:r>
          </w:p>
        </w:tc>
      </w:tr>
      <w:tr w:rsidR="00F72578" w:rsidRPr="000B20B5" w14:paraId="76CD20E3" w14:textId="77777777" w:rsidTr="002F32B2">
        <w:tc>
          <w:tcPr>
            <w:tcW w:w="5812" w:type="dxa"/>
            <w:gridSpan w:val="2"/>
          </w:tcPr>
          <w:p w14:paraId="31137289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Value created from department procurement activity</w:t>
            </w:r>
          </w:p>
        </w:tc>
        <w:tc>
          <w:tcPr>
            <w:tcW w:w="1134" w:type="dxa"/>
          </w:tcPr>
          <w:p w14:paraId="521DAC4A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3.5</w:t>
            </w:r>
          </w:p>
        </w:tc>
        <w:tc>
          <w:tcPr>
            <w:tcW w:w="1134" w:type="dxa"/>
          </w:tcPr>
          <w:p w14:paraId="57676767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4.2</w:t>
            </w:r>
          </w:p>
        </w:tc>
        <w:tc>
          <w:tcPr>
            <w:tcW w:w="1134" w:type="dxa"/>
          </w:tcPr>
          <w:p w14:paraId="34F6B010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8.9</w:t>
            </w:r>
          </w:p>
        </w:tc>
      </w:tr>
      <w:tr w:rsidR="00F72578" w:rsidRPr="005F2BDA" w14:paraId="0D86C59D" w14:textId="77777777" w:rsidTr="002F32B2">
        <w:trPr>
          <w:trHeight w:val="725"/>
        </w:trPr>
        <w:tc>
          <w:tcPr>
            <w:tcW w:w="9214" w:type="dxa"/>
            <w:gridSpan w:val="5"/>
          </w:tcPr>
          <w:p w14:paraId="3673A4D1" w14:textId="77777777" w:rsidR="00F72578" w:rsidRPr="005F2BDA" w:rsidRDefault="00F72578" w:rsidP="002F32B2">
            <w:pPr>
              <w:pStyle w:val="TableText"/>
            </w:pPr>
            <w:r w:rsidRPr="004120D3">
              <w:t>Staff awareness of budget pressures and greater acknowledg</w:t>
            </w:r>
            <w:r>
              <w:t>ment</w:t>
            </w:r>
            <w:r w:rsidRPr="004120D3">
              <w:t xml:space="preserve"> of negotiation's place in</w:t>
            </w:r>
            <w:r>
              <w:t xml:space="preserve"> the</w:t>
            </w:r>
            <w:r w:rsidRPr="004120D3">
              <w:t xml:space="preserve"> procurement process has </w:t>
            </w:r>
            <w:r>
              <w:t xml:space="preserve">improved this score. Savings targets have now been included in </w:t>
            </w:r>
            <w:r w:rsidRPr="00F5603E">
              <w:t>professional development goals for specialist procurement staff</w:t>
            </w:r>
            <w:r>
              <w:t xml:space="preserve">. DET also had one project that made significant savings, which increased the overall score this year. </w:t>
            </w:r>
          </w:p>
        </w:tc>
      </w:tr>
      <w:tr w:rsidR="00F72578" w:rsidRPr="000B20B5" w14:paraId="02558FE8" w14:textId="77777777" w:rsidTr="002F32B2">
        <w:tc>
          <w:tcPr>
            <w:tcW w:w="5812" w:type="dxa"/>
            <w:gridSpan w:val="2"/>
          </w:tcPr>
          <w:p w14:paraId="0657C9CB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Managed spend</w:t>
            </w:r>
          </w:p>
        </w:tc>
        <w:tc>
          <w:tcPr>
            <w:tcW w:w="1134" w:type="dxa"/>
            <w:shd w:val="clear" w:color="auto" w:fill="FFFFFF" w:themeFill="background1"/>
          </w:tcPr>
          <w:p w14:paraId="70E5153C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n/a</w:t>
            </w:r>
          </w:p>
        </w:tc>
        <w:tc>
          <w:tcPr>
            <w:tcW w:w="1134" w:type="dxa"/>
            <w:shd w:val="clear" w:color="auto" w:fill="FFFFFF" w:themeFill="background1"/>
          </w:tcPr>
          <w:p w14:paraId="1F6C8A3F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n/a</w:t>
            </w:r>
          </w:p>
        </w:tc>
        <w:tc>
          <w:tcPr>
            <w:tcW w:w="1134" w:type="dxa"/>
          </w:tcPr>
          <w:p w14:paraId="220058A6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49.7</w:t>
            </w:r>
          </w:p>
        </w:tc>
      </w:tr>
      <w:tr w:rsidR="00F72578" w:rsidRPr="00505378" w14:paraId="368AB4E5" w14:textId="77777777" w:rsidTr="002F32B2">
        <w:tc>
          <w:tcPr>
            <w:tcW w:w="9214" w:type="dxa"/>
            <w:gridSpan w:val="5"/>
            <w:shd w:val="clear" w:color="auto" w:fill="auto"/>
          </w:tcPr>
          <w:p w14:paraId="277E6238" w14:textId="77777777" w:rsidR="00F72578" w:rsidRPr="00C000FB" w:rsidRDefault="00F72578" w:rsidP="002F32B2">
            <w:pPr>
              <w:pStyle w:val="TableText"/>
            </w:pPr>
            <w:r>
              <w:t xml:space="preserve">The </w:t>
            </w:r>
            <w:r w:rsidRPr="00090574">
              <w:t>Procurement Division</w:t>
            </w:r>
            <w:r>
              <w:t xml:space="preserve"> managed 50 per cent of spend, which aligns with DET’s </w:t>
            </w:r>
            <w:r w:rsidRPr="00090574">
              <w:t>centre-led procurement model</w:t>
            </w:r>
            <w:r>
              <w:t xml:space="preserve">. </w:t>
            </w:r>
          </w:p>
        </w:tc>
      </w:tr>
      <w:tr w:rsidR="00F72578" w:rsidRPr="000B20B5" w14:paraId="73CA0B9C" w14:textId="77777777" w:rsidTr="002F32B2">
        <w:tc>
          <w:tcPr>
            <w:tcW w:w="5812" w:type="dxa"/>
            <w:gridSpan w:val="2"/>
          </w:tcPr>
          <w:p w14:paraId="024A88AA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Increase in procurement capability</w:t>
            </w:r>
          </w:p>
        </w:tc>
        <w:tc>
          <w:tcPr>
            <w:tcW w:w="1134" w:type="dxa"/>
          </w:tcPr>
          <w:p w14:paraId="0069A293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2.4</w:t>
            </w:r>
          </w:p>
        </w:tc>
        <w:tc>
          <w:tcPr>
            <w:tcW w:w="1134" w:type="dxa"/>
          </w:tcPr>
          <w:p w14:paraId="6F8E9973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1.5</w:t>
            </w:r>
          </w:p>
        </w:tc>
        <w:tc>
          <w:tcPr>
            <w:tcW w:w="1134" w:type="dxa"/>
          </w:tcPr>
          <w:p w14:paraId="4CA1BC85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2.3</w:t>
            </w:r>
          </w:p>
        </w:tc>
      </w:tr>
      <w:tr w:rsidR="00F72578" w:rsidRPr="00505378" w14:paraId="26DCC0BF" w14:textId="77777777" w:rsidTr="002F32B2">
        <w:tc>
          <w:tcPr>
            <w:tcW w:w="9214" w:type="dxa"/>
            <w:gridSpan w:val="5"/>
          </w:tcPr>
          <w:p w14:paraId="292C62F3" w14:textId="77777777" w:rsidR="00F72578" w:rsidRPr="00C000FB" w:rsidRDefault="00F72578" w:rsidP="002F32B2">
            <w:pPr>
              <w:pStyle w:val="TableText"/>
            </w:pPr>
            <w:r>
              <w:t xml:space="preserve">DET increased procurement capability from 132 to 135 out of 150. DET uses a </w:t>
            </w:r>
            <w:r w:rsidRPr="004120D3">
              <w:t>70</w:t>
            </w:r>
            <w:r>
              <w:t>:</w:t>
            </w:r>
            <w:r w:rsidRPr="004120D3">
              <w:t>20</w:t>
            </w:r>
            <w:r>
              <w:t>:</w:t>
            </w:r>
            <w:r w:rsidRPr="004120D3">
              <w:t>10 model</w:t>
            </w:r>
            <w:r>
              <w:t xml:space="preserve"> to support and guide </w:t>
            </w:r>
            <w:r w:rsidRPr="004120D3">
              <w:t>team members to run sourcing events end</w:t>
            </w:r>
            <w:r>
              <w:t>-</w:t>
            </w:r>
            <w:r w:rsidRPr="004120D3">
              <w:t>to</w:t>
            </w:r>
            <w:r>
              <w:t>-</w:t>
            </w:r>
            <w:r w:rsidRPr="004120D3">
              <w:t xml:space="preserve">end, with peer reviews and support from </w:t>
            </w:r>
            <w:r>
              <w:t>m</w:t>
            </w:r>
            <w:r w:rsidRPr="004120D3">
              <w:t>anagers, complemented by formal training to improve capability. Procurement has</w:t>
            </w:r>
            <w:r>
              <w:t xml:space="preserve"> been more proactive at engaging with stakeholders, leading to this year-on-year increase in capability. </w:t>
            </w:r>
          </w:p>
        </w:tc>
      </w:tr>
      <w:tr w:rsidR="00F72578" w:rsidRPr="000B20B5" w14:paraId="44F92CD5" w14:textId="77777777" w:rsidTr="002F32B2">
        <w:tc>
          <w:tcPr>
            <w:tcW w:w="3119" w:type="dxa"/>
            <w:vMerge w:val="restart"/>
          </w:tcPr>
          <w:p w14:paraId="7DDB2943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Supplier satisfaction assessment</w:t>
            </w:r>
          </w:p>
        </w:tc>
        <w:tc>
          <w:tcPr>
            <w:tcW w:w="2693" w:type="dxa"/>
          </w:tcPr>
          <w:p w14:paraId="5BCAF34A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Successful satisfied</w:t>
            </w:r>
          </w:p>
        </w:tc>
        <w:tc>
          <w:tcPr>
            <w:tcW w:w="1134" w:type="dxa"/>
          </w:tcPr>
          <w:p w14:paraId="13E432C8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70</w:t>
            </w:r>
          </w:p>
        </w:tc>
        <w:tc>
          <w:tcPr>
            <w:tcW w:w="1134" w:type="dxa"/>
          </w:tcPr>
          <w:p w14:paraId="347CCE6A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80</w:t>
            </w:r>
          </w:p>
        </w:tc>
        <w:tc>
          <w:tcPr>
            <w:tcW w:w="1134" w:type="dxa"/>
          </w:tcPr>
          <w:p w14:paraId="33079558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79</w:t>
            </w:r>
          </w:p>
        </w:tc>
      </w:tr>
      <w:tr w:rsidR="00F72578" w:rsidRPr="000B20B5" w14:paraId="07ABAAA2" w14:textId="77777777" w:rsidTr="002F32B2">
        <w:tc>
          <w:tcPr>
            <w:tcW w:w="3119" w:type="dxa"/>
            <w:vMerge/>
          </w:tcPr>
          <w:p w14:paraId="2639B562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</w:p>
        </w:tc>
        <w:tc>
          <w:tcPr>
            <w:tcW w:w="2693" w:type="dxa"/>
          </w:tcPr>
          <w:p w14:paraId="0EF02774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Unsuccessful satisfied</w:t>
            </w:r>
          </w:p>
        </w:tc>
        <w:tc>
          <w:tcPr>
            <w:tcW w:w="1134" w:type="dxa"/>
          </w:tcPr>
          <w:p w14:paraId="2E263F1F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31</w:t>
            </w:r>
          </w:p>
        </w:tc>
        <w:tc>
          <w:tcPr>
            <w:tcW w:w="1134" w:type="dxa"/>
          </w:tcPr>
          <w:p w14:paraId="0C5041A9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25</w:t>
            </w:r>
          </w:p>
        </w:tc>
        <w:tc>
          <w:tcPr>
            <w:tcW w:w="1134" w:type="dxa"/>
          </w:tcPr>
          <w:p w14:paraId="7DF3A91D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52</w:t>
            </w:r>
          </w:p>
        </w:tc>
      </w:tr>
      <w:tr w:rsidR="00F72578" w:rsidRPr="00505378" w14:paraId="0FA09527" w14:textId="77777777" w:rsidTr="002F32B2">
        <w:tc>
          <w:tcPr>
            <w:tcW w:w="9214" w:type="dxa"/>
            <w:gridSpan w:val="5"/>
          </w:tcPr>
          <w:p w14:paraId="5FBDCE4F" w14:textId="77777777" w:rsidR="00F72578" w:rsidRPr="00C000FB" w:rsidRDefault="00F72578" w:rsidP="002F32B2">
            <w:pPr>
              <w:pStyle w:val="TableText"/>
            </w:pPr>
            <w:r w:rsidRPr="00E2046F">
              <w:t>Satisfaction of unsuccessful suppliers rose by nearly 27</w:t>
            </w:r>
            <w:r>
              <w:t xml:space="preserve"> per cent</w:t>
            </w:r>
            <w:r w:rsidRPr="00E2046F">
              <w:t>. Factors affecting</w:t>
            </w:r>
            <w:r>
              <w:t xml:space="preserve"> this</w:t>
            </w:r>
            <w:r w:rsidRPr="00E2046F">
              <w:t xml:space="preserve"> improvement include consistent offers to provide feedback and </w:t>
            </w:r>
            <w:r>
              <w:t xml:space="preserve">continually refining market </w:t>
            </w:r>
            <w:r w:rsidRPr="00E2046F">
              <w:t>approach documents</w:t>
            </w:r>
            <w:r>
              <w:t xml:space="preserve"> based on feedback to make them clearer. DET had a 20 per cent response rate. One area for improvement is giving the market better timeline estimates. </w:t>
            </w:r>
          </w:p>
        </w:tc>
      </w:tr>
      <w:tr w:rsidR="00F72578" w:rsidRPr="000B20B5" w14:paraId="5976D1AB" w14:textId="77777777" w:rsidTr="002F32B2">
        <w:tc>
          <w:tcPr>
            <w:tcW w:w="5812" w:type="dxa"/>
            <w:gridSpan w:val="2"/>
          </w:tcPr>
          <w:p w14:paraId="1E86B497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Planned procurement activity as a % of actual procurement activity</w:t>
            </w:r>
          </w:p>
        </w:tc>
        <w:tc>
          <w:tcPr>
            <w:tcW w:w="1134" w:type="dxa"/>
          </w:tcPr>
          <w:p w14:paraId="30CAB9E8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52.8</w:t>
            </w:r>
          </w:p>
        </w:tc>
        <w:tc>
          <w:tcPr>
            <w:tcW w:w="1134" w:type="dxa"/>
          </w:tcPr>
          <w:p w14:paraId="6C4AC3D5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51.9</w:t>
            </w:r>
          </w:p>
        </w:tc>
        <w:tc>
          <w:tcPr>
            <w:tcW w:w="1134" w:type="dxa"/>
          </w:tcPr>
          <w:p w14:paraId="0B47B852" w14:textId="77777777" w:rsidR="00F72578" w:rsidRPr="000B20B5" w:rsidRDefault="00F72578" w:rsidP="002F32B2">
            <w:pPr>
              <w:pStyle w:val="TableText"/>
              <w:rPr>
                <w:rStyle w:val="Strong"/>
              </w:rPr>
            </w:pPr>
            <w:r w:rsidRPr="000B20B5">
              <w:rPr>
                <w:rStyle w:val="Strong"/>
              </w:rPr>
              <w:t>46.7</w:t>
            </w:r>
          </w:p>
        </w:tc>
      </w:tr>
      <w:tr w:rsidR="00F72578" w:rsidRPr="006C6059" w14:paraId="141D5884" w14:textId="77777777" w:rsidTr="002F32B2">
        <w:tc>
          <w:tcPr>
            <w:tcW w:w="9214" w:type="dxa"/>
            <w:gridSpan w:val="5"/>
          </w:tcPr>
          <w:p w14:paraId="3E566995" w14:textId="77777777" w:rsidR="00F72578" w:rsidRPr="005F2BDA" w:rsidRDefault="00F72578" w:rsidP="002F32B2">
            <w:pPr>
              <w:pStyle w:val="TableText"/>
            </w:pPr>
            <w:r>
              <w:t>DET c</w:t>
            </w:r>
            <w:r w:rsidRPr="00E2046F">
              <w:t xml:space="preserve">ontinued to engage with business areas </w:t>
            </w:r>
            <w:r>
              <w:t xml:space="preserve">before the </w:t>
            </w:r>
            <w:r w:rsidRPr="00E2046F">
              <w:t xml:space="preserve">business planning period, encouraging them to document and share procurement needs upfront </w:t>
            </w:r>
            <w:r>
              <w:t xml:space="preserve">when </w:t>
            </w:r>
            <w:r w:rsidRPr="00E2046F">
              <w:t xml:space="preserve">planning </w:t>
            </w:r>
            <w:r>
              <w:t xml:space="preserve">their </w:t>
            </w:r>
            <w:r w:rsidRPr="00E2046F">
              <w:t>programs of work.</w:t>
            </w:r>
            <w:r>
              <w:t xml:space="preserve"> This year’s result was affected by the COVID-19 pandemic and this will likely continue in 2020–21. </w:t>
            </w:r>
          </w:p>
        </w:tc>
      </w:tr>
    </w:tbl>
    <w:p w14:paraId="27E7FD0A" w14:textId="77777777" w:rsidR="000C1A89" w:rsidRDefault="00D479BB"/>
    <w:sectPr w:rsidR="000C1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1DC6" w14:textId="77777777" w:rsidR="00F72578" w:rsidRDefault="00F72578" w:rsidP="00F72578">
      <w:r>
        <w:separator/>
      </w:r>
    </w:p>
  </w:endnote>
  <w:endnote w:type="continuationSeparator" w:id="0">
    <w:p w14:paraId="36CE43D4" w14:textId="77777777" w:rsidR="00F72578" w:rsidRDefault="00F72578" w:rsidP="00F7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AF34" w14:textId="77777777" w:rsidR="00D479BB" w:rsidRDefault="00D47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F24C" w14:textId="537645AE" w:rsidR="00F72578" w:rsidRDefault="00F725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5BF881" wp14:editId="3FFCCF6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8e04dd5889ad7b9d11dab5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47B101" w14:textId="15651AB8" w:rsidR="00F72578" w:rsidRPr="00F72578" w:rsidRDefault="00F72578" w:rsidP="00F72578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7257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BF881" id="_x0000_t202" coordsize="21600,21600" o:spt="202" path="m,l,21600r21600,l21600,xe">
              <v:stroke joinstyle="miter"/>
              <v:path gradientshapeok="t" o:connecttype="rect"/>
            </v:shapetype>
            <v:shape id="MSIPCM08e04dd5889ad7b9d11dab59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KMMkNKxAgAASAUAAA4A&#10;AAAAAAAAAAAAAAAALgIAAGRycy9lMm9Eb2MueG1sUEsBAi0AFAAGAAgAAAAhAGARxib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6F47B101" w14:textId="15651AB8" w:rsidR="00F72578" w:rsidRPr="00F72578" w:rsidRDefault="00F72578" w:rsidP="00F72578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7257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C76E" w14:textId="77777777" w:rsidR="00D479BB" w:rsidRDefault="00D47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41A85" w14:textId="77777777" w:rsidR="00F72578" w:rsidRDefault="00F72578" w:rsidP="00F72578">
      <w:r>
        <w:separator/>
      </w:r>
    </w:p>
  </w:footnote>
  <w:footnote w:type="continuationSeparator" w:id="0">
    <w:p w14:paraId="5E5C785A" w14:textId="77777777" w:rsidR="00F72578" w:rsidRDefault="00F72578" w:rsidP="00F7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0677" w14:textId="77777777" w:rsidR="00D479BB" w:rsidRDefault="00D47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3B50" w14:textId="77777777" w:rsidR="00D479BB" w:rsidRDefault="00D47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AA34" w14:textId="77777777" w:rsidR="00D479BB" w:rsidRDefault="00D47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8"/>
    <w:rsid w:val="00457876"/>
    <w:rsid w:val="00B4701F"/>
    <w:rsid w:val="00D479BB"/>
    <w:rsid w:val="00DD1248"/>
    <w:rsid w:val="00E744CF"/>
    <w:rsid w:val="00F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438E"/>
  <w15:chartTrackingRefBased/>
  <w15:docId w15:val="{48EEB7E1-65BB-4B76-B4C9-6B2315E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25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F72578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F72578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F72578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F72578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F72578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F72578"/>
    <w:pPr>
      <w:keepNext/>
      <w:spacing w:before="40" w:after="40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725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F72578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7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78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72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78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94A7A9D-5919-45FC-BA7D-D2F792EEB1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Coles (DTF)</dc:creator>
  <cp:keywords/>
  <dc:description/>
  <cp:lastModifiedBy>Athena Rozenberg (DTF)</cp:lastModifiedBy>
  <cp:revision>3</cp:revision>
  <dcterms:created xsi:type="dcterms:W3CDTF">2020-10-12T05:45:00Z</dcterms:created>
  <dcterms:modified xsi:type="dcterms:W3CDTF">2020-10-12T05:46:00Z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Vanessa.Coles@dtf.vic.gov.au</vt:lpwstr>
  </property>
  <property fmtid="{D5CDD505-2E9C-101B-9397-08002B2CF9AE}" pid="5" name="MSIP_Label_7158ebbd-6c5e-441f-bfc9-4eb8c11e3978_SetDate">
    <vt:lpwstr>2020-10-11T01:42:41.7049380Z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