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1DCB" w14:textId="78FD47E3" w:rsidR="00FC2612" w:rsidRPr="00341408" w:rsidRDefault="00FC2612" w:rsidP="00341408">
      <w:pPr>
        <w:pStyle w:val="Heading1"/>
        <w:ind w:left="720"/>
        <w:rPr>
          <w:rFonts w:cstheme="majorHAnsi"/>
          <w:b/>
          <w:bCs/>
          <w:color w:val="000000" w:themeColor="text1"/>
          <w:sz w:val="28"/>
          <w:szCs w:val="28"/>
        </w:rPr>
      </w:pPr>
      <w:bookmarkStart w:id="0" w:name="_Ref489542224"/>
      <w:bookmarkStart w:id="1" w:name="_Toc503949263"/>
      <w:bookmarkStart w:id="2" w:name="_Toc12717991"/>
      <w:bookmarkStart w:id="3" w:name="_Toc17130214"/>
      <w:bookmarkStart w:id="4" w:name="_Toc48837160"/>
      <w:bookmarkStart w:id="5" w:name="_Toc49185550"/>
      <w:r w:rsidRPr="00341408">
        <w:rPr>
          <w:rFonts w:cstheme="majorHAnsi"/>
          <w:b/>
          <w:bCs/>
          <w:color w:val="000000" w:themeColor="text1"/>
          <w:sz w:val="28"/>
          <w:szCs w:val="28"/>
        </w:rPr>
        <w:t>Table</w:t>
      </w:r>
      <w:bookmarkEnd w:id="0"/>
      <w:r w:rsidRPr="00341408">
        <w:rPr>
          <w:rFonts w:cstheme="majorHAnsi"/>
          <w:b/>
          <w:bCs/>
          <w:color w:val="000000" w:themeColor="text1"/>
          <w:sz w:val="28"/>
          <w:szCs w:val="28"/>
        </w:rPr>
        <w:t xml:space="preserve"> Department of Environment, Land, Water and Planning performance in </w:t>
      </w:r>
      <w:bookmarkEnd w:id="1"/>
      <w:r w:rsidRPr="00341408">
        <w:rPr>
          <w:rFonts w:cstheme="majorHAnsi"/>
          <w:b/>
          <w:bCs/>
          <w:color w:val="000000" w:themeColor="text1"/>
          <w:sz w:val="28"/>
          <w:szCs w:val="28"/>
        </w:rPr>
        <w:t>2019–20</w:t>
      </w:r>
      <w:bookmarkEnd w:id="2"/>
      <w:bookmarkEnd w:id="3"/>
      <w:bookmarkEnd w:id="4"/>
      <w:bookmarkEnd w:id="5"/>
    </w:p>
    <w:p w14:paraId="27BBD2AB" w14:textId="7C842E3B" w:rsidR="00341408" w:rsidRDefault="00341408" w:rsidP="00341408"/>
    <w:p w14:paraId="5CBC4C60" w14:textId="3174B03F" w:rsidR="00341408" w:rsidRPr="008A4523" w:rsidRDefault="00341408" w:rsidP="00341408">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 xml:space="preserve">Extract from Victorian Government Purchasing Board </w:t>
      </w:r>
      <w:r w:rsidR="002F268E">
        <w:rPr>
          <w:rFonts w:ascii="Calibri" w:eastAsiaTheme="minorHAnsi" w:hAnsi="Calibri" w:cs="Calibri"/>
          <w:sz w:val="20"/>
          <w:szCs w:val="20"/>
          <w:lang w:val="en-US" w:eastAsia="en-US"/>
        </w:rPr>
        <w:t xml:space="preserve">Annual Report </w:t>
      </w:r>
      <w:bookmarkStart w:id="6" w:name="_GoBack"/>
      <w:bookmarkEnd w:id="6"/>
      <w:r w:rsidRPr="008A4523">
        <w:rPr>
          <w:rFonts w:ascii="Calibri" w:eastAsiaTheme="minorHAnsi" w:hAnsi="Calibri" w:cs="Calibri"/>
          <w:sz w:val="20"/>
          <w:szCs w:val="20"/>
          <w:lang w:val="en-US" w:eastAsia="en-US"/>
        </w:rPr>
        <w:t>2019-20</w:t>
      </w:r>
    </w:p>
    <w:p w14:paraId="75EE944D" w14:textId="77777777" w:rsidR="00341408" w:rsidRDefault="00341408" w:rsidP="00341408"/>
    <w:p w14:paraId="333444A2" w14:textId="77777777" w:rsidR="00341408" w:rsidRPr="00341408" w:rsidRDefault="00341408" w:rsidP="00341408"/>
    <w:tbl>
      <w:tblPr>
        <w:tblStyle w:val="TableGrid1"/>
        <w:tblW w:w="8647" w:type="dxa"/>
        <w:tblInd w:w="704" w:type="dxa"/>
        <w:tblLook w:val="04A0" w:firstRow="1" w:lastRow="0" w:firstColumn="1" w:lastColumn="0" w:noHBand="0" w:noVBand="1"/>
      </w:tblPr>
      <w:tblGrid>
        <w:gridCol w:w="2994"/>
        <w:gridCol w:w="2251"/>
        <w:gridCol w:w="1115"/>
        <w:gridCol w:w="1115"/>
        <w:gridCol w:w="1172"/>
      </w:tblGrid>
      <w:tr w:rsidR="00FC2612" w:rsidRPr="004E7CDE" w14:paraId="137DA9A9" w14:textId="77777777" w:rsidTr="002F32B2">
        <w:tc>
          <w:tcPr>
            <w:tcW w:w="5245" w:type="dxa"/>
            <w:gridSpan w:val="2"/>
            <w:vMerge w:val="restart"/>
            <w:shd w:val="clear" w:color="auto" w:fill="FFFFFF" w:themeFill="background1"/>
          </w:tcPr>
          <w:p w14:paraId="3B13BD6D" w14:textId="77777777" w:rsidR="00FC2612" w:rsidRPr="00DA1E79" w:rsidRDefault="00FC2612" w:rsidP="002F32B2">
            <w:pPr>
              <w:pStyle w:val="TableHeader"/>
            </w:pPr>
            <w:r w:rsidRPr="00DA1E79">
              <w:t>Performance measure</w:t>
            </w:r>
          </w:p>
        </w:tc>
        <w:tc>
          <w:tcPr>
            <w:tcW w:w="1115" w:type="dxa"/>
            <w:shd w:val="clear" w:color="auto" w:fill="FFFFFF" w:themeFill="background1"/>
          </w:tcPr>
          <w:p w14:paraId="7F56DFC7" w14:textId="77777777" w:rsidR="00FC2612" w:rsidRPr="00DA1E79" w:rsidRDefault="00FC2612" w:rsidP="002F32B2">
            <w:pPr>
              <w:pStyle w:val="TableHeader"/>
            </w:pPr>
            <w:r w:rsidRPr="00DA1E79">
              <w:t xml:space="preserve">2017–18 </w:t>
            </w:r>
          </w:p>
        </w:tc>
        <w:tc>
          <w:tcPr>
            <w:tcW w:w="1115" w:type="dxa"/>
            <w:shd w:val="clear" w:color="auto" w:fill="FFFFFF" w:themeFill="background1"/>
          </w:tcPr>
          <w:p w14:paraId="42D3C5B0" w14:textId="77777777" w:rsidR="00FC2612" w:rsidRPr="00DA1E79" w:rsidRDefault="00FC2612" w:rsidP="002F32B2">
            <w:pPr>
              <w:pStyle w:val="TableHeader"/>
            </w:pPr>
            <w:r w:rsidRPr="00DA1E79">
              <w:t>2018–19</w:t>
            </w:r>
          </w:p>
        </w:tc>
        <w:tc>
          <w:tcPr>
            <w:tcW w:w="1172" w:type="dxa"/>
            <w:shd w:val="clear" w:color="auto" w:fill="FFFFFF" w:themeFill="background1"/>
          </w:tcPr>
          <w:p w14:paraId="5153B618" w14:textId="77777777" w:rsidR="00FC2612" w:rsidRPr="00DA1E79" w:rsidRDefault="00FC2612" w:rsidP="002F32B2">
            <w:pPr>
              <w:pStyle w:val="TableHeader"/>
            </w:pPr>
            <w:r w:rsidRPr="00DA1E79">
              <w:t>2019–20</w:t>
            </w:r>
          </w:p>
        </w:tc>
      </w:tr>
      <w:tr w:rsidR="00FC2612" w:rsidRPr="006C6059" w14:paraId="7B4ABA51" w14:textId="77777777" w:rsidTr="002F32B2">
        <w:tc>
          <w:tcPr>
            <w:tcW w:w="5245" w:type="dxa"/>
            <w:gridSpan w:val="2"/>
            <w:vMerge/>
            <w:shd w:val="clear" w:color="auto" w:fill="FFFFFF" w:themeFill="background1"/>
          </w:tcPr>
          <w:p w14:paraId="56E2844C" w14:textId="77777777" w:rsidR="00FC2612" w:rsidRPr="00DA1E79" w:rsidRDefault="00FC2612" w:rsidP="002F32B2">
            <w:pPr>
              <w:pStyle w:val="TableHeader"/>
            </w:pPr>
          </w:p>
        </w:tc>
        <w:tc>
          <w:tcPr>
            <w:tcW w:w="3402" w:type="dxa"/>
            <w:gridSpan w:val="3"/>
            <w:shd w:val="clear" w:color="auto" w:fill="FFFFFF" w:themeFill="background1"/>
          </w:tcPr>
          <w:p w14:paraId="4AFA3186" w14:textId="77777777" w:rsidR="00FC2612" w:rsidRPr="00DA1E79" w:rsidRDefault="00FC2612" w:rsidP="002F32B2">
            <w:pPr>
              <w:pStyle w:val="TableHeader"/>
            </w:pPr>
            <w:r w:rsidRPr="00DA1E79">
              <w:t>(%)</w:t>
            </w:r>
          </w:p>
        </w:tc>
      </w:tr>
      <w:tr w:rsidR="00FC2612" w:rsidRPr="005C4F4A" w14:paraId="0B24F6CD" w14:textId="77777777" w:rsidTr="002F32B2">
        <w:tc>
          <w:tcPr>
            <w:tcW w:w="5245" w:type="dxa"/>
            <w:gridSpan w:val="2"/>
          </w:tcPr>
          <w:p w14:paraId="7CDAB10E" w14:textId="77777777" w:rsidR="00FC2612" w:rsidRPr="005C4F4A" w:rsidRDefault="00FC2612" w:rsidP="002F32B2">
            <w:pPr>
              <w:pStyle w:val="TableText"/>
              <w:rPr>
                <w:rStyle w:val="Strong"/>
              </w:rPr>
            </w:pPr>
            <w:r w:rsidRPr="005C4F4A">
              <w:rPr>
                <w:rStyle w:val="Strong"/>
              </w:rPr>
              <w:t>Value created from department procurement activity</w:t>
            </w:r>
          </w:p>
        </w:tc>
        <w:tc>
          <w:tcPr>
            <w:tcW w:w="1115" w:type="dxa"/>
          </w:tcPr>
          <w:p w14:paraId="6CC75B32" w14:textId="77777777" w:rsidR="00FC2612" w:rsidRPr="005C4F4A" w:rsidRDefault="00FC2612" w:rsidP="002F32B2">
            <w:pPr>
              <w:pStyle w:val="TableText"/>
              <w:rPr>
                <w:rStyle w:val="Strong"/>
              </w:rPr>
            </w:pPr>
            <w:r w:rsidRPr="005C4F4A">
              <w:rPr>
                <w:rStyle w:val="Strong"/>
              </w:rPr>
              <w:t>7.5</w:t>
            </w:r>
          </w:p>
        </w:tc>
        <w:tc>
          <w:tcPr>
            <w:tcW w:w="1115" w:type="dxa"/>
          </w:tcPr>
          <w:p w14:paraId="370289C5" w14:textId="77777777" w:rsidR="00FC2612" w:rsidRPr="005C4F4A" w:rsidRDefault="00FC2612" w:rsidP="002F32B2">
            <w:pPr>
              <w:pStyle w:val="TableText"/>
              <w:rPr>
                <w:rStyle w:val="Strong"/>
              </w:rPr>
            </w:pPr>
            <w:r w:rsidRPr="005C4F4A">
              <w:rPr>
                <w:rStyle w:val="Strong"/>
              </w:rPr>
              <w:t>10.2</w:t>
            </w:r>
          </w:p>
        </w:tc>
        <w:tc>
          <w:tcPr>
            <w:tcW w:w="1172" w:type="dxa"/>
          </w:tcPr>
          <w:p w14:paraId="776C271A" w14:textId="77777777" w:rsidR="00FC2612" w:rsidRPr="005C4F4A" w:rsidRDefault="00FC2612" w:rsidP="002F32B2">
            <w:pPr>
              <w:pStyle w:val="TableText"/>
              <w:rPr>
                <w:rStyle w:val="Strong"/>
              </w:rPr>
            </w:pPr>
            <w:r w:rsidRPr="005C4F4A">
              <w:rPr>
                <w:rStyle w:val="Strong"/>
              </w:rPr>
              <w:t>5.3</w:t>
            </w:r>
          </w:p>
        </w:tc>
      </w:tr>
      <w:tr w:rsidR="00FC2612" w:rsidRPr="005F2BDA" w14:paraId="003438AD" w14:textId="77777777" w:rsidTr="002F32B2">
        <w:tc>
          <w:tcPr>
            <w:tcW w:w="8647" w:type="dxa"/>
            <w:gridSpan w:val="5"/>
          </w:tcPr>
          <w:p w14:paraId="241CCEBF" w14:textId="77777777" w:rsidR="00FC2612" w:rsidRPr="005F2BDA" w:rsidRDefault="00FC2612" w:rsidP="002F32B2">
            <w:pPr>
              <w:pStyle w:val="TableText"/>
            </w:pPr>
            <w:r w:rsidRPr="009B1D91">
              <w:t>The Central Procurement Team continue</w:t>
            </w:r>
            <w:r>
              <w:t>d</w:t>
            </w:r>
            <w:r w:rsidRPr="009B1D91">
              <w:t xml:space="preserve"> </w:t>
            </w:r>
            <w:r>
              <w:t xml:space="preserve">to </w:t>
            </w:r>
            <w:r w:rsidRPr="009B1D91">
              <w:t>generate</w:t>
            </w:r>
            <w:r>
              <w:t xml:space="preserve"> </w:t>
            </w:r>
            <w:r w:rsidRPr="009B1D91">
              <w:t xml:space="preserve">savings </w:t>
            </w:r>
            <w:r>
              <w:t xml:space="preserve">from the procurements led by the team. </w:t>
            </w:r>
            <w:r w:rsidRPr="009B1D91">
              <w:t xml:space="preserve">Actual savings </w:t>
            </w:r>
            <w:r>
              <w:t>across</w:t>
            </w:r>
            <w:r w:rsidRPr="009B1D91">
              <w:t xml:space="preserve"> DELWP would be higher if the savings generated by the </w:t>
            </w:r>
            <w:r>
              <w:t>b</w:t>
            </w:r>
            <w:r w:rsidRPr="009B1D91">
              <w:t xml:space="preserve">est and </w:t>
            </w:r>
            <w:r>
              <w:t>f</w:t>
            </w:r>
            <w:r w:rsidRPr="009B1D91">
              <w:t xml:space="preserve">inal </w:t>
            </w:r>
            <w:r>
              <w:t>o</w:t>
            </w:r>
            <w:r w:rsidRPr="009B1D91">
              <w:t>ffer process conducted by the business w</w:t>
            </w:r>
            <w:r>
              <w:t>ere</w:t>
            </w:r>
            <w:r w:rsidRPr="009B1D91">
              <w:t xml:space="preserve"> recorded. </w:t>
            </w:r>
            <w:r>
              <w:t xml:space="preserve">Rolling out </w:t>
            </w:r>
            <w:r w:rsidRPr="009B1D91">
              <w:t>Zycus</w:t>
            </w:r>
            <w:r>
              <w:t xml:space="preserve"> (</w:t>
            </w:r>
            <w:r w:rsidRPr="009B1D91">
              <w:t>expected in the last quarter of 2020</w:t>
            </w:r>
            <w:r>
              <w:t>)</w:t>
            </w:r>
            <w:r w:rsidRPr="009B1D91">
              <w:t xml:space="preserve"> will enable greater visibility, structure and reporting over sourcing processes and contracts.</w:t>
            </w:r>
          </w:p>
        </w:tc>
      </w:tr>
      <w:tr w:rsidR="00FC2612" w:rsidRPr="005C4F4A" w14:paraId="1FF6A5DF" w14:textId="77777777" w:rsidTr="002F32B2">
        <w:tc>
          <w:tcPr>
            <w:tcW w:w="5245" w:type="dxa"/>
            <w:gridSpan w:val="2"/>
          </w:tcPr>
          <w:p w14:paraId="6E6EFCAB" w14:textId="77777777" w:rsidR="00FC2612" w:rsidRPr="005C4F4A" w:rsidRDefault="00FC2612" w:rsidP="002F32B2">
            <w:pPr>
              <w:pStyle w:val="TableText"/>
              <w:rPr>
                <w:rStyle w:val="Strong"/>
              </w:rPr>
            </w:pPr>
            <w:r w:rsidRPr="005C4F4A">
              <w:rPr>
                <w:rStyle w:val="Strong"/>
              </w:rPr>
              <w:t>Managed spend</w:t>
            </w:r>
          </w:p>
        </w:tc>
        <w:tc>
          <w:tcPr>
            <w:tcW w:w="1115" w:type="dxa"/>
            <w:shd w:val="clear" w:color="auto" w:fill="FFFFFF" w:themeFill="background1"/>
          </w:tcPr>
          <w:p w14:paraId="32E01253" w14:textId="77777777" w:rsidR="00FC2612" w:rsidRPr="005C4F4A" w:rsidRDefault="00FC2612" w:rsidP="002F32B2">
            <w:pPr>
              <w:pStyle w:val="TableText"/>
              <w:rPr>
                <w:rStyle w:val="Strong"/>
              </w:rPr>
            </w:pPr>
            <w:r w:rsidRPr="005C4F4A">
              <w:rPr>
                <w:rStyle w:val="Strong"/>
              </w:rPr>
              <w:t>n/a</w:t>
            </w:r>
          </w:p>
        </w:tc>
        <w:tc>
          <w:tcPr>
            <w:tcW w:w="1115" w:type="dxa"/>
            <w:shd w:val="clear" w:color="auto" w:fill="FFFFFF" w:themeFill="background1"/>
          </w:tcPr>
          <w:p w14:paraId="592BD916" w14:textId="77777777" w:rsidR="00FC2612" w:rsidRPr="005C4F4A" w:rsidRDefault="00FC2612" w:rsidP="002F32B2">
            <w:pPr>
              <w:pStyle w:val="TableText"/>
              <w:rPr>
                <w:rStyle w:val="Strong"/>
              </w:rPr>
            </w:pPr>
            <w:r w:rsidRPr="005C4F4A">
              <w:rPr>
                <w:rStyle w:val="Strong"/>
              </w:rPr>
              <w:t>n/a</w:t>
            </w:r>
          </w:p>
        </w:tc>
        <w:tc>
          <w:tcPr>
            <w:tcW w:w="1172" w:type="dxa"/>
          </w:tcPr>
          <w:p w14:paraId="02340028" w14:textId="77777777" w:rsidR="00FC2612" w:rsidRPr="005C4F4A" w:rsidRDefault="00FC2612" w:rsidP="002F32B2">
            <w:pPr>
              <w:pStyle w:val="TableText"/>
              <w:rPr>
                <w:rStyle w:val="Strong"/>
              </w:rPr>
            </w:pPr>
            <w:r w:rsidRPr="005C4F4A">
              <w:rPr>
                <w:rStyle w:val="Strong"/>
              </w:rPr>
              <w:t>26.9</w:t>
            </w:r>
          </w:p>
        </w:tc>
      </w:tr>
      <w:tr w:rsidR="00FC2612" w:rsidRPr="00505378" w14:paraId="20E0DF29" w14:textId="77777777" w:rsidTr="002F32B2">
        <w:tc>
          <w:tcPr>
            <w:tcW w:w="8647" w:type="dxa"/>
            <w:gridSpan w:val="5"/>
          </w:tcPr>
          <w:p w14:paraId="54461D5A" w14:textId="77777777" w:rsidR="00FC2612" w:rsidRPr="009C002C" w:rsidRDefault="00FC2612" w:rsidP="002F32B2">
            <w:pPr>
              <w:pStyle w:val="TableText"/>
            </w:pPr>
            <w:r w:rsidRPr="009C002C">
              <w:t>The procurement governance unit reviews all procurement (including construction) with a value greater than $150 000. The number of submissions (including CPO approvals over $150 000 and professional services engagements of any value) processed at the end of 2019–20 was significantly greater (150</w:t>
            </w:r>
            <w:r>
              <w:t xml:space="preserve"> per cent</w:t>
            </w:r>
            <w:r w:rsidRPr="009C002C">
              <w:t xml:space="preserve"> increase) than the previous year. DELWP has set up a Strategic Sourcing team to lead all procurement greater than $3 million, allowing for prioritising of planned sourcing events, allocation of appropriate resources and a managed and more effective distribution of submissions to the CPO in 2020–21.</w:t>
            </w:r>
            <w:r>
              <w:t xml:space="preserve"> </w:t>
            </w:r>
            <w:r w:rsidRPr="009C002C">
              <w:t>Establishing a category management function within the Central Procurement Team has also provided greater oversight and ability to manage spend against DELWP’s three main categories, and this will continue to mature over the next financial year.</w:t>
            </w:r>
          </w:p>
        </w:tc>
      </w:tr>
      <w:tr w:rsidR="00FC2612" w:rsidRPr="005C4F4A" w14:paraId="3FD5142D" w14:textId="77777777" w:rsidTr="002F32B2">
        <w:tc>
          <w:tcPr>
            <w:tcW w:w="5245" w:type="dxa"/>
            <w:gridSpan w:val="2"/>
          </w:tcPr>
          <w:p w14:paraId="6DDDFD16" w14:textId="77777777" w:rsidR="00FC2612" w:rsidRPr="005C4F4A" w:rsidRDefault="00FC2612" w:rsidP="002F32B2">
            <w:pPr>
              <w:pStyle w:val="TableText"/>
              <w:rPr>
                <w:rStyle w:val="Strong"/>
              </w:rPr>
            </w:pPr>
            <w:r w:rsidRPr="005C4F4A">
              <w:rPr>
                <w:rStyle w:val="Strong"/>
              </w:rPr>
              <w:t>Increase in procurement capability</w:t>
            </w:r>
          </w:p>
        </w:tc>
        <w:tc>
          <w:tcPr>
            <w:tcW w:w="1115" w:type="dxa"/>
          </w:tcPr>
          <w:p w14:paraId="784322FC" w14:textId="77777777" w:rsidR="00FC2612" w:rsidRPr="005C4F4A" w:rsidRDefault="00FC2612" w:rsidP="002F32B2">
            <w:pPr>
              <w:pStyle w:val="TableText"/>
              <w:rPr>
                <w:rStyle w:val="Strong"/>
              </w:rPr>
            </w:pPr>
            <w:r w:rsidRPr="005C4F4A">
              <w:rPr>
                <w:rStyle w:val="Strong"/>
              </w:rPr>
              <w:t>16</w:t>
            </w:r>
          </w:p>
        </w:tc>
        <w:tc>
          <w:tcPr>
            <w:tcW w:w="1115" w:type="dxa"/>
          </w:tcPr>
          <w:p w14:paraId="42A21043" w14:textId="77777777" w:rsidR="00FC2612" w:rsidRPr="005C4F4A" w:rsidRDefault="00FC2612" w:rsidP="002F32B2">
            <w:pPr>
              <w:pStyle w:val="TableText"/>
              <w:rPr>
                <w:rStyle w:val="Strong"/>
              </w:rPr>
            </w:pPr>
            <w:r w:rsidRPr="005C4F4A">
              <w:rPr>
                <w:rStyle w:val="Strong"/>
              </w:rPr>
              <w:t>11.6</w:t>
            </w:r>
          </w:p>
        </w:tc>
        <w:tc>
          <w:tcPr>
            <w:tcW w:w="1172" w:type="dxa"/>
          </w:tcPr>
          <w:p w14:paraId="5E56B7C6" w14:textId="77777777" w:rsidR="00FC2612" w:rsidRPr="005C4F4A" w:rsidRDefault="00FC2612" w:rsidP="002F32B2">
            <w:pPr>
              <w:pStyle w:val="TableText"/>
              <w:rPr>
                <w:rStyle w:val="Strong"/>
              </w:rPr>
            </w:pPr>
            <w:r w:rsidRPr="005C4F4A">
              <w:rPr>
                <w:rStyle w:val="Strong"/>
              </w:rPr>
              <w:t>6.3</w:t>
            </w:r>
          </w:p>
        </w:tc>
      </w:tr>
      <w:tr w:rsidR="00FC2612" w:rsidRPr="00505378" w14:paraId="32DBBA3C" w14:textId="77777777" w:rsidTr="002F32B2">
        <w:tc>
          <w:tcPr>
            <w:tcW w:w="8647" w:type="dxa"/>
            <w:gridSpan w:val="5"/>
          </w:tcPr>
          <w:p w14:paraId="6C73D5BE" w14:textId="77777777" w:rsidR="00FC2612" w:rsidRPr="00C000FB" w:rsidRDefault="00FC2612" w:rsidP="002F32B2">
            <w:pPr>
              <w:pStyle w:val="TableText"/>
            </w:pPr>
            <w:r>
              <w:t xml:space="preserve">Procurement capability increased from 96 to 102 out of 150. Procurement activities now have greater strategic direction with procurement objectives and performance targets built in. Senior management have shifted their view of procurement from an important function to a core function of the department. A total of </w:t>
            </w:r>
            <w:r w:rsidRPr="00952A2D">
              <w:t xml:space="preserve">123 staff attended formal procurement and contract management training courses during the year. In addition, 74 staff took the </w:t>
            </w:r>
            <w:r>
              <w:t>i</w:t>
            </w:r>
            <w:r w:rsidRPr="00952A2D">
              <w:t xml:space="preserve">ntroduction to </w:t>
            </w:r>
            <w:r>
              <w:t>p</w:t>
            </w:r>
            <w:r w:rsidRPr="00952A2D">
              <w:t>rocurement eLearning module.</w:t>
            </w:r>
          </w:p>
        </w:tc>
      </w:tr>
      <w:tr w:rsidR="00FC2612" w:rsidRPr="005C4F4A" w14:paraId="111FF5F6" w14:textId="77777777" w:rsidTr="002F32B2">
        <w:tc>
          <w:tcPr>
            <w:tcW w:w="2994" w:type="dxa"/>
            <w:vMerge w:val="restart"/>
          </w:tcPr>
          <w:p w14:paraId="32844BF7" w14:textId="77777777" w:rsidR="00FC2612" w:rsidRPr="005C4F4A" w:rsidRDefault="00FC2612" w:rsidP="002F32B2">
            <w:pPr>
              <w:pStyle w:val="TableText"/>
              <w:rPr>
                <w:rStyle w:val="Strong"/>
              </w:rPr>
            </w:pPr>
            <w:r w:rsidRPr="005C4F4A">
              <w:rPr>
                <w:rStyle w:val="Strong"/>
              </w:rPr>
              <w:t>Supplier satisfaction assessment</w:t>
            </w:r>
          </w:p>
        </w:tc>
        <w:tc>
          <w:tcPr>
            <w:tcW w:w="2251" w:type="dxa"/>
          </w:tcPr>
          <w:p w14:paraId="1863171A" w14:textId="77777777" w:rsidR="00FC2612" w:rsidRPr="005C4F4A" w:rsidRDefault="00FC2612" w:rsidP="002F32B2">
            <w:pPr>
              <w:pStyle w:val="TableText"/>
              <w:rPr>
                <w:rStyle w:val="Strong"/>
              </w:rPr>
            </w:pPr>
            <w:r w:rsidRPr="005C4F4A">
              <w:rPr>
                <w:rStyle w:val="Strong"/>
              </w:rPr>
              <w:t>Successful satisfied</w:t>
            </w:r>
          </w:p>
        </w:tc>
        <w:tc>
          <w:tcPr>
            <w:tcW w:w="1115" w:type="dxa"/>
          </w:tcPr>
          <w:p w14:paraId="2C7A0827" w14:textId="77777777" w:rsidR="00FC2612" w:rsidRPr="005C4F4A" w:rsidRDefault="00FC2612" w:rsidP="002F32B2">
            <w:pPr>
              <w:pStyle w:val="TableText"/>
              <w:rPr>
                <w:rStyle w:val="Strong"/>
              </w:rPr>
            </w:pPr>
            <w:r w:rsidRPr="005C4F4A">
              <w:rPr>
                <w:rStyle w:val="Strong"/>
              </w:rPr>
              <w:t>83</w:t>
            </w:r>
          </w:p>
        </w:tc>
        <w:tc>
          <w:tcPr>
            <w:tcW w:w="1115" w:type="dxa"/>
          </w:tcPr>
          <w:p w14:paraId="6097937D" w14:textId="77777777" w:rsidR="00FC2612" w:rsidRPr="005C4F4A" w:rsidRDefault="00FC2612" w:rsidP="002F32B2">
            <w:pPr>
              <w:pStyle w:val="TableText"/>
              <w:rPr>
                <w:rStyle w:val="Strong"/>
              </w:rPr>
            </w:pPr>
            <w:r w:rsidRPr="005C4F4A">
              <w:rPr>
                <w:rStyle w:val="Strong"/>
              </w:rPr>
              <w:t>90</w:t>
            </w:r>
          </w:p>
        </w:tc>
        <w:tc>
          <w:tcPr>
            <w:tcW w:w="1172" w:type="dxa"/>
          </w:tcPr>
          <w:p w14:paraId="3201FBA7" w14:textId="77777777" w:rsidR="00FC2612" w:rsidRPr="005C4F4A" w:rsidRDefault="00FC2612" w:rsidP="002F32B2">
            <w:pPr>
              <w:pStyle w:val="TableText"/>
              <w:rPr>
                <w:rStyle w:val="Strong"/>
              </w:rPr>
            </w:pPr>
            <w:r w:rsidRPr="005C4F4A">
              <w:rPr>
                <w:rStyle w:val="Strong"/>
              </w:rPr>
              <w:t>60</w:t>
            </w:r>
          </w:p>
        </w:tc>
      </w:tr>
      <w:tr w:rsidR="00FC2612" w:rsidRPr="005C4F4A" w14:paraId="18743746" w14:textId="77777777" w:rsidTr="002F32B2">
        <w:tc>
          <w:tcPr>
            <w:tcW w:w="2994" w:type="dxa"/>
            <w:vMerge/>
          </w:tcPr>
          <w:p w14:paraId="122B8C00" w14:textId="77777777" w:rsidR="00FC2612" w:rsidRPr="005C4F4A" w:rsidRDefault="00FC2612" w:rsidP="002F32B2">
            <w:pPr>
              <w:pStyle w:val="TableText"/>
              <w:rPr>
                <w:rStyle w:val="Strong"/>
              </w:rPr>
            </w:pPr>
          </w:p>
        </w:tc>
        <w:tc>
          <w:tcPr>
            <w:tcW w:w="2251" w:type="dxa"/>
          </w:tcPr>
          <w:p w14:paraId="2BA6A73B" w14:textId="77777777" w:rsidR="00FC2612" w:rsidRPr="005C4F4A" w:rsidRDefault="00FC2612" w:rsidP="002F32B2">
            <w:pPr>
              <w:pStyle w:val="TableText"/>
              <w:rPr>
                <w:rStyle w:val="Strong"/>
              </w:rPr>
            </w:pPr>
            <w:r w:rsidRPr="005C4F4A">
              <w:rPr>
                <w:rStyle w:val="Strong"/>
              </w:rPr>
              <w:t>Unsuccessful satisfied</w:t>
            </w:r>
          </w:p>
        </w:tc>
        <w:tc>
          <w:tcPr>
            <w:tcW w:w="1115" w:type="dxa"/>
          </w:tcPr>
          <w:p w14:paraId="336A43FF" w14:textId="77777777" w:rsidR="00FC2612" w:rsidRPr="005C4F4A" w:rsidRDefault="00FC2612" w:rsidP="002F32B2">
            <w:pPr>
              <w:pStyle w:val="TableText"/>
              <w:rPr>
                <w:rStyle w:val="Strong"/>
              </w:rPr>
            </w:pPr>
            <w:r w:rsidRPr="005C4F4A">
              <w:rPr>
                <w:rStyle w:val="Strong"/>
              </w:rPr>
              <w:t>42</w:t>
            </w:r>
          </w:p>
        </w:tc>
        <w:tc>
          <w:tcPr>
            <w:tcW w:w="1115" w:type="dxa"/>
          </w:tcPr>
          <w:p w14:paraId="0EBF6502" w14:textId="77777777" w:rsidR="00FC2612" w:rsidRPr="005C4F4A" w:rsidRDefault="00FC2612" w:rsidP="002F32B2">
            <w:pPr>
              <w:pStyle w:val="TableText"/>
              <w:rPr>
                <w:rStyle w:val="Strong"/>
              </w:rPr>
            </w:pPr>
            <w:r w:rsidRPr="005C4F4A">
              <w:rPr>
                <w:rStyle w:val="Strong"/>
              </w:rPr>
              <w:t>36</w:t>
            </w:r>
          </w:p>
        </w:tc>
        <w:tc>
          <w:tcPr>
            <w:tcW w:w="1172" w:type="dxa"/>
          </w:tcPr>
          <w:p w14:paraId="5F92A942" w14:textId="77777777" w:rsidR="00FC2612" w:rsidRPr="005C4F4A" w:rsidRDefault="00FC2612" w:rsidP="002F32B2">
            <w:pPr>
              <w:pStyle w:val="TableText"/>
              <w:rPr>
                <w:rStyle w:val="Strong"/>
              </w:rPr>
            </w:pPr>
            <w:r w:rsidRPr="005C4F4A">
              <w:rPr>
                <w:rStyle w:val="Strong"/>
              </w:rPr>
              <w:t>32</w:t>
            </w:r>
          </w:p>
        </w:tc>
      </w:tr>
      <w:tr w:rsidR="00FC2612" w:rsidRPr="00505378" w14:paraId="6EBE1C1F" w14:textId="77777777" w:rsidTr="002F32B2">
        <w:tc>
          <w:tcPr>
            <w:tcW w:w="8647" w:type="dxa"/>
            <w:gridSpan w:val="5"/>
          </w:tcPr>
          <w:p w14:paraId="3D793A4B" w14:textId="77777777" w:rsidR="00FC2612" w:rsidRPr="00C000FB" w:rsidRDefault="00FC2612" w:rsidP="002F32B2">
            <w:pPr>
              <w:pStyle w:val="TableText"/>
            </w:pPr>
            <w:r w:rsidRPr="00B2716F">
              <w:t xml:space="preserve">Overall satisfaction declined in </w:t>
            </w:r>
            <w:r>
              <w:t>2019–</w:t>
            </w:r>
            <w:r w:rsidRPr="00B2716F">
              <w:t xml:space="preserve">20. </w:t>
            </w:r>
            <w:r>
              <w:t>T</w:t>
            </w:r>
            <w:r w:rsidRPr="00B2716F">
              <w:t>he</w:t>
            </w:r>
            <w:r>
              <w:t>se</w:t>
            </w:r>
            <w:r w:rsidRPr="00B2716F">
              <w:t xml:space="preserve"> results reinforce the requirement for supplier feedback to be provided to unsuccessful suppliers.</w:t>
            </w:r>
            <w:r>
              <w:t xml:space="preserve"> Areas where DELWP scored lower than the average for all organisations include l</w:t>
            </w:r>
            <w:r w:rsidRPr="00952A2D">
              <w:t>evels of satisfaction with the invitation to supply documents and submission process</w:t>
            </w:r>
            <w:r>
              <w:t xml:space="preserve"> and </w:t>
            </w:r>
            <w:r w:rsidRPr="00952A2D">
              <w:t>all aspects of the evaluation process</w:t>
            </w:r>
            <w:r>
              <w:t>. Higher scoring areas include s</w:t>
            </w:r>
            <w:r w:rsidRPr="00952A2D">
              <w:t>atisfaction with the feedback process</w:t>
            </w:r>
            <w:r>
              <w:t xml:space="preserve">, </w:t>
            </w:r>
            <w:r w:rsidRPr="00952A2D">
              <w:t>contract management</w:t>
            </w:r>
            <w:r>
              <w:t xml:space="preserve">, </w:t>
            </w:r>
            <w:r w:rsidRPr="00952A2D">
              <w:t xml:space="preserve">all areas of the procurement process </w:t>
            </w:r>
            <w:r>
              <w:t xml:space="preserve">and </w:t>
            </w:r>
            <w:r w:rsidRPr="00952A2D">
              <w:t xml:space="preserve">the helpfulness and quality of feedback among successful suppliers. </w:t>
            </w:r>
          </w:p>
        </w:tc>
      </w:tr>
      <w:tr w:rsidR="00FC2612" w:rsidRPr="005C4F4A" w14:paraId="22B93FC3" w14:textId="77777777" w:rsidTr="002F32B2">
        <w:tc>
          <w:tcPr>
            <w:tcW w:w="5245" w:type="dxa"/>
            <w:gridSpan w:val="2"/>
          </w:tcPr>
          <w:p w14:paraId="0E49B90A" w14:textId="77777777" w:rsidR="00FC2612" w:rsidRPr="005C4F4A" w:rsidRDefault="00FC2612" w:rsidP="002F32B2">
            <w:pPr>
              <w:pStyle w:val="TableText"/>
              <w:rPr>
                <w:rStyle w:val="Strong"/>
              </w:rPr>
            </w:pPr>
            <w:r w:rsidRPr="005C4F4A">
              <w:rPr>
                <w:rStyle w:val="Strong"/>
              </w:rPr>
              <w:t>Planned procurement activity as a % of actual procurement activity</w:t>
            </w:r>
          </w:p>
        </w:tc>
        <w:tc>
          <w:tcPr>
            <w:tcW w:w="1115" w:type="dxa"/>
          </w:tcPr>
          <w:p w14:paraId="3D4C7E23" w14:textId="77777777" w:rsidR="00FC2612" w:rsidRPr="005C4F4A" w:rsidRDefault="00FC2612" w:rsidP="002F32B2">
            <w:pPr>
              <w:pStyle w:val="TableText"/>
              <w:rPr>
                <w:rStyle w:val="Strong"/>
              </w:rPr>
            </w:pPr>
            <w:r w:rsidRPr="005C4F4A">
              <w:rPr>
                <w:rStyle w:val="Strong"/>
              </w:rPr>
              <w:t>28.6</w:t>
            </w:r>
          </w:p>
        </w:tc>
        <w:tc>
          <w:tcPr>
            <w:tcW w:w="1115" w:type="dxa"/>
          </w:tcPr>
          <w:p w14:paraId="3A8FE5D3" w14:textId="77777777" w:rsidR="00FC2612" w:rsidRPr="005C4F4A" w:rsidRDefault="00FC2612" w:rsidP="002F32B2">
            <w:pPr>
              <w:pStyle w:val="TableText"/>
              <w:rPr>
                <w:rStyle w:val="Strong"/>
              </w:rPr>
            </w:pPr>
            <w:r w:rsidRPr="005C4F4A">
              <w:rPr>
                <w:rStyle w:val="Strong"/>
              </w:rPr>
              <w:t>17.8</w:t>
            </w:r>
          </w:p>
        </w:tc>
        <w:tc>
          <w:tcPr>
            <w:tcW w:w="1172" w:type="dxa"/>
          </w:tcPr>
          <w:p w14:paraId="3D7092B7" w14:textId="77777777" w:rsidR="00FC2612" w:rsidRPr="005C4F4A" w:rsidRDefault="00FC2612" w:rsidP="002F32B2">
            <w:pPr>
              <w:pStyle w:val="TableText"/>
              <w:rPr>
                <w:rStyle w:val="Strong"/>
              </w:rPr>
            </w:pPr>
            <w:r w:rsidRPr="005C4F4A">
              <w:rPr>
                <w:rStyle w:val="Strong"/>
              </w:rPr>
              <w:t>71.7</w:t>
            </w:r>
          </w:p>
        </w:tc>
      </w:tr>
      <w:tr w:rsidR="00FC2612" w:rsidRPr="006C6059" w14:paraId="3E05BD6C" w14:textId="77777777" w:rsidTr="002F32B2">
        <w:tc>
          <w:tcPr>
            <w:tcW w:w="8647" w:type="dxa"/>
            <w:gridSpan w:val="5"/>
          </w:tcPr>
          <w:p w14:paraId="37CFE80B" w14:textId="77777777" w:rsidR="00FC2612" w:rsidRPr="00260994" w:rsidRDefault="00FC2612" w:rsidP="002F32B2">
            <w:pPr>
              <w:pStyle w:val="TableText"/>
            </w:pPr>
            <w:r w:rsidRPr="00260994">
              <w:t xml:space="preserve">DELWP publishes a procurement activity plan for all planned procurement greater than $500 000, which is reviewed every six months. In 2019–20, 46 goods and services procurements were conducted at this value, including four procurements from SPCs. Thirty-three of these were published in the procurement activity plan. The 13 remaining procurements were not included as they were either not captured by the business or were unplanned at the start of the year due to policy and budget issues. </w:t>
            </w:r>
          </w:p>
        </w:tc>
      </w:tr>
    </w:tbl>
    <w:p w14:paraId="7D40A063" w14:textId="77777777" w:rsidR="000C1A89" w:rsidRDefault="002F268E"/>
    <w:sectPr w:rsidR="000C1A8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3B727" w14:textId="77777777" w:rsidR="00FC2612" w:rsidRDefault="00FC2612" w:rsidP="00FC2612">
      <w:r>
        <w:separator/>
      </w:r>
    </w:p>
  </w:endnote>
  <w:endnote w:type="continuationSeparator" w:id="0">
    <w:p w14:paraId="78522BD0" w14:textId="77777777" w:rsidR="00FC2612" w:rsidRDefault="00FC2612" w:rsidP="00FC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74053" w14:textId="77777777" w:rsidR="002F268E" w:rsidRDefault="002F2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60B0B" w14:textId="77777777" w:rsidR="00FC2612" w:rsidRDefault="00FC2612">
    <w:pPr>
      <w:pStyle w:val="Footer"/>
    </w:pPr>
    <w:r>
      <w:rPr>
        <w:noProof/>
      </w:rPr>
      <mc:AlternateContent>
        <mc:Choice Requires="wps">
          <w:drawing>
            <wp:anchor distT="0" distB="0" distL="114300" distR="114300" simplePos="0" relativeHeight="251659264" behindDoc="0" locked="0" layoutInCell="0" allowOverlap="1" wp14:anchorId="088E3CB4" wp14:editId="53BB695B">
              <wp:simplePos x="0" y="0"/>
              <wp:positionH relativeFrom="page">
                <wp:posOffset>0</wp:posOffset>
              </wp:positionH>
              <wp:positionV relativeFrom="page">
                <wp:posOffset>10234930</wp:posOffset>
              </wp:positionV>
              <wp:extent cx="7560310" cy="266700"/>
              <wp:effectExtent l="0" t="0" r="0" b="0"/>
              <wp:wrapNone/>
              <wp:docPr id="1" name="MSIPCMb0424d1ea060e5200d50f20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5A917" w14:textId="77777777" w:rsidR="00FC2612" w:rsidRPr="00FC2612" w:rsidRDefault="00FC2612" w:rsidP="00FC2612">
                          <w:pPr>
                            <w:rPr>
                              <w:rFonts w:ascii="Calibri" w:hAnsi="Calibri" w:cs="Calibri"/>
                              <w:color w:val="000000"/>
                              <w:sz w:val="22"/>
                            </w:rPr>
                          </w:pPr>
                          <w:r w:rsidRPr="00FC261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8E3CB4" id="_x0000_t202" coordsize="21600,21600" o:spt="202" path="m,l,21600r21600,l21600,xe">
              <v:stroke joinstyle="miter"/>
              <v:path gradientshapeok="t" o:connecttype="rect"/>
            </v:shapetype>
            <v:shape id="MSIPCMb0424d1ea060e5200d50f20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D4OJ3ixAgAASAUAAA4A&#10;AAAAAAAAAAAAAAAALgIAAGRycy9lMm9Eb2MueG1sUEsBAi0AFAAGAAgAAAAhAGARxibeAAAACwEA&#10;AA8AAAAAAAAAAAAAAAAACwUAAGRycy9kb3ducmV2LnhtbFBLBQYAAAAABAAEAPMAAAAWBgAAAAA=&#10;" o:allowincell="f" filled="f" stroked="f" strokeweight=".5pt">
              <v:textbox inset="20pt,0,,0">
                <w:txbxContent>
                  <w:p w14:paraId="57C5A917" w14:textId="77777777" w:rsidR="00FC2612" w:rsidRPr="00FC2612" w:rsidRDefault="00FC2612" w:rsidP="00FC2612">
                    <w:pPr>
                      <w:rPr>
                        <w:rFonts w:ascii="Calibri" w:hAnsi="Calibri" w:cs="Calibri"/>
                        <w:color w:val="000000"/>
                        <w:sz w:val="22"/>
                      </w:rPr>
                    </w:pPr>
                    <w:r w:rsidRPr="00FC2612">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6A65" w14:textId="77777777" w:rsidR="002F268E" w:rsidRDefault="002F2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5F319" w14:textId="77777777" w:rsidR="00FC2612" w:rsidRDefault="00FC2612" w:rsidP="00FC2612">
      <w:r>
        <w:separator/>
      </w:r>
    </w:p>
  </w:footnote>
  <w:footnote w:type="continuationSeparator" w:id="0">
    <w:p w14:paraId="72E45DDB" w14:textId="77777777" w:rsidR="00FC2612" w:rsidRDefault="00FC2612" w:rsidP="00FC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1E463" w14:textId="77777777" w:rsidR="002F268E" w:rsidRDefault="002F2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9D9C" w14:textId="77777777" w:rsidR="002F268E" w:rsidRDefault="002F2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8F067" w14:textId="77777777" w:rsidR="002F268E" w:rsidRDefault="002F26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12"/>
    <w:rsid w:val="002F268E"/>
    <w:rsid w:val="00341408"/>
    <w:rsid w:val="00521739"/>
    <w:rsid w:val="00B4701F"/>
    <w:rsid w:val="00E744CF"/>
    <w:rsid w:val="00FC2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C8E6"/>
  <w15:chartTrackingRefBased/>
  <w15:docId w15:val="{2DFB3DB8-20D5-409E-B620-D3994D7C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2612"/>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uiPriority w:val="9"/>
    <w:qFormat/>
    <w:rsid w:val="003414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FC2612"/>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FC2612"/>
    <w:rPr>
      <w:rFonts w:ascii="Calibri" w:eastAsia="Times New Roman" w:hAnsi="Calibri" w:cs="Calibri"/>
      <w:b/>
      <w:lang w:eastAsia="en-AU"/>
    </w:rPr>
  </w:style>
  <w:style w:type="character" w:styleId="Strong">
    <w:name w:val="Strong"/>
    <w:uiPriority w:val="22"/>
    <w:qFormat/>
    <w:rsid w:val="00FC2612"/>
    <w:rPr>
      <w:b/>
      <w:bCs/>
    </w:rPr>
  </w:style>
  <w:style w:type="paragraph" w:customStyle="1" w:styleId="TableText">
    <w:name w:val="Table Text"/>
    <w:basedOn w:val="Normal"/>
    <w:link w:val="TableTextChar"/>
    <w:uiPriority w:val="15"/>
    <w:qFormat/>
    <w:rsid w:val="00FC2612"/>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FC2612"/>
    <w:rPr>
      <w:rFonts w:ascii="Calibri" w:hAnsi="Calibri" w:cs="Calibri"/>
      <w:sz w:val="20"/>
      <w:szCs w:val="20"/>
      <w:lang w:val="en-US"/>
    </w:rPr>
  </w:style>
  <w:style w:type="paragraph" w:customStyle="1" w:styleId="TableHeader">
    <w:name w:val="Table Header"/>
    <w:basedOn w:val="TableText"/>
    <w:link w:val="TableHeaderChar"/>
    <w:uiPriority w:val="15"/>
    <w:qFormat/>
    <w:rsid w:val="00FC2612"/>
    <w:pPr>
      <w:keepNext/>
      <w:spacing w:before="40" w:after="40"/>
    </w:pPr>
    <w:rPr>
      <w:sz w:val="24"/>
      <w:szCs w:val="24"/>
    </w:rPr>
  </w:style>
  <w:style w:type="table" w:customStyle="1" w:styleId="TableGrid1">
    <w:name w:val="Table Grid1"/>
    <w:basedOn w:val="TableNormal"/>
    <w:next w:val="TableGrid"/>
    <w:uiPriority w:val="39"/>
    <w:rsid w:val="00FC26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FC2612"/>
    <w:rPr>
      <w:rFonts w:ascii="Calibri" w:hAnsi="Calibri" w:cs="Calibri"/>
      <w:sz w:val="24"/>
      <w:szCs w:val="24"/>
      <w:lang w:val="en-US"/>
    </w:rPr>
  </w:style>
  <w:style w:type="table" w:styleId="TableGrid">
    <w:name w:val="Table Grid"/>
    <w:basedOn w:val="TableNormal"/>
    <w:uiPriority w:val="39"/>
    <w:rsid w:val="00FC2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612"/>
    <w:pPr>
      <w:tabs>
        <w:tab w:val="center" w:pos="4513"/>
        <w:tab w:val="right" w:pos="9026"/>
      </w:tabs>
    </w:pPr>
  </w:style>
  <w:style w:type="character" w:customStyle="1" w:styleId="HeaderChar">
    <w:name w:val="Header Char"/>
    <w:basedOn w:val="DefaultParagraphFont"/>
    <w:link w:val="Header"/>
    <w:uiPriority w:val="99"/>
    <w:rsid w:val="00FC2612"/>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FC2612"/>
    <w:pPr>
      <w:tabs>
        <w:tab w:val="center" w:pos="4513"/>
        <w:tab w:val="right" w:pos="9026"/>
      </w:tabs>
    </w:pPr>
  </w:style>
  <w:style w:type="character" w:customStyle="1" w:styleId="FooterChar">
    <w:name w:val="Footer Char"/>
    <w:basedOn w:val="DefaultParagraphFont"/>
    <w:link w:val="Footer"/>
    <w:uiPriority w:val="99"/>
    <w:rsid w:val="00FC2612"/>
    <w:rPr>
      <w:rFonts w:ascii="Arial" w:eastAsia="Times New Roman" w:hAnsi="Arial" w:cs="Times New Roman"/>
      <w:sz w:val="24"/>
      <w:szCs w:val="24"/>
      <w:lang w:eastAsia="en-AU"/>
    </w:rPr>
  </w:style>
  <w:style w:type="character" w:customStyle="1" w:styleId="Heading1Char">
    <w:name w:val="Heading 1 Char"/>
    <w:basedOn w:val="DefaultParagraphFont"/>
    <w:link w:val="Heading1"/>
    <w:uiPriority w:val="9"/>
    <w:rsid w:val="00341408"/>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3A69F46-9CA7-418D-AF0F-B5107C6CE96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Athena Rozenberg (DTF)</cp:lastModifiedBy>
  <cp:revision>3</cp:revision>
  <dcterms:created xsi:type="dcterms:W3CDTF">2020-10-12T05:44:00Z</dcterms:created>
  <dcterms:modified xsi:type="dcterms:W3CDTF">2020-10-12T05:44:00Z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Vanessa.Coles@dtf.vic.gov.au</vt:lpwstr>
  </property>
  <property fmtid="{D5CDD505-2E9C-101B-9397-08002B2CF9AE}" pid="5" name="MSIP_Label_7158ebbd-6c5e-441f-bfc9-4eb8c11e3978_SetDate">
    <vt:lpwstr>2020-10-11T01:54:15.4189824Z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