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09321" w14:textId="3E09EB14" w:rsidR="00A85587" w:rsidRPr="00CE0862" w:rsidRDefault="00A85587" w:rsidP="00CE0862">
      <w:pPr>
        <w:pStyle w:val="Heading1"/>
        <w:ind w:left="720"/>
        <w:rPr>
          <w:rFonts w:cstheme="majorHAnsi"/>
          <w:b/>
          <w:bCs/>
          <w:color w:val="000000" w:themeColor="text1"/>
          <w:sz w:val="28"/>
          <w:szCs w:val="28"/>
        </w:rPr>
      </w:pPr>
      <w:bookmarkStart w:id="0" w:name="_Ref17123217"/>
      <w:bookmarkStart w:id="1" w:name="_Toc17130215"/>
      <w:bookmarkStart w:id="2" w:name="_Toc48837161"/>
      <w:bookmarkStart w:id="3" w:name="_Toc49185551"/>
      <w:bookmarkStart w:id="4" w:name="_Ref51160161"/>
      <w:r w:rsidRPr="00CE0862">
        <w:rPr>
          <w:rFonts w:cstheme="majorHAnsi"/>
          <w:b/>
          <w:bCs/>
          <w:color w:val="000000" w:themeColor="text1"/>
          <w:sz w:val="28"/>
          <w:szCs w:val="28"/>
        </w:rPr>
        <w:t xml:space="preserve">Table </w:t>
      </w:r>
      <w:bookmarkEnd w:id="0"/>
      <w:r w:rsidRPr="00CE0862">
        <w:rPr>
          <w:rFonts w:cstheme="majorHAnsi"/>
          <w:b/>
          <w:bCs/>
          <w:color w:val="000000" w:themeColor="text1"/>
          <w:sz w:val="28"/>
          <w:szCs w:val="28"/>
        </w:rPr>
        <w:t xml:space="preserve">Department of Health and Human Services performance in </w:t>
      </w:r>
      <w:r w:rsidR="00CE0862">
        <w:rPr>
          <w:rFonts w:cstheme="majorHAnsi"/>
          <w:b/>
          <w:bCs/>
          <w:color w:val="000000" w:themeColor="text1"/>
          <w:sz w:val="28"/>
          <w:szCs w:val="28"/>
        </w:rPr>
        <w:br/>
      </w:r>
      <w:r w:rsidRPr="00CE0862">
        <w:rPr>
          <w:rFonts w:cstheme="majorHAnsi"/>
          <w:b/>
          <w:bCs/>
          <w:color w:val="000000" w:themeColor="text1"/>
          <w:sz w:val="28"/>
          <w:szCs w:val="28"/>
        </w:rPr>
        <w:t>2019–20</w:t>
      </w:r>
      <w:bookmarkEnd w:id="1"/>
      <w:bookmarkEnd w:id="2"/>
      <w:bookmarkEnd w:id="3"/>
      <w:bookmarkEnd w:id="4"/>
    </w:p>
    <w:p w14:paraId="4DDDFAD3" w14:textId="1FEBC221" w:rsidR="00CE0862" w:rsidRDefault="00CE0862" w:rsidP="00CE0862">
      <w:pPr>
        <w:rPr>
          <w:lang w:val="en-US"/>
        </w:rPr>
      </w:pPr>
    </w:p>
    <w:p w14:paraId="6C915BEF" w14:textId="1C6D1E7F" w:rsidR="00CE0862" w:rsidRPr="008A4523" w:rsidRDefault="00CE0862" w:rsidP="00CE0862">
      <w:pPr>
        <w:ind w:firstLine="720"/>
        <w:rPr>
          <w:rFonts w:ascii="Calibri" w:eastAsiaTheme="minorHAnsi" w:hAnsi="Calibri" w:cs="Calibri"/>
          <w:sz w:val="20"/>
          <w:szCs w:val="20"/>
          <w:lang w:val="en-US" w:eastAsia="en-US"/>
        </w:rPr>
      </w:pPr>
      <w:r w:rsidRPr="008A4523">
        <w:rPr>
          <w:rFonts w:ascii="Calibri" w:eastAsiaTheme="minorHAnsi" w:hAnsi="Calibri" w:cs="Calibri"/>
          <w:sz w:val="20"/>
          <w:szCs w:val="20"/>
          <w:lang w:val="en-US" w:eastAsia="en-US"/>
        </w:rPr>
        <w:t xml:space="preserve">Extract from Victorian Government Purchasing Board </w:t>
      </w:r>
      <w:r w:rsidR="00544E19">
        <w:rPr>
          <w:rFonts w:ascii="Calibri" w:eastAsiaTheme="minorHAnsi" w:hAnsi="Calibri" w:cs="Calibri"/>
          <w:sz w:val="20"/>
          <w:szCs w:val="20"/>
          <w:lang w:val="en-US" w:eastAsia="en-US"/>
        </w:rPr>
        <w:t xml:space="preserve">Annual Report </w:t>
      </w:r>
      <w:bookmarkStart w:id="5" w:name="_GoBack"/>
      <w:bookmarkEnd w:id="5"/>
      <w:r w:rsidRPr="008A4523">
        <w:rPr>
          <w:rFonts w:ascii="Calibri" w:eastAsiaTheme="minorHAnsi" w:hAnsi="Calibri" w:cs="Calibri"/>
          <w:sz w:val="20"/>
          <w:szCs w:val="20"/>
          <w:lang w:val="en-US" w:eastAsia="en-US"/>
        </w:rPr>
        <w:t>2019-20</w:t>
      </w:r>
    </w:p>
    <w:p w14:paraId="20D57FB9" w14:textId="77777777" w:rsidR="00CE0862" w:rsidRPr="00CE0862" w:rsidRDefault="00CE0862" w:rsidP="00CE0862">
      <w:pPr>
        <w:rPr>
          <w:lang w:val="en-US"/>
        </w:rPr>
      </w:pPr>
    </w:p>
    <w:tbl>
      <w:tblPr>
        <w:tblStyle w:val="TableGrid1"/>
        <w:tblW w:w="8182" w:type="dxa"/>
        <w:tblInd w:w="704" w:type="dxa"/>
        <w:tblLook w:val="04A0" w:firstRow="1" w:lastRow="0" w:firstColumn="1" w:lastColumn="0" w:noHBand="0" w:noVBand="1"/>
      </w:tblPr>
      <w:tblGrid>
        <w:gridCol w:w="2980"/>
        <w:gridCol w:w="2265"/>
        <w:gridCol w:w="1105"/>
        <w:gridCol w:w="977"/>
        <w:gridCol w:w="855"/>
      </w:tblGrid>
      <w:tr w:rsidR="00A85587" w:rsidRPr="00DA1E79" w14:paraId="543F41EA" w14:textId="77777777" w:rsidTr="002F32B2">
        <w:tc>
          <w:tcPr>
            <w:tcW w:w="5245" w:type="dxa"/>
            <w:gridSpan w:val="2"/>
            <w:vMerge w:val="restart"/>
          </w:tcPr>
          <w:p w14:paraId="0A492951" w14:textId="77777777" w:rsidR="00A85587" w:rsidRPr="00DA1E79" w:rsidRDefault="00A85587" w:rsidP="002F32B2">
            <w:pPr>
              <w:pStyle w:val="TableHeader"/>
            </w:pPr>
            <w:r w:rsidRPr="00DA1E79">
              <w:t>Performance measure</w:t>
            </w:r>
          </w:p>
        </w:tc>
        <w:tc>
          <w:tcPr>
            <w:tcW w:w="1105" w:type="dxa"/>
          </w:tcPr>
          <w:p w14:paraId="33C2B11D" w14:textId="77777777" w:rsidR="00A85587" w:rsidRPr="00DA1E79" w:rsidRDefault="00A85587" w:rsidP="002F32B2">
            <w:pPr>
              <w:pStyle w:val="TableHeader"/>
            </w:pPr>
            <w:r w:rsidRPr="00DA1E79">
              <w:t xml:space="preserve">2017–18 </w:t>
            </w:r>
          </w:p>
        </w:tc>
        <w:tc>
          <w:tcPr>
            <w:tcW w:w="977" w:type="dxa"/>
          </w:tcPr>
          <w:p w14:paraId="4F117136" w14:textId="77777777" w:rsidR="00A85587" w:rsidRPr="00DA1E79" w:rsidRDefault="00A85587" w:rsidP="002F32B2">
            <w:pPr>
              <w:pStyle w:val="TableHeader"/>
            </w:pPr>
            <w:r w:rsidRPr="00DA1E79">
              <w:t>2018–19</w:t>
            </w:r>
          </w:p>
        </w:tc>
        <w:tc>
          <w:tcPr>
            <w:tcW w:w="855" w:type="dxa"/>
          </w:tcPr>
          <w:p w14:paraId="6B310FFD" w14:textId="77777777" w:rsidR="00A85587" w:rsidRPr="00DA1E79" w:rsidRDefault="00A85587" w:rsidP="002F32B2">
            <w:pPr>
              <w:pStyle w:val="TableHeader"/>
            </w:pPr>
            <w:r w:rsidRPr="00DA1E79">
              <w:t>2019–20</w:t>
            </w:r>
          </w:p>
        </w:tc>
      </w:tr>
      <w:tr w:rsidR="00A85587" w:rsidRPr="00DA1E79" w14:paraId="69D9FB8F" w14:textId="77777777" w:rsidTr="002F32B2">
        <w:tc>
          <w:tcPr>
            <w:tcW w:w="5245" w:type="dxa"/>
            <w:gridSpan w:val="2"/>
            <w:vMerge/>
          </w:tcPr>
          <w:p w14:paraId="19D08228" w14:textId="77777777" w:rsidR="00A85587" w:rsidRPr="00DA1E79" w:rsidRDefault="00A85587" w:rsidP="002F32B2">
            <w:pPr>
              <w:pStyle w:val="TableHeader"/>
            </w:pPr>
          </w:p>
        </w:tc>
        <w:tc>
          <w:tcPr>
            <w:tcW w:w="2937" w:type="dxa"/>
            <w:gridSpan w:val="3"/>
          </w:tcPr>
          <w:p w14:paraId="6F1DEB55" w14:textId="77777777" w:rsidR="00A85587" w:rsidRPr="00DA1E79" w:rsidRDefault="00A85587" w:rsidP="002F32B2">
            <w:pPr>
              <w:pStyle w:val="TableHeader"/>
            </w:pPr>
            <w:r w:rsidRPr="00DA1E79">
              <w:t>(%)</w:t>
            </w:r>
          </w:p>
        </w:tc>
      </w:tr>
      <w:tr w:rsidR="00A85587" w:rsidRPr="005C4F4A" w14:paraId="3D70CA6C" w14:textId="77777777" w:rsidTr="002F32B2">
        <w:tc>
          <w:tcPr>
            <w:tcW w:w="5245" w:type="dxa"/>
            <w:gridSpan w:val="2"/>
          </w:tcPr>
          <w:p w14:paraId="6A949B80" w14:textId="77777777" w:rsidR="00A85587" w:rsidRPr="005C4F4A" w:rsidRDefault="00A85587" w:rsidP="002F32B2">
            <w:pPr>
              <w:pStyle w:val="TableText"/>
              <w:rPr>
                <w:rStyle w:val="Strong"/>
              </w:rPr>
            </w:pPr>
            <w:r w:rsidRPr="005C4F4A">
              <w:rPr>
                <w:rStyle w:val="Strong"/>
              </w:rPr>
              <w:t>Value created from department procurement activity</w:t>
            </w:r>
          </w:p>
        </w:tc>
        <w:tc>
          <w:tcPr>
            <w:tcW w:w="1105" w:type="dxa"/>
          </w:tcPr>
          <w:p w14:paraId="621E75AF" w14:textId="77777777" w:rsidR="00A85587" w:rsidRPr="005C4F4A" w:rsidRDefault="00A85587" w:rsidP="002F32B2">
            <w:pPr>
              <w:pStyle w:val="TableText"/>
              <w:rPr>
                <w:rStyle w:val="Strong"/>
              </w:rPr>
            </w:pPr>
            <w:r w:rsidRPr="005C4F4A">
              <w:rPr>
                <w:rStyle w:val="Strong"/>
              </w:rPr>
              <w:t>0.8</w:t>
            </w:r>
          </w:p>
        </w:tc>
        <w:tc>
          <w:tcPr>
            <w:tcW w:w="977" w:type="dxa"/>
          </w:tcPr>
          <w:p w14:paraId="4595A1E6" w14:textId="77777777" w:rsidR="00A85587" w:rsidRPr="005C4F4A" w:rsidRDefault="00A85587" w:rsidP="002F32B2">
            <w:pPr>
              <w:pStyle w:val="TableText"/>
              <w:rPr>
                <w:rStyle w:val="Strong"/>
              </w:rPr>
            </w:pPr>
            <w:r w:rsidRPr="005C4F4A">
              <w:rPr>
                <w:rStyle w:val="Strong"/>
              </w:rPr>
              <w:t>2.0</w:t>
            </w:r>
          </w:p>
        </w:tc>
        <w:tc>
          <w:tcPr>
            <w:tcW w:w="855" w:type="dxa"/>
          </w:tcPr>
          <w:p w14:paraId="1870E0E7" w14:textId="77777777" w:rsidR="00A85587" w:rsidRPr="005C4F4A" w:rsidRDefault="00A85587" w:rsidP="002F32B2">
            <w:pPr>
              <w:pStyle w:val="TableText"/>
              <w:rPr>
                <w:rStyle w:val="Strong"/>
              </w:rPr>
            </w:pPr>
            <w:r w:rsidRPr="005C4F4A">
              <w:rPr>
                <w:rStyle w:val="Strong"/>
              </w:rPr>
              <w:t>4.1</w:t>
            </w:r>
          </w:p>
        </w:tc>
      </w:tr>
      <w:tr w:rsidR="00A85587" w:rsidRPr="00DA1E79" w14:paraId="79808DA7" w14:textId="77777777" w:rsidTr="002F32B2">
        <w:tc>
          <w:tcPr>
            <w:tcW w:w="8182" w:type="dxa"/>
            <w:gridSpan w:val="5"/>
          </w:tcPr>
          <w:p w14:paraId="2B12562C" w14:textId="77777777" w:rsidR="00A85587" w:rsidRPr="00DA1E79" w:rsidRDefault="00A85587" w:rsidP="002F32B2">
            <w:pPr>
              <w:pStyle w:val="TableText"/>
            </w:pPr>
            <w:r w:rsidRPr="00DA1E79">
              <w:t xml:space="preserve">DHHS has doubled its result from last year. The centralised procurement team has encouraged customers to engage with them in the early stages of their projects to get advice on sourcing and where to look for savings. </w:t>
            </w:r>
          </w:p>
        </w:tc>
      </w:tr>
      <w:tr w:rsidR="00A85587" w:rsidRPr="005C4F4A" w14:paraId="7F792269" w14:textId="77777777" w:rsidTr="002F32B2">
        <w:tc>
          <w:tcPr>
            <w:tcW w:w="5245" w:type="dxa"/>
            <w:gridSpan w:val="2"/>
          </w:tcPr>
          <w:p w14:paraId="53C73E4C" w14:textId="77777777" w:rsidR="00A85587" w:rsidRPr="005C4F4A" w:rsidRDefault="00A85587" w:rsidP="002F32B2">
            <w:pPr>
              <w:pStyle w:val="TableText"/>
              <w:rPr>
                <w:rStyle w:val="Strong"/>
              </w:rPr>
            </w:pPr>
            <w:r w:rsidRPr="005C4F4A">
              <w:rPr>
                <w:rStyle w:val="Strong"/>
              </w:rPr>
              <w:t>Managed spend</w:t>
            </w:r>
          </w:p>
        </w:tc>
        <w:tc>
          <w:tcPr>
            <w:tcW w:w="1105" w:type="dxa"/>
            <w:shd w:val="clear" w:color="auto" w:fill="FFFFFF" w:themeFill="background1"/>
          </w:tcPr>
          <w:p w14:paraId="1DADC28D" w14:textId="77777777" w:rsidR="00A85587" w:rsidRPr="005C4F4A" w:rsidRDefault="00A85587" w:rsidP="002F32B2">
            <w:pPr>
              <w:pStyle w:val="TableText"/>
              <w:rPr>
                <w:rStyle w:val="Strong"/>
              </w:rPr>
            </w:pPr>
            <w:r w:rsidRPr="005C4F4A">
              <w:rPr>
                <w:rStyle w:val="Strong"/>
              </w:rPr>
              <w:t>n/a</w:t>
            </w:r>
          </w:p>
        </w:tc>
        <w:tc>
          <w:tcPr>
            <w:tcW w:w="977" w:type="dxa"/>
            <w:shd w:val="clear" w:color="auto" w:fill="FFFFFF" w:themeFill="background1"/>
          </w:tcPr>
          <w:p w14:paraId="2E0D6601" w14:textId="77777777" w:rsidR="00A85587" w:rsidRPr="005C4F4A" w:rsidRDefault="00A85587" w:rsidP="002F32B2">
            <w:pPr>
              <w:pStyle w:val="TableText"/>
              <w:rPr>
                <w:rStyle w:val="Strong"/>
              </w:rPr>
            </w:pPr>
            <w:r w:rsidRPr="005C4F4A">
              <w:rPr>
                <w:rStyle w:val="Strong"/>
              </w:rPr>
              <w:t>n/a</w:t>
            </w:r>
          </w:p>
        </w:tc>
        <w:tc>
          <w:tcPr>
            <w:tcW w:w="855" w:type="dxa"/>
          </w:tcPr>
          <w:p w14:paraId="530EF27A" w14:textId="77777777" w:rsidR="00A85587" w:rsidRPr="005C4F4A" w:rsidRDefault="00A85587" w:rsidP="002F32B2">
            <w:pPr>
              <w:pStyle w:val="TableText"/>
              <w:rPr>
                <w:rStyle w:val="Strong"/>
              </w:rPr>
            </w:pPr>
            <w:r w:rsidRPr="005C4F4A">
              <w:rPr>
                <w:rStyle w:val="Strong"/>
              </w:rPr>
              <w:t>93.0</w:t>
            </w:r>
          </w:p>
        </w:tc>
      </w:tr>
      <w:tr w:rsidR="00A85587" w:rsidRPr="00DA1E79" w14:paraId="192137AB" w14:textId="77777777" w:rsidTr="002F32B2">
        <w:tc>
          <w:tcPr>
            <w:tcW w:w="8182" w:type="dxa"/>
            <w:gridSpan w:val="5"/>
          </w:tcPr>
          <w:p w14:paraId="652A0C28" w14:textId="77777777" w:rsidR="00A85587" w:rsidRPr="00DA1E79" w:rsidRDefault="00A85587" w:rsidP="002F32B2">
            <w:pPr>
              <w:pStyle w:val="TableText"/>
            </w:pPr>
            <w:r w:rsidRPr="00DA1E79">
              <w:t>The result of 93</w:t>
            </w:r>
            <w:r>
              <w:t xml:space="preserve"> per cent</w:t>
            </w:r>
            <w:r w:rsidRPr="00DA1E79">
              <w:t xml:space="preserve"> is considered a good outcome. The department has strong processes and systems in place to ensure the significant majority of spend is managed in some manner by the central procurement function.</w:t>
            </w:r>
          </w:p>
        </w:tc>
      </w:tr>
      <w:tr w:rsidR="00A85587" w:rsidRPr="005C4F4A" w14:paraId="2CB4B4EA" w14:textId="77777777" w:rsidTr="002F32B2">
        <w:tc>
          <w:tcPr>
            <w:tcW w:w="5245" w:type="dxa"/>
            <w:gridSpan w:val="2"/>
          </w:tcPr>
          <w:p w14:paraId="2A616C7F" w14:textId="77777777" w:rsidR="00A85587" w:rsidRPr="005C4F4A" w:rsidRDefault="00A85587" w:rsidP="002F32B2">
            <w:pPr>
              <w:pStyle w:val="TableText"/>
              <w:rPr>
                <w:rStyle w:val="Strong"/>
              </w:rPr>
            </w:pPr>
            <w:r w:rsidRPr="005C4F4A">
              <w:rPr>
                <w:rStyle w:val="Strong"/>
              </w:rPr>
              <w:t>Increase in procurement capability</w:t>
            </w:r>
          </w:p>
        </w:tc>
        <w:tc>
          <w:tcPr>
            <w:tcW w:w="1105" w:type="dxa"/>
          </w:tcPr>
          <w:p w14:paraId="768C01A6" w14:textId="77777777" w:rsidR="00A85587" w:rsidRPr="005C4F4A" w:rsidRDefault="00A85587" w:rsidP="002F32B2">
            <w:pPr>
              <w:pStyle w:val="TableText"/>
              <w:rPr>
                <w:rStyle w:val="Strong"/>
              </w:rPr>
            </w:pPr>
            <w:r w:rsidRPr="005C4F4A">
              <w:rPr>
                <w:rStyle w:val="Strong"/>
              </w:rPr>
              <w:t>2.7</w:t>
            </w:r>
          </w:p>
        </w:tc>
        <w:tc>
          <w:tcPr>
            <w:tcW w:w="977" w:type="dxa"/>
          </w:tcPr>
          <w:p w14:paraId="74284260" w14:textId="77777777" w:rsidR="00A85587" w:rsidRPr="005C4F4A" w:rsidRDefault="00A85587" w:rsidP="002F32B2">
            <w:pPr>
              <w:pStyle w:val="TableText"/>
              <w:rPr>
                <w:rStyle w:val="Strong"/>
              </w:rPr>
            </w:pPr>
            <w:r w:rsidRPr="005C4F4A">
              <w:rPr>
                <w:rStyle w:val="Strong"/>
              </w:rPr>
              <w:t>−4.0</w:t>
            </w:r>
          </w:p>
        </w:tc>
        <w:tc>
          <w:tcPr>
            <w:tcW w:w="855" w:type="dxa"/>
          </w:tcPr>
          <w:p w14:paraId="47874D7E" w14:textId="77777777" w:rsidR="00A85587" w:rsidRPr="005C4F4A" w:rsidRDefault="00A85587" w:rsidP="002F32B2">
            <w:pPr>
              <w:pStyle w:val="TableText"/>
              <w:rPr>
                <w:rStyle w:val="Strong"/>
              </w:rPr>
            </w:pPr>
            <w:r w:rsidRPr="005C4F4A">
              <w:rPr>
                <w:rStyle w:val="Strong"/>
              </w:rPr>
              <w:t>2.8</w:t>
            </w:r>
          </w:p>
        </w:tc>
      </w:tr>
      <w:tr w:rsidR="00A85587" w:rsidRPr="00DA1E79" w14:paraId="644AECB4" w14:textId="77777777" w:rsidTr="002F32B2">
        <w:tc>
          <w:tcPr>
            <w:tcW w:w="8182" w:type="dxa"/>
            <w:gridSpan w:val="5"/>
          </w:tcPr>
          <w:p w14:paraId="2B8D3C31" w14:textId="77777777" w:rsidR="00A85587" w:rsidRPr="00DA1E79" w:rsidRDefault="00A85587" w:rsidP="002F32B2">
            <w:pPr>
              <w:pStyle w:val="TableText"/>
            </w:pPr>
            <w:r>
              <w:t xml:space="preserve">Procurement capability increased from </w:t>
            </w:r>
            <w:r w:rsidRPr="00DA1E79">
              <w:t xml:space="preserve">144 out of 148 (out of 150). DHHS made a big effort to embed new and updated policies like the Social Procurement Framework across the department. All procurement officers completed a procurement fundamental skillset training. </w:t>
            </w:r>
          </w:p>
        </w:tc>
      </w:tr>
      <w:tr w:rsidR="00A85587" w:rsidRPr="005C4F4A" w14:paraId="331D6A5B" w14:textId="77777777" w:rsidTr="002F32B2">
        <w:tc>
          <w:tcPr>
            <w:tcW w:w="2980" w:type="dxa"/>
            <w:vMerge w:val="restart"/>
          </w:tcPr>
          <w:p w14:paraId="2967AB7B" w14:textId="77777777" w:rsidR="00A85587" w:rsidRPr="005C4F4A" w:rsidRDefault="00A85587" w:rsidP="002F32B2">
            <w:pPr>
              <w:pStyle w:val="TableText"/>
              <w:rPr>
                <w:rStyle w:val="Strong"/>
              </w:rPr>
            </w:pPr>
            <w:r w:rsidRPr="005C4F4A">
              <w:rPr>
                <w:rStyle w:val="Strong"/>
              </w:rPr>
              <w:t>Supplier satisfaction assessment</w:t>
            </w:r>
          </w:p>
        </w:tc>
        <w:tc>
          <w:tcPr>
            <w:tcW w:w="2265" w:type="dxa"/>
          </w:tcPr>
          <w:p w14:paraId="092A4B5A" w14:textId="77777777" w:rsidR="00A85587" w:rsidRPr="005C4F4A" w:rsidRDefault="00A85587" w:rsidP="002F32B2">
            <w:pPr>
              <w:pStyle w:val="TableText"/>
              <w:rPr>
                <w:rStyle w:val="Strong"/>
              </w:rPr>
            </w:pPr>
            <w:r w:rsidRPr="005C4F4A">
              <w:rPr>
                <w:rStyle w:val="Strong"/>
              </w:rPr>
              <w:t>Successful satisfied</w:t>
            </w:r>
          </w:p>
        </w:tc>
        <w:tc>
          <w:tcPr>
            <w:tcW w:w="1105" w:type="dxa"/>
          </w:tcPr>
          <w:p w14:paraId="369981FB" w14:textId="77777777" w:rsidR="00A85587" w:rsidRPr="005C4F4A" w:rsidRDefault="00A85587" w:rsidP="002F32B2">
            <w:pPr>
              <w:pStyle w:val="TableText"/>
              <w:rPr>
                <w:rStyle w:val="Strong"/>
              </w:rPr>
            </w:pPr>
            <w:r w:rsidRPr="005C4F4A">
              <w:rPr>
                <w:rStyle w:val="Strong"/>
              </w:rPr>
              <w:t>78</w:t>
            </w:r>
          </w:p>
        </w:tc>
        <w:tc>
          <w:tcPr>
            <w:tcW w:w="977" w:type="dxa"/>
          </w:tcPr>
          <w:p w14:paraId="3A1C3C32" w14:textId="77777777" w:rsidR="00A85587" w:rsidRPr="005C4F4A" w:rsidRDefault="00A85587" w:rsidP="002F32B2">
            <w:pPr>
              <w:pStyle w:val="TableText"/>
              <w:rPr>
                <w:rStyle w:val="Strong"/>
              </w:rPr>
            </w:pPr>
            <w:r w:rsidRPr="005C4F4A">
              <w:rPr>
                <w:rStyle w:val="Strong"/>
              </w:rPr>
              <w:t>74</w:t>
            </w:r>
          </w:p>
        </w:tc>
        <w:tc>
          <w:tcPr>
            <w:tcW w:w="855" w:type="dxa"/>
          </w:tcPr>
          <w:p w14:paraId="683E24FA" w14:textId="77777777" w:rsidR="00A85587" w:rsidRPr="005C4F4A" w:rsidRDefault="00A85587" w:rsidP="002F32B2">
            <w:pPr>
              <w:pStyle w:val="TableText"/>
              <w:rPr>
                <w:rStyle w:val="Strong"/>
              </w:rPr>
            </w:pPr>
            <w:r w:rsidRPr="005C4F4A">
              <w:rPr>
                <w:rStyle w:val="Strong"/>
              </w:rPr>
              <w:t>83</w:t>
            </w:r>
          </w:p>
        </w:tc>
      </w:tr>
      <w:tr w:rsidR="00A85587" w:rsidRPr="005C4F4A" w14:paraId="0D71387E" w14:textId="77777777" w:rsidTr="002F32B2">
        <w:tc>
          <w:tcPr>
            <w:tcW w:w="2980" w:type="dxa"/>
            <w:vMerge/>
          </w:tcPr>
          <w:p w14:paraId="0A85EF3E" w14:textId="77777777" w:rsidR="00A85587" w:rsidRPr="005C4F4A" w:rsidRDefault="00A85587" w:rsidP="002F32B2">
            <w:pPr>
              <w:pStyle w:val="TableText"/>
              <w:rPr>
                <w:rStyle w:val="Strong"/>
              </w:rPr>
            </w:pPr>
          </w:p>
        </w:tc>
        <w:tc>
          <w:tcPr>
            <w:tcW w:w="2265" w:type="dxa"/>
          </w:tcPr>
          <w:p w14:paraId="4F37CA41" w14:textId="77777777" w:rsidR="00A85587" w:rsidRPr="005C4F4A" w:rsidRDefault="00A85587" w:rsidP="002F32B2">
            <w:pPr>
              <w:pStyle w:val="TableText"/>
              <w:rPr>
                <w:rStyle w:val="Strong"/>
              </w:rPr>
            </w:pPr>
            <w:r w:rsidRPr="005C4F4A">
              <w:rPr>
                <w:rStyle w:val="Strong"/>
              </w:rPr>
              <w:t>Unsuccessful satisfied</w:t>
            </w:r>
          </w:p>
        </w:tc>
        <w:tc>
          <w:tcPr>
            <w:tcW w:w="1105" w:type="dxa"/>
          </w:tcPr>
          <w:p w14:paraId="2A570A50" w14:textId="77777777" w:rsidR="00A85587" w:rsidRPr="005C4F4A" w:rsidRDefault="00A85587" w:rsidP="002F32B2">
            <w:pPr>
              <w:pStyle w:val="TableText"/>
              <w:rPr>
                <w:rStyle w:val="Strong"/>
              </w:rPr>
            </w:pPr>
            <w:r w:rsidRPr="005C4F4A">
              <w:rPr>
                <w:rStyle w:val="Strong"/>
              </w:rPr>
              <w:t>38</w:t>
            </w:r>
          </w:p>
        </w:tc>
        <w:tc>
          <w:tcPr>
            <w:tcW w:w="977" w:type="dxa"/>
          </w:tcPr>
          <w:p w14:paraId="68336BB6" w14:textId="77777777" w:rsidR="00A85587" w:rsidRPr="005C4F4A" w:rsidRDefault="00A85587" w:rsidP="002F32B2">
            <w:pPr>
              <w:pStyle w:val="TableText"/>
              <w:rPr>
                <w:rStyle w:val="Strong"/>
              </w:rPr>
            </w:pPr>
            <w:r w:rsidRPr="005C4F4A">
              <w:rPr>
                <w:rStyle w:val="Strong"/>
              </w:rPr>
              <w:t>73</w:t>
            </w:r>
          </w:p>
        </w:tc>
        <w:tc>
          <w:tcPr>
            <w:tcW w:w="855" w:type="dxa"/>
          </w:tcPr>
          <w:p w14:paraId="17B81E5B" w14:textId="77777777" w:rsidR="00A85587" w:rsidRPr="005C4F4A" w:rsidRDefault="00A85587" w:rsidP="002F32B2">
            <w:pPr>
              <w:pStyle w:val="TableText"/>
              <w:rPr>
                <w:rStyle w:val="Strong"/>
              </w:rPr>
            </w:pPr>
            <w:r w:rsidRPr="005C4F4A">
              <w:rPr>
                <w:rStyle w:val="Strong"/>
              </w:rPr>
              <w:t>38</w:t>
            </w:r>
          </w:p>
        </w:tc>
      </w:tr>
      <w:tr w:rsidR="00A85587" w:rsidRPr="00DA1E79" w14:paraId="11CAE359" w14:textId="77777777" w:rsidTr="002F32B2">
        <w:tc>
          <w:tcPr>
            <w:tcW w:w="8182" w:type="dxa"/>
            <w:gridSpan w:val="5"/>
          </w:tcPr>
          <w:p w14:paraId="4B90EC6D" w14:textId="77777777" w:rsidR="00A85587" w:rsidRPr="00DA1E79" w:rsidRDefault="00A85587" w:rsidP="002F32B2">
            <w:pPr>
              <w:pStyle w:val="TableText"/>
            </w:pPr>
            <w:r w:rsidRPr="00DA1E79">
              <w:t>DHHS sent the survey to all bidders/suppliers at the end of the procurement process and achieved a 16</w:t>
            </w:r>
            <w:r>
              <w:t xml:space="preserve"> per cent</w:t>
            </w:r>
            <w:r w:rsidRPr="00DA1E79">
              <w:t xml:space="preserve"> response rate – </w:t>
            </w:r>
            <w:r>
              <w:t>six per cent</w:t>
            </w:r>
            <w:r w:rsidRPr="00DA1E79">
              <w:t xml:space="preserve"> higher than their target response rate. Unsuccessful suppliers were less satisfied than last year. The lowest ratings related to helpfulness of feedback and lack of opportunity to provide feedback about the process. DHHS offers debriefings to unsuccessful suppliers, but without much uptake. The department will look at ways to improve both the quality of debriefs and uptake from suppliers. This should help unsuccessful suppliers understand the process followed, the rationale for the decision made and improvement opportunities for future bids.</w:t>
            </w:r>
          </w:p>
        </w:tc>
      </w:tr>
      <w:tr w:rsidR="00A85587" w:rsidRPr="005C4F4A" w14:paraId="4619F1CC" w14:textId="77777777" w:rsidTr="002F32B2">
        <w:tc>
          <w:tcPr>
            <w:tcW w:w="5245" w:type="dxa"/>
            <w:gridSpan w:val="2"/>
          </w:tcPr>
          <w:p w14:paraId="2F808754" w14:textId="77777777" w:rsidR="00A85587" w:rsidRPr="005C4F4A" w:rsidRDefault="00A85587" w:rsidP="002F32B2">
            <w:pPr>
              <w:pStyle w:val="TableText"/>
              <w:rPr>
                <w:rStyle w:val="Strong"/>
              </w:rPr>
            </w:pPr>
            <w:r w:rsidRPr="005C4F4A">
              <w:rPr>
                <w:rStyle w:val="Strong"/>
              </w:rPr>
              <w:t>Planned procurement activity as a % of actual procurement activity</w:t>
            </w:r>
          </w:p>
        </w:tc>
        <w:tc>
          <w:tcPr>
            <w:tcW w:w="1105" w:type="dxa"/>
          </w:tcPr>
          <w:p w14:paraId="70D46B9E" w14:textId="77777777" w:rsidR="00A85587" w:rsidRPr="005C4F4A" w:rsidRDefault="00A85587" w:rsidP="002F32B2">
            <w:pPr>
              <w:pStyle w:val="TableText"/>
              <w:rPr>
                <w:rStyle w:val="Strong"/>
              </w:rPr>
            </w:pPr>
            <w:r w:rsidRPr="005C4F4A">
              <w:rPr>
                <w:rStyle w:val="Strong"/>
              </w:rPr>
              <w:t>9.3</w:t>
            </w:r>
          </w:p>
        </w:tc>
        <w:tc>
          <w:tcPr>
            <w:tcW w:w="977" w:type="dxa"/>
          </w:tcPr>
          <w:p w14:paraId="20317EE4" w14:textId="77777777" w:rsidR="00A85587" w:rsidRPr="005C4F4A" w:rsidRDefault="00A85587" w:rsidP="002F32B2">
            <w:pPr>
              <w:pStyle w:val="TableText"/>
              <w:rPr>
                <w:rStyle w:val="Strong"/>
              </w:rPr>
            </w:pPr>
            <w:r w:rsidRPr="005C4F4A">
              <w:rPr>
                <w:rStyle w:val="Strong"/>
              </w:rPr>
              <w:t>11.6</w:t>
            </w:r>
          </w:p>
        </w:tc>
        <w:tc>
          <w:tcPr>
            <w:tcW w:w="855" w:type="dxa"/>
          </w:tcPr>
          <w:p w14:paraId="25DDB949" w14:textId="77777777" w:rsidR="00A85587" w:rsidRPr="005C4F4A" w:rsidRDefault="00A85587" w:rsidP="002F32B2">
            <w:pPr>
              <w:pStyle w:val="TableText"/>
              <w:rPr>
                <w:rStyle w:val="Strong"/>
              </w:rPr>
            </w:pPr>
            <w:r w:rsidRPr="005C4F4A">
              <w:rPr>
                <w:rStyle w:val="Strong"/>
              </w:rPr>
              <w:t>22.4</w:t>
            </w:r>
          </w:p>
        </w:tc>
      </w:tr>
      <w:tr w:rsidR="00A85587" w:rsidRPr="00DA1E79" w14:paraId="6BA019E5" w14:textId="77777777" w:rsidTr="002F32B2">
        <w:tc>
          <w:tcPr>
            <w:tcW w:w="8182" w:type="dxa"/>
            <w:gridSpan w:val="5"/>
          </w:tcPr>
          <w:p w14:paraId="6C5DF580" w14:textId="77777777" w:rsidR="00A85587" w:rsidRPr="00DA1E79" w:rsidRDefault="00A85587" w:rsidP="002F32B2">
            <w:pPr>
              <w:pStyle w:val="TableText"/>
            </w:pPr>
            <w:r w:rsidRPr="00DA1E79">
              <w:t xml:space="preserve">The procurement team’s efforts to improve relationships with customers across the business has led to a year-on-year increase in this performance measure. Procurement Services continues to refine procurement planning, particularly encouraging business owners to identify procurement jobs well in advance. </w:t>
            </w:r>
          </w:p>
        </w:tc>
      </w:tr>
    </w:tbl>
    <w:p w14:paraId="574AC1BD" w14:textId="77777777" w:rsidR="000C1A89" w:rsidRDefault="00544E19"/>
    <w:sectPr w:rsidR="000C1A8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3F826" w14:textId="77777777" w:rsidR="00A85587" w:rsidRDefault="00A85587" w:rsidP="00A85587">
      <w:r>
        <w:separator/>
      </w:r>
    </w:p>
  </w:endnote>
  <w:endnote w:type="continuationSeparator" w:id="0">
    <w:p w14:paraId="23D4C591" w14:textId="77777777" w:rsidR="00A85587" w:rsidRDefault="00A85587" w:rsidP="00A85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9B3C2" w14:textId="77777777" w:rsidR="00544E19" w:rsidRDefault="00544E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94FB1" w14:textId="5BAD2B26" w:rsidR="00A85587" w:rsidRDefault="00A85587">
    <w:pPr>
      <w:pStyle w:val="Footer"/>
    </w:pPr>
    <w:r>
      <w:rPr>
        <w:noProof/>
      </w:rPr>
      <mc:AlternateContent>
        <mc:Choice Requires="wps">
          <w:drawing>
            <wp:anchor distT="0" distB="0" distL="114300" distR="114300" simplePos="0" relativeHeight="251659264" behindDoc="0" locked="0" layoutInCell="0" allowOverlap="1" wp14:anchorId="1D5D3BBB" wp14:editId="3668FF72">
              <wp:simplePos x="0" y="0"/>
              <wp:positionH relativeFrom="page">
                <wp:posOffset>0</wp:posOffset>
              </wp:positionH>
              <wp:positionV relativeFrom="page">
                <wp:posOffset>10234930</wp:posOffset>
              </wp:positionV>
              <wp:extent cx="7560310" cy="266700"/>
              <wp:effectExtent l="0" t="0" r="0" b="0"/>
              <wp:wrapNone/>
              <wp:docPr id="1" name="MSIPCM6d084113a59e76263b03ccbb"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EC528A" w14:textId="0607ACEB" w:rsidR="00A85587" w:rsidRPr="00A85587" w:rsidRDefault="00A85587" w:rsidP="00A85587">
                          <w:pPr>
                            <w:rPr>
                              <w:rFonts w:ascii="Calibri" w:hAnsi="Calibri" w:cs="Calibri"/>
                              <w:color w:val="000000"/>
                              <w:sz w:val="22"/>
                            </w:rPr>
                          </w:pPr>
                          <w:r w:rsidRPr="00A85587">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D5D3BBB" id="_x0000_t202" coordsize="21600,21600" o:spt="202" path="m,l,21600r21600,l21600,xe">
              <v:stroke joinstyle="miter"/>
              <v:path gradientshapeok="t" o:connecttype="rect"/>
            </v:shapetype>
            <v:shape id="MSIPCM6d084113a59e76263b03ccbb"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sm4hxLMCAABIBQAA&#10;DgAAAAAAAAAAAAAAAAAuAgAAZHJzL2Uyb0RvYy54bWxQSwECLQAUAAYACAAAACEAYBHGJt4AAAAL&#10;AQAADwAAAAAAAAAAAAAAAAANBQAAZHJzL2Rvd25yZXYueG1sUEsFBgAAAAAEAAQA8wAAABgGAAAA&#10;AA==&#10;" o:allowincell="f" filled="f" stroked="f" strokeweight=".5pt">
              <v:textbox inset="20pt,0,,0">
                <w:txbxContent>
                  <w:p w14:paraId="1BEC528A" w14:textId="0607ACEB" w:rsidR="00A85587" w:rsidRPr="00A85587" w:rsidRDefault="00A85587" w:rsidP="00A85587">
                    <w:pPr>
                      <w:rPr>
                        <w:rFonts w:ascii="Calibri" w:hAnsi="Calibri" w:cs="Calibri"/>
                        <w:color w:val="000000"/>
                        <w:sz w:val="22"/>
                      </w:rPr>
                    </w:pPr>
                    <w:r w:rsidRPr="00A85587">
                      <w:rPr>
                        <w:rFonts w:ascii="Calibri" w:hAnsi="Calibri" w:cs="Calibri"/>
                        <w:color w:val="000000"/>
                        <w:sz w:val="22"/>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9A60A" w14:textId="77777777" w:rsidR="00544E19" w:rsidRDefault="00544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C92BA" w14:textId="77777777" w:rsidR="00A85587" w:rsidRDefault="00A85587" w:rsidP="00A85587">
      <w:r>
        <w:separator/>
      </w:r>
    </w:p>
  </w:footnote>
  <w:footnote w:type="continuationSeparator" w:id="0">
    <w:p w14:paraId="131AFA1C" w14:textId="77777777" w:rsidR="00A85587" w:rsidRDefault="00A85587" w:rsidP="00A85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FCE1C" w14:textId="77777777" w:rsidR="00544E19" w:rsidRDefault="00544E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802A5" w14:textId="77777777" w:rsidR="00544E19" w:rsidRDefault="00544E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136C2" w14:textId="77777777" w:rsidR="00544E19" w:rsidRDefault="00544E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587"/>
    <w:rsid w:val="00544E19"/>
    <w:rsid w:val="00A85587"/>
    <w:rsid w:val="00B4701F"/>
    <w:rsid w:val="00CE0862"/>
    <w:rsid w:val="00E65237"/>
    <w:rsid w:val="00E744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5490D"/>
  <w15:chartTrackingRefBased/>
  <w15:docId w15:val="{1031DB19-920E-454B-8055-FDBC49AD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5587"/>
    <w:pPr>
      <w:spacing w:after="0" w:line="240" w:lineRule="auto"/>
    </w:pPr>
    <w:rPr>
      <w:rFonts w:ascii="Arial" w:eastAsia="Times New Roman" w:hAnsi="Arial" w:cs="Times New Roman"/>
      <w:sz w:val="24"/>
      <w:szCs w:val="24"/>
      <w:lang w:eastAsia="en-AU"/>
    </w:rPr>
  </w:style>
  <w:style w:type="paragraph" w:styleId="Heading1">
    <w:name w:val="heading 1"/>
    <w:basedOn w:val="Normal"/>
    <w:next w:val="Normal"/>
    <w:link w:val="Heading1Char"/>
    <w:uiPriority w:val="9"/>
    <w:qFormat/>
    <w:rsid w:val="00CE086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sid w:val="00A85587"/>
    <w:pPr>
      <w:keepNext/>
      <w:keepLines/>
      <w:tabs>
        <w:tab w:val="left" w:pos="851"/>
      </w:tabs>
      <w:spacing w:before="60" w:after="60" w:line="228" w:lineRule="auto"/>
      <w:ind w:left="794"/>
    </w:pPr>
    <w:rPr>
      <w:rFonts w:ascii="Calibri" w:hAnsi="Calibri" w:cs="Calibri"/>
      <w:b/>
      <w:sz w:val="22"/>
      <w:szCs w:val="22"/>
    </w:rPr>
  </w:style>
  <w:style w:type="character" w:customStyle="1" w:styleId="CaptionChar">
    <w:name w:val="Caption Char"/>
    <w:link w:val="Caption"/>
    <w:rsid w:val="00A85587"/>
    <w:rPr>
      <w:rFonts w:ascii="Calibri" w:eastAsia="Times New Roman" w:hAnsi="Calibri" w:cs="Calibri"/>
      <w:b/>
      <w:lang w:eastAsia="en-AU"/>
    </w:rPr>
  </w:style>
  <w:style w:type="character" w:styleId="Strong">
    <w:name w:val="Strong"/>
    <w:uiPriority w:val="22"/>
    <w:qFormat/>
    <w:rsid w:val="00A85587"/>
    <w:rPr>
      <w:b/>
      <w:bCs/>
    </w:rPr>
  </w:style>
  <w:style w:type="paragraph" w:customStyle="1" w:styleId="TableText">
    <w:name w:val="Table Text"/>
    <w:basedOn w:val="Normal"/>
    <w:link w:val="TableTextChar"/>
    <w:uiPriority w:val="15"/>
    <w:qFormat/>
    <w:rsid w:val="00A85587"/>
    <w:pPr>
      <w:spacing w:before="20" w:after="20"/>
    </w:pPr>
    <w:rPr>
      <w:rFonts w:ascii="Calibri" w:eastAsiaTheme="minorHAnsi" w:hAnsi="Calibri" w:cs="Calibri"/>
      <w:sz w:val="20"/>
      <w:szCs w:val="20"/>
      <w:lang w:val="en-US" w:eastAsia="en-US"/>
    </w:rPr>
  </w:style>
  <w:style w:type="character" w:customStyle="1" w:styleId="TableTextChar">
    <w:name w:val="Table Text Char"/>
    <w:basedOn w:val="DefaultParagraphFont"/>
    <w:link w:val="TableText"/>
    <w:uiPriority w:val="15"/>
    <w:rsid w:val="00A85587"/>
    <w:rPr>
      <w:rFonts w:ascii="Calibri" w:hAnsi="Calibri" w:cs="Calibri"/>
      <w:sz w:val="20"/>
      <w:szCs w:val="20"/>
      <w:lang w:val="en-US"/>
    </w:rPr>
  </w:style>
  <w:style w:type="paragraph" w:customStyle="1" w:styleId="TableHeader">
    <w:name w:val="Table Header"/>
    <w:basedOn w:val="TableText"/>
    <w:link w:val="TableHeaderChar"/>
    <w:uiPriority w:val="15"/>
    <w:qFormat/>
    <w:rsid w:val="00A85587"/>
    <w:pPr>
      <w:keepNext/>
      <w:spacing w:before="40" w:after="40"/>
    </w:pPr>
    <w:rPr>
      <w:sz w:val="24"/>
      <w:szCs w:val="24"/>
    </w:rPr>
  </w:style>
  <w:style w:type="table" w:customStyle="1" w:styleId="TableGrid1">
    <w:name w:val="Table Grid1"/>
    <w:basedOn w:val="TableNormal"/>
    <w:next w:val="TableGrid"/>
    <w:uiPriority w:val="39"/>
    <w:rsid w:val="00A8558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erChar">
    <w:name w:val="Table Header Char"/>
    <w:basedOn w:val="TableTextChar"/>
    <w:link w:val="TableHeader"/>
    <w:uiPriority w:val="15"/>
    <w:rsid w:val="00A85587"/>
    <w:rPr>
      <w:rFonts w:ascii="Calibri" w:hAnsi="Calibri" w:cs="Calibri"/>
      <w:sz w:val="24"/>
      <w:szCs w:val="24"/>
      <w:lang w:val="en-US"/>
    </w:rPr>
  </w:style>
  <w:style w:type="table" w:styleId="TableGrid">
    <w:name w:val="Table Grid"/>
    <w:basedOn w:val="TableNormal"/>
    <w:uiPriority w:val="39"/>
    <w:rsid w:val="00A85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5587"/>
    <w:pPr>
      <w:tabs>
        <w:tab w:val="center" w:pos="4513"/>
        <w:tab w:val="right" w:pos="9026"/>
      </w:tabs>
    </w:pPr>
  </w:style>
  <w:style w:type="character" w:customStyle="1" w:styleId="HeaderChar">
    <w:name w:val="Header Char"/>
    <w:basedOn w:val="DefaultParagraphFont"/>
    <w:link w:val="Header"/>
    <w:uiPriority w:val="99"/>
    <w:rsid w:val="00A85587"/>
    <w:rPr>
      <w:rFonts w:ascii="Arial" w:eastAsia="Times New Roman" w:hAnsi="Arial" w:cs="Times New Roman"/>
      <w:sz w:val="24"/>
      <w:szCs w:val="24"/>
      <w:lang w:eastAsia="en-AU"/>
    </w:rPr>
  </w:style>
  <w:style w:type="paragraph" w:styleId="Footer">
    <w:name w:val="footer"/>
    <w:basedOn w:val="Normal"/>
    <w:link w:val="FooterChar"/>
    <w:uiPriority w:val="99"/>
    <w:unhideWhenUsed/>
    <w:rsid w:val="00A85587"/>
    <w:pPr>
      <w:tabs>
        <w:tab w:val="center" w:pos="4513"/>
        <w:tab w:val="right" w:pos="9026"/>
      </w:tabs>
    </w:pPr>
  </w:style>
  <w:style w:type="character" w:customStyle="1" w:styleId="FooterChar">
    <w:name w:val="Footer Char"/>
    <w:basedOn w:val="DefaultParagraphFont"/>
    <w:link w:val="Footer"/>
    <w:uiPriority w:val="99"/>
    <w:rsid w:val="00A85587"/>
    <w:rPr>
      <w:rFonts w:ascii="Arial" w:eastAsia="Times New Roman" w:hAnsi="Arial" w:cs="Times New Roman"/>
      <w:sz w:val="24"/>
      <w:szCs w:val="24"/>
      <w:lang w:eastAsia="en-AU"/>
    </w:rPr>
  </w:style>
  <w:style w:type="character" w:customStyle="1" w:styleId="Heading1Char">
    <w:name w:val="Heading 1 Char"/>
    <w:basedOn w:val="DefaultParagraphFont"/>
    <w:link w:val="Heading1"/>
    <w:uiPriority w:val="9"/>
    <w:rsid w:val="00CE0862"/>
    <w:rPr>
      <w:rFonts w:asciiTheme="majorHAnsi" w:eastAsiaTheme="majorEastAsia" w:hAnsiTheme="majorHAnsi" w:cstheme="majorBidi"/>
      <w:color w:val="2F5496" w:themeColor="accent1" w:themeShade="BF"/>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4D04685-2D61-482A-AA5A-E8201BB4ECC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Coles (DTF)</dc:creator>
  <cp:keywords/>
  <dc:description/>
  <cp:lastModifiedBy>Athena Rozenberg (DTF)</cp:lastModifiedBy>
  <cp:revision>3</cp:revision>
  <dcterms:created xsi:type="dcterms:W3CDTF">2020-10-12T05:42:00Z</dcterms:created>
  <dcterms:modified xsi:type="dcterms:W3CDTF">2020-10-12T05:42:00Z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Vanessa.Coles@dtf.vic.gov.au</vt:lpwstr>
  </property>
  <property fmtid="{D5CDD505-2E9C-101B-9397-08002B2CF9AE}" pid="5" name="MSIP_Label_7158ebbd-6c5e-441f-bfc9-4eb8c11e3978_SetDate">
    <vt:lpwstr>2020-10-11T01:59:32.7498364Z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Sensitivity">
    <vt:lpwstr>OFFICIAL</vt:lpwstr>
  </property>
</Properties>
</file>