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12655" w14:textId="20955A9C" w:rsidR="007E5B31" w:rsidRPr="00CB65CC" w:rsidRDefault="007E5B31" w:rsidP="007E5B31">
      <w:pPr>
        <w:pStyle w:val="Caption"/>
        <w:rPr>
          <w:rFonts w:asciiTheme="majorHAnsi" w:eastAsiaTheme="majorEastAsia" w:hAnsiTheme="majorHAnsi" w:cstheme="majorHAnsi"/>
          <w:bCs/>
          <w:color w:val="000000" w:themeColor="text1"/>
          <w:sz w:val="28"/>
          <w:szCs w:val="28"/>
        </w:rPr>
      </w:pPr>
      <w:bookmarkStart w:id="0" w:name="_Ref51160252"/>
      <w:bookmarkStart w:id="1" w:name="_Toc48837162"/>
      <w:bookmarkStart w:id="2" w:name="_Toc49185552"/>
      <w:r w:rsidRPr="00CB65CC">
        <w:rPr>
          <w:rFonts w:asciiTheme="majorHAnsi" w:eastAsiaTheme="majorEastAsia" w:hAnsiTheme="majorHAnsi" w:cstheme="majorHAnsi"/>
          <w:bCs/>
          <w:color w:val="000000" w:themeColor="text1"/>
          <w:sz w:val="28"/>
          <w:szCs w:val="28"/>
        </w:rPr>
        <w:t xml:space="preserve">Table </w:t>
      </w:r>
      <w:bookmarkEnd w:id="0"/>
      <w:r w:rsidRPr="00CB65CC">
        <w:rPr>
          <w:rFonts w:asciiTheme="majorHAnsi" w:eastAsiaTheme="majorEastAsia" w:hAnsiTheme="majorHAnsi" w:cstheme="majorHAnsi"/>
          <w:bCs/>
          <w:color w:val="000000" w:themeColor="text1"/>
          <w:sz w:val="28"/>
          <w:szCs w:val="28"/>
        </w:rPr>
        <w:t xml:space="preserve">Department of Jobs, Precincts and Regions performance in </w:t>
      </w:r>
      <w:r w:rsidR="00CB65CC">
        <w:rPr>
          <w:rFonts w:asciiTheme="majorHAnsi" w:eastAsiaTheme="majorEastAsia" w:hAnsiTheme="majorHAnsi" w:cstheme="majorHAnsi"/>
          <w:bCs/>
          <w:color w:val="000000" w:themeColor="text1"/>
          <w:sz w:val="28"/>
          <w:szCs w:val="28"/>
        </w:rPr>
        <w:br/>
      </w:r>
      <w:r w:rsidRPr="00CB65CC">
        <w:rPr>
          <w:rFonts w:asciiTheme="majorHAnsi" w:eastAsiaTheme="majorEastAsia" w:hAnsiTheme="majorHAnsi" w:cstheme="majorHAnsi"/>
          <w:bCs/>
          <w:color w:val="000000" w:themeColor="text1"/>
          <w:sz w:val="28"/>
          <w:szCs w:val="28"/>
        </w:rPr>
        <w:t>2019–20</w:t>
      </w:r>
      <w:bookmarkEnd w:id="1"/>
      <w:bookmarkEnd w:id="2"/>
    </w:p>
    <w:p w14:paraId="538CFC66" w14:textId="77777777" w:rsidR="00CB65CC" w:rsidRDefault="00CB65CC" w:rsidP="00CB65CC">
      <w:pPr>
        <w:ind w:firstLine="720"/>
        <w:rPr>
          <w:rFonts w:ascii="Calibri" w:eastAsiaTheme="minorHAnsi" w:hAnsi="Calibri" w:cs="Calibri"/>
          <w:sz w:val="20"/>
          <w:szCs w:val="20"/>
          <w:lang w:val="en-US" w:eastAsia="en-US"/>
        </w:rPr>
      </w:pPr>
    </w:p>
    <w:p w14:paraId="3268D67A" w14:textId="6DFC1B00" w:rsidR="00CB65CC" w:rsidRPr="008A4523" w:rsidRDefault="00CB65CC" w:rsidP="00CB65CC">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5601E9">
        <w:rPr>
          <w:rFonts w:ascii="Calibri" w:eastAsiaTheme="minorHAnsi" w:hAnsi="Calibri" w:cs="Calibri"/>
          <w:sz w:val="20"/>
          <w:szCs w:val="20"/>
          <w:lang w:val="en-US" w:eastAsia="en-US"/>
        </w:rPr>
        <w:t>Annual R</w:t>
      </w:r>
      <w:bookmarkStart w:id="3" w:name="_GoBack"/>
      <w:bookmarkEnd w:id="3"/>
      <w:r w:rsidR="005601E9">
        <w:rPr>
          <w:rFonts w:ascii="Calibri" w:eastAsiaTheme="minorHAnsi" w:hAnsi="Calibri" w:cs="Calibri"/>
          <w:sz w:val="20"/>
          <w:szCs w:val="20"/>
          <w:lang w:val="en-US" w:eastAsia="en-US"/>
        </w:rPr>
        <w:t xml:space="preserve">eport </w:t>
      </w:r>
      <w:r w:rsidRPr="008A4523">
        <w:rPr>
          <w:rFonts w:ascii="Calibri" w:eastAsiaTheme="minorHAnsi" w:hAnsi="Calibri" w:cs="Calibri"/>
          <w:sz w:val="20"/>
          <w:szCs w:val="20"/>
          <w:lang w:val="en-US" w:eastAsia="en-US"/>
        </w:rPr>
        <w:t>2019-20</w:t>
      </w:r>
    </w:p>
    <w:p w14:paraId="29B361D9" w14:textId="3DA319DA" w:rsidR="00CB65CC" w:rsidRDefault="00CB65CC" w:rsidP="00CB65CC"/>
    <w:p w14:paraId="35239DC8" w14:textId="77777777" w:rsidR="00CB65CC" w:rsidRPr="00CB65CC" w:rsidRDefault="00CB65CC" w:rsidP="00CB65CC"/>
    <w:tbl>
      <w:tblPr>
        <w:tblStyle w:val="TableGrid1"/>
        <w:tblW w:w="8363" w:type="dxa"/>
        <w:tblInd w:w="704" w:type="dxa"/>
        <w:tblLook w:val="04A0" w:firstRow="1" w:lastRow="0" w:firstColumn="1" w:lastColumn="0" w:noHBand="0" w:noVBand="1"/>
      </w:tblPr>
      <w:tblGrid>
        <w:gridCol w:w="3119"/>
        <w:gridCol w:w="2693"/>
        <w:gridCol w:w="2551"/>
      </w:tblGrid>
      <w:tr w:rsidR="007E5B31" w:rsidRPr="00DA1E79" w14:paraId="6727B3AA" w14:textId="77777777" w:rsidTr="002F32B2">
        <w:tc>
          <w:tcPr>
            <w:tcW w:w="5812" w:type="dxa"/>
            <w:gridSpan w:val="2"/>
            <w:vMerge w:val="restart"/>
          </w:tcPr>
          <w:p w14:paraId="74E83A02" w14:textId="77777777" w:rsidR="007E5B31" w:rsidRPr="00DA1E79" w:rsidRDefault="007E5B31" w:rsidP="002F32B2">
            <w:pPr>
              <w:pStyle w:val="TableHeader"/>
            </w:pPr>
            <w:r w:rsidRPr="00DA1E79">
              <w:t>Performance measure</w:t>
            </w:r>
          </w:p>
        </w:tc>
        <w:tc>
          <w:tcPr>
            <w:tcW w:w="2551" w:type="dxa"/>
          </w:tcPr>
          <w:p w14:paraId="0C06423C" w14:textId="77777777" w:rsidR="007E5B31" w:rsidRPr="00DA1E79" w:rsidRDefault="007E5B31" w:rsidP="002F32B2">
            <w:pPr>
              <w:pStyle w:val="TableHeader"/>
            </w:pPr>
            <w:r w:rsidRPr="00DA1E79">
              <w:t>2019–20</w:t>
            </w:r>
          </w:p>
        </w:tc>
      </w:tr>
      <w:tr w:rsidR="007E5B31" w:rsidRPr="00DA1E79" w14:paraId="3BD75AC1" w14:textId="77777777" w:rsidTr="002F32B2">
        <w:tc>
          <w:tcPr>
            <w:tcW w:w="5812" w:type="dxa"/>
            <w:gridSpan w:val="2"/>
            <w:vMerge/>
          </w:tcPr>
          <w:p w14:paraId="79245F9D" w14:textId="77777777" w:rsidR="007E5B31" w:rsidRPr="00DA1E79" w:rsidRDefault="007E5B31" w:rsidP="002F32B2">
            <w:pPr>
              <w:pStyle w:val="TableHeader"/>
            </w:pPr>
          </w:p>
        </w:tc>
        <w:tc>
          <w:tcPr>
            <w:tcW w:w="2551" w:type="dxa"/>
          </w:tcPr>
          <w:p w14:paraId="03750898" w14:textId="77777777" w:rsidR="007E5B31" w:rsidRPr="00DA1E79" w:rsidRDefault="007E5B31" w:rsidP="002F32B2">
            <w:pPr>
              <w:pStyle w:val="TableHeader"/>
            </w:pPr>
            <w:r w:rsidRPr="00DA1E79">
              <w:t>%</w:t>
            </w:r>
          </w:p>
        </w:tc>
      </w:tr>
      <w:tr w:rsidR="007E5B31" w:rsidRPr="005C4F4A" w14:paraId="199A0396" w14:textId="77777777" w:rsidTr="002F32B2">
        <w:tc>
          <w:tcPr>
            <w:tcW w:w="5812" w:type="dxa"/>
            <w:gridSpan w:val="2"/>
          </w:tcPr>
          <w:p w14:paraId="4FC1660B" w14:textId="77777777" w:rsidR="007E5B31" w:rsidRPr="005C4F4A" w:rsidRDefault="007E5B31" w:rsidP="002F32B2">
            <w:pPr>
              <w:pStyle w:val="TableText"/>
              <w:rPr>
                <w:rStyle w:val="Strong"/>
              </w:rPr>
            </w:pPr>
            <w:r w:rsidRPr="005C4F4A">
              <w:rPr>
                <w:rStyle w:val="Strong"/>
              </w:rPr>
              <w:t>Value created from department procurement activity</w:t>
            </w:r>
          </w:p>
        </w:tc>
        <w:tc>
          <w:tcPr>
            <w:tcW w:w="2551" w:type="dxa"/>
          </w:tcPr>
          <w:p w14:paraId="49749C39" w14:textId="77777777" w:rsidR="007E5B31" w:rsidRPr="005C4F4A" w:rsidRDefault="007E5B31" w:rsidP="002F32B2">
            <w:pPr>
              <w:pStyle w:val="TableText"/>
              <w:rPr>
                <w:rStyle w:val="Strong"/>
              </w:rPr>
            </w:pPr>
            <w:r w:rsidRPr="005C4F4A">
              <w:rPr>
                <w:rStyle w:val="Strong"/>
              </w:rPr>
              <w:t xml:space="preserve"> –</w:t>
            </w:r>
          </w:p>
        </w:tc>
      </w:tr>
      <w:tr w:rsidR="007E5B31" w:rsidRPr="005F2BDA" w14:paraId="3CE157B6" w14:textId="77777777" w:rsidTr="002F32B2">
        <w:tc>
          <w:tcPr>
            <w:tcW w:w="8363" w:type="dxa"/>
            <w:gridSpan w:val="3"/>
          </w:tcPr>
          <w:p w14:paraId="448852E8" w14:textId="77777777" w:rsidR="007E5B31" w:rsidRPr="005F2BDA" w:rsidRDefault="007E5B31" w:rsidP="002F32B2">
            <w:pPr>
              <w:pStyle w:val="TableText"/>
            </w:pPr>
            <w:r w:rsidRPr="007A12CC">
              <w:t xml:space="preserve">DJPR operates a decentralised procurement model with mandatory requirements to demonstrate value for money. However, the model does not currently capture monetary value from procurement activity. DJPR is considering initiatives to increase visibility of cost saving achievements across the </w:t>
            </w:r>
            <w:r>
              <w:t>d</w:t>
            </w:r>
            <w:r w:rsidRPr="007A12CC">
              <w:t>epartment.</w:t>
            </w:r>
          </w:p>
        </w:tc>
      </w:tr>
      <w:tr w:rsidR="007E5B31" w:rsidRPr="005C4F4A" w14:paraId="1330DFCE" w14:textId="77777777" w:rsidTr="002F32B2">
        <w:tc>
          <w:tcPr>
            <w:tcW w:w="5812" w:type="dxa"/>
            <w:gridSpan w:val="2"/>
          </w:tcPr>
          <w:p w14:paraId="2BEEBB42" w14:textId="77777777" w:rsidR="007E5B31" w:rsidRPr="005C4F4A" w:rsidRDefault="007E5B31" w:rsidP="002F32B2">
            <w:pPr>
              <w:pStyle w:val="TableText"/>
              <w:rPr>
                <w:rStyle w:val="Strong"/>
              </w:rPr>
            </w:pPr>
            <w:r w:rsidRPr="005C4F4A">
              <w:rPr>
                <w:rStyle w:val="Strong"/>
              </w:rPr>
              <w:t>Managed spend</w:t>
            </w:r>
          </w:p>
        </w:tc>
        <w:tc>
          <w:tcPr>
            <w:tcW w:w="2551" w:type="dxa"/>
          </w:tcPr>
          <w:p w14:paraId="00929A2A" w14:textId="77777777" w:rsidR="007E5B31" w:rsidRPr="005C4F4A" w:rsidRDefault="007E5B31" w:rsidP="002F32B2">
            <w:pPr>
              <w:pStyle w:val="TableText"/>
              <w:rPr>
                <w:rStyle w:val="Strong"/>
              </w:rPr>
            </w:pPr>
            <w:r w:rsidRPr="005C4F4A">
              <w:rPr>
                <w:rStyle w:val="Strong"/>
              </w:rPr>
              <w:t>8.2</w:t>
            </w:r>
          </w:p>
        </w:tc>
      </w:tr>
      <w:tr w:rsidR="007E5B31" w:rsidRPr="006C6059" w14:paraId="7716ECB1" w14:textId="77777777" w:rsidTr="002F32B2">
        <w:tc>
          <w:tcPr>
            <w:tcW w:w="8363" w:type="dxa"/>
            <w:gridSpan w:val="3"/>
          </w:tcPr>
          <w:p w14:paraId="55068B32" w14:textId="77777777" w:rsidR="007E5B31" w:rsidRPr="005F2BDA" w:rsidRDefault="007E5B31" w:rsidP="002F32B2">
            <w:pPr>
              <w:pStyle w:val="TableText"/>
            </w:pPr>
            <w:r w:rsidRPr="00346C13">
              <w:t xml:space="preserve">DJPR has </w:t>
            </w:r>
            <w:r w:rsidRPr="006635BC">
              <w:t>introduced a monthly PowerBI dashboard for senior stakeholders to increase</w:t>
            </w:r>
            <w:r w:rsidRPr="00346C13">
              <w:t xml:space="preserve"> visibility</w:t>
            </w:r>
            <w:r w:rsidRPr="006635BC">
              <w:t xml:space="preserve"> of</w:t>
            </w:r>
            <w:r w:rsidRPr="00346C13">
              <w:t xml:space="preserve"> procurement </w:t>
            </w:r>
            <w:r w:rsidRPr="006635BC">
              <w:t>expenditure across the department</w:t>
            </w:r>
            <w:r w:rsidRPr="00346C13">
              <w:t>.</w:t>
            </w:r>
          </w:p>
        </w:tc>
      </w:tr>
      <w:tr w:rsidR="007E5B31" w:rsidRPr="005C4F4A" w14:paraId="7560DE01" w14:textId="77777777" w:rsidTr="002F32B2">
        <w:tc>
          <w:tcPr>
            <w:tcW w:w="5812" w:type="dxa"/>
            <w:gridSpan w:val="2"/>
          </w:tcPr>
          <w:p w14:paraId="45833DA2" w14:textId="77777777" w:rsidR="007E5B31" w:rsidRPr="005C4F4A" w:rsidRDefault="007E5B31" w:rsidP="002F32B2">
            <w:pPr>
              <w:pStyle w:val="TableText"/>
              <w:rPr>
                <w:rStyle w:val="Strong"/>
              </w:rPr>
            </w:pPr>
            <w:r w:rsidRPr="005C4F4A">
              <w:rPr>
                <w:rStyle w:val="Strong"/>
              </w:rPr>
              <w:t>Increase in procurement capability</w:t>
            </w:r>
          </w:p>
        </w:tc>
        <w:tc>
          <w:tcPr>
            <w:tcW w:w="2551" w:type="dxa"/>
          </w:tcPr>
          <w:p w14:paraId="56E04917" w14:textId="77777777" w:rsidR="007E5B31" w:rsidRPr="005C4F4A" w:rsidRDefault="007E5B31" w:rsidP="002F32B2">
            <w:pPr>
              <w:pStyle w:val="TableText"/>
              <w:rPr>
                <w:rStyle w:val="Strong"/>
              </w:rPr>
            </w:pPr>
            <w:r w:rsidRPr="005C4F4A">
              <w:rPr>
                <w:rStyle w:val="Strong"/>
              </w:rPr>
              <w:t>10.6</w:t>
            </w:r>
          </w:p>
        </w:tc>
      </w:tr>
      <w:tr w:rsidR="007E5B31" w:rsidRPr="006C6059" w14:paraId="30A17283" w14:textId="77777777" w:rsidTr="002F32B2">
        <w:tc>
          <w:tcPr>
            <w:tcW w:w="8363" w:type="dxa"/>
            <w:gridSpan w:val="3"/>
          </w:tcPr>
          <w:p w14:paraId="2031C6B9" w14:textId="77777777" w:rsidR="007E5B31" w:rsidRPr="005F2BDA" w:rsidRDefault="007E5B31" w:rsidP="002F32B2">
            <w:pPr>
              <w:pStyle w:val="TableText"/>
            </w:pPr>
            <w:r>
              <w:t xml:space="preserve">Procurement capability increased from 104 to 115 out of 150, following increased training for buyers, creation of a dedicated procurement intranet page and increased use of DJPR’s online procurement community of practice. </w:t>
            </w:r>
          </w:p>
        </w:tc>
      </w:tr>
      <w:tr w:rsidR="007E5B31" w:rsidRPr="005C4F4A" w14:paraId="10B747EA" w14:textId="77777777" w:rsidTr="002F32B2">
        <w:tc>
          <w:tcPr>
            <w:tcW w:w="3119" w:type="dxa"/>
            <w:vMerge w:val="restart"/>
          </w:tcPr>
          <w:p w14:paraId="3CB2D41F" w14:textId="77777777" w:rsidR="007E5B31" w:rsidRPr="005C4F4A" w:rsidRDefault="007E5B31" w:rsidP="002F32B2">
            <w:pPr>
              <w:pStyle w:val="TableText"/>
              <w:rPr>
                <w:rStyle w:val="Strong"/>
              </w:rPr>
            </w:pPr>
            <w:r w:rsidRPr="005C4F4A">
              <w:rPr>
                <w:rStyle w:val="Strong"/>
              </w:rPr>
              <w:t>Supplier satisfaction assessment</w:t>
            </w:r>
          </w:p>
        </w:tc>
        <w:tc>
          <w:tcPr>
            <w:tcW w:w="2693" w:type="dxa"/>
          </w:tcPr>
          <w:p w14:paraId="33807C82" w14:textId="77777777" w:rsidR="007E5B31" w:rsidRPr="005C4F4A" w:rsidRDefault="007E5B31" w:rsidP="002F32B2">
            <w:pPr>
              <w:pStyle w:val="TableText"/>
              <w:rPr>
                <w:rStyle w:val="Strong"/>
              </w:rPr>
            </w:pPr>
            <w:r w:rsidRPr="005C4F4A">
              <w:rPr>
                <w:rStyle w:val="Strong"/>
              </w:rPr>
              <w:t>Successful satisfied</w:t>
            </w:r>
          </w:p>
        </w:tc>
        <w:tc>
          <w:tcPr>
            <w:tcW w:w="2551" w:type="dxa"/>
          </w:tcPr>
          <w:p w14:paraId="6335597F" w14:textId="77777777" w:rsidR="007E5B31" w:rsidRPr="005C4F4A" w:rsidRDefault="007E5B31" w:rsidP="002F32B2">
            <w:pPr>
              <w:pStyle w:val="TableText"/>
              <w:rPr>
                <w:rStyle w:val="Strong"/>
              </w:rPr>
            </w:pPr>
            <w:r w:rsidRPr="005C4F4A">
              <w:rPr>
                <w:rStyle w:val="Strong"/>
              </w:rPr>
              <w:t>86</w:t>
            </w:r>
          </w:p>
        </w:tc>
      </w:tr>
      <w:tr w:rsidR="007E5B31" w:rsidRPr="005C4F4A" w14:paraId="2344E858" w14:textId="77777777" w:rsidTr="002F32B2">
        <w:tc>
          <w:tcPr>
            <w:tcW w:w="3119" w:type="dxa"/>
            <w:vMerge/>
          </w:tcPr>
          <w:p w14:paraId="624E8943" w14:textId="77777777" w:rsidR="007E5B31" w:rsidRPr="005C4F4A" w:rsidRDefault="007E5B31" w:rsidP="002F32B2">
            <w:pPr>
              <w:pStyle w:val="TableText"/>
              <w:rPr>
                <w:rStyle w:val="Strong"/>
              </w:rPr>
            </w:pPr>
          </w:p>
        </w:tc>
        <w:tc>
          <w:tcPr>
            <w:tcW w:w="2693" w:type="dxa"/>
          </w:tcPr>
          <w:p w14:paraId="79F4C473" w14:textId="77777777" w:rsidR="007E5B31" w:rsidRPr="005C4F4A" w:rsidRDefault="007E5B31" w:rsidP="002F32B2">
            <w:pPr>
              <w:pStyle w:val="TableText"/>
              <w:rPr>
                <w:rStyle w:val="Strong"/>
              </w:rPr>
            </w:pPr>
            <w:r w:rsidRPr="005C4F4A">
              <w:rPr>
                <w:rStyle w:val="Strong"/>
              </w:rPr>
              <w:t>Unsuccessful satisfied</w:t>
            </w:r>
          </w:p>
        </w:tc>
        <w:tc>
          <w:tcPr>
            <w:tcW w:w="2551" w:type="dxa"/>
          </w:tcPr>
          <w:p w14:paraId="3E216C4F" w14:textId="77777777" w:rsidR="007E5B31" w:rsidRPr="005C4F4A" w:rsidRDefault="007E5B31" w:rsidP="002F32B2">
            <w:pPr>
              <w:pStyle w:val="TableText"/>
              <w:rPr>
                <w:rStyle w:val="Strong"/>
              </w:rPr>
            </w:pPr>
            <w:r w:rsidRPr="005C4F4A">
              <w:rPr>
                <w:rStyle w:val="Strong"/>
              </w:rPr>
              <w:t>57</w:t>
            </w:r>
          </w:p>
        </w:tc>
      </w:tr>
      <w:tr w:rsidR="007E5B31" w:rsidRPr="006C6059" w14:paraId="7722FD58" w14:textId="77777777" w:rsidTr="002F32B2">
        <w:tc>
          <w:tcPr>
            <w:tcW w:w="8363" w:type="dxa"/>
            <w:gridSpan w:val="3"/>
          </w:tcPr>
          <w:p w14:paraId="2592430D" w14:textId="77777777" w:rsidR="007E5B31" w:rsidRPr="005F2BDA" w:rsidRDefault="007E5B31" w:rsidP="002F32B2">
            <w:pPr>
              <w:pStyle w:val="TableText"/>
            </w:pPr>
            <w:r>
              <w:t>Suppliers were generally satisfied with DJPR's procurement process.</w:t>
            </w:r>
          </w:p>
        </w:tc>
      </w:tr>
      <w:tr w:rsidR="007E5B31" w:rsidRPr="005C4F4A" w14:paraId="1B4DA601" w14:textId="77777777" w:rsidTr="002F32B2">
        <w:tc>
          <w:tcPr>
            <w:tcW w:w="5812" w:type="dxa"/>
            <w:gridSpan w:val="2"/>
          </w:tcPr>
          <w:p w14:paraId="145E1EF2" w14:textId="77777777" w:rsidR="007E5B31" w:rsidRPr="005C4F4A" w:rsidRDefault="007E5B31" w:rsidP="002F32B2">
            <w:pPr>
              <w:pStyle w:val="TableText"/>
              <w:rPr>
                <w:rStyle w:val="Strong"/>
              </w:rPr>
            </w:pPr>
            <w:r w:rsidRPr="005C4F4A">
              <w:rPr>
                <w:rStyle w:val="Strong"/>
              </w:rPr>
              <w:t>Planned procurement activity as a % of actual procurement activity</w:t>
            </w:r>
          </w:p>
        </w:tc>
        <w:tc>
          <w:tcPr>
            <w:tcW w:w="2551" w:type="dxa"/>
          </w:tcPr>
          <w:p w14:paraId="79D5D4B2" w14:textId="77777777" w:rsidR="007E5B31" w:rsidRPr="005C4F4A" w:rsidRDefault="007E5B31" w:rsidP="002F32B2">
            <w:pPr>
              <w:pStyle w:val="TableText"/>
              <w:rPr>
                <w:rStyle w:val="Strong"/>
              </w:rPr>
            </w:pPr>
            <w:r w:rsidRPr="005C4F4A">
              <w:rPr>
                <w:rStyle w:val="Strong"/>
              </w:rPr>
              <w:t>38.5</w:t>
            </w:r>
          </w:p>
        </w:tc>
      </w:tr>
      <w:tr w:rsidR="007E5B31" w:rsidRPr="006C6059" w14:paraId="772E16C5" w14:textId="77777777" w:rsidTr="002F32B2">
        <w:tc>
          <w:tcPr>
            <w:tcW w:w="8363" w:type="dxa"/>
            <w:gridSpan w:val="3"/>
          </w:tcPr>
          <w:p w14:paraId="0CE6393A" w14:textId="77777777" w:rsidR="007E5B31" w:rsidRPr="005F2BDA" w:rsidRDefault="007E5B31" w:rsidP="002F32B2">
            <w:pPr>
              <w:pStyle w:val="TableText"/>
            </w:pPr>
            <w:r w:rsidRPr="00195CD2">
              <w:t>DJPR</w:t>
            </w:r>
            <w:r>
              <w:t>’s</w:t>
            </w:r>
            <w:r w:rsidRPr="00195CD2">
              <w:t xml:space="preserve"> </w:t>
            </w:r>
            <w:r>
              <w:t xml:space="preserve">planned procurement was significantly impacted by procurement activities relating to response and recovery efforts for critical incidents. </w:t>
            </w:r>
          </w:p>
        </w:tc>
      </w:tr>
    </w:tbl>
    <w:p w14:paraId="3E2C8651" w14:textId="77777777" w:rsidR="007E5B31" w:rsidRDefault="007E5B31" w:rsidP="007E5B31">
      <w:pPr>
        <w:pStyle w:val="Normal1"/>
      </w:pPr>
    </w:p>
    <w:p w14:paraId="4D29A9EA" w14:textId="77777777" w:rsidR="007E5B31" w:rsidRPr="008B7338" w:rsidRDefault="007E5B31" w:rsidP="007E5B31">
      <w:pPr>
        <w:pStyle w:val="Normal1"/>
        <w:rPr>
          <w:highlight w:val="yellow"/>
        </w:rPr>
      </w:pPr>
    </w:p>
    <w:p w14:paraId="526863B4" w14:textId="77777777" w:rsidR="000C1A89" w:rsidRDefault="005601E9"/>
    <w:sectPr w:rsidR="000C1A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7F1C" w14:textId="77777777" w:rsidR="007E5B31" w:rsidRDefault="007E5B31" w:rsidP="007E5B31">
      <w:r>
        <w:separator/>
      </w:r>
    </w:p>
  </w:endnote>
  <w:endnote w:type="continuationSeparator" w:id="0">
    <w:p w14:paraId="2DDF91B3" w14:textId="77777777" w:rsidR="007E5B31" w:rsidRDefault="007E5B31" w:rsidP="007E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B25" w14:textId="77777777" w:rsidR="005601E9" w:rsidRDefault="00560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3C28" w14:textId="77777777" w:rsidR="007E5B31" w:rsidRDefault="007E5B31">
    <w:pPr>
      <w:pStyle w:val="Footer"/>
    </w:pPr>
    <w:r>
      <w:rPr>
        <w:noProof/>
      </w:rPr>
      <mc:AlternateContent>
        <mc:Choice Requires="wps">
          <w:drawing>
            <wp:anchor distT="0" distB="0" distL="114300" distR="114300" simplePos="0" relativeHeight="251659264" behindDoc="0" locked="0" layoutInCell="0" allowOverlap="1" wp14:anchorId="1DFEA380" wp14:editId="4CD32F87">
              <wp:simplePos x="0" y="0"/>
              <wp:positionH relativeFrom="page">
                <wp:posOffset>0</wp:posOffset>
              </wp:positionH>
              <wp:positionV relativeFrom="page">
                <wp:posOffset>10234930</wp:posOffset>
              </wp:positionV>
              <wp:extent cx="7560310" cy="266700"/>
              <wp:effectExtent l="0" t="0" r="0" b="0"/>
              <wp:wrapNone/>
              <wp:docPr id="1" name="MSIPCM59ed4c418acc9adf4b7f07c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33990" w14:textId="77777777" w:rsidR="007E5B31" w:rsidRPr="007E5B31" w:rsidRDefault="007E5B31" w:rsidP="007E5B31">
                          <w:pPr>
                            <w:rPr>
                              <w:rFonts w:ascii="Calibri" w:hAnsi="Calibri" w:cs="Calibri"/>
                              <w:color w:val="000000"/>
                              <w:sz w:val="22"/>
                            </w:rPr>
                          </w:pPr>
                          <w:r w:rsidRPr="007E5B3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9ed4c418acc9adf4b7f07cb"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VQkdOLMCAABIBQAA&#10;DgAAAAAAAAAAAAAAAAAuAgAAZHJzL2Uyb0RvYy54bWxQSwECLQAUAAYACAAAACEAYBHGJt4AAAAL&#10;AQAADwAAAAAAAAAAAAAAAAANBQAAZHJzL2Rvd25yZXYueG1sUEsFBgAAAAAEAAQA8wAAABgGAAAA&#10;AA==&#10;" o:allowincell="f" filled="f" stroked="f" strokeweight=".5pt">
              <v:fill o:detectmouseclick="t"/>
              <v:textbox inset="20pt,0,,0">
                <w:txbxContent>
                  <w:p w:rsidR="007E5B31" w:rsidRPr="007E5B31" w:rsidRDefault="007E5B31" w:rsidP="007E5B31">
                    <w:pPr>
                      <w:rPr>
                        <w:rFonts w:ascii="Calibri" w:hAnsi="Calibri" w:cs="Calibri"/>
                        <w:color w:val="000000"/>
                        <w:sz w:val="22"/>
                      </w:rPr>
                    </w:pPr>
                    <w:r w:rsidRPr="007E5B31">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63F3" w14:textId="77777777" w:rsidR="005601E9" w:rsidRDefault="0056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C73C" w14:textId="77777777" w:rsidR="007E5B31" w:rsidRDefault="007E5B31" w:rsidP="007E5B31">
      <w:r>
        <w:separator/>
      </w:r>
    </w:p>
  </w:footnote>
  <w:footnote w:type="continuationSeparator" w:id="0">
    <w:p w14:paraId="56725892" w14:textId="77777777" w:rsidR="007E5B31" w:rsidRDefault="007E5B31" w:rsidP="007E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3EC3" w14:textId="77777777" w:rsidR="005601E9" w:rsidRDefault="00560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F777" w14:textId="77777777" w:rsidR="005601E9" w:rsidRDefault="00560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C879" w14:textId="77777777" w:rsidR="005601E9" w:rsidRDefault="0056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31"/>
    <w:rsid w:val="00030F4A"/>
    <w:rsid w:val="005601E9"/>
    <w:rsid w:val="007E5B31"/>
    <w:rsid w:val="00B4701F"/>
    <w:rsid w:val="00CB65CC"/>
    <w:rsid w:val="00E74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574B"/>
  <w15:chartTrackingRefBased/>
  <w15:docId w15:val="{FD779E63-BB87-472A-9B07-263D730F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5B31"/>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7E5B31"/>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7E5B31"/>
    <w:rPr>
      <w:rFonts w:ascii="Calibri" w:eastAsia="Times New Roman" w:hAnsi="Calibri" w:cs="Calibri"/>
      <w:b/>
      <w:lang w:eastAsia="en-AU"/>
    </w:rPr>
  </w:style>
  <w:style w:type="character" w:styleId="Strong">
    <w:name w:val="Strong"/>
    <w:uiPriority w:val="22"/>
    <w:qFormat/>
    <w:rsid w:val="007E5B31"/>
    <w:rPr>
      <w:b/>
      <w:bCs/>
    </w:rPr>
  </w:style>
  <w:style w:type="paragraph" w:customStyle="1" w:styleId="TableText">
    <w:name w:val="Table Text"/>
    <w:basedOn w:val="Normal"/>
    <w:link w:val="TableTextChar"/>
    <w:uiPriority w:val="15"/>
    <w:qFormat/>
    <w:rsid w:val="007E5B31"/>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7E5B31"/>
    <w:rPr>
      <w:rFonts w:ascii="Calibri" w:hAnsi="Calibri" w:cs="Calibri"/>
      <w:sz w:val="20"/>
      <w:szCs w:val="20"/>
      <w:lang w:val="en-US"/>
    </w:rPr>
  </w:style>
  <w:style w:type="paragraph" w:customStyle="1" w:styleId="TableHeader">
    <w:name w:val="Table Header"/>
    <w:basedOn w:val="TableText"/>
    <w:link w:val="TableHeaderChar"/>
    <w:uiPriority w:val="15"/>
    <w:qFormat/>
    <w:rsid w:val="007E5B31"/>
    <w:pPr>
      <w:keepNext/>
      <w:spacing w:before="40" w:after="40"/>
    </w:pPr>
    <w:rPr>
      <w:sz w:val="24"/>
      <w:szCs w:val="24"/>
    </w:rPr>
  </w:style>
  <w:style w:type="paragraph" w:customStyle="1" w:styleId="Normal1">
    <w:name w:val="Normal1"/>
    <w:basedOn w:val="Normal"/>
    <w:link w:val="NormalChar"/>
    <w:qFormat/>
    <w:rsid w:val="007E5B31"/>
    <w:pPr>
      <w:spacing w:before="100" w:after="100"/>
      <w:ind w:left="794"/>
    </w:pPr>
    <w:rPr>
      <w:rFonts w:ascii="Calibri" w:hAnsi="Calibri" w:cs="Calibri"/>
      <w:sz w:val="22"/>
      <w:szCs w:val="22"/>
    </w:rPr>
  </w:style>
  <w:style w:type="character" w:customStyle="1" w:styleId="NormalChar">
    <w:name w:val="Normal Char"/>
    <w:basedOn w:val="DefaultParagraphFont"/>
    <w:link w:val="Normal1"/>
    <w:rsid w:val="007E5B31"/>
    <w:rPr>
      <w:rFonts w:ascii="Calibri" w:eastAsia="Times New Roman" w:hAnsi="Calibri" w:cs="Calibri"/>
      <w:lang w:eastAsia="en-AU"/>
    </w:rPr>
  </w:style>
  <w:style w:type="table" w:customStyle="1" w:styleId="TableGrid1">
    <w:name w:val="Table Grid1"/>
    <w:basedOn w:val="TableNormal"/>
    <w:next w:val="TableGrid"/>
    <w:uiPriority w:val="39"/>
    <w:rsid w:val="007E5B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7E5B31"/>
    <w:rPr>
      <w:rFonts w:ascii="Calibri" w:hAnsi="Calibri" w:cs="Calibri"/>
      <w:sz w:val="24"/>
      <w:szCs w:val="24"/>
      <w:lang w:val="en-US"/>
    </w:rPr>
  </w:style>
  <w:style w:type="table" w:styleId="TableGrid">
    <w:name w:val="Table Grid"/>
    <w:basedOn w:val="TableNormal"/>
    <w:uiPriority w:val="39"/>
    <w:rsid w:val="007E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5B31"/>
    <w:pPr>
      <w:tabs>
        <w:tab w:val="center" w:pos="4513"/>
        <w:tab w:val="right" w:pos="9026"/>
      </w:tabs>
    </w:pPr>
  </w:style>
  <w:style w:type="character" w:customStyle="1" w:styleId="HeaderChar">
    <w:name w:val="Header Char"/>
    <w:basedOn w:val="DefaultParagraphFont"/>
    <w:link w:val="Header"/>
    <w:uiPriority w:val="99"/>
    <w:rsid w:val="007E5B31"/>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7E5B31"/>
    <w:pPr>
      <w:tabs>
        <w:tab w:val="center" w:pos="4513"/>
        <w:tab w:val="right" w:pos="9026"/>
      </w:tabs>
    </w:pPr>
  </w:style>
  <w:style w:type="character" w:customStyle="1" w:styleId="FooterChar">
    <w:name w:val="Footer Char"/>
    <w:basedOn w:val="DefaultParagraphFont"/>
    <w:link w:val="Footer"/>
    <w:uiPriority w:val="99"/>
    <w:rsid w:val="007E5B31"/>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AD0CCFD-82A1-49E8-845E-4445DAEC4F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Athena Rozenberg (DTF)</cp:lastModifiedBy>
  <cp:revision>3</cp:revision>
  <dcterms:created xsi:type="dcterms:W3CDTF">2020-10-12T05:40:00Z</dcterms:created>
  <dcterms:modified xsi:type="dcterms:W3CDTF">2020-10-12T05:40:00Z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Vanessa.Coles@dtf.vic.gov.au</vt:lpwstr>
  </property>
  <property fmtid="{D5CDD505-2E9C-101B-9397-08002B2CF9AE}" pid="5" name="MSIP_Label_7158ebbd-6c5e-441f-bfc9-4eb8c11e3978_SetDate">
    <vt:lpwstr>2020-10-11T02:06:47.3109608Z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