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E72DC" w14:textId="57637A75" w:rsidR="007A7F79" w:rsidRPr="00775451" w:rsidRDefault="001B77EB" w:rsidP="007A7F79">
      <w:pPr>
        <w:pStyle w:val="Caption"/>
        <w:rPr>
          <w:rFonts w:asciiTheme="majorHAnsi" w:eastAsiaTheme="majorEastAsia" w:hAnsiTheme="majorHAnsi" w:cstheme="majorHAnsi"/>
          <w:bCs/>
          <w:color w:val="000000" w:themeColor="text1"/>
          <w:sz w:val="28"/>
          <w:szCs w:val="28"/>
        </w:rPr>
      </w:pPr>
      <w:r w:rsidRPr="00775451">
        <w:rPr>
          <w:rFonts w:asciiTheme="majorHAnsi" w:eastAsiaTheme="majorEastAsia" w:hAnsiTheme="majorHAnsi" w:cstheme="majorHAnsi"/>
          <w:bCs/>
          <w:color w:val="000000" w:themeColor="text1"/>
          <w:sz w:val="28"/>
          <w:szCs w:val="28"/>
        </w:rPr>
        <w:t>Table Department of Justice and Community Safety performance in 2019–20</w:t>
      </w:r>
    </w:p>
    <w:p w14:paraId="1E5DB744" w14:textId="0C4C809A" w:rsidR="00775451" w:rsidRDefault="00775451" w:rsidP="00775451"/>
    <w:p w14:paraId="17E4C203" w14:textId="44BA833C" w:rsidR="00775451" w:rsidRPr="008A4523" w:rsidRDefault="00775451" w:rsidP="00775451">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6D3426">
        <w:rPr>
          <w:rFonts w:ascii="Calibri" w:eastAsiaTheme="minorHAnsi" w:hAnsi="Calibri" w:cs="Calibri"/>
          <w:sz w:val="20"/>
          <w:szCs w:val="20"/>
          <w:lang w:val="en-US" w:eastAsia="en-US"/>
        </w:rPr>
        <w:t xml:space="preserve">Annual Report </w:t>
      </w:r>
      <w:bookmarkStart w:id="0" w:name="_GoBack"/>
      <w:bookmarkEnd w:id="0"/>
      <w:r w:rsidRPr="008A4523">
        <w:rPr>
          <w:rFonts w:ascii="Calibri" w:eastAsiaTheme="minorHAnsi" w:hAnsi="Calibri" w:cs="Calibri"/>
          <w:sz w:val="20"/>
          <w:szCs w:val="20"/>
          <w:lang w:val="en-US" w:eastAsia="en-US"/>
        </w:rPr>
        <w:t>2019-20</w:t>
      </w:r>
    </w:p>
    <w:p w14:paraId="6DEE3FB3" w14:textId="77777777" w:rsidR="00775451" w:rsidRPr="00775451" w:rsidRDefault="00775451" w:rsidP="00775451"/>
    <w:tbl>
      <w:tblPr>
        <w:tblStyle w:val="TableGrid1"/>
        <w:tblW w:w="8789" w:type="dxa"/>
        <w:tblInd w:w="704" w:type="dxa"/>
        <w:tblLook w:val="04A0" w:firstRow="1" w:lastRow="0" w:firstColumn="1" w:lastColumn="0" w:noHBand="0" w:noVBand="1"/>
      </w:tblPr>
      <w:tblGrid>
        <w:gridCol w:w="3063"/>
        <w:gridCol w:w="2324"/>
        <w:gridCol w:w="1125"/>
        <w:gridCol w:w="1125"/>
        <w:gridCol w:w="1152"/>
      </w:tblGrid>
      <w:tr w:rsidR="007A7F79" w:rsidRPr="00DA1E79" w14:paraId="42988EA3" w14:textId="77777777" w:rsidTr="002F32B2">
        <w:tc>
          <w:tcPr>
            <w:tcW w:w="5387" w:type="dxa"/>
            <w:gridSpan w:val="2"/>
            <w:vMerge w:val="restart"/>
          </w:tcPr>
          <w:p w14:paraId="601949EC" w14:textId="77777777" w:rsidR="007A7F79" w:rsidRPr="00DA1E79" w:rsidRDefault="007A7F79" w:rsidP="002F32B2">
            <w:pPr>
              <w:pStyle w:val="TableHeader"/>
            </w:pPr>
            <w:r w:rsidRPr="00DA1E79">
              <w:t>Performance measure</w:t>
            </w:r>
          </w:p>
        </w:tc>
        <w:tc>
          <w:tcPr>
            <w:tcW w:w="1125" w:type="dxa"/>
          </w:tcPr>
          <w:p w14:paraId="4535C112" w14:textId="77777777" w:rsidR="007A7F79" w:rsidRPr="00DA1E79" w:rsidRDefault="007A7F79" w:rsidP="002F32B2">
            <w:pPr>
              <w:pStyle w:val="TableHeader"/>
            </w:pPr>
            <w:r w:rsidRPr="00DA1E79">
              <w:t xml:space="preserve">2017–18 </w:t>
            </w:r>
          </w:p>
        </w:tc>
        <w:tc>
          <w:tcPr>
            <w:tcW w:w="1125" w:type="dxa"/>
          </w:tcPr>
          <w:p w14:paraId="3A3C9D51" w14:textId="77777777" w:rsidR="007A7F79" w:rsidRPr="00DA1E79" w:rsidRDefault="007A7F79" w:rsidP="002F32B2">
            <w:pPr>
              <w:pStyle w:val="TableHeader"/>
            </w:pPr>
            <w:r w:rsidRPr="00DA1E79">
              <w:t>2018–19</w:t>
            </w:r>
          </w:p>
        </w:tc>
        <w:tc>
          <w:tcPr>
            <w:tcW w:w="1152" w:type="dxa"/>
          </w:tcPr>
          <w:p w14:paraId="426BF4BB" w14:textId="77777777" w:rsidR="007A7F79" w:rsidRPr="00DA1E79" w:rsidRDefault="007A7F79" w:rsidP="002F32B2">
            <w:pPr>
              <w:pStyle w:val="TableHeader"/>
            </w:pPr>
            <w:r w:rsidRPr="00DA1E79">
              <w:t>2019–20</w:t>
            </w:r>
          </w:p>
        </w:tc>
      </w:tr>
      <w:tr w:rsidR="007A7F79" w:rsidRPr="00DA1E79" w14:paraId="0C85EC06" w14:textId="77777777" w:rsidTr="002F32B2">
        <w:tc>
          <w:tcPr>
            <w:tcW w:w="5387" w:type="dxa"/>
            <w:gridSpan w:val="2"/>
            <w:vMerge/>
          </w:tcPr>
          <w:p w14:paraId="71A4E1D9" w14:textId="77777777" w:rsidR="007A7F79" w:rsidRPr="00DA1E79" w:rsidRDefault="007A7F79" w:rsidP="002F32B2">
            <w:pPr>
              <w:pStyle w:val="TableHeader"/>
            </w:pPr>
          </w:p>
        </w:tc>
        <w:tc>
          <w:tcPr>
            <w:tcW w:w="3402" w:type="dxa"/>
            <w:gridSpan w:val="3"/>
          </w:tcPr>
          <w:p w14:paraId="5D792B7B" w14:textId="77777777" w:rsidR="007A7F79" w:rsidRPr="00DA1E79" w:rsidRDefault="007A7F79" w:rsidP="002F32B2">
            <w:pPr>
              <w:pStyle w:val="TableHeader"/>
            </w:pPr>
            <w:r w:rsidRPr="00DA1E79">
              <w:t>(%)</w:t>
            </w:r>
          </w:p>
        </w:tc>
      </w:tr>
      <w:tr w:rsidR="007A7F79" w:rsidRPr="005C4F4A" w14:paraId="26656273" w14:textId="77777777" w:rsidTr="002F32B2">
        <w:tc>
          <w:tcPr>
            <w:tcW w:w="5387" w:type="dxa"/>
            <w:gridSpan w:val="2"/>
          </w:tcPr>
          <w:p w14:paraId="08BC4998" w14:textId="77777777" w:rsidR="007A7F79" w:rsidRPr="005C4F4A" w:rsidRDefault="007A7F79" w:rsidP="002F32B2">
            <w:pPr>
              <w:pStyle w:val="TableText"/>
              <w:rPr>
                <w:rStyle w:val="Strong"/>
              </w:rPr>
            </w:pPr>
            <w:r w:rsidRPr="005C4F4A">
              <w:rPr>
                <w:rStyle w:val="Strong"/>
              </w:rPr>
              <w:t>Value created from department procurement activity</w:t>
            </w:r>
          </w:p>
        </w:tc>
        <w:tc>
          <w:tcPr>
            <w:tcW w:w="1125" w:type="dxa"/>
          </w:tcPr>
          <w:p w14:paraId="3A601486" w14:textId="77777777" w:rsidR="007A7F79" w:rsidRPr="005C4F4A" w:rsidRDefault="007A7F79" w:rsidP="002F32B2">
            <w:pPr>
              <w:pStyle w:val="TableText"/>
              <w:rPr>
                <w:rStyle w:val="Strong"/>
              </w:rPr>
            </w:pPr>
            <w:r w:rsidRPr="005C4F4A">
              <w:rPr>
                <w:rStyle w:val="Strong"/>
              </w:rPr>
              <w:t>0.4</w:t>
            </w:r>
          </w:p>
        </w:tc>
        <w:tc>
          <w:tcPr>
            <w:tcW w:w="1125" w:type="dxa"/>
          </w:tcPr>
          <w:p w14:paraId="13003D63" w14:textId="77777777" w:rsidR="007A7F79" w:rsidRPr="005C4F4A" w:rsidRDefault="007A7F79" w:rsidP="002F32B2">
            <w:pPr>
              <w:pStyle w:val="TableText"/>
              <w:rPr>
                <w:rStyle w:val="Strong"/>
              </w:rPr>
            </w:pPr>
            <w:r w:rsidRPr="005C4F4A">
              <w:rPr>
                <w:rStyle w:val="Strong"/>
              </w:rPr>
              <w:t>17.3</w:t>
            </w:r>
          </w:p>
        </w:tc>
        <w:tc>
          <w:tcPr>
            <w:tcW w:w="1152" w:type="dxa"/>
          </w:tcPr>
          <w:p w14:paraId="0B3FB73D" w14:textId="77777777" w:rsidR="007A7F79" w:rsidRPr="005C4F4A" w:rsidRDefault="007A7F79" w:rsidP="002F32B2">
            <w:pPr>
              <w:pStyle w:val="TableText"/>
              <w:rPr>
                <w:rStyle w:val="Strong"/>
              </w:rPr>
            </w:pPr>
            <w:r w:rsidRPr="005C4F4A">
              <w:rPr>
                <w:rStyle w:val="Strong"/>
              </w:rPr>
              <w:t>10.0</w:t>
            </w:r>
          </w:p>
        </w:tc>
      </w:tr>
      <w:tr w:rsidR="007A7F79" w:rsidRPr="005F2BDA" w14:paraId="040B0CCA" w14:textId="77777777" w:rsidTr="002F32B2">
        <w:trPr>
          <w:trHeight w:val="511"/>
        </w:trPr>
        <w:tc>
          <w:tcPr>
            <w:tcW w:w="8789" w:type="dxa"/>
            <w:gridSpan w:val="5"/>
          </w:tcPr>
          <w:p w14:paraId="1A7E8D9A" w14:textId="77777777" w:rsidR="007A7F79" w:rsidRPr="005F2BDA" w:rsidRDefault="007A7F79" w:rsidP="002F32B2">
            <w:pPr>
              <w:pStyle w:val="TableText"/>
            </w:pPr>
            <w:r>
              <w:t xml:space="preserve">DJCS continues to capture savings through procurement process reports. The decrease this year relates to the drop in the number and size of procurements compared to 2018–19. </w:t>
            </w:r>
          </w:p>
        </w:tc>
      </w:tr>
      <w:tr w:rsidR="007A7F79" w:rsidRPr="005C4F4A" w14:paraId="0F2BC88E" w14:textId="77777777" w:rsidTr="002F32B2">
        <w:tc>
          <w:tcPr>
            <w:tcW w:w="5387" w:type="dxa"/>
            <w:gridSpan w:val="2"/>
          </w:tcPr>
          <w:p w14:paraId="36F64B91" w14:textId="77777777" w:rsidR="007A7F79" w:rsidRPr="005C4F4A" w:rsidRDefault="007A7F79" w:rsidP="002F32B2">
            <w:pPr>
              <w:pStyle w:val="TableText"/>
              <w:rPr>
                <w:rStyle w:val="Strong"/>
              </w:rPr>
            </w:pPr>
            <w:r w:rsidRPr="005C4F4A">
              <w:rPr>
                <w:rStyle w:val="Strong"/>
              </w:rPr>
              <w:t>Managed spend</w:t>
            </w:r>
          </w:p>
        </w:tc>
        <w:tc>
          <w:tcPr>
            <w:tcW w:w="1125" w:type="dxa"/>
            <w:shd w:val="clear" w:color="auto" w:fill="FFFFFF" w:themeFill="background1"/>
          </w:tcPr>
          <w:p w14:paraId="21BDDDA2" w14:textId="77777777" w:rsidR="007A7F79" w:rsidRPr="005C4F4A" w:rsidRDefault="007A7F79" w:rsidP="002F32B2">
            <w:pPr>
              <w:pStyle w:val="TableText"/>
              <w:rPr>
                <w:rStyle w:val="Strong"/>
              </w:rPr>
            </w:pPr>
            <w:r w:rsidRPr="005C4F4A">
              <w:rPr>
                <w:rStyle w:val="Strong"/>
              </w:rPr>
              <w:t>n/a</w:t>
            </w:r>
          </w:p>
        </w:tc>
        <w:tc>
          <w:tcPr>
            <w:tcW w:w="1125" w:type="dxa"/>
            <w:shd w:val="clear" w:color="auto" w:fill="FFFFFF" w:themeFill="background1"/>
          </w:tcPr>
          <w:p w14:paraId="0BEC4F2B" w14:textId="77777777" w:rsidR="007A7F79" w:rsidRPr="005C4F4A" w:rsidRDefault="007A7F79" w:rsidP="002F32B2">
            <w:pPr>
              <w:pStyle w:val="TableText"/>
              <w:rPr>
                <w:rStyle w:val="Strong"/>
              </w:rPr>
            </w:pPr>
            <w:r w:rsidRPr="005C4F4A">
              <w:rPr>
                <w:rStyle w:val="Strong"/>
              </w:rPr>
              <w:t>n/a</w:t>
            </w:r>
          </w:p>
        </w:tc>
        <w:tc>
          <w:tcPr>
            <w:tcW w:w="1152" w:type="dxa"/>
            <w:shd w:val="clear" w:color="auto" w:fill="FFFFFF" w:themeFill="background1"/>
          </w:tcPr>
          <w:p w14:paraId="03A5EAC2" w14:textId="77777777" w:rsidR="007A7F79" w:rsidRPr="005C4F4A" w:rsidRDefault="007A7F79" w:rsidP="002F32B2">
            <w:pPr>
              <w:pStyle w:val="TableText"/>
              <w:rPr>
                <w:rStyle w:val="Strong"/>
              </w:rPr>
            </w:pPr>
            <w:r w:rsidRPr="005C4F4A">
              <w:rPr>
                <w:rStyle w:val="Strong"/>
              </w:rPr>
              <w:t>–</w:t>
            </w:r>
          </w:p>
        </w:tc>
      </w:tr>
      <w:tr w:rsidR="007A7F79" w:rsidRPr="00505378" w14:paraId="7712FE93" w14:textId="77777777" w:rsidTr="002F32B2">
        <w:tc>
          <w:tcPr>
            <w:tcW w:w="8789" w:type="dxa"/>
            <w:gridSpan w:val="5"/>
          </w:tcPr>
          <w:p w14:paraId="1DB9AC48" w14:textId="77777777" w:rsidR="007A7F79" w:rsidRPr="00C000FB" w:rsidRDefault="007A7F79" w:rsidP="002F32B2">
            <w:pPr>
              <w:pStyle w:val="TableText"/>
            </w:pPr>
            <w:r>
              <w:t xml:space="preserve">DJCS could not provide data for this metric. DJCS is implementing a new system which will help provide this data in future. </w:t>
            </w:r>
          </w:p>
        </w:tc>
      </w:tr>
      <w:tr w:rsidR="007A7F79" w:rsidRPr="005C4F4A" w14:paraId="01B947CF" w14:textId="77777777" w:rsidTr="002F32B2">
        <w:tc>
          <w:tcPr>
            <w:tcW w:w="5387" w:type="dxa"/>
            <w:gridSpan w:val="2"/>
          </w:tcPr>
          <w:p w14:paraId="2EBD44FD" w14:textId="77777777" w:rsidR="007A7F79" w:rsidRPr="005C4F4A" w:rsidRDefault="007A7F79" w:rsidP="002F32B2">
            <w:pPr>
              <w:pStyle w:val="TableText"/>
              <w:rPr>
                <w:rStyle w:val="Strong"/>
              </w:rPr>
            </w:pPr>
            <w:r w:rsidRPr="005C4F4A">
              <w:rPr>
                <w:rStyle w:val="Strong"/>
              </w:rPr>
              <w:t>Increase in procurement capability</w:t>
            </w:r>
          </w:p>
        </w:tc>
        <w:tc>
          <w:tcPr>
            <w:tcW w:w="1125" w:type="dxa"/>
          </w:tcPr>
          <w:p w14:paraId="2E0C73DB" w14:textId="77777777" w:rsidR="007A7F79" w:rsidRPr="005C4F4A" w:rsidRDefault="007A7F79" w:rsidP="002F32B2">
            <w:pPr>
              <w:pStyle w:val="TableText"/>
              <w:rPr>
                <w:rStyle w:val="Strong"/>
              </w:rPr>
            </w:pPr>
            <w:r w:rsidRPr="005C4F4A">
              <w:rPr>
                <w:rStyle w:val="Strong"/>
              </w:rPr>
              <w:t>−3.3</w:t>
            </w:r>
          </w:p>
        </w:tc>
        <w:tc>
          <w:tcPr>
            <w:tcW w:w="1125" w:type="dxa"/>
          </w:tcPr>
          <w:p w14:paraId="2EC55926" w14:textId="77777777" w:rsidR="007A7F79" w:rsidRPr="005C4F4A" w:rsidRDefault="007A7F79" w:rsidP="002F32B2">
            <w:pPr>
              <w:pStyle w:val="TableText"/>
              <w:rPr>
                <w:rStyle w:val="Strong"/>
              </w:rPr>
            </w:pPr>
            <w:r w:rsidRPr="005C4F4A">
              <w:rPr>
                <w:rStyle w:val="Strong"/>
              </w:rPr>
              <w:t>−24.6</w:t>
            </w:r>
          </w:p>
        </w:tc>
        <w:tc>
          <w:tcPr>
            <w:tcW w:w="1152" w:type="dxa"/>
          </w:tcPr>
          <w:p w14:paraId="63F9D04F" w14:textId="77777777" w:rsidR="007A7F79" w:rsidRPr="005C4F4A" w:rsidRDefault="007A7F79" w:rsidP="002F32B2">
            <w:pPr>
              <w:pStyle w:val="TableText"/>
              <w:rPr>
                <w:rStyle w:val="Strong"/>
              </w:rPr>
            </w:pPr>
            <w:r w:rsidRPr="005C4F4A">
              <w:rPr>
                <w:rStyle w:val="Strong"/>
              </w:rPr>
              <w:t>−20.7</w:t>
            </w:r>
          </w:p>
        </w:tc>
      </w:tr>
      <w:tr w:rsidR="007A7F79" w:rsidRPr="00505378" w14:paraId="16923AA0" w14:textId="77777777" w:rsidTr="002F32B2">
        <w:tc>
          <w:tcPr>
            <w:tcW w:w="8789" w:type="dxa"/>
            <w:gridSpan w:val="5"/>
          </w:tcPr>
          <w:p w14:paraId="3C049343" w14:textId="77777777" w:rsidR="007A7F79" w:rsidRPr="00C000FB" w:rsidRDefault="007A7F79" w:rsidP="002F32B2">
            <w:pPr>
              <w:pStyle w:val="TableText"/>
            </w:pPr>
            <w:r>
              <w:t xml:space="preserve">Procurement capability fell from 116 to 92 out of 150. In 2019–20, DJCS went through a large organisational change and is progressing towards a category structure. The department is developing its capability and there is a program aimed at improving overall skills. Procurement activities also pivoted to cater for the state of emergency. The department made several capability improvements in 2019–20, including upgrading and refreshing the Zycus contract management system, bringing more procurement staff under Procurement Services, staff training and successfully transitioning to remote working. The department will continue to work towards improving capability. </w:t>
            </w:r>
          </w:p>
        </w:tc>
      </w:tr>
      <w:tr w:rsidR="007A7F79" w:rsidRPr="005C4F4A" w14:paraId="44411663" w14:textId="77777777" w:rsidTr="002F32B2">
        <w:tc>
          <w:tcPr>
            <w:tcW w:w="3063" w:type="dxa"/>
            <w:vMerge w:val="restart"/>
          </w:tcPr>
          <w:p w14:paraId="02DFC8F9" w14:textId="77777777" w:rsidR="007A7F79" w:rsidRPr="005C4F4A" w:rsidRDefault="007A7F79" w:rsidP="002F32B2">
            <w:pPr>
              <w:pStyle w:val="TableText"/>
              <w:rPr>
                <w:rStyle w:val="Strong"/>
              </w:rPr>
            </w:pPr>
            <w:r w:rsidRPr="005C4F4A">
              <w:rPr>
                <w:rStyle w:val="Strong"/>
              </w:rPr>
              <w:t>Supplier satisfaction assessment</w:t>
            </w:r>
          </w:p>
        </w:tc>
        <w:tc>
          <w:tcPr>
            <w:tcW w:w="2324" w:type="dxa"/>
          </w:tcPr>
          <w:p w14:paraId="5E2D9873" w14:textId="77777777" w:rsidR="007A7F79" w:rsidRPr="005C4F4A" w:rsidRDefault="007A7F79" w:rsidP="002F32B2">
            <w:pPr>
              <w:pStyle w:val="TableText"/>
              <w:rPr>
                <w:rStyle w:val="Strong"/>
              </w:rPr>
            </w:pPr>
            <w:r w:rsidRPr="005C4F4A">
              <w:rPr>
                <w:rStyle w:val="Strong"/>
              </w:rPr>
              <w:t>Successful satisfied</w:t>
            </w:r>
          </w:p>
        </w:tc>
        <w:tc>
          <w:tcPr>
            <w:tcW w:w="1125" w:type="dxa"/>
          </w:tcPr>
          <w:p w14:paraId="163E6320" w14:textId="77777777" w:rsidR="007A7F79" w:rsidRPr="005C4F4A" w:rsidRDefault="007A7F79" w:rsidP="002F32B2">
            <w:pPr>
              <w:pStyle w:val="TableText"/>
              <w:rPr>
                <w:rStyle w:val="Strong"/>
              </w:rPr>
            </w:pPr>
            <w:r w:rsidRPr="005C4F4A">
              <w:rPr>
                <w:rStyle w:val="Strong"/>
              </w:rPr>
              <w:t>73</w:t>
            </w:r>
          </w:p>
        </w:tc>
        <w:tc>
          <w:tcPr>
            <w:tcW w:w="1125" w:type="dxa"/>
          </w:tcPr>
          <w:p w14:paraId="726D89F4" w14:textId="77777777" w:rsidR="007A7F79" w:rsidRPr="005C4F4A" w:rsidRDefault="007A7F79" w:rsidP="002F32B2">
            <w:pPr>
              <w:pStyle w:val="TableText"/>
              <w:rPr>
                <w:rStyle w:val="Strong"/>
              </w:rPr>
            </w:pPr>
            <w:r w:rsidRPr="005C4F4A">
              <w:rPr>
                <w:rStyle w:val="Strong"/>
              </w:rPr>
              <w:t>100</w:t>
            </w:r>
          </w:p>
        </w:tc>
        <w:tc>
          <w:tcPr>
            <w:tcW w:w="1152" w:type="dxa"/>
          </w:tcPr>
          <w:p w14:paraId="6F5252D8" w14:textId="77777777" w:rsidR="007A7F79" w:rsidRPr="005C4F4A" w:rsidRDefault="007A7F79" w:rsidP="002F32B2">
            <w:pPr>
              <w:pStyle w:val="TableText"/>
              <w:rPr>
                <w:rStyle w:val="Strong"/>
              </w:rPr>
            </w:pPr>
            <w:r w:rsidRPr="005C4F4A">
              <w:rPr>
                <w:rStyle w:val="Strong"/>
              </w:rPr>
              <w:t>69</w:t>
            </w:r>
          </w:p>
        </w:tc>
      </w:tr>
      <w:tr w:rsidR="007A7F79" w:rsidRPr="005C4F4A" w14:paraId="7136DE42" w14:textId="77777777" w:rsidTr="002F32B2">
        <w:tc>
          <w:tcPr>
            <w:tcW w:w="3063" w:type="dxa"/>
            <w:vMerge/>
          </w:tcPr>
          <w:p w14:paraId="1004BFCA" w14:textId="77777777" w:rsidR="007A7F79" w:rsidRPr="005C4F4A" w:rsidRDefault="007A7F79" w:rsidP="002F32B2">
            <w:pPr>
              <w:pStyle w:val="TableText"/>
              <w:rPr>
                <w:rStyle w:val="Strong"/>
              </w:rPr>
            </w:pPr>
          </w:p>
        </w:tc>
        <w:tc>
          <w:tcPr>
            <w:tcW w:w="2324" w:type="dxa"/>
          </w:tcPr>
          <w:p w14:paraId="213E6A79" w14:textId="77777777" w:rsidR="007A7F79" w:rsidRPr="005C4F4A" w:rsidRDefault="007A7F79" w:rsidP="002F32B2">
            <w:pPr>
              <w:pStyle w:val="TableText"/>
              <w:rPr>
                <w:rStyle w:val="Strong"/>
              </w:rPr>
            </w:pPr>
            <w:r w:rsidRPr="005C4F4A">
              <w:rPr>
                <w:rStyle w:val="Strong"/>
              </w:rPr>
              <w:t>Unsuccessful satisfied</w:t>
            </w:r>
          </w:p>
        </w:tc>
        <w:tc>
          <w:tcPr>
            <w:tcW w:w="1125" w:type="dxa"/>
          </w:tcPr>
          <w:p w14:paraId="72875F5F" w14:textId="77777777" w:rsidR="007A7F79" w:rsidRPr="005C4F4A" w:rsidRDefault="007A7F79" w:rsidP="002F32B2">
            <w:pPr>
              <w:pStyle w:val="TableText"/>
              <w:rPr>
                <w:rStyle w:val="Strong"/>
              </w:rPr>
            </w:pPr>
            <w:r w:rsidRPr="005C4F4A">
              <w:rPr>
                <w:rStyle w:val="Strong"/>
              </w:rPr>
              <w:t>40</w:t>
            </w:r>
          </w:p>
        </w:tc>
        <w:tc>
          <w:tcPr>
            <w:tcW w:w="1125" w:type="dxa"/>
          </w:tcPr>
          <w:p w14:paraId="4E62C149" w14:textId="77777777" w:rsidR="007A7F79" w:rsidRPr="005C4F4A" w:rsidRDefault="007A7F79" w:rsidP="002F32B2">
            <w:pPr>
              <w:pStyle w:val="TableText"/>
              <w:rPr>
                <w:rStyle w:val="Strong"/>
              </w:rPr>
            </w:pPr>
            <w:r w:rsidRPr="005C4F4A">
              <w:rPr>
                <w:rStyle w:val="Strong"/>
              </w:rPr>
              <w:t>0</w:t>
            </w:r>
          </w:p>
        </w:tc>
        <w:tc>
          <w:tcPr>
            <w:tcW w:w="1152" w:type="dxa"/>
          </w:tcPr>
          <w:p w14:paraId="3D9DFE70" w14:textId="77777777" w:rsidR="007A7F79" w:rsidRPr="005C4F4A" w:rsidRDefault="007A7F79" w:rsidP="002F32B2">
            <w:pPr>
              <w:pStyle w:val="TableText"/>
              <w:rPr>
                <w:rStyle w:val="Strong"/>
              </w:rPr>
            </w:pPr>
            <w:r w:rsidRPr="005C4F4A">
              <w:rPr>
                <w:rStyle w:val="Strong"/>
              </w:rPr>
              <w:t>33</w:t>
            </w:r>
          </w:p>
        </w:tc>
      </w:tr>
      <w:tr w:rsidR="007A7F79" w:rsidRPr="00505378" w14:paraId="295A3255" w14:textId="77777777" w:rsidTr="002F32B2">
        <w:tc>
          <w:tcPr>
            <w:tcW w:w="8789" w:type="dxa"/>
            <w:gridSpan w:val="5"/>
          </w:tcPr>
          <w:p w14:paraId="60F9866E" w14:textId="77777777" w:rsidR="007A7F79" w:rsidRDefault="007A7F79" w:rsidP="002F32B2">
            <w:pPr>
              <w:pStyle w:val="TableText"/>
            </w:pPr>
            <w:r>
              <w:t xml:space="preserve">Suppliers were satisfied with effective communication, and the overall invitation to supply and submission process. Most participants were satisfied with the feedback process, particularly in relation to timeliness and quality of feedback. </w:t>
            </w:r>
            <w:r w:rsidRPr="00AD6B35">
              <w:t>Reasons for dissatisfaction most commonly related to timeliness, communication</w:t>
            </w:r>
            <w:r>
              <w:t xml:space="preserve"> and</w:t>
            </w:r>
            <w:r w:rsidRPr="00AD6B35">
              <w:t xml:space="preserve"> </w:t>
            </w:r>
            <w:r>
              <w:t xml:space="preserve">a </w:t>
            </w:r>
            <w:r w:rsidRPr="00AD6B35">
              <w:t>perception</w:t>
            </w:r>
            <w:r>
              <w:t xml:space="preserve"> that</w:t>
            </w:r>
            <w:r w:rsidRPr="00AD6B35">
              <w:t xml:space="preserve"> the process was not conducted with integrity.</w:t>
            </w:r>
          </w:p>
          <w:p w14:paraId="5FA71EEC" w14:textId="77777777" w:rsidR="007A7F79" w:rsidRPr="00C000FB" w:rsidRDefault="007A7F79" w:rsidP="002F32B2">
            <w:pPr>
              <w:pStyle w:val="TableText"/>
            </w:pPr>
            <w:r w:rsidRPr="00AD6B35">
              <w:t>Supplier satisfaction could b</w:t>
            </w:r>
            <w:r>
              <w:t>e</w:t>
            </w:r>
            <w:r w:rsidRPr="00AD6B35">
              <w:t xml:space="preserve"> improved by </w:t>
            </w:r>
            <w:r>
              <w:t>completing t</w:t>
            </w:r>
            <w:r w:rsidRPr="00AD6B35">
              <w:t xml:space="preserve">he evaluation process within acceptable and agreed timeframes where possible, and keeping suppliers informed throughout the process. Procurement Services is reviewing survey results and implementing strategies to improve clarity of information </w:t>
            </w:r>
            <w:r>
              <w:t xml:space="preserve">in </w:t>
            </w:r>
            <w:r w:rsidRPr="00AD6B35">
              <w:t>invitation to supply documents and the evaluation by conducting tailored supplier briefings.</w:t>
            </w:r>
          </w:p>
        </w:tc>
      </w:tr>
      <w:tr w:rsidR="007A7F79" w:rsidRPr="005C4F4A" w14:paraId="1711AF2E" w14:textId="77777777" w:rsidTr="002F32B2">
        <w:tc>
          <w:tcPr>
            <w:tcW w:w="5387" w:type="dxa"/>
            <w:gridSpan w:val="2"/>
          </w:tcPr>
          <w:p w14:paraId="04499E41" w14:textId="77777777" w:rsidR="007A7F79" w:rsidRPr="005C4F4A" w:rsidRDefault="007A7F79" w:rsidP="002F32B2">
            <w:pPr>
              <w:pStyle w:val="TableText"/>
              <w:rPr>
                <w:rStyle w:val="Strong"/>
              </w:rPr>
            </w:pPr>
            <w:r w:rsidRPr="005C4F4A">
              <w:rPr>
                <w:rStyle w:val="Strong"/>
              </w:rPr>
              <w:t>Planned procurement activity as a % of actual procurement activity</w:t>
            </w:r>
          </w:p>
        </w:tc>
        <w:tc>
          <w:tcPr>
            <w:tcW w:w="1125" w:type="dxa"/>
          </w:tcPr>
          <w:p w14:paraId="1748E002" w14:textId="77777777" w:rsidR="007A7F79" w:rsidRPr="005C4F4A" w:rsidRDefault="007A7F79" w:rsidP="002F32B2">
            <w:pPr>
              <w:pStyle w:val="TableText"/>
              <w:rPr>
                <w:rStyle w:val="Strong"/>
              </w:rPr>
            </w:pPr>
            <w:r w:rsidRPr="005C4F4A">
              <w:rPr>
                <w:rStyle w:val="Strong"/>
              </w:rPr>
              <w:t>22.0</w:t>
            </w:r>
          </w:p>
        </w:tc>
        <w:tc>
          <w:tcPr>
            <w:tcW w:w="1125" w:type="dxa"/>
          </w:tcPr>
          <w:p w14:paraId="61C66FA3" w14:textId="77777777" w:rsidR="007A7F79" w:rsidRPr="005C4F4A" w:rsidRDefault="007A7F79" w:rsidP="002F32B2">
            <w:pPr>
              <w:pStyle w:val="TableText"/>
              <w:rPr>
                <w:rStyle w:val="Strong"/>
              </w:rPr>
            </w:pPr>
            <w:r w:rsidRPr="005C4F4A">
              <w:rPr>
                <w:rStyle w:val="Strong"/>
              </w:rPr>
              <w:t>24.0</w:t>
            </w:r>
          </w:p>
        </w:tc>
        <w:tc>
          <w:tcPr>
            <w:tcW w:w="1152" w:type="dxa"/>
          </w:tcPr>
          <w:p w14:paraId="14B5A1ED" w14:textId="77777777" w:rsidR="007A7F79" w:rsidRPr="005C4F4A" w:rsidRDefault="007A7F79" w:rsidP="002F32B2">
            <w:pPr>
              <w:pStyle w:val="TableText"/>
              <w:rPr>
                <w:rStyle w:val="Strong"/>
              </w:rPr>
            </w:pPr>
            <w:r w:rsidRPr="005C4F4A">
              <w:rPr>
                <w:rStyle w:val="Strong"/>
              </w:rPr>
              <w:t>24.9</w:t>
            </w:r>
          </w:p>
        </w:tc>
      </w:tr>
      <w:tr w:rsidR="007A7F79" w:rsidRPr="006C6059" w14:paraId="19EB132B" w14:textId="77777777" w:rsidTr="002F32B2">
        <w:tc>
          <w:tcPr>
            <w:tcW w:w="8789" w:type="dxa"/>
            <w:gridSpan w:val="5"/>
          </w:tcPr>
          <w:p w14:paraId="1C7A4663" w14:textId="77777777" w:rsidR="007A7F79" w:rsidRPr="005F2BDA" w:rsidRDefault="007A7F79" w:rsidP="002F32B2">
            <w:pPr>
              <w:pStyle w:val="TableText"/>
            </w:pPr>
            <w:r>
              <w:t xml:space="preserve">DJCS is implementing a new software system which will be used as the department’s procurement planning tool and will improve capture of this information. </w:t>
            </w:r>
          </w:p>
        </w:tc>
      </w:tr>
    </w:tbl>
    <w:p w14:paraId="22A03FA5" w14:textId="77777777" w:rsidR="000C1A89" w:rsidRDefault="006D3426"/>
    <w:sectPr w:rsidR="000C1A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C83D" w14:textId="77777777" w:rsidR="007A7F79" w:rsidRDefault="007A7F79" w:rsidP="007A7F79">
      <w:r>
        <w:separator/>
      </w:r>
    </w:p>
  </w:endnote>
  <w:endnote w:type="continuationSeparator" w:id="0">
    <w:p w14:paraId="7123686E" w14:textId="77777777" w:rsidR="007A7F79" w:rsidRDefault="007A7F79" w:rsidP="007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BBDB" w14:textId="77777777" w:rsidR="006D3426" w:rsidRDefault="006D3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DA36" w14:textId="422C6279" w:rsidR="007A7F79" w:rsidRDefault="007A7F79">
    <w:pPr>
      <w:pStyle w:val="Footer"/>
    </w:pPr>
    <w:r>
      <w:rPr>
        <w:noProof/>
      </w:rPr>
      <mc:AlternateContent>
        <mc:Choice Requires="wps">
          <w:drawing>
            <wp:anchor distT="0" distB="0" distL="114300" distR="114300" simplePos="0" relativeHeight="251659264" behindDoc="0" locked="0" layoutInCell="0" allowOverlap="1" wp14:anchorId="3BCAA588" wp14:editId="57588921">
              <wp:simplePos x="0" y="0"/>
              <wp:positionH relativeFrom="page">
                <wp:posOffset>0</wp:posOffset>
              </wp:positionH>
              <wp:positionV relativeFrom="page">
                <wp:posOffset>10234930</wp:posOffset>
              </wp:positionV>
              <wp:extent cx="7560310" cy="266700"/>
              <wp:effectExtent l="0" t="0" r="0" b="0"/>
              <wp:wrapNone/>
              <wp:docPr id="1" name="MSIPCMc6e14b6ca1932f316459696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E59BC" w14:textId="03EE9353" w:rsidR="007A7F79" w:rsidRPr="007A7F79" w:rsidRDefault="007A7F79" w:rsidP="007A7F79">
                          <w:pPr>
                            <w:rPr>
                              <w:rFonts w:ascii="Calibri" w:hAnsi="Calibri" w:cs="Calibri"/>
                              <w:color w:val="000000"/>
                              <w:sz w:val="22"/>
                            </w:rPr>
                          </w:pPr>
                          <w:r w:rsidRPr="007A7F7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CAA588" id="_x0000_t202" coordsize="21600,21600" o:spt="202" path="m,l,21600r21600,l21600,xe">
              <v:stroke joinstyle="miter"/>
              <v:path gradientshapeok="t" o:connecttype="rect"/>
            </v:shapetype>
            <v:shape id="MSIPCMc6e14b6ca1932f3164596968"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rNgkOsgIAAEgFAAAO&#10;AAAAAAAAAAAAAAAAAC4CAABkcnMvZTJvRG9jLnhtbFBLAQItABQABgAIAAAAIQBgEcYm3gAAAAsB&#10;AAAPAAAAAAAAAAAAAAAAAAwFAABkcnMvZG93bnJldi54bWxQSwUGAAAAAAQABADzAAAAFwYAAAAA&#10;" o:allowincell="f" filled="f" stroked="f" strokeweight=".5pt">
              <v:textbox inset="20pt,0,,0">
                <w:txbxContent>
                  <w:p w14:paraId="226E59BC" w14:textId="03EE9353" w:rsidR="007A7F79" w:rsidRPr="007A7F79" w:rsidRDefault="007A7F79" w:rsidP="007A7F79">
                    <w:pPr>
                      <w:rPr>
                        <w:rFonts w:ascii="Calibri" w:hAnsi="Calibri" w:cs="Calibri"/>
                        <w:color w:val="000000"/>
                        <w:sz w:val="22"/>
                      </w:rPr>
                    </w:pPr>
                    <w:r w:rsidRPr="007A7F79">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3622" w14:textId="77777777" w:rsidR="006D3426" w:rsidRDefault="006D3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03BF" w14:textId="77777777" w:rsidR="007A7F79" w:rsidRDefault="007A7F79" w:rsidP="007A7F79">
      <w:r>
        <w:separator/>
      </w:r>
    </w:p>
  </w:footnote>
  <w:footnote w:type="continuationSeparator" w:id="0">
    <w:p w14:paraId="1D7BD42B" w14:textId="77777777" w:rsidR="007A7F79" w:rsidRDefault="007A7F79" w:rsidP="007A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7DA6" w14:textId="77777777" w:rsidR="006D3426" w:rsidRDefault="006D3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4E476" w14:textId="77777777" w:rsidR="006D3426" w:rsidRDefault="006D3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49F0" w14:textId="77777777" w:rsidR="006D3426" w:rsidRDefault="006D3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9"/>
    <w:rsid w:val="001B77EB"/>
    <w:rsid w:val="006D3426"/>
    <w:rsid w:val="00775451"/>
    <w:rsid w:val="007A7F79"/>
    <w:rsid w:val="00B4701F"/>
    <w:rsid w:val="00E744CF"/>
    <w:rsid w:val="00FD6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83544"/>
  <w15:chartTrackingRefBased/>
  <w15:docId w15:val="{7566A098-4BB9-4C31-9E89-CE6D3671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7F79"/>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7A7F79"/>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7A7F79"/>
    <w:rPr>
      <w:rFonts w:ascii="Calibri" w:eastAsia="Times New Roman" w:hAnsi="Calibri" w:cs="Calibri"/>
      <w:b/>
      <w:lang w:eastAsia="en-AU"/>
    </w:rPr>
  </w:style>
  <w:style w:type="character" w:styleId="Strong">
    <w:name w:val="Strong"/>
    <w:uiPriority w:val="22"/>
    <w:qFormat/>
    <w:rsid w:val="007A7F79"/>
    <w:rPr>
      <w:b/>
      <w:bCs/>
    </w:rPr>
  </w:style>
  <w:style w:type="paragraph" w:customStyle="1" w:styleId="TableText">
    <w:name w:val="Table Text"/>
    <w:basedOn w:val="Normal"/>
    <w:link w:val="TableTextChar"/>
    <w:uiPriority w:val="15"/>
    <w:qFormat/>
    <w:rsid w:val="007A7F79"/>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7A7F79"/>
    <w:rPr>
      <w:rFonts w:ascii="Calibri" w:hAnsi="Calibri" w:cs="Calibri"/>
      <w:sz w:val="20"/>
      <w:szCs w:val="20"/>
      <w:lang w:val="en-US"/>
    </w:rPr>
  </w:style>
  <w:style w:type="paragraph" w:customStyle="1" w:styleId="TableHeader">
    <w:name w:val="Table Header"/>
    <w:basedOn w:val="TableText"/>
    <w:link w:val="TableHeaderChar"/>
    <w:uiPriority w:val="15"/>
    <w:qFormat/>
    <w:rsid w:val="007A7F79"/>
    <w:pPr>
      <w:keepNext/>
      <w:spacing w:before="40" w:after="40"/>
    </w:pPr>
    <w:rPr>
      <w:sz w:val="24"/>
      <w:szCs w:val="24"/>
    </w:rPr>
  </w:style>
  <w:style w:type="table" w:customStyle="1" w:styleId="TableGrid1">
    <w:name w:val="Table Grid1"/>
    <w:basedOn w:val="TableNormal"/>
    <w:next w:val="TableGrid"/>
    <w:uiPriority w:val="39"/>
    <w:rsid w:val="007A7F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7A7F79"/>
    <w:rPr>
      <w:rFonts w:ascii="Calibri" w:hAnsi="Calibri" w:cs="Calibri"/>
      <w:sz w:val="24"/>
      <w:szCs w:val="24"/>
      <w:lang w:val="en-US"/>
    </w:rPr>
  </w:style>
  <w:style w:type="table" w:styleId="TableGrid">
    <w:name w:val="Table Grid"/>
    <w:basedOn w:val="TableNormal"/>
    <w:uiPriority w:val="39"/>
    <w:rsid w:val="007A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F79"/>
    <w:pPr>
      <w:tabs>
        <w:tab w:val="center" w:pos="4513"/>
        <w:tab w:val="right" w:pos="9026"/>
      </w:tabs>
    </w:pPr>
  </w:style>
  <w:style w:type="character" w:customStyle="1" w:styleId="HeaderChar">
    <w:name w:val="Header Char"/>
    <w:basedOn w:val="DefaultParagraphFont"/>
    <w:link w:val="Header"/>
    <w:uiPriority w:val="99"/>
    <w:rsid w:val="007A7F79"/>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7A7F79"/>
    <w:pPr>
      <w:tabs>
        <w:tab w:val="center" w:pos="4513"/>
        <w:tab w:val="right" w:pos="9026"/>
      </w:tabs>
    </w:pPr>
  </w:style>
  <w:style w:type="character" w:customStyle="1" w:styleId="FooterChar">
    <w:name w:val="Footer Char"/>
    <w:basedOn w:val="DefaultParagraphFont"/>
    <w:link w:val="Footer"/>
    <w:uiPriority w:val="99"/>
    <w:rsid w:val="007A7F79"/>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0BBBE71-029C-4123-9FFA-19C68F2F60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3</cp:revision>
  <dcterms:created xsi:type="dcterms:W3CDTF">2020-10-12T05:38:00Z</dcterms:created>
  <dcterms:modified xsi:type="dcterms:W3CDTF">2020-10-12T05:38:00Z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2020-10-11T02:19:11.3508399Z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