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D3B29F" w14:textId="2FFA2D88" w:rsidR="00180F02" w:rsidRPr="00451F22" w:rsidRDefault="00180F02" w:rsidP="00180F02">
      <w:pPr>
        <w:pStyle w:val="Caption"/>
        <w:tabs>
          <w:tab w:val="clear" w:pos="851"/>
        </w:tabs>
        <w:ind w:left="0"/>
        <w:rPr>
          <w:rFonts w:asciiTheme="majorHAnsi" w:eastAsiaTheme="majorEastAsia" w:hAnsiTheme="majorHAnsi" w:cstheme="majorHAnsi"/>
          <w:bCs/>
          <w:color w:val="000000" w:themeColor="text1"/>
          <w:sz w:val="28"/>
          <w:szCs w:val="28"/>
        </w:rPr>
      </w:pPr>
      <w:bookmarkStart w:id="0" w:name="_Ref49183362"/>
      <w:bookmarkStart w:id="1" w:name="_Toc49185554"/>
      <w:r w:rsidRPr="00451F22">
        <w:rPr>
          <w:rFonts w:asciiTheme="majorHAnsi" w:eastAsiaTheme="majorEastAsia" w:hAnsiTheme="majorHAnsi" w:cstheme="majorHAnsi"/>
          <w:bCs/>
          <w:color w:val="000000" w:themeColor="text1"/>
          <w:sz w:val="28"/>
          <w:szCs w:val="28"/>
        </w:rPr>
        <w:t>Table</w:t>
      </w:r>
      <w:bookmarkEnd w:id="0"/>
      <w:r w:rsidRPr="00451F22">
        <w:rPr>
          <w:rFonts w:asciiTheme="majorHAnsi" w:eastAsiaTheme="majorEastAsia" w:hAnsiTheme="majorHAnsi" w:cstheme="majorHAnsi"/>
          <w:bCs/>
          <w:color w:val="000000" w:themeColor="text1"/>
          <w:sz w:val="28"/>
          <w:szCs w:val="28"/>
        </w:rPr>
        <w:t xml:space="preserve"> Department of Premier and Cabinet performance in 2019–20</w:t>
      </w:r>
      <w:bookmarkEnd w:id="1"/>
    </w:p>
    <w:p w14:paraId="2BB19A2B" w14:textId="57741C57" w:rsidR="00451F22" w:rsidRDefault="00451F22" w:rsidP="00451F22"/>
    <w:p w14:paraId="0E07D30A" w14:textId="6C9A49E9" w:rsidR="00451F22" w:rsidRPr="00451F22" w:rsidRDefault="00451F22" w:rsidP="00451F22">
      <w:pPr>
        <w:rPr>
          <w:rFonts w:ascii="Calibri" w:eastAsiaTheme="minorHAnsi" w:hAnsi="Calibri" w:cs="Calibri"/>
          <w:sz w:val="20"/>
          <w:szCs w:val="20"/>
          <w:lang w:val="en-US" w:eastAsia="en-US"/>
        </w:rPr>
      </w:pPr>
      <w:r w:rsidRPr="00451F22">
        <w:rPr>
          <w:rFonts w:ascii="Calibri" w:eastAsiaTheme="minorHAnsi" w:hAnsi="Calibri" w:cs="Calibri"/>
          <w:sz w:val="20"/>
          <w:szCs w:val="20"/>
          <w:lang w:val="en-US" w:eastAsia="en-US"/>
        </w:rPr>
        <w:t xml:space="preserve">Extract from Victorian Government Purchasing Board </w:t>
      </w:r>
      <w:r w:rsidR="00CF2989">
        <w:rPr>
          <w:rFonts w:ascii="Calibri" w:eastAsiaTheme="minorHAnsi" w:hAnsi="Calibri" w:cs="Calibri"/>
          <w:sz w:val="20"/>
          <w:szCs w:val="20"/>
          <w:lang w:val="en-US" w:eastAsia="en-US"/>
        </w:rPr>
        <w:t>Annual R</w:t>
      </w:r>
      <w:bookmarkStart w:id="2" w:name="_GoBack"/>
      <w:bookmarkEnd w:id="2"/>
      <w:r w:rsidR="00CF2989">
        <w:rPr>
          <w:rFonts w:ascii="Calibri" w:eastAsiaTheme="minorHAnsi" w:hAnsi="Calibri" w:cs="Calibri"/>
          <w:sz w:val="20"/>
          <w:szCs w:val="20"/>
          <w:lang w:val="en-US" w:eastAsia="en-US"/>
        </w:rPr>
        <w:t xml:space="preserve">eport </w:t>
      </w:r>
      <w:r w:rsidRPr="00451F22">
        <w:rPr>
          <w:rFonts w:ascii="Calibri" w:eastAsiaTheme="minorHAnsi" w:hAnsi="Calibri" w:cs="Calibri"/>
          <w:sz w:val="20"/>
          <w:szCs w:val="20"/>
          <w:lang w:val="en-US" w:eastAsia="en-US"/>
        </w:rPr>
        <w:t>2019-20</w:t>
      </w:r>
    </w:p>
    <w:p w14:paraId="1C7022B4" w14:textId="14F018DA" w:rsidR="00451F22" w:rsidRDefault="00451F22" w:rsidP="00451F22"/>
    <w:p w14:paraId="59F62548" w14:textId="77777777" w:rsidR="00451F22" w:rsidRPr="00451F22" w:rsidRDefault="00451F22" w:rsidP="00451F22"/>
    <w:tbl>
      <w:tblPr>
        <w:tblStyle w:val="TableGrid1"/>
        <w:tblW w:w="9214" w:type="dxa"/>
        <w:tblInd w:w="-5" w:type="dxa"/>
        <w:tblLook w:val="04A0" w:firstRow="1" w:lastRow="0" w:firstColumn="1" w:lastColumn="0" w:noHBand="0" w:noVBand="1"/>
      </w:tblPr>
      <w:tblGrid>
        <w:gridCol w:w="3119"/>
        <w:gridCol w:w="2693"/>
        <w:gridCol w:w="1134"/>
        <w:gridCol w:w="1134"/>
        <w:gridCol w:w="1134"/>
      </w:tblGrid>
      <w:tr w:rsidR="00180F02" w:rsidRPr="00DA1E79" w14:paraId="3BC1C62D" w14:textId="77777777" w:rsidTr="002F32B2">
        <w:tc>
          <w:tcPr>
            <w:tcW w:w="5812" w:type="dxa"/>
            <w:gridSpan w:val="2"/>
            <w:vMerge w:val="restart"/>
          </w:tcPr>
          <w:p w14:paraId="4B78672F" w14:textId="77777777" w:rsidR="00180F02" w:rsidRPr="00DA1E79" w:rsidRDefault="00180F02" w:rsidP="002F32B2">
            <w:pPr>
              <w:pStyle w:val="TableHeader"/>
            </w:pPr>
            <w:r w:rsidRPr="00DA1E79">
              <w:t>Performance measure</w:t>
            </w:r>
          </w:p>
        </w:tc>
        <w:tc>
          <w:tcPr>
            <w:tcW w:w="1134" w:type="dxa"/>
          </w:tcPr>
          <w:p w14:paraId="651B65B7" w14:textId="77777777" w:rsidR="00180F02" w:rsidRPr="00DA1E79" w:rsidRDefault="00180F02" w:rsidP="002F32B2">
            <w:pPr>
              <w:pStyle w:val="TableHeader"/>
            </w:pPr>
            <w:r w:rsidRPr="00DA1E79">
              <w:t xml:space="preserve">2017–18 </w:t>
            </w:r>
          </w:p>
        </w:tc>
        <w:tc>
          <w:tcPr>
            <w:tcW w:w="1134" w:type="dxa"/>
          </w:tcPr>
          <w:p w14:paraId="671A100B" w14:textId="77777777" w:rsidR="00180F02" w:rsidRPr="00DA1E79" w:rsidRDefault="00180F02" w:rsidP="002F32B2">
            <w:pPr>
              <w:pStyle w:val="TableHeader"/>
            </w:pPr>
            <w:r w:rsidRPr="00DA1E79">
              <w:t>2018–19</w:t>
            </w:r>
          </w:p>
        </w:tc>
        <w:tc>
          <w:tcPr>
            <w:tcW w:w="1134" w:type="dxa"/>
          </w:tcPr>
          <w:p w14:paraId="6DE66BC8" w14:textId="77777777" w:rsidR="00180F02" w:rsidRPr="00DA1E79" w:rsidRDefault="00180F02" w:rsidP="002F32B2">
            <w:pPr>
              <w:pStyle w:val="TableHeader"/>
            </w:pPr>
            <w:r w:rsidRPr="00DA1E79">
              <w:t>2019–20</w:t>
            </w:r>
          </w:p>
        </w:tc>
      </w:tr>
      <w:tr w:rsidR="00180F02" w:rsidRPr="00DA1E79" w14:paraId="0FDACCF0" w14:textId="77777777" w:rsidTr="002F32B2">
        <w:tc>
          <w:tcPr>
            <w:tcW w:w="5812" w:type="dxa"/>
            <w:gridSpan w:val="2"/>
            <w:vMerge/>
          </w:tcPr>
          <w:p w14:paraId="13DC8331" w14:textId="77777777" w:rsidR="00180F02" w:rsidRPr="00DA1E79" w:rsidRDefault="00180F02" w:rsidP="002F32B2">
            <w:pPr>
              <w:pStyle w:val="TableHeader"/>
            </w:pPr>
          </w:p>
        </w:tc>
        <w:tc>
          <w:tcPr>
            <w:tcW w:w="3402" w:type="dxa"/>
            <w:gridSpan w:val="3"/>
          </w:tcPr>
          <w:p w14:paraId="0DA1B649" w14:textId="77777777" w:rsidR="00180F02" w:rsidRPr="00DA1E79" w:rsidRDefault="00180F02" w:rsidP="002F32B2">
            <w:pPr>
              <w:pStyle w:val="TableHeader"/>
            </w:pPr>
            <w:r w:rsidRPr="00DA1E79">
              <w:t>(%)</w:t>
            </w:r>
          </w:p>
        </w:tc>
      </w:tr>
      <w:tr w:rsidR="00180F02" w:rsidRPr="005C4F4A" w14:paraId="15FCFA6C" w14:textId="77777777" w:rsidTr="002F32B2">
        <w:tc>
          <w:tcPr>
            <w:tcW w:w="5812" w:type="dxa"/>
            <w:gridSpan w:val="2"/>
          </w:tcPr>
          <w:p w14:paraId="57F4D26D" w14:textId="77777777" w:rsidR="00180F02" w:rsidRPr="005C4F4A" w:rsidRDefault="00180F02" w:rsidP="002F32B2">
            <w:pPr>
              <w:pStyle w:val="TableText"/>
              <w:rPr>
                <w:rStyle w:val="Strong"/>
              </w:rPr>
            </w:pPr>
            <w:r w:rsidRPr="005C4F4A">
              <w:rPr>
                <w:rStyle w:val="Strong"/>
              </w:rPr>
              <w:t>Value created from department procurement activity</w:t>
            </w:r>
          </w:p>
        </w:tc>
        <w:tc>
          <w:tcPr>
            <w:tcW w:w="1134" w:type="dxa"/>
          </w:tcPr>
          <w:p w14:paraId="66398520" w14:textId="77777777" w:rsidR="00180F02" w:rsidRPr="005C4F4A" w:rsidRDefault="00180F02" w:rsidP="002F32B2">
            <w:pPr>
              <w:pStyle w:val="TableText"/>
              <w:rPr>
                <w:rStyle w:val="Strong"/>
              </w:rPr>
            </w:pPr>
            <w:r w:rsidRPr="005C4F4A">
              <w:rPr>
                <w:rStyle w:val="Strong"/>
              </w:rPr>
              <w:t>6.6</w:t>
            </w:r>
          </w:p>
        </w:tc>
        <w:tc>
          <w:tcPr>
            <w:tcW w:w="1134" w:type="dxa"/>
          </w:tcPr>
          <w:p w14:paraId="47B4FB2F" w14:textId="77777777" w:rsidR="00180F02" w:rsidRPr="005C4F4A" w:rsidRDefault="00180F02" w:rsidP="002F32B2">
            <w:pPr>
              <w:pStyle w:val="TableText"/>
              <w:rPr>
                <w:rStyle w:val="Strong"/>
              </w:rPr>
            </w:pPr>
            <w:r w:rsidRPr="005C4F4A">
              <w:rPr>
                <w:rStyle w:val="Strong"/>
              </w:rPr>
              <w:t>0.3</w:t>
            </w:r>
          </w:p>
        </w:tc>
        <w:tc>
          <w:tcPr>
            <w:tcW w:w="1134" w:type="dxa"/>
          </w:tcPr>
          <w:p w14:paraId="05151CC2" w14:textId="77777777" w:rsidR="00180F02" w:rsidRPr="005C4F4A" w:rsidRDefault="00180F02" w:rsidP="002F32B2">
            <w:pPr>
              <w:pStyle w:val="TableText"/>
              <w:rPr>
                <w:rStyle w:val="Strong"/>
              </w:rPr>
            </w:pPr>
            <w:r w:rsidRPr="005C4F4A">
              <w:rPr>
                <w:rStyle w:val="Strong"/>
              </w:rPr>
              <w:t>1.9</w:t>
            </w:r>
          </w:p>
        </w:tc>
      </w:tr>
      <w:tr w:rsidR="00180F02" w:rsidRPr="005F2BDA" w14:paraId="4E306719" w14:textId="77777777" w:rsidTr="002F32B2">
        <w:tc>
          <w:tcPr>
            <w:tcW w:w="9214" w:type="dxa"/>
            <w:gridSpan w:val="5"/>
          </w:tcPr>
          <w:p w14:paraId="251FC0B3" w14:textId="77777777" w:rsidR="00180F02" w:rsidRPr="005F2BDA" w:rsidRDefault="00180F02" w:rsidP="002F32B2">
            <w:pPr>
              <w:pStyle w:val="TableText"/>
            </w:pPr>
            <w:r>
              <w:t xml:space="preserve">Current systems make tracking savings challenging to report. DPC anticipates </w:t>
            </w:r>
            <w:r w:rsidRPr="00F15CDF">
              <w:t>transition</w:t>
            </w:r>
            <w:r>
              <w:t>ing</w:t>
            </w:r>
            <w:r w:rsidRPr="00F15CDF">
              <w:t xml:space="preserve"> to a new procurement application in 2021</w:t>
            </w:r>
            <w:r>
              <w:t>–</w:t>
            </w:r>
            <w:r w:rsidRPr="00F15CDF">
              <w:t xml:space="preserve">22 </w:t>
            </w:r>
            <w:r>
              <w:t xml:space="preserve">that will </w:t>
            </w:r>
            <w:r w:rsidRPr="00F15CDF">
              <w:t>improve savings</w:t>
            </w:r>
            <w:r>
              <w:t xml:space="preserve"> reporting</w:t>
            </w:r>
            <w:r w:rsidRPr="00F15CDF">
              <w:t>, cost avoidance and benefits tracking.</w:t>
            </w:r>
            <w:r w:rsidRPr="11914ABC">
              <w:rPr>
                <w:rFonts w:eastAsia="Calibri"/>
                <w:sz w:val="19"/>
                <w:szCs w:val="19"/>
              </w:rPr>
              <w:t xml:space="preserve"> </w:t>
            </w:r>
          </w:p>
        </w:tc>
      </w:tr>
      <w:tr w:rsidR="00180F02" w:rsidRPr="005C4F4A" w14:paraId="6645A6BB" w14:textId="77777777" w:rsidTr="002F32B2">
        <w:tc>
          <w:tcPr>
            <w:tcW w:w="5812" w:type="dxa"/>
            <w:gridSpan w:val="2"/>
          </w:tcPr>
          <w:p w14:paraId="31EFFC48" w14:textId="77777777" w:rsidR="00180F02" w:rsidRPr="005C4F4A" w:rsidRDefault="00180F02" w:rsidP="002F32B2">
            <w:pPr>
              <w:pStyle w:val="TableText"/>
              <w:rPr>
                <w:rStyle w:val="Strong"/>
              </w:rPr>
            </w:pPr>
            <w:r w:rsidRPr="005C4F4A">
              <w:rPr>
                <w:rStyle w:val="Strong"/>
              </w:rPr>
              <w:t>Managed spend</w:t>
            </w:r>
          </w:p>
        </w:tc>
        <w:tc>
          <w:tcPr>
            <w:tcW w:w="1134" w:type="dxa"/>
            <w:shd w:val="clear" w:color="auto" w:fill="FFFFFF" w:themeFill="background1"/>
          </w:tcPr>
          <w:p w14:paraId="5EAE1399" w14:textId="77777777" w:rsidR="00180F02" w:rsidRPr="005C4F4A" w:rsidRDefault="00180F02" w:rsidP="002F32B2">
            <w:pPr>
              <w:pStyle w:val="TableText"/>
              <w:rPr>
                <w:rStyle w:val="Strong"/>
              </w:rPr>
            </w:pPr>
            <w:r w:rsidRPr="005C4F4A">
              <w:rPr>
                <w:rStyle w:val="Strong"/>
              </w:rPr>
              <w:t>n/a</w:t>
            </w:r>
          </w:p>
        </w:tc>
        <w:tc>
          <w:tcPr>
            <w:tcW w:w="1134" w:type="dxa"/>
            <w:shd w:val="clear" w:color="auto" w:fill="FFFFFF" w:themeFill="background1"/>
          </w:tcPr>
          <w:p w14:paraId="5732AC52" w14:textId="77777777" w:rsidR="00180F02" w:rsidRPr="005C4F4A" w:rsidRDefault="00180F02" w:rsidP="002F32B2">
            <w:pPr>
              <w:pStyle w:val="TableText"/>
              <w:rPr>
                <w:rStyle w:val="Strong"/>
              </w:rPr>
            </w:pPr>
            <w:r w:rsidRPr="005C4F4A">
              <w:rPr>
                <w:rStyle w:val="Strong"/>
              </w:rPr>
              <w:t>n/a</w:t>
            </w:r>
          </w:p>
        </w:tc>
        <w:tc>
          <w:tcPr>
            <w:tcW w:w="1134" w:type="dxa"/>
          </w:tcPr>
          <w:p w14:paraId="4E09BA87" w14:textId="77777777" w:rsidR="00180F02" w:rsidRPr="005C4F4A" w:rsidRDefault="00180F02" w:rsidP="002F32B2">
            <w:pPr>
              <w:pStyle w:val="TableText"/>
              <w:rPr>
                <w:rStyle w:val="Strong"/>
              </w:rPr>
            </w:pPr>
            <w:r w:rsidRPr="005C4F4A">
              <w:rPr>
                <w:rStyle w:val="Strong"/>
              </w:rPr>
              <w:t>29.3</w:t>
            </w:r>
          </w:p>
        </w:tc>
      </w:tr>
      <w:tr w:rsidR="00180F02" w:rsidRPr="00505378" w14:paraId="1ECA9A8A" w14:textId="77777777" w:rsidTr="002F32B2">
        <w:tc>
          <w:tcPr>
            <w:tcW w:w="9214" w:type="dxa"/>
            <w:gridSpan w:val="5"/>
          </w:tcPr>
          <w:p w14:paraId="191A3E09" w14:textId="77777777" w:rsidR="00180F02" w:rsidRPr="00C000FB" w:rsidRDefault="00180F02" w:rsidP="002F32B2">
            <w:pPr>
              <w:pStyle w:val="TableText"/>
            </w:pPr>
            <w:r>
              <w:t xml:space="preserve">This new measure was challenging due to data reporting gaps in the </w:t>
            </w:r>
            <w:r w:rsidRPr="00F15CDF">
              <w:t>finance system</w:t>
            </w:r>
            <w:r>
              <w:t>, however new reporting capability is expected to be available in 2020–21.</w:t>
            </w:r>
          </w:p>
        </w:tc>
      </w:tr>
      <w:tr w:rsidR="00180F02" w:rsidRPr="005C4F4A" w14:paraId="4907422C" w14:textId="77777777" w:rsidTr="002F32B2">
        <w:tc>
          <w:tcPr>
            <w:tcW w:w="5812" w:type="dxa"/>
            <w:gridSpan w:val="2"/>
          </w:tcPr>
          <w:p w14:paraId="5D976D9B" w14:textId="77777777" w:rsidR="00180F02" w:rsidRPr="005C4F4A" w:rsidRDefault="00180F02" w:rsidP="002F32B2">
            <w:pPr>
              <w:pStyle w:val="TableText"/>
              <w:rPr>
                <w:rStyle w:val="Strong"/>
              </w:rPr>
            </w:pPr>
            <w:r w:rsidRPr="005C4F4A">
              <w:rPr>
                <w:rStyle w:val="Strong"/>
              </w:rPr>
              <w:t>Increase in procurement capability</w:t>
            </w:r>
          </w:p>
        </w:tc>
        <w:tc>
          <w:tcPr>
            <w:tcW w:w="1134" w:type="dxa"/>
          </w:tcPr>
          <w:p w14:paraId="1554CC78" w14:textId="77777777" w:rsidR="00180F02" w:rsidRPr="005C4F4A" w:rsidRDefault="00180F02" w:rsidP="002F32B2">
            <w:pPr>
              <w:pStyle w:val="TableText"/>
              <w:rPr>
                <w:rStyle w:val="Strong"/>
              </w:rPr>
            </w:pPr>
            <w:r w:rsidRPr="005C4F4A">
              <w:rPr>
                <w:rStyle w:val="Strong"/>
              </w:rPr>
              <w:t>17.6</w:t>
            </w:r>
          </w:p>
        </w:tc>
        <w:tc>
          <w:tcPr>
            <w:tcW w:w="1134" w:type="dxa"/>
          </w:tcPr>
          <w:p w14:paraId="7134E66A" w14:textId="77777777" w:rsidR="00180F02" w:rsidRPr="005C4F4A" w:rsidRDefault="00180F02" w:rsidP="002F32B2">
            <w:pPr>
              <w:pStyle w:val="TableText"/>
              <w:rPr>
                <w:rStyle w:val="Strong"/>
              </w:rPr>
            </w:pPr>
            <w:r w:rsidRPr="005C4F4A">
              <w:rPr>
                <w:rStyle w:val="Strong"/>
              </w:rPr>
              <w:t>10.0</w:t>
            </w:r>
          </w:p>
        </w:tc>
        <w:tc>
          <w:tcPr>
            <w:tcW w:w="1134" w:type="dxa"/>
          </w:tcPr>
          <w:p w14:paraId="15787403" w14:textId="77777777" w:rsidR="00180F02" w:rsidRPr="005C4F4A" w:rsidRDefault="00180F02" w:rsidP="002F32B2">
            <w:pPr>
              <w:pStyle w:val="TableText"/>
              <w:rPr>
                <w:rStyle w:val="Strong"/>
              </w:rPr>
            </w:pPr>
            <w:r w:rsidRPr="005C4F4A">
              <w:rPr>
                <w:rStyle w:val="Strong"/>
              </w:rPr>
              <w:t>14.1</w:t>
            </w:r>
          </w:p>
        </w:tc>
      </w:tr>
      <w:tr w:rsidR="00180F02" w:rsidRPr="00505378" w14:paraId="46FBD1F8" w14:textId="77777777" w:rsidTr="002F32B2">
        <w:tc>
          <w:tcPr>
            <w:tcW w:w="9214" w:type="dxa"/>
            <w:gridSpan w:val="5"/>
          </w:tcPr>
          <w:p w14:paraId="36827CD5" w14:textId="77777777" w:rsidR="00180F02" w:rsidRPr="00C000FB" w:rsidRDefault="00180F02" w:rsidP="002F32B2">
            <w:pPr>
              <w:pStyle w:val="TableText"/>
            </w:pPr>
            <w:r>
              <w:t>Capability increased from 85 to 97 (out of 150). This increase came from implementing DPC’s VGPB audit recommendations including tar</w:t>
            </w:r>
            <w:r w:rsidRPr="00F15CDF">
              <w:t xml:space="preserve">geted training </w:t>
            </w:r>
            <w:r>
              <w:t>on</w:t>
            </w:r>
            <w:r w:rsidRPr="00F15CDF">
              <w:t xml:space="preserve"> probity, centralised recordkeeping and contract management</w:t>
            </w:r>
            <w:r>
              <w:t xml:space="preserve">, refined procurement processes and better communication of processes to staff, and ad hoc partnering with business units in response to common procurement information requests. </w:t>
            </w:r>
          </w:p>
        </w:tc>
      </w:tr>
      <w:tr w:rsidR="00180F02" w:rsidRPr="005C4F4A" w14:paraId="31DC4C0B" w14:textId="77777777" w:rsidTr="002F32B2">
        <w:tc>
          <w:tcPr>
            <w:tcW w:w="3119" w:type="dxa"/>
            <w:vMerge w:val="restart"/>
          </w:tcPr>
          <w:p w14:paraId="45B2E1B9" w14:textId="77777777" w:rsidR="00180F02" w:rsidRPr="005C4F4A" w:rsidRDefault="00180F02" w:rsidP="002F32B2">
            <w:pPr>
              <w:pStyle w:val="TableText"/>
              <w:rPr>
                <w:rStyle w:val="Strong"/>
              </w:rPr>
            </w:pPr>
            <w:r w:rsidRPr="005C4F4A">
              <w:rPr>
                <w:rStyle w:val="Strong"/>
              </w:rPr>
              <w:t>Supplier satisfaction assessment</w:t>
            </w:r>
          </w:p>
        </w:tc>
        <w:tc>
          <w:tcPr>
            <w:tcW w:w="2693" w:type="dxa"/>
          </w:tcPr>
          <w:p w14:paraId="7A8A4CBF" w14:textId="77777777" w:rsidR="00180F02" w:rsidRPr="005C4F4A" w:rsidRDefault="00180F02" w:rsidP="002F32B2">
            <w:pPr>
              <w:pStyle w:val="TableText"/>
              <w:rPr>
                <w:rStyle w:val="Strong"/>
              </w:rPr>
            </w:pPr>
            <w:r w:rsidRPr="005C4F4A">
              <w:rPr>
                <w:rStyle w:val="Strong"/>
              </w:rPr>
              <w:t>Successful satisfied</w:t>
            </w:r>
          </w:p>
        </w:tc>
        <w:tc>
          <w:tcPr>
            <w:tcW w:w="1134" w:type="dxa"/>
          </w:tcPr>
          <w:p w14:paraId="26AF33B9" w14:textId="77777777" w:rsidR="00180F02" w:rsidRPr="005C4F4A" w:rsidRDefault="00180F02" w:rsidP="002F32B2">
            <w:pPr>
              <w:pStyle w:val="TableText"/>
              <w:rPr>
                <w:rStyle w:val="Strong"/>
              </w:rPr>
            </w:pPr>
            <w:r w:rsidRPr="005C4F4A">
              <w:rPr>
                <w:rStyle w:val="Strong"/>
              </w:rPr>
              <w:t>78</w:t>
            </w:r>
          </w:p>
        </w:tc>
        <w:tc>
          <w:tcPr>
            <w:tcW w:w="1134" w:type="dxa"/>
          </w:tcPr>
          <w:p w14:paraId="2A600F42" w14:textId="77777777" w:rsidR="00180F02" w:rsidRPr="005C4F4A" w:rsidRDefault="00180F02" w:rsidP="002F32B2">
            <w:pPr>
              <w:pStyle w:val="TableText"/>
              <w:rPr>
                <w:rStyle w:val="Strong"/>
              </w:rPr>
            </w:pPr>
            <w:r w:rsidRPr="005C4F4A">
              <w:rPr>
                <w:rStyle w:val="Strong"/>
              </w:rPr>
              <w:t>84</w:t>
            </w:r>
          </w:p>
        </w:tc>
        <w:tc>
          <w:tcPr>
            <w:tcW w:w="1134" w:type="dxa"/>
          </w:tcPr>
          <w:p w14:paraId="423622A8" w14:textId="77777777" w:rsidR="00180F02" w:rsidRPr="005C4F4A" w:rsidRDefault="00180F02" w:rsidP="002F32B2">
            <w:pPr>
              <w:pStyle w:val="TableText"/>
              <w:rPr>
                <w:rStyle w:val="Strong"/>
              </w:rPr>
            </w:pPr>
            <w:r w:rsidRPr="005C4F4A">
              <w:rPr>
                <w:rStyle w:val="Strong"/>
              </w:rPr>
              <w:t>100</w:t>
            </w:r>
          </w:p>
        </w:tc>
      </w:tr>
      <w:tr w:rsidR="00180F02" w:rsidRPr="005C4F4A" w14:paraId="7BAC5349" w14:textId="77777777" w:rsidTr="002F32B2">
        <w:tc>
          <w:tcPr>
            <w:tcW w:w="3119" w:type="dxa"/>
            <w:vMerge/>
          </w:tcPr>
          <w:p w14:paraId="6B5E00A2" w14:textId="77777777" w:rsidR="00180F02" w:rsidRPr="005C4F4A" w:rsidRDefault="00180F02" w:rsidP="002F32B2">
            <w:pPr>
              <w:pStyle w:val="TableText"/>
              <w:rPr>
                <w:rStyle w:val="Strong"/>
              </w:rPr>
            </w:pPr>
          </w:p>
        </w:tc>
        <w:tc>
          <w:tcPr>
            <w:tcW w:w="2693" w:type="dxa"/>
          </w:tcPr>
          <w:p w14:paraId="104B415D" w14:textId="77777777" w:rsidR="00180F02" w:rsidRPr="005C4F4A" w:rsidRDefault="00180F02" w:rsidP="002F32B2">
            <w:pPr>
              <w:pStyle w:val="TableText"/>
              <w:rPr>
                <w:rStyle w:val="Strong"/>
              </w:rPr>
            </w:pPr>
            <w:r w:rsidRPr="005C4F4A">
              <w:rPr>
                <w:rStyle w:val="Strong"/>
              </w:rPr>
              <w:t>Unsuccessful satisfied</w:t>
            </w:r>
          </w:p>
        </w:tc>
        <w:tc>
          <w:tcPr>
            <w:tcW w:w="1134" w:type="dxa"/>
          </w:tcPr>
          <w:p w14:paraId="32173FAA" w14:textId="77777777" w:rsidR="00180F02" w:rsidRPr="005C4F4A" w:rsidRDefault="00180F02" w:rsidP="002F32B2">
            <w:pPr>
              <w:pStyle w:val="TableText"/>
              <w:rPr>
                <w:rStyle w:val="Strong"/>
              </w:rPr>
            </w:pPr>
            <w:r w:rsidRPr="005C4F4A">
              <w:rPr>
                <w:rStyle w:val="Strong"/>
              </w:rPr>
              <w:t>25</w:t>
            </w:r>
          </w:p>
        </w:tc>
        <w:tc>
          <w:tcPr>
            <w:tcW w:w="1134" w:type="dxa"/>
          </w:tcPr>
          <w:p w14:paraId="40F21D0C" w14:textId="77777777" w:rsidR="00180F02" w:rsidRPr="005C4F4A" w:rsidRDefault="00180F02" w:rsidP="002F32B2">
            <w:pPr>
              <w:pStyle w:val="TableText"/>
              <w:rPr>
                <w:rStyle w:val="Strong"/>
              </w:rPr>
            </w:pPr>
            <w:r w:rsidRPr="005C4F4A">
              <w:rPr>
                <w:rStyle w:val="Strong"/>
              </w:rPr>
              <w:t>66</w:t>
            </w:r>
          </w:p>
        </w:tc>
        <w:tc>
          <w:tcPr>
            <w:tcW w:w="1134" w:type="dxa"/>
          </w:tcPr>
          <w:p w14:paraId="2351295B" w14:textId="77777777" w:rsidR="00180F02" w:rsidRPr="005C4F4A" w:rsidRDefault="00180F02" w:rsidP="002F32B2">
            <w:pPr>
              <w:pStyle w:val="TableText"/>
              <w:rPr>
                <w:rStyle w:val="Strong"/>
              </w:rPr>
            </w:pPr>
            <w:r w:rsidRPr="005C4F4A">
              <w:rPr>
                <w:rStyle w:val="Strong"/>
              </w:rPr>
              <w:t>75</w:t>
            </w:r>
          </w:p>
        </w:tc>
      </w:tr>
      <w:tr w:rsidR="00180F02" w:rsidRPr="00505378" w14:paraId="3D6B8FDB" w14:textId="77777777" w:rsidTr="002F32B2">
        <w:tc>
          <w:tcPr>
            <w:tcW w:w="9214" w:type="dxa"/>
            <w:gridSpan w:val="5"/>
          </w:tcPr>
          <w:p w14:paraId="1D03FF73" w14:textId="77777777" w:rsidR="00180F02" w:rsidRPr="00C000FB" w:rsidRDefault="00180F02" w:rsidP="002F32B2">
            <w:pPr>
              <w:pStyle w:val="TableText"/>
            </w:pPr>
            <w:r>
              <w:t xml:space="preserve">DPC has implemented a survey platform and process to enable live surveys to be sent out directly after the end of the procurement process. Supplier satisfaction has increased after acting on feedback from previous surveys including educating staff on the procurement market approach and more thorough review of invitation to supply documentation by the Corporate Procurement Team. </w:t>
            </w:r>
          </w:p>
        </w:tc>
      </w:tr>
      <w:tr w:rsidR="00180F02" w:rsidRPr="005C4F4A" w14:paraId="15BFBA2D" w14:textId="77777777" w:rsidTr="002F32B2">
        <w:tc>
          <w:tcPr>
            <w:tcW w:w="5812" w:type="dxa"/>
            <w:gridSpan w:val="2"/>
          </w:tcPr>
          <w:p w14:paraId="627A9D6C" w14:textId="77777777" w:rsidR="00180F02" w:rsidRPr="005C4F4A" w:rsidRDefault="00180F02" w:rsidP="002F32B2">
            <w:pPr>
              <w:pStyle w:val="TableText"/>
              <w:rPr>
                <w:rStyle w:val="Strong"/>
              </w:rPr>
            </w:pPr>
            <w:r w:rsidRPr="005C4F4A">
              <w:rPr>
                <w:rStyle w:val="Strong"/>
              </w:rPr>
              <w:t>Planned procurement activity as a % of actual procurement activity</w:t>
            </w:r>
          </w:p>
        </w:tc>
        <w:tc>
          <w:tcPr>
            <w:tcW w:w="1134" w:type="dxa"/>
          </w:tcPr>
          <w:p w14:paraId="14F62269" w14:textId="77777777" w:rsidR="00180F02" w:rsidRPr="005C4F4A" w:rsidRDefault="00180F02" w:rsidP="002F32B2">
            <w:pPr>
              <w:pStyle w:val="TableText"/>
              <w:rPr>
                <w:rStyle w:val="Strong"/>
              </w:rPr>
            </w:pPr>
            <w:r w:rsidRPr="005C4F4A">
              <w:rPr>
                <w:rStyle w:val="Strong"/>
              </w:rPr>
              <w:t>48.4</w:t>
            </w:r>
          </w:p>
        </w:tc>
        <w:tc>
          <w:tcPr>
            <w:tcW w:w="1134" w:type="dxa"/>
          </w:tcPr>
          <w:p w14:paraId="4192D862" w14:textId="77777777" w:rsidR="00180F02" w:rsidRPr="005C4F4A" w:rsidRDefault="00180F02" w:rsidP="002F32B2">
            <w:pPr>
              <w:pStyle w:val="TableText"/>
              <w:rPr>
                <w:rStyle w:val="Strong"/>
              </w:rPr>
            </w:pPr>
            <w:r w:rsidRPr="005C4F4A">
              <w:rPr>
                <w:rStyle w:val="Strong"/>
              </w:rPr>
              <w:t>30.1</w:t>
            </w:r>
          </w:p>
        </w:tc>
        <w:tc>
          <w:tcPr>
            <w:tcW w:w="1134" w:type="dxa"/>
          </w:tcPr>
          <w:p w14:paraId="3983F0F5" w14:textId="77777777" w:rsidR="00180F02" w:rsidRPr="005C4F4A" w:rsidRDefault="00180F02" w:rsidP="002F32B2">
            <w:pPr>
              <w:pStyle w:val="TableText"/>
              <w:rPr>
                <w:rStyle w:val="Strong"/>
              </w:rPr>
            </w:pPr>
            <w:r w:rsidRPr="005C4F4A">
              <w:rPr>
                <w:rStyle w:val="Strong"/>
              </w:rPr>
              <w:t>50.0</w:t>
            </w:r>
          </w:p>
        </w:tc>
      </w:tr>
      <w:tr w:rsidR="00180F02" w:rsidRPr="006C6059" w14:paraId="7E14DDC5" w14:textId="77777777" w:rsidTr="002F32B2">
        <w:tc>
          <w:tcPr>
            <w:tcW w:w="9214" w:type="dxa"/>
            <w:gridSpan w:val="5"/>
          </w:tcPr>
          <w:p w14:paraId="77561BA6" w14:textId="77777777" w:rsidR="00180F02" w:rsidRDefault="00180F02" w:rsidP="002F32B2">
            <w:pPr>
              <w:pStyle w:val="TableText"/>
            </w:pPr>
            <w:r>
              <w:t xml:space="preserve">DPC has increased communication with business units to capture better quality forward planning. It also introduced a </w:t>
            </w:r>
            <w:r w:rsidRPr="00DB32F4">
              <w:t>dedicated</w:t>
            </w:r>
            <w:r>
              <w:t xml:space="preserve"> Corporate</w:t>
            </w:r>
            <w:r w:rsidRPr="00DB32F4">
              <w:t xml:space="preserve"> </w:t>
            </w:r>
            <w:r>
              <w:t>P</w:t>
            </w:r>
            <w:r w:rsidRPr="00DB32F4">
              <w:t xml:space="preserve">rocurement </w:t>
            </w:r>
            <w:r>
              <w:t>T</w:t>
            </w:r>
            <w:r w:rsidRPr="00DB32F4">
              <w:t>eam resource to proactively monitor and maintain activity plans.</w:t>
            </w:r>
          </w:p>
          <w:p w14:paraId="3D6F9E33" w14:textId="77777777" w:rsidR="00180F02" w:rsidRPr="005F2BDA" w:rsidRDefault="00180F02" w:rsidP="002F32B2">
            <w:pPr>
              <w:pStyle w:val="TableText"/>
            </w:pPr>
            <w:r>
              <w:t xml:space="preserve">This performance measure was affected by the need to respond to bushfires and COVID-19 as business strategies changed and several planned procurements were cancelled. </w:t>
            </w:r>
          </w:p>
        </w:tc>
      </w:tr>
    </w:tbl>
    <w:p w14:paraId="018CC735" w14:textId="77777777" w:rsidR="00180F02" w:rsidRDefault="00180F02" w:rsidP="00180F02"/>
    <w:p w14:paraId="10C2DA74" w14:textId="77777777" w:rsidR="00180F02" w:rsidRPr="004E7CDE" w:rsidRDefault="00180F02" w:rsidP="00180F02"/>
    <w:p w14:paraId="1E434F56" w14:textId="77777777" w:rsidR="00180F02" w:rsidRDefault="00180F02" w:rsidP="00180F02"/>
    <w:p w14:paraId="04198B8A" w14:textId="77777777" w:rsidR="000C1A89" w:rsidRDefault="00CF2989"/>
    <w:sectPr w:rsidR="000C1A8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E3739E" w14:textId="77777777" w:rsidR="00180F02" w:rsidRDefault="00180F02" w:rsidP="00180F02">
      <w:r>
        <w:separator/>
      </w:r>
    </w:p>
  </w:endnote>
  <w:endnote w:type="continuationSeparator" w:id="0">
    <w:p w14:paraId="78574F40" w14:textId="77777777" w:rsidR="00180F02" w:rsidRDefault="00180F02" w:rsidP="00180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C1820" w14:textId="77777777" w:rsidR="00CF2989" w:rsidRDefault="00CF29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F2640" w14:textId="2885E57E" w:rsidR="00180F02" w:rsidRDefault="00180F02">
    <w:pPr>
      <w:pStyle w:val="Footer"/>
    </w:pPr>
    <w:r>
      <w:rPr>
        <w:noProof/>
      </w:rPr>
      <mc:AlternateContent>
        <mc:Choice Requires="wps">
          <w:drawing>
            <wp:anchor distT="0" distB="0" distL="114300" distR="114300" simplePos="0" relativeHeight="251659264" behindDoc="0" locked="0" layoutInCell="0" allowOverlap="1" wp14:anchorId="33C1DB61" wp14:editId="60418B14">
              <wp:simplePos x="0" y="0"/>
              <wp:positionH relativeFrom="page">
                <wp:posOffset>0</wp:posOffset>
              </wp:positionH>
              <wp:positionV relativeFrom="page">
                <wp:posOffset>10234930</wp:posOffset>
              </wp:positionV>
              <wp:extent cx="7560310" cy="266700"/>
              <wp:effectExtent l="0" t="0" r="0" b="0"/>
              <wp:wrapNone/>
              <wp:docPr id="1" name="MSIPCM772e49d0a588f20a3351120d"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782702" w14:textId="2ADF46C4" w:rsidR="00180F02" w:rsidRPr="00180F02" w:rsidRDefault="00180F02" w:rsidP="00180F02">
                          <w:pPr>
                            <w:rPr>
                              <w:rFonts w:ascii="Calibri" w:hAnsi="Calibri" w:cs="Calibri"/>
                              <w:color w:val="000000"/>
                              <w:sz w:val="22"/>
                            </w:rPr>
                          </w:pPr>
                          <w:r w:rsidRPr="00180F02">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3C1DB61" id="_x0000_t202" coordsize="21600,21600" o:spt="202" path="m,l,21600r21600,l21600,xe">
              <v:stroke joinstyle="miter"/>
              <v:path gradientshapeok="t" o:connecttype="rect"/>
            </v:shapetype>
            <v:shape id="MSIPCM772e49d0a588f20a3351120d" o:spid="_x0000_s1026" type="#_x0000_t202" alt="{&quot;HashCode&quot;:-1267603503,&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" o:allowincell="f" filled="f" stroked="f" strokeweight=".5pt">
              <v:fill o:detectmouseclick="t"/>
              <v:textbox inset="20pt,0,,0">
                <w:txbxContent>
                  <w:p w14:paraId="0D782702" w14:textId="2ADF46C4" w:rsidR="00180F02" w:rsidRPr="00180F02" w:rsidRDefault="00180F02" w:rsidP="00180F02">
                    <w:pPr>
                      <w:rPr>
                        <w:rFonts w:ascii="Calibri" w:hAnsi="Calibri" w:cs="Calibri"/>
                        <w:color w:val="000000"/>
                        <w:sz w:val="22"/>
                      </w:rPr>
                    </w:pPr>
                    <w:r w:rsidRPr="00180F02">
                      <w:rPr>
                        <w:rFonts w:ascii="Calibri" w:hAnsi="Calibri" w:cs="Calibri"/>
                        <w:color w:val="000000"/>
                        <w:sz w:val="22"/>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90219" w14:textId="77777777" w:rsidR="00CF2989" w:rsidRDefault="00CF29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71C81A" w14:textId="77777777" w:rsidR="00180F02" w:rsidRDefault="00180F02" w:rsidP="00180F02">
      <w:r>
        <w:separator/>
      </w:r>
    </w:p>
  </w:footnote>
  <w:footnote w:type="continuationSeparator" w:id="0">
    <w:p w14:paraId="473DC1A5" w14:textId="77777777" w:rsidR="00180F02" w:rsidRDefault="00180F02" w:rsidP="00180F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CDDEE" w14:textId="77777777" w:rsidR="00CF2989" w:rsidRDefault="00CF29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69252" w14:textId="77777777" w:rsidR="00CF2989" w:rsidRDefault="00CF29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D9E93" w14:textId="77777777" w:rsidR="00CF2989" w:rsidRDefault="00CF29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F02"/>
    <w:rsid w:val="00180F02"/>
    <w:rsid w:val="00451F22"/>
    <w:rsid w:val="008419A4"/>
    <w:rsid w:val="00A03CE3"/>
    <w:rsid w:val="00B4701F"/>
    <w:rsid w:val="00CF2989"/>
    <w:rsid w:val="00E744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D0138"/>
  <w15:chartTrackingRefBased/>
  <w15:docId w15:val="{CDE0E1B3-1F30-46E4-8625-92BF00D4C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80F02"/>
    <w:pPr>
      <w:spacing w:after="0" w:line="240" w:lineRule="auto"/>
    </w:pPr>
    <w:rPr>
      <w:rFonts w:ascii="Arial" w:eastAsia="Times New Roman" w:hAnsi="Arial"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rsid w:val="00180F02"/>
    <w:pPr>
      <w:keepNext/>
      <w:keepLines/>
      <w:tabs>
        <w:tab w:val="left" w:pos="851"/>
      </w:tabs>
      <w:spacing w:before="60" w:after="60" w:line="228" w:lineRule="auto"/>
      <w:ind w:left="794"/>
    </w:pPr>
    <w:rPr>
      <w:rFonts w:ascii="Calibri" w:hAnsi="Calibri" w:cs="Calibri"/>
      <w:b/>
      <w:sz w:val="22"/>
      <w:szCs w:val="22"/>
    </w:rPr>
  </w:style>
  <w:style w:type="character" w:customStyle="1" w:styleId="CaptionChar">
    <w:name w:val="Caption Char"/>
    <w:link w:val="Caption"/>
    <w:rsid w:val="00180F02"/>
    <w:rPr>
      <w:rFonts w:ascii="Calibri" w:eastAsia="Times New Roman" w:hAnsi="Calibri" w:cs="Calibri"/>
      <w:b/>
      <w:lang w:eastAsia="en-AU"/>
    </w:rPr>
  </w:style>
  <w:style w:type="character" w:styleId="Strong">
    <w:name w:val="Strong"/>
    <w:uiPriority w:val="22"/>
    <w:qFormat/>
    <w:rsid w:val="00180F02"/>
    <w:rPr>
      <w:b/>
      <w:bCs/>
    </w:rPr>
  </w:style>
  <w:style w:type="paragraph" w:customStyle="1" w:styleId="TableText">
    <w:name w:val="Table Text"/>
    <w:basedOn w:val="Normal"/>
    <w:link w:val="TableTextChar"/>
    <w:uiPriority w:val="15"/>
    <w:qFormat/>
    <w:rsid w:val="00180F02"/>
    <w:pPr>
      <w:spacing w:before="20" w:after="20"/>
    </w:pPr>
    <w:rPr>
      <w:rFonts w:ascii="Calibri" w:eastAsiaTheme="minorHAnsi" w:hAnsi="Calibri" w:cs="Calibri"/>
      <w:sz w:val="20"/>
      <w:szCs w:val="20"/>
      <w:lang w:val="en-US" w:eastAsia="en-US"/>
    </w:rPr>
  </w:style>
  <w:style w:type="character" w:customStyle="1" w:styleId="TableTextChar">
    <w:name w:val="Table Text Char"/>
    <w:basedOn w:val="DefaultParagraphFont"/>
    <w:link w:val="TableText"/>
    <w:uiPriority w:val="15"/>
    <w:rsid w:val="00180F02"/>
    <w:rPr>
      <w:rFonts w:ascii="Calibri" w:hAnsi="Calibri" w:cs="Calibri"/>
      <w:sz w:val="20"/>
      <w:szCs w:val="20"/>
      <w:lang w:val="en-US"/>
    </w:rPr>
  </w:style>
  <w:style w:type="paragraph" w:customStyle="1" w:styleId="TableHeader">
    <w:name w:val="Table Header"/>
    <w:basedOn w:val="TableText"/>
    <w:link w:val="TableHeaderChar"/>
    <w:uiPriority w:val="15"/>
    <w:qFormat/>
    <w:rsid w:val="00180F02"/>
    <w:pPr>
      <w:keepNext/>
      <w:spacing w:before="40" w:after="40"/>
    </w:pPr>
    <w:rPr>
      <w:sz w:val="24"/>
      <w:szCs w:val="24"/>
    </w:rPr>
  </w:style>
  <w:style w:type="table" w:customStyle="1" w:styleId="TableGrid1">
    <w:name w:val="Table Grid1"/>
    <w:basedOn w:val="TableNormal"/>
    <w:next w:val="TableGrid"/>
    <w:uiPriority w:val="39"/>
    <w:rsid w:val="00180F0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erChar">
    <w:name w:val="Table Header Char"/>
    <w:basedOn w:val="TableTextChar"/>
    <w:link w:val="TableHeader"/>
    <w:uiPriority w:val="15"/>
    <w:rsid w:val="00180F02"/>
    <w:rPr>
      <w:rFonts w:ascii="Calibri" w:hAnsi="Calibri" w:cs="Calibri"/>
      <w:sz w:val="24"/>
      <w:szCs w:val="24"/>
      <w:lang w:val="en-US"/>
    </w:rPr>
  </w:style>
  <w:style w:type="table" w:styleId="TableGrid">
    <w:name w:val="Table Grid"/>
    <w:basedOn w:val="TableNormal"/>
    <w:uiPriority w:val="39"/>
    <w:rsid w:val="00180F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80F02"/>
    <w:pPr>
      <w:tabs>
        <w:tab w:val="center" w:pos="4513"/>
        <w:tab w:val="right" w:pos="9026"/>
      </w:tabs>
    </w:pPr>
  </w:style>
  <w:style w:type="character" w:customStyle="1" w:styleId="HeaderChar">
    <w:name w:val="Header Char"/>
    <w:basedOn w:val="DefaultParagraphFont"/>
    <w:link w:val="Header"/>
    <w:uiPriority w:val="99"/>
    <w:rsid w:val="00180F02"/>
    <w:rPr>
      <w:rFonts w:ascii="Arial" w:eastAsia="Times New Roman" w:hAnsi="Arial" w:cs="Times New Roman"/>
      <w:sz w:val="24"/>
      <w:szCs w:val="24"/>
      <w:lang w:eastAsia="en-AU"/>
    </w:rPr>
  </w:style>
  <w:style w:type="paragraph" w:styleId="Footer">
    <w:name w:val="footer"/>
    <w:basedOn w:val="Normal"/>
    <w:link w:val="FooterChar"/>
    <w:uiPriority w:val="99"/>
    <w:unhideWhenUsed/>
    <w:rsid w:val="00180F02"/>
    <w:pPr>
      <w:tabs>
        <w:tab w:val="center" w:pos="4513"/>
        <w:tab w:val="right" w:pos="9026"/>
      </w:tabs>
    </w:pPr>
  </w:style>
  <w:style w:type="character" w:customStyle="1" w:styleId="FooterChar">
    <w:name w:val="Footer Char"/>
    <w:basedOn w:val="DefaultParagraphFont"/>
    <w:link w:val="Footer"/>
    <w:uiPriority w:val="99"/>
    <w:rsid w:val="00180F02"/>
    <w:rPr>
      <w:rFonts w:ascii="Arial" w:eastAsia="Times New Roman" w:hAnsi="Arial"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780CD-6439-4A18-8B9C-FCF8E4C4F067}">
  <ds:schemaRefs>
    <ds:schemaRef ds:uri="http://www.w3.org/2001/XMLSchema"/>
  </ds:schemaRefs>
</ds:datastoreItem>
</file>

<file path=customXml/itemProps2.xml><?xml version="1.0" encoding="utf-8"?>
<ds:datastoreItem xmlns:ds="http://schemas.openxmlformats.org/officeDocument/2006/customXml" ds:itemID="{B2811859-E6F5-4516-A349-AAFBCBB04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305</Words>
  <Characters>1739</Characters>
  <Application>Microsoft Office Word</Application>
  <DocSecurity>0</DocSecurity>
  <Lines>14</Lines>
  <Paragraphs>4</Paragraphs>
  <ScaleCrop>false</ScaleCrop>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Coles (DTF)</dc:creator>
  <cp:keywords/>
  <dc:description/>
  <cp:lastModifiedBy>Athena Rozenberg (DTF)</cp:lastModifiedBy>
  <cp:revision>3</cp:revision>
  <dcterms:created xsi:type="dcterms:W3CDTF">2020-10-12T05:33:00Z</dcterms:created>
  <dcterms:modified xsi:type="dcterms:W3CDTF">2020-10-12T05:34:00Z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58ebbd-6c5e-441f-bfc9-4eb8c11e3978_Enabled">
    <vt:lpwstr>True</vt:lpwstr>
  </property>
  <property fmtid="{D5CDD505-2E9C-101B-9397-08002B2CF9AE}" pid="3" name="MSIP_Label_7158ebbd-6c5e-441f-bfc9-4eb8c11e3978_SiteId">
    <vt:lpwstr>722ea0be-3e1c-4b11-ad6f-9401d6856e24</vt:lpwstr>
  </property>
  <property fmtid="{D5CDD505-2E9C-101B-9397-08002B2CF9AE}" pid="4" name="MSIP_Label_7158ebbd-6c5e-441f-bfc9-4eb8c11e3978_Owner">
    <vt:lpwstr>Vanessa.Coles@dtf.vic.gov.au</vt:lpwstr>
  </property>
  <property fmtid="{D5CDD505-2E9C-101B-9397-08002B2CF9AE}" pid="5" name="MSIP_Label_7158ebbd-6c5e-441f-bfc9-4eb8c11e3978_SetDate">
    <vt:lpwstr>2020-10-11T02:27:15.2811000Z</vt:lpwstr>
  </property>
  <property fmtid="{D5CDD505-2E9C-101B-9397-08002B2CF9AE}" pid="6" name="MSIP_Label_7158ebbd-6c5e-441f-bfc9-4eb8c11e3978_Name">
    <vt:lpwstr>OFFICIAL</vt:lpwstr>
  </property>
  <property fmtid="{D5CDD505-2E9C-101B-9397-08002B2CF9AE}" pid="7" name="MSIP_Label_7158ebbd-6c5e-441f-bfc9-4eb8c11e3978_Application">
    <vt:lpwstr>Microsoft Azure Information Protection</vt:lpwstr>
  </property>
  <property fmtid="{D5CDD505-2E9C-101B-9397-08002B2CF9AE}" pid="8" name="MSIP_Label_7158ebbd-6c5e-441f-bfc9-4eb8c11e3978_Extended_MSFT_Method">
    <vt:lpwstr>Manual</vt:lpwstr>
  </property>
  <property fmtid="{D5CDD505-2E9C-101B-9397-08002B2CF9AE}" pid="9" name="Sensitivity">
    <vt:lpwstr>OFFICIAL</vt:lpwstr>
  </property>
</Properties>
</file>