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7954" w14:textId="2A3AB8D0" w:rsidR="00514C04" w:rsidRDefault="00512F34" w:rsidP="00512F34">
      <w:pPr>
        <w:pStyle w:val="Caption"/>
        <w:ind w:left="0"/>
        <w:rPr>
          <w:rFonts w:asciiTheme="majorHAnsi" w:eastAsiaTheme="majorEastAsia" w:hAnsiTheme="majorHAnsi" w:cstheme="majorHAnsi"/>
          <w:bCs/>
          <w:color w:val="000000" w:themeColor="text1"/>
          <w:sz w:val="28"/>
          <w:szCs w:val="28"/>
        </w:rPr>
      </w:pPr>
      <w:bookmarkStart w:id="0" w:name="_Ref15553484"/>
      <w:bookmarkStart w:id="1" w:name="_Toc12717996"/>
      <w:bookmarkStart w:id="2" w:name="_Toc17130218"/>
      <w:bookmarkStart w:id="3" w:name="_Toc48837165"/>
      <w:bookmarkStart w:id="4" w:name="_Toc49185555"/>
      <w:r>
        <w:rPr>
          <w:rFonts w:asciiTheme="majorHAnsi" w:eastAsiaTheme="majorEastAsia" w:hAnsiTheme="majorHAnsi" w:cstheme="majorHAnsi"/>
          <w:bCs/>
          <w:color w:val="000000" w:themeColor="text1"/>
          <w:sz w:val="28"/>
          <w:szCs w:val="28"/>
        </w:rPr>
        <w:tab/>
      </w:r>
      <w:r w:rsidR="00514C04" w:rsidRPr="00512F34">
        <w:rPr>
          <w:rFonts w:asciiTheme="majorHAnsi" w:eastAsiaTheme="majorEastAsia" w:hAnsiTheme="majorHAnsi" w:cstheme="majorHAnsi"/>
          <w:bCs/>
          <w:color w:val="000000" w:themeColor="text1"/>
          <w:sz w:val="28"/>
          <w:szCs w:val="28"/>
        </w:rPr>
        <w:t>Table</w:t>
      </w:r>
      <w:bookmarkEnd w:id="0"/>
      <w:r w:rsidR="00514C04" w:rsidRPr="00512F34">
        <w:rPr>
          <w:rFonts w:asciiTheme="majorHAnsi" w:eastAsiaTheme="majorEastAsia" w:hAnsiTheme="majorHAnsi" w:cstheme="majorHAnsi"/>
          <w:bCs/>
          <w:color w:val="000000" w:themeColor="text1"/>
          <w:sz w:val="28"/>
          <w:szCs w:val="28"/>
        </w:rPr>
        <w:t xml:space="preserve"> Department of Transport performance in 2019–20</w:t>
      </w:r>
      <w:bookmarkEnd w:id="1"/>
      <w:bookmarkEnd w:id="2"/>
      <w:bookmarkEnd w:id="3"/>
      <w:bookmarkEnd w:id="4"/>
    </w:p>
    <w:p w14:paraId="109E76A8" w14:textId="77777777" w:rsidR="00512F34" w:rsidRDefault="00512F34" w:rsidP="00512F34">
      <w:pPr>
        <w:ind w:firstLine="720"/>
        <w:rPr>
          <w:rFonts w:ascii="Calibri" w:eastAsiaTheme="minorHAnsi" w:hAnsi="Calibri" w:cs="Calibri"/>
          <w:sz w:val="20"/>
          <w:szCs w:val="20"/>
          <w:lang w:val="en-US" w:eastAsia="en-US"/>
        </w:rPr>
      </w:pPr>
    </w:p>
    <w:p w14:paraId="13690E7E" w14:textId="0E14003E" w:rsidR="00512F34" w:rsidRPr="008A4523" w:rsidRDefault="00512F34" w:rsidP="00512F34">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C46121">
        <w:rPr>
          <w:rFonts w:ascii="Calibri" w:eastAsiaTheme="minorHAnsi" w:hAnsi="Calibri" w:cs="Calibri"/>
          <w:sz w:val="20"/>
          <w:szCs w:val="20"/>
          <w:lang w:val="en-US" w:eastAsia="en-US"/>
        </w:rPr>
        <w:t>Annual R</w:t>
      </w:r>
      <w:bookmarkStart w:id="5" w:name="_GoBack"/>
      <w:bookmarkEnd w:id="5"/>
      <w:r w:rsidR="00C46121">
        <w:rPr>
          <w:rFonts w:ascii="Calibri" w:eastAsiaTheme="minorHAnsi" w:hAnsi="Calibri" w:cs="Calibri"/>
          <w:sz w:val="20"/>
          <w:szCs w:val="20"/>
          <w:lang w:val="en-US" w:eastAsia="en-US"/>
        </w:rPr>
        <w:t xml:space="preserve">eport </w:t>
      </w:r>
      <w:r w:rsidRPr="008A4523">
        <w:rPr>
          <w:rFonts w:ascii="Calibri" w:eastAsiaTheme="minorHAnsi" w:hAnsi="Calibri" w:cs="Calibri"/>
          <w:sz w:val="20"/>
          <w:szCs w:val="20"/>
          <w:lang w:val="en-US" w:eastAsia="en-US"/>
        </w:rPr>
        <w:t>2019-20</w:t>
      </w:r>
    </w:p>
    <w:p w14:paraId="6FB1CF42" w14:textId="77777777" w:rsidR="00512F34" w:rsidRPr="00512F34" w:rsidRDefault="00512F34" w:rsidP="00512F34">
      <w:pPr>
        <w:rPr>
          <w:rFonts w:eastAsiaTheme="majorEastAsia"/>
        </w:rPr>
      </w:pPr>
    </w:p>
    <w:p w14:paraId="1519E202" w14:textId="77777777" w:rsidR="00512F34" w:rsidRPr="00512F34" w:rsidRDefault="00512F34" w:rsidP="00512F34"/>
    <w:tbl>
      <w:tblPr>
        <w:tblStyle w:val="TableGrid1"/>
        <w:tblW w:w="9214" w:type="dxa"/>
        <w:tblInd w:w="704" w:type="dxa"/>
        <w:tblLook w:val="04A0" w:firstRow="1" w:lastRow="0" w:firstColumn="1" w:lastColumn="0" w:noHBand="0" w:noVBand="1"/>
      </w:tblPr>
      <w:tblGrid>
        <w:gridCol w:w="3119"/>
        <w:gridCol w:w="2693"/>
        <w:gridCol w:w="1134"/>
        <w:gridCol w:w="1134"/>
        <w:gridCol w:w="1134"/>
      </w:tblGrid>
      <w:tr w:rsidR="00514C04" w:rsidRPr="0056399F" w14:paraId="113032DF" w14:textId="77777777" w:rsidTr="002F32B2">
        <w:tc>
          <w:tcPr>
            <w:tcW w:w="5812" w:type="dxa"/>
            <w:gridSpan w:val="2"/>
            <w:vMerge w:val="restart"/>
          </w:tcPr>
          <w:p w14:paraId="436C39AC" w14:textId="77777777" w:rsidR="00514C04" w:rsidRPr="0056399F" w:rsidRDefault="00514C04" w:rsidP="002F32B2">
            <w:pPr>
              <w:pStyle w:val="TableHeader"/>
            </w:pPr>
            <w:r w:rsidRPr="0056399F">
              <w:t>Performance measure</w:t>
            </w:r>
          </w:p>
        </w:tc>
        <w:tc>
          <w:tcPr>
            <w:tcW w:w="1134" w:type="dxa"/>
          </w:tcPr>
          <w:p w14:paraId="29ED5121" w14:textId="77777777" w:rsidR="00514C04" w:rsidRPr="0056399F" w:rsidRDefault="00514C04" w:rsidP="002F32B2">
            <w:pPr>
              <w:pStyle w:val="TableHeader"/>
            </w:pPr>
            <w:r w:rsidRPr="0056399F">
              <w:t xml:space="preserve">2017–18 </w:t>
            </w:r>
          </w:p>
        </w:tc>
        <w:tc>
          <w:tcPr>
            <w:tcW w:w="1134" w:type="dxa"/>
          </w:tcPr>
          <w:p w14:paraId="104E2A12" w14:textId="77777777" w:rsidR="00514C04" w:rsidRPr="0056399F" w:rsidRDefault="00514C04" w:rsidP="002F32B2">
            <w:pPr>
              <w:pStyle w:val="TableHeader"/>
            </w:pPr>
            <w:r w:rsidRPr="0056399F">
              <w:t>2018–19</w:t>
            </w:r>
          </w:p>
        </w:tc>
        <w:tc>
          <w:tcPr>
            <w:tcW w:w="1134" w:type="dxa"/>
          </w:tcPr>
          <w:p w14:paraId="21B0A82B" w14:textId="77777777" w:rsidR="00514C04" w:rsidRPr="0056399F" w:rsidRDefault="00514C04" w:rsidP="002F32B2">
            <w:pPr>
              <w:pStyle w:val="TableHeader"/>
            </w:pPr>
            <w:r w:rsidRPr="0056399F">
              <w:t>2019–20</w:t>
            </w:r>
          </w:p>
        </w:tc>
      </w:tr>
      <w:tr w:rsidR="00514C04" w:rsidRPr="0056399F" w14:paraId="24E8C4B4" w14:textId="77777777" w:rsidTr="002F32B2">
        <w:tc>
          <w:tcPr>
            <w:tcW w:w="5812" w:type="dxa"/>
            <w:gridSpan w:val="2"/>
            <w:vMerge/>
          </w:tcPr>
          <w:p w14:paraId="011C3FCD" w14:textId="77777777" w:rsidR="00514C04" w:rsidRPr="0056399F" w:rsidRDefault="00514C04" w:rsidP="002F32B2">
            <w:pPr>
              <w:pStyle w:val="TableHeader"/>
            </w:pPr>
          </w:p>
        </w:tc>
        <w:tc>
          <w:tcPr>
            <w:tcW w:w="3402" w:type="dxa"/>
            <w:gridSpan w:val="3"/>
          </w:tcPr>
          <w:p w14:paraId="33C84416" w14:textId="77777777" w:rsidR="00514C04" w:rsidRPr="0056399F" w:rsidRDefault="00514C04" w:rsidP="002F32B2">
            <w:pPr>
              <w:pStyle w:val="TableHeader"/>
            </w:pPr>
            <w:r w:rsidRPr="0056399F">
              <w:t>(%)</w:t>
            </w:r>
          </w:p>
        </w:tc>
      </w:tr>
      <w:tr w:rsidR="00514C04" w:rsidRPr="005C4F4A" w14:paraId="6578EABB" w14:textId="77777777" w:rsidTr="002F32B2">
        <w:tc>
          <w:tcPr>
            <w:tcW w:w="5812" w:type="dxa"/>
            <w:gridSpan w:val="2"/>
          </w:tcPr>
          <w:p w14:paraId="10CF0206" w14:textId="77777777" w:rsidR="00514C04" w:rsidRPr="005C4F4A" w:rsidRDefault="00514C04" w:rsidP="002F32B2">
            <w:pPr>
              <w:pStyle w:val="TableText"/>
              <w:rPr>
                <w:rStyle w:val="Strong"/>
              </w:rPr>
            </w:pPr>
            <w:r w:rsidRPr="005C4F4A">
              <w:rPr>
                <w:rStyle w:val="Strong"/>
              </w:rPr>
              <w:t>Value created from department procurement activity</w:t>
            </w:r>
          </w:p>
        </w:tc>
        <w:tc>
          <w:tcPr>
            <w:tcW w:w="1134" w:type="dxa"/>
          </w:tcPr>
          <w:p w14:paraId="708D6D17" w14:textId="77777777" w:rsidR="00514C04" w:rsidRPr="005C4F4A" w:rsidRDefault="00514C04" w:rsidP="002F32B2">
            <w:pPr>
              <w:pStyle w:val="TableText"/>
              <w:rPr>
                <w:rStyle w:val="Strong"/>
              </w:rPr>
            </w:pPr>
            <w:r w:rsidRPr="005C4F4A">
              <w:rPr>
                <w:rStyle w:val="Strong"/>
              </w:rPr>
              <w:t>5.3</w:t>
            </w:r>
          </w:p>
        </w:tc>
        <w:tc>
          <w:tcPr>
            <w:tcW w:w="1134" w:type="dxa"/>
          </w:tcPr>
          <w:p w14:paraId="7C9F09CB" w14:textId="77777777" w:rsidR="00514C04" w:rsidRPr="005C4F4A" w:rsidRDefault="00514C04" w:rsidP="002F32B2">
            <w:pPr>
              <w:pStyle w:val="TableText"/>
              <w:rPr>
                <w:rStyle w:val="Strong"/>
              </w:rPr>
            </w:pPr>
            <w:r w:rsidRPr="005C4F4A">
              <w:rPr>
                <w:rStyle w:val="Strong"/>
              </w:rPr>
              <w:t>4.8</w:t>
            </w:r>
          </w:p>
        </w:tc>
        <w:tc>
          <w:tcPr>
            <w:tcW w:w="1134" w:type="dxa"/>
          </w:tcPr>
          <w:p w14:paraId="7C47B1B2" w14:textId="77777777" w:rsidR="00514C04" w:rsidRPr="005C4F4A" w:rsidRDefault="00514C04" w:rsidP="002F32B2">
            <w:pPr>
              <w:pStyle w:val="TableText"/>
              <w:rPr>
                <w:rStyle w:val="Strong"/>
              </w:rPr>
            </w:pPr>
            <w:r w:rsidRPr="005C4F4A">
              <w:rPr>
                <w:rStyle w:val="Strong"/>
              </w:rPr>
              <w:t>2.2</w:t>
            </w:r>
          </w:p>
        </w:tc>
      </w:tr>
      <w:tr w:rsidR="00514C04" w:rsidRPr="0056399F" w14:paraId="115EF423" w14:textId="77777777" w:rsidTr="002F32B2">
        <w:tc>
          <w:tcPr>
            <w:tcW w:w="9214" w:type="dxa"/>
            <w:gridSpan w:val="5"/>
          </w:tcPr>
          <w:p w14:paraId="6AD1E584" w14:textId="77777777" w:rsidR="00514C04" w:rsidRPr="0056399F" w:rsidRDefault="00514C04" w:rsidP="002F32B2">
            <w:pPr>
              <w:pStyle w:val="TableText"/>
              <w:rPr>
                <w:rFonts w:eastAsia="Times New Roman"/>
                <w:lang w:eastAsia="en-AU"/>
              </w:rPr>
            </w:pPr>
            <w:r>
              <w:rPr>
                <w:rFonts w:eastAsia="Times New Roman"/>
                <w:lang w:eastAsia="en-AU"/>
              </w:rPr>
              <w:t>The Procurement Branch increased its involvement with commercial decisions and negotiations, which is building procurement confidence and capability across the business.</w:t>
            </w:r>
          </w:p>
        </w:tc>
      </w:tr>
      <w:tr w:rsidR="00514C04" w:rsidRPr="005C4F4A" w14:paraId="4320F49A" w14:textId="77777777" w:rsidTr="002F32B2">
        <w:tc>
          <w:tcPr>
            <w:tcW w:w="5812" w:type="dxa"/>
            <w:gridSpan w:val="2"/>
          </w:tcPr>
          <w:p w14:paraId="02C8ADDF" w14:textId="77777777" w:rsidR="00514C04" w:rsidRPr="005C4F4A" w:rsidRDefault="00514C04" w:rsidP="002F32B2">
            <w:pPr>
              <w:pStyle w:val="TableText"/>
              <w:rPr>
                <w:rStyle w:val="Strong"/>
              </w:rPr>
            </w:pPr>
            <w:r w:rsidRPr="005C4F4A">
              <w:rPr>
                <w:rStyle w:val="Strong"/>
              </w:rPr>
              <w:t>Managed spend</w:t>
            </w:r>
          </w:p>
        </w:tc>
        <w:tc>
          <w:tcPr>
            <w:tcW w:w="1134" w:type="dxa"/>
            <w:shd w:val="clear" w:color="auto" w:fill="FFFFFF" w:themeFill="background1"/>
          </w:tcPr>
          <w:p w14:paraId="67C2FE9B" w14:textId="77777777" w:rsidR="00514C04" w:rsidRPr="005C4F4A" w:rsidRDefault="00514C04" w:rsidP="002F32B2">
            <w:pPr>
              <w:pStyle w:val="TableText"/>
              <w:rPr>
                <w:rStyle w:val="Strong"/>
              </w:rPr>
            </w:pPr>
            <w:r w:rsidRPr="005C4F4A">
              <w:rPr>
                <w:rStyle w:val="Strong"/>
              </w:rPr>
              <w:t>n/a</w:t>
            </w:r>
          </w:p>
        </w:tc>
        <w:tc>
          <w:tcPr>
            <w:tcW w:w="1134" w:type="dxa"/>
            <w:shd w:val="clear" w:color="auto" w:fill="FFFFFF" w:themeFill="background1"/>
          </w:tcPr>
          <w:p w14:paraId="3EAE5BCC" w14:textId="77777777" w:rsidR="00514C04" w:rsidRPr="005C4F4A" w:rsidRDefault="00514C04" w:rsidP="002F32B2">
            <w:pPr>
              <w:pStyle w:val="TableText"/>
              <w:rPr>
                <w:rStyle w:val="Strong"/>
              </w:rPr>
            </w:pPr>
            <w:r w:rsidRPr="005C4F4A">
              <w:rPr>
                <w:rStyle w:val="Strong"/>
              </w:rPr>
              <w:t>n/a</w:t>
            </w:r>
          </w:p>
        </w:tc>
        <w:tc>
          <w:tcPr>
            <w:tcW w:w="1134" w:type="dxa"/>
          </w:tcPr>
          <w:p w14:paraId="420489A2" w14:textId="77777777" w:rsidR="00514C04" w:rsidRPr="005C4F4A" w:rsidRDefault="00514C04" w:rsidP="002F32B2">
            <w:pPr>
              <w:pStyle w:val="TableText"/>
              <w:rPr>
                <w:rStyle w:val="Strong"/>
              </w:rPr>
            </w:pPr>
            <w:r w:rsidRPr="005C4F4A">
              <w:rPr>
                <w:rStyle w:val="Strong"/>
              </w:rPr>
              <w:t>79.8</w:t>
            </w:r>
          </w:p>
        </w:tc>
      </w:tr>
      <w:tr w:rsidR="00514C04" w:rsidRPr="0056399F" w14:paraId="6107E216" w14:textId="77777777" w:rsidTr="002F32B2">
        <w:tc>
          <w:tcPr>
            <w:tcW w:w="9214" w:type="dxa"/>
            <w:gridSpan w:val="5"/>
          </w:tcPr>
          <w:p w14:paraId="62548F3C" w14:textId="77777777" w:rsidR="00514C04" w:rsidRPr="0056399F" w:rsidRDefault="00514C04" w:rsidP="002F32B2">
            <w:pPr>
              <w:pStyle w:val="TableText"/>
              <w:rPr>
                <w:rFonts w:eastAsia="Times New Roman"/>
                <w:lang w:eastAsia="en-AU"/>
              </w:rPr>
            </w:pPr>
            <w:r>
              <w:rPr>
                <w:rFonts w:eastAsia="Times New Roman"/>
                <w:lang w:eastAsia="en-AU"/>
              </w:rPr>
              <w:t xml:space="preserve">Savings have not been well tracked across the department. Introducing Zycus will help with tracking and managing savings. </w:t>
            </w:r>
          </w:p>
        </w:tc>
      </w:tr>
      <w:tr w:rsidR="00514C04" w:rsidRPr="005C4F4A" w14:paraId="0D36EF80" w14:textId="77777777" w:rsidTr="002F32B2">
        <w:tc>
          <w:tcPr>
            <w:tcW w:w="5812" w:type="dxa"/>
            <w:gridSpan w:val="2"/>
          </w:tcPr>
          <w:p w14:paraId="06795869" w14:textId="77777777" w:rsidR="00514C04" w:rsidRPr="005C4F4A" w:rsidRDefault="00514C04" w:rsidP="002F32B2">
            <w:pPr>
              <w:pStyle w:val="TableText"/>
              <w:rPr>
                <w:rStyle w:val="Strong"/>
              </w:rPr>
            </w:pPr>
            <w:r w:rsidRPr="005C4F4A">
              <w:rPr>
                <w:rStyle w:val="Strong"/>
              </w:rPr>
              <w:t>Increase in procurement capability</w:t>
            </w:r>
          </w:p>
        </w:tc>
        <w:tc>
          <w:tcPr>
            <w:tcW w:w="1134" w:type="dxa"/>
          </w:tcPr>
          <w:p w14:paraId="784175A1" w14:textId="77777777" w:rsidR="00514C04" w:rsidRPr="005C4F4A" w:rsidRDefault="00514C04" w:rsidP="002F32B2">
            <w:pPr>
              <w:pStyle w:val="TableText"/>
              <w:rPr>
                <w:rStyle w:val="Strong"/>
              </w:rPr>
            </w:pPr>
            <w:r w:rsidRPr="005C4F4A">
              <w:rPr>
                <w:rStyle w:val="Strong"/>
              </w:rPr>
              <w:t>3.0</w:t>
            </w:r>
          </w:p>
        </w:tc>
        <w:tc>
          <w:tcPr>
            <w:tcW w:w="1134" w:type="dxa"/>
          </w:tcPr>
          <w:p w14:paraId="024A9841" w14:textId="77777777" w:rsidR="00514C04" w:rsidRPr="005C4F4A" w:rsidRDefault="00514C04" w:rsidP="002F32B2">
            <w:pPr>
              <w:pStyle w:val="TableText"/>
              <w:rPr>
                <w:rStyle w:val="Strong"/>
              </w:rPr>
            </w:pPr>
            <w:r w:rsidRPr="005C4F4A">
              <w:rPr>
                <w:rStyle w:val="Strong"/>
              </w:rPr>
              <w:t>5.8</w:t>
            </w:r>
          </w:p>
        </w:tc>
        <w:tc>
          <w:tcPr>
            <w:tcW w:w="1134" w:type="dxa"/>
          </w:tcPr>
          <w:p w14:paraId="02BFA559" w14:textId="77777777" w:rsidR="00514C04" w:rsidRPr="005C4F4A" w:rsidRDefault="00514C04" w:rsidP="002F32B2">
            <w:pPr>
              <w:pStyle w:val="TableText"/>
              <w:rPr>
                <w:rStyle w:val="Strong"/>
              </w:rPr>
            </w:pPr>
            <w:r w:rsidRPr="005C4F4A">
              <w:rPr>
                <w:rStyle w:val="Strong"/>
              </w:rPr>
              <w:t>18.7</w:t>
            </w:r>
          </w:p>
        </w:tc>
      </w:tr>
      <w:tr w:rsidR="00514C04" w:rsidRPr="0056399F" w14:paraId="70852138" w14:textId="77777777" w:rsidTr="002F32B2">
        <w:tc>
          <w:tcPr>
            <w:tcW w:w="9214" w:type="dxa"/>
            <w:gridSpan w:val="5"/>
          </w:tcPr>
          <w:p w14:paraId="0F8EB367" w14:textId="77777777" w:rsidR="00514C04" w:rsidRPr="0056399F" w:rsidRDefault="00514C04" w:rsidP="002F32B2">
            <w:pPr>
              <w:pStyle w:val="TableText"/>
              <w:rPr>
                <w:rFonts w:eastAsia="Times New Roman"/>
                <w:lang w:eastAsia="en-AU"/>
              </w:rPr>
            </w:pPr>
            <w:r>
              <w:rPr>
                <w:rFonts w:eastAsia="Times New Roman"/>
                <w:lang w:eastAsia="en-AU"/>
              </w:rPr>
              <w:t>Procurement capability increased from 116 to 138 out of 150 – an 18.7 per cent increase from last year – which is a significant uplift in capability. The department is rolling out a suite of n</w:t>
            </w:r>
            <w:r w:rsidRPr="00E0781D">
              <w:rPr>
                <w:rFonts w:eastAsia="Times New Roman"/>
                <w:lang w:eastAsia="en-AU"/>
              </w:rPr>
              <w:t xml:space="preserve">ew procurement, probity and procurement legal training across the business and internally in the </w:t>
            </w:r>
            <w:r>
              <w:rPr>
                <w:rFonts w:eastAsia="Times New Roman"/>
                <w:lang w:eastAsia="en-AU"/>
              </w:rPr>
              <w:t>P</w:t>
            </w:r>
            <w:r w:rsidRPr="00E0781D">
              <w:rPr>
                <w:rFonts w:eastAsia="Times New Roman"/>
                <w:lang w:eastAsia="en-AU"/>
              </w:rPr>
              <w:t xml:space="preserve">rocurement </w:t>
            </w:r>
            <w:r>
              <w:rPr>
                <w:rFonts w:eastAsia="Times New Roman"/>
                <w:lang w:eastAsia="en-AU"/>
              </w:rPr>
              <w:t>B</w:t>
            </w:r>
            <w:r w:rsidRPr="00E0781D">
              <w:rPr>
                <w:rFonts w:eastAsia="Times New Roman"/>
                <w:lang w:eastAsia="en-AU"/>
              </w:rPr>
              <w:t xml:space="preserve">ranch. Procurement training will become </w:t>
            </w:r>
            <w:r>
              <w:rPr>
                <w:rFonts w:eastAsia="Times New Roman"/>
                <w:lang w:eastAsia="en-AU"/>
              </w:rPr>
              <w:t xml:space="preserve">a </w:t>
            </w:r>
            <w:r w:rsidRPr="00E0781D">
              <w:rPr>
                <w:rFonts w:eastAsia="Times New Roman"/>
                <w:lang w:eastAsia="en-AU"/>
              </w:rPr>
              <w:t xml:space="preserve">mandatory part of the onboarding </w:t>
            </w:r>
            <w:r>
              <w:rPr>
                <w:rFonts w:eastAsia="Times New Roman"/>
                <w:lang w:eastAsia="en-AU"/>
              </w:rPr>
              <w:t xml:space="preserve">process for new </w:t>
            </w:r>
            <w:r w:rsidRPr="00E0781D">
              <w:rPr>
                <w:rFonts w:eastAsia="Times New Roman"/>
                <w:lang w:eastAsia="en-AU"/>
              </w:rPr>
              <w:t>employees.</w:t>
            </w:r>
          </w:p>
        </w:tc>
      </w:tr>
      <w:tr w:rsidR="00514C04" w:rsidRPr="005C4F4A" w14:paraId="3FD1A67F" w14:textId="77777777" w:rsidTr="002F32B2">
        <w:tc>
          <w:tcPr>
            <w:tcW w:w="3119" w:type="dxa"/>
            <w:vMerge w:val="restart"/>
          </w:tcPr>
          <w:p w14:paraId="3E584ED5" w14:textId="77777777" w:rsidR="00514C04" w:rsidRPr="005C4F4A" w:rsidRDefault="00514C04" w:rsidP="002F32B2">
            <w:pPr>
              <w:pStyle w:val="TableText"/>
              <w:rPr>
                <w:rStyle w:val="Strong"/>
              </w:rPr>
            </w:pPr>
            <w:r w:rsidRPr="005C4F4A">
              <w:rPr>
                <w:rStyle w:val="Strong"/>
              </w:rPr>
              <w:t>Supplier satisfaction assessment</w:t>
            </w:r>
          </w:p>
        </w:tc>
        <w:tc>
          <w:tcPr>
            <w:tcW w:w="2693" w:type="dxa"/>
          </w:tcPr>
          <w:p w14:paraId="5CD521F6" w14:textId="77777777" w:rsidR="00514C04" w:rsidRPr="005C4F4A" w:rsidRDefault="00514C04" w:rsidP="002F32B2">
            <w:pPr>
              <w:pStyle w:val="TableText"/>
              <w:rPr>
                <w:rStyle w:val="Strong"/>
              </w:rPr>
            </w:pPr>
            <w:r w:rsidRPr="005C4F4A">
              <w:rPr>
                <w:rStyle w:val="Strong"/>
              </w:rPr>
              <w:t>Successful satisfied</w:t>
            </w:r>
          </w:p>
        </w:tc>
        <w:tc>
          <w:tcPr>
            <w:tcW w:w="1134" w:type="dxa"/>
          </w:tcPr>
          <w:p w14:paraId="7784B960" w14:textId="77777777" w:rsidR="00514C04" w:rsidRPr="005C4F4A" w:rsidRDefault="00514C04" w:rsidP="002F32B2">
            <w:pPr>
              <w:pStyle w:val="TableText"/>
              <w:rPr>
                <w:rStyle w:val="Strong"/>
              </w:rPr>
            </w:pPr>
            <w:r w:rsidRPr="005C4F4A">
              <w:rPr>
                <w:rStyle w:val="Strong"/>
              </w:rPr>
              <w:t>71</w:t>
            </w:r>
          </w:p>
        </w:tc>
        <w:tc>
          <w:tcPr>
            <w:tcW w:w="1134" w:type="dxa"/>
          </w:tcPr>
          <w:p w14:paraId="39C87E01" w14:textId="77777777" w:rsidR="00514C04" w:rsidRPr="005C4F4A" w:rsidRDefault="00514C04" w:rsidP="002F32B2">
            <w:pPr>
              <w:pStyle w:val="TableText"/>
              <w:rPr>
                <w:rStyle w:val="Strong"/>
              </w:rPr>
            </w:pPr>
            <w:r w:rsidRPr="005C4F4A">
              <w:rPr>
                <w:rStyle w:val="Strong"/>
              </w:rPr>
              <w:t>96</w:t>
            </w:r>
          </w:p>
        </w:tc>
        <w:tc>
          <w:tcPr>
            <w:tcW w:w="1134" w:type="dxa"/>
          </w:tcPr>
          <w:p w14:paraId="5B96B604" w14:textId="77777777" w:rsidR="00514C04" w:rsidRPr="005C4F4A" w:rsidRDefault="00514C04" w:rsidP="002F32B2">
            <w:pPr>
              <w:pStyle w:val="TableText"/>
              <w:rPr>
                <w:rStyle w:val="Strong"/>
              </w:rPr>
            </w:pPr>
            <w:r w:rsidRPr="005C4F4A">
              <w:rPr>
                <w:rStyle w:val="Strong"/>
              </w:rPr>
              <w:t>69</w:t>
            </w:r>
          </w:p>
        </w:tc>
      </w:tr>
      <w:tr w:rsidR="00514C04" w:rsidRPr="005C4F4A" w14:paraId="6B84FE2B" w14:textId="77777777" w:rsidTr="002F32B2">
        <w:tc>
          <w:tcPr>
            <w:tcW w:w="3119" w:type="dxa"/>
            <w:vMerge/>
          </w:tcPr>
          <w:p w14:paraId="68ED3751" w14:textId="77777777" w:rsidR="00514C04" w:rsidRPr="005C4F4A" w:rsidRDefault="00514C04" w:rsidP="002F32B2">
            <w:pPr>
              <w:pStyle w:val="TableText"/>
              <w:rPr>
                <w:rStyle w:val="Strong"/>
              </w:rPr>
            </w:pPr>
          </w:p>
        </w:tc>
        <w:tc>
          <w:tcPr>
            <w:tcW w:w="2693" w:type="dxa"/>
          </w:tcPr>
          <w:p w14:paraId="6F700ED1" w14:textId="77777777" w:rsidR="00514C04" w:rsidRPr="005C4F4A" w:rsidRDefault="00514C04" w:rsidP="002F32B2">
            <w:pPr>
              <w:pStyle w:val="TableText"/>
              <w:rPr>
                <w:rStyle w:val="Strong"/>
              </w:rPr>
            </w:pPr>
            <w:r w:rsidRPr="005C4F4A">
              <w:rPr>
                <w:rStyle w:val="Strong"/>
              </w:rPr>
              <w:t>Unsuccessful satisfied</w:t>
            </w:r>
          </w:p>
        </w:tc>
        <w:tc>
          <w:tcPr>
            <w:tcW w:w="1134" w:type="dxa"/>
          </w:tcPr>
          <w:p w14:paraId="38F55373" w14:textId="77777777" w:rsidR="00514C04" w:rsidRPr="005C4F4A" w:rsidRDefault="00514C04" w:rsidP="002F32B2">
            <w:pPr>
              <w:pStyle w:val="TableText"/>
              <w:rPr>
                <w:rStyle w:val="Strong"/>
              </w:rPr>
            </w:pPr>
            <w:r w:rsidRPr="005C4F4A">
              <w:rPr>
                <w:rStyle w:val="Strong"/>
              </w:rPr>
              <w:t>45</w:t>
            </w:r>
          </w:p>
        </w:tc>
        <w:tc>
          <w:tcPr>
            <w:tcW w:w="1134" w:type="dxa"/>
          </w:tcPr>
          <w:p w14:paraId="368F2F6E" w14:textId="77777777" w:rsidR="00514C04" w:rsidRPr="005C4F4A" w:rsidRDefault="00514C04" w:rsidP="002F32B2">
            <w:pPr>
              <w:pStyle w:val="TableText"/>
              <w:rPr>
                <w:rStyle w:val="Strong"/>
              </w:rPr>
            </w:pPr>
            <w:r w:rsidRPr="005C4F4A">
              <w:rPr>
                <w:rStyle w:val="Strong"/>
              </w:rPr>
              <w:t>24</w:t>
            </w:r>
          </w:p>
        </w:tc>
        <w:tc>
          <w:tcPr>
            <w:tcW w:w="1134" w:type="dxa"/>
          </w:tcPr>
          <w:p w14:paraId="2E1B61D5" w14:textId="77777777" w:rsidR="00514C04" w:rsidRPr="005C4F4A" w:rsidRDefault="00514C04" w:rsidP="002F32B2">
            <w:pPr>
              <w:pStyle w:val="TableText"/>
              <w:rPr>
                <w:rStyle w:val="Strong"/>
              </w:rPr>
            </w:pPr>
            <w:r w:rsidRPr="005C4F4A">
              <w:rPr>
                <w:rStyle w:val="Strong"/>
              </w:rPr>
              <w:t>26</w:t>
            </w:r>
          </w:p>
        </w:tc>
      </w:tr>
      <w:tr w:rsidR="00514C04" w:rsidRPr="0056399F" w14:paraId="70D44CBE" w14:textId="77777777" w:rsidTr="002F32B2">
        <w:tc>
          <w:tcPr>
            <w:tcW w:w="9214" w:type="dxa"/>
            <w:gridSpan w:val="5"/>
          </w:tcPr>
          <w:p w14:paraId="6817B6FF" w14:textId="77777777" w:rsidR="00514C04" w:rsidRPr="0056399F" w:rsidRDefault="00514C04" w:rsidP="002F32B2">
            <w:pPr>
              <w:pStyle w:val="TableText"/>
              <w:rPr>
                <w:rFonts w:eastAsia="Times New Roman"/>
                <w:lang w:eastAsia="en-AU"/>
              </w:rPr>
            </w:pPr>
            <w:r>
              <w:rPr>
                <w:rFonts w:eastAsia="Times New Roman"/>
                <w:lang w:eastAsia="en-AU"/>
              </w:rPr>
              <w:t>The department had a 14 per cent response rate. The decrease in successful supplier satisfaction may be related to the machinery of government changes and a d</w:t>
            </w:r>
            <w:r w:rsidRPr="009C31BA">
              <w:rPr>
                <w:rFonts w:eastAsia="Times New Roman"/>
                <w:lang w:eastAsia="en-AU"/>
              </w:rPr>
              <w:t>isparity in the quality of supplier engagement across the organisati</w:t>
            </w:r>
            <w:r>
              <w:rPr>
                <w:rFonts w:eastAsia="Times New Roman"/>
                <w:lang w:eastAsia="en-AU"/>
              </w:rPr>
              <w:t>on. DoT implemented its integrated procurement framework in February 2020 and has since. improved communication with suppliers and facilitated more industry briefings and tender debriefs, which should increase supplier satisfaction in 2020–21.</w:t>
            </w:r>
          </w:p>
        </w:tc>
      </w:tr>
      <w:tr w:rsidR="00514C04" w:rsidRPr="005C4F4A" w14:paraId="7CD2CA8E" w14:textId="77777777" w:rsidTr="002F32B2">
        <w:tc>
          <w:tcPr>
            <w:tcW w:w="5812" w:type="dxa"/>
            <w:gridSpan w:val="2"/>
          </w:tcPr>
          <w:p w14:paraId="1B911BBF" w14:textId="77777777" w:rsidR="00514C04" w:rsidRPr="005C4F4A" w:rsidRDefault="00514C04" w:rsidP="002F32B2">
            <w:pPr>
              <w:pStyle w:val="TableText"/>
              <w:rPr>
                <w:rStyle w:val="Strong"/>
              </w:rPr>
            </w:pPr>
            <w:r w:rsidRPr="005C4F4A">
              <w:rPr>
                <w:rStyle w:val="Strong"/>
              </w:rPr>
              <w:t>Planned procurement activity as a % of actual procurement activity</w:t>
            </w:r>
          </w:p>
        </w:tc>
        <w:tc>
          <w:tcPr>
            <w:tcW w:w="1134" w:type="dxa"/>
          </w:tcPr>
          <w:p w14:paraId="28E238A4" w14:textId="77777777" w:rsidR="00514C04" w:rsidRPr="005C4F4A" w:rsidRDefault="00514C04" w:rsidP="002F32B2">
            <w:pPr>
              <w:pStyle w:val="TableText"/>
              <w:rPr>
                <w:rStyle w:val="Strong"/>
              </w:rPr>
            </w:pPr>
            <w:r w:rsidRPr="005C4F4A">
              <w:rPr>
                <w:rStyle w:val="Strong"/>
              </w:rPr>
              <w:t>40.0</w:t>
            </w:r>
          </w:p>
        </w:tc>
        <w:tc>
          <w:tcPr>
            <w:tcW w:w="1134" w:type="dxa"/>
          </w:tcPr>
          <w:p w14:paraId="09A3C5A5" w14:textId="77777777" w:rsidR="00514C04" w:rsidRPr="005C4F4A" w:rsidRDefault="00514C04" w:rsidP="002F32B2">
            <w:pPr>
              <w:pStyle w:val="TableText"/>
              <w:rPr>
                <w:rStyle w:val="Strong"/>
              </w:rPr>
            </w:pPr>
            <w:r w:rsidRPr="005C4F4A">
              <w:rPr>
                <w:rStyle w:val="Strong"/>
              </w:rPr>
              <w:t>66.7</w:t>
            </w:r>
          </w:p>
        </w:tc>
        <w:tc>
          <w:tcPr>
            <w:tcW w:w="1134" w:type="dxa"/>
          </w:tcPr>
          <w:p w14:paraId="6AE20B27" w14:textId="77777777" w:rsidR="00514C04" w:rsidRPr="005C4F4A" w:rsidRDefault="00514C04" w:rsidP="002F32B2">
            <w:pPr>
              <w:pStyle w:val="TableText"/>
              <w:rPr>
                <w:rStyle w:val="Strong"/>
              </w:rPr>
            </w:pPr>
            <w:r w:rsidRPr="005C4F4A">
              <w:rPr>
                <w:rStyle w:val="Strong"/>
              </w:rPr>
              <w:t>10.5</w:t>
            </w:r>
          </w:p>
        </w:tc>
      </w:tr>
      <w:tr w:rsidR="00514C04" w:rsidRPr="0056399F" w14:paraId="62390E3C" w14:textId="77777777" w:rsidTr="002F32B2">
        <w:tc>
          <w:tcPr>
            <w:tcW w:w="9214" w:type="dxa"/>
            <w:gridSpan w:val="5"/>
          </w:tcPr>
          <w:p w14:paraId="3DB19F4C" w14:textId="77777777" w:rsidR="00514C04" w:rsidRPr="0056399F" w:rsidRDefault="00514C04" w:rsidP="002F32B2">
            <w:pPr>
              <w:pStyle w:val="TableText"/>
              <w:rPr>
                <w:rFonts w:eastAsia="Times New Roman"/>
                <w:lang w:eastAsia="en-AU"/>
              </w:rPr>
            </w:pPr>
            <w:r>
              <w:rPr>
                <w:rFonts w:eastAsia="Times New Roman"/>
                <w:lang w:eastAsia="en-AU"/>
              </w:rPr>
              <w:t xml:space="preserve">Although DoT, VicRoads and PTV each had a separate forward procurement plan in 2019–20, the department was still working on a joint plan for 2020–21. Now that the three organisations have merged their procurement functions, the Procurement Branch will </w:t>
            </w:r>
            <w:r w:rsidRPr="00D26811">
              <w:rPr>
                <w:rFonts w:eastAsia="Times New Roman"/>
                <w:lang w:eastAsia="en-AU"/>
              </w:rPr>
              <w:t xml:space="preserve">be able to facilitate better planning with </w:t>
            </w:r>
            <w:r>
              <w:rPr>
                <w:rFonts w:eastAsia="Times New Roman"/>
                <w:lang w:eastAsia="en-AU"/>
              </w:rPr>
              <w:t>b</w:t>
            </w:r>
            <w:r w:rsidRPr="00D26811">
              <w:rPr>
                <w:rFonts w:eastAsia="Times New Roman"/>
                <w:lang w:eastAsia="en-AU"/>
              </w:rPr>
              <w:t>usiness units to develop a more rigorous forward activity plan focused on business needs and expiring contracts.</w:t>
            </w:r>
            <w:r>
              <w:rPr>
                <w:rFonts w:eastAsia="Times New Roman"/>
                <w:lang w:eastAsia="en-AU"/>
              </w:rPr>
              <w:t xml:space="preserve"> </w:t>
            </w:r>
          </w:p>
        </w:tc>
      </w:tr>
    </w:tbl>
    <w:p w14:paraId="41E3F5A7" w14:textId="77777777" w:rsidR="000C1A89" w:rsidRDefault="00C46121"/>
    <w:sectPr w:rsidR="000C1A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D7FC4" w14:textId="77777777" w:rsidR="00514C04" w:rsidRDefault="00514C04" w:rsidP="00514C04">
      <w:r>
        <w:separator/>
      </w:r>
    </w:p>
  </w:endnote>
  <w:endnote w:type="continuationSeparator" w:id="0">
    <w:p w14:paraId="67518FC0" w14:textId="77777777" w:rsidR="00514C04" w:rsidRDefault="00514C04" w:rsidP="0051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3583" w14:textId="77777777" w:rsidR="00C46121" w:rsidRDefault="00C46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3927" w14:textId="77777777" w:rsidR="00514C04" w:rsidRDefault="00514C04">
    <w:pPr>
      <w:pStyle w:val="Footer"/>
    </w:pPr>
    <w:r>
      <w:rPr>
        <w:noProof/>
      </w:rPr>
      <mc:AlternateContent>
        <mc:Choice Requires="wps">
          <w:drawing>
            <wp:anchor distT="0" distB="0" distL="114300" distR="114300" simplePos="0" relativeHeight="251659264" behindDoc="0" locked="0" layoutInCell="0" allowOverlap="1" wp14:anchorId="38C1B7B1" wp14:editId="7AB0CDE0">
              <wp:simplePos x="0" y="0"/>
              <wp:positionH relativeFrom="page">
                <wp:posOffset>0</wp:posOffset>
              </wp:positionH>
              <wp:positionV relativeFrom="page">
                <wp:posOffset>10234930</wp:posOffset>
              </wp:positionV>
              <wp:extent cx="7560310" cy="266700"/>
              <wp:effectExtent l="0" t="0" r="0" b="0"/>
              <wp:wrapNone/>
              <wp:docPr id="1" name="MSIPCM46454c4d9805dcdba6c331b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6FCA3" w14:textId="77777777" w:rsidR="00514C04" w:rsidRPr="00514C04" w:rsidRDefault="00514C04" w:rsidP="00514C04">
                          <w:pPr>
                            <w:rPr>
                              <w:rFonts w:ascii="Calibri" w:hAnsi="Calibri" w:cs="Calibri"/>
                              <w:color w:val="000000"/>
                              <w:sz w:val="22"/>
                            </w:rPr>
                          </w:pPr>
                          <w:r w:rsidRPr="00514C0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6454c4d9805dcdba6c331b5"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DjznbwsgIAAEgFAAAO&#10;AAAAAAAAAAAAAAAAAC4CAABkcnMvZTJvRG9jLnhtbFBLAQItABQABgAIAAAAIQBgEcYm3gAAAAsB&#10;AAAPAAAAAAAAAAAAAAAAAAwFAABkcnMvZG93bnJldi54bWxQSwUGAAAAAAQABADzAAAAFwYAAAAA&#10;" o:allowincell="f" filled="f" stroked="f" strokeweight=".5pt">
              <v:fill o:detectmouseclick="t"/>
              <v:textbox inset="20pt,0,,0">
                <w:txbxContent>
                  <w:p w:rsidR="00514C04" w:rsidRPr="00514C04" w:rsidRDefault="00514C04" w:rsidP="00514C04">
                    <w:pPr>
                      <w:rPr>
                        <w:rFonts w:ascii="Calibri" w:hAnsi="Calibri" w:cs="Calibri"/>
                        <w:color w:val="000000"/>
                        <w:sz w:val="22"/>
                      </w:rPr>
                    </w:pPr>
                    <w:r w:rsidRPr="00514C04">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2AB6" w14:textId="77777777" w:rsidR="00C46121" w:rsidRDefault="00C46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EA0C" w14:textId="77777777" w:rsidR="00514C04" w:rsidRDefault="00514C04" w:rsidP="00514C04">
      <w:r>
        <w:separator/>
      </w:r>
    </w:p>
  </w:footnote>
  <w:footnote w:type="continuationSeparator" w:id="0">
    <w:p w14:paraId="1386BD7C" w14:textId="77777777" w:rsidR="00514C04" w:rsidRDefault="00514C04" w:rsidP="0051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23BF" w14:textId="77777777" w:rsidR="00C46121" w:rsidRDefault="00C46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CE88" w14:textId="77777777" w:rsidR="00C46121" w:rsidRDefault="00C46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6080" w14:textId="77777777" w:rsidR="00C46121" w:rsidRDefault="00C461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4"/>
    <w:rsid w:val="00512F34"/>
    <w:rsid w:val="00514C04"/>
    <w:rsid w:val="007B199F"/>
    <w:rsid w:val="00B4701F"/>
    <w:rsid w:val="00C46121"/>
    <w:rsid w:val="00E7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BBCFC"/>
  <w15:chartTrackingRefBased/>
  <w15:docId w15:val="{F158BA20-6F87-4B0F-8EF3-50CA8E3C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4C04"/>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514C04"/>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514C04"/>
    <w:rPr>
      <w:rFonts w:ascii="Calibri" w:eastAsia="Times New Roman" w:hAnsi="Calibri" w:cs="Calibri"/>
      <w:b/>
      <w:lang w:eastAsia="en-AU"/>
    </w:rPr>
  </w:style>
  <w:style w:type="character" w:styleId="Strong">
    <w:name w:val="Strong"/>
    <w:uiPriority w:val="22"/>
    <w:qFormat/>
    <w:rsid w:val="00514C04"/>
    <w:rPr>
      <w:b/>
      <w:bCs/>
    </w:rPr>
  </w:style>
  <w:style w:type="paragraph" w:customStyle="1" w:styleId="TableText">
    <w:name w:val="Table Text"/>
    <w:basedOn w:val="Normal"/>
    <w:link w:val="TableTextChar"/>
    <w:uiPriority w:val="15"/>
    <w:qFormat/>
    <w:rsid w:val="00514C04"/>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514C04"/>
    <w:rPr>
      <w:rFonts w:ascii="Calibri" w:hAnsi="Calibri" w:cs="Calibri"/>
      <w:sz w:val="20"/>
      <w:szCs w:val="20"/>
      <w:lang w:val="en-US"/>
    </w:rPr>
  </w:style>
  <w:style w:type="paragraph" w:customStyle="1" w:styleId="TableHeader">
    <w:name w:val="Table Header"/>
    <w:basedOn w:val="TableText"/>
    <w:link w:val="TableHeaderChar"/>
    <w:uiPriority w:val="15"/>
    <w:qFormat/>
    <w:rsid w:val="00514C04"/>
    <w:pPr>
      <w:keepNext/>
      <w:spacing w:before="40" w:after="40"/>
    </w:pPr>
    <w:rPr>
      <w:sz w:val="24"/>
      <w:szCs w:val="24"/>
    </w:rPr>
  </w:style>
  <w:style w:type="table" w:customStyle="1" w:styleId="TableGrid1">
    <w:name w:val="Table Grid1"/>
    <w:basedOn w:val="TableNormal"/>
    <w:next w:val="TableGrid"/>
    <w:uiPriority w:val="39"/>
    <w:rsid w:val="00514C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514C04"/>
    <w:rPr>
      <w:rFonts w:ascii="Calibri" w:hAnsi="Calibri" w:cs="Calibri"/>
      <w:sz w:val="24"/>
      <w:szCs w:val="24"/>
      <w:lang w:val="en-US"/>
    </w:rPr>
  </w:style>
  <w:style w:type="table" w:styleId="TableGrid">
    <w:name w:val="Table Grid"/>
    <w:basedOn w:val="TableNormal"/>
    <w:uiPriority w:val="39"/>
    <w:rsid w:val="0051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C04"/>
    <w:pPr>
      <w:tabs>
        <w:tab w:val="center" w:pos="4513"/>
        <w:tab w:val="right" w:pos="9026"/>
      </w:tabs>
    </w:pPr>
  </w:style>
  <w:style w:type="character" w:customStyle="1" w:styleId="HeaderChar">
    <w:name w:val="Header Char"/>
    <w:basedOn w:val="DefaultParagraphFont"/>
    <w:link w:val="Header"/>
    <w:uiPriority w:val="99"/>
    <w:rsid w:val="00514C04"/>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514C04"/>
    <w:pPr>
      <w:tabs>
        <w:tab w:val="center" w:pos="4513"/>
        <w:tab w:val="right" w:pos="9026"/>
      </w:tabs>
    </w:pPr>
  </w:style>
  <w:style w:type="character" w:customStyle="1" w:styleId="FooterChar">
    <w:name w:val="Footer Char"/>
    <w:basedOn w:val="DefaultParagraphFont"/>
    <w:link w:val="Footer"/>
    <w:uiPriority w:val="99"/>
    <w:rsid w:val="00514C04"/>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699A753-FCEA-472D-B568-7A30CC2672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Athena Rozenberg (DTF)</cp:lastModifiedBy>
  <cp:revision>3</cp:revision>
  <dcterms:created xsi:type="dcterms:W3CDTF">2020-10-12T05:36:00Z</dcterms:created>
  <dcterms:modified xsi:type="dcterms:W3CDTF">2020-10-12T05:36:00Z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Vanessa.Coles@dtf.vic.gov.au</vt:lpwstr>
  </property>
  <property fmtid="{D5CDD505-2E9C-101B-9397-08002B2CF9AE}" pid="5" name="MSIP_Label_7158ebbd-6c5e-441f-bfc9-4eb8c11e3978_SetDate">
    <vt:lpwstr>2020-10-11T02:32:40.7985921Z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