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3D843" w14:textId="77777777" w:rsidR="00052E21" w:rsidRDefault="005A2504" w:rsidP="00052E21">
      <w:pPr>
        <w:pStyle w:val="Caption"/>
        <w:rPr>
          <w:rFonts w:asciiTheme="majorHAnsi" w:eastAsiaTheme="majorEastAsia" w:hAnsiTheme="majorHAnsi" w:cstheme="majorHAnsi"/>
          <w:bCs/>
          <w:color w:val="000000" w:themeColor="text1"/>
          <w:sz w:val="28"/>
          <w:szCs w:val="28"/>
        </w:rPr>
      </w:pPr>
      <w:bookmarkStart w:id="0" w:name="_Ref489543160"/>
      <w:bookmarkStart w:id="1" w:name="_Toc503949271"/>
      <w:bookmarkStart w:id="2" w:name="_Toc12717997"/>
      <w:bookmarkStart w:id="3" w:name="_Toc17130219"/>
      <w:bookmarkStart w:id="4" w:name="_Toc48837166"/>
      <w:bookmarkStart w:id="5" w:name="_Toc49185556"/>
      <w:r w:rsidRPr="00052E21">
        <w:rPr>
          <w:rFonts w:asciiTheme="majorHAnsi" w:eastAsiaTheme="majorEastAsia" w:hAnsiTheme="majorHAnsi" w:cstheme="majorHAnsi"/>
          <w:bCs/>
          <w:color w:val="000000" w:themeColor="text1"/>
          <w:sz w:val="28"/>
          <w:szCs w:val="28"/>
        </w:rPr>
        <w:t>Table</w:t>
      </w:r>
      <w:bookmarkEnd w:id="0"/>
      <w:r w:rsidRPr="00052E21">
        <w:rPr>
          <w:rFonts w:asciiTheme="majorHAnsi" w:eastAsiaTheme="majorEastAsia" w:hAnsiTheme="majorHAnsi" w:cstheme="majorHAnsi"/>
          <w:bCs/>
          <w:color w:val="000000" w:themeColor="text1"/>
          <w:sz w:val="28"/>
          <w:szCs w:val="28"/>
        </w:rPr>
        <w:t xml:space="preserve"> Department of Treasury and Finance performance in </w:t>
      </w:r>
      <w:bookmarkEnd w:id="1"/>
      <w:r w:rsidRPr="00052E21">
        <w:rPr>
          <w:rFonts w:asciiTheme="majorHAnsi" w:eastAsiaTheme="majorEastAsia" w:hAnsiTheme="majorHAnsi" w:cstheme="majorHAnsi"/>
          <w:bCs/>
          <w:color w:val="000000" w:themeColor="text1"/>
          <w:sz w:val="28"/>
          <w:szCs w:val="28"/>
        </w:rPr>
        <w:t>2019–20</w:t>
      </w:r>
      <w:bookmarkEnd w:id="2"/>
      <w:bookmarkEnd w:id="3"/>
      <w:bookmarkEnd w:id="4"/>
      <w:bookmarkEnd w:id="5"/>
      <w:r w:rsidR="00052E21">
        <w:rPr>
          <w:rFonts w:asciiTheme="majorHAnsi" w:eastAsiaTheme="majorEastAsia" w:hAnsiTheme="majorHAnsi" w:cstheme="majorHAnsi"/>
          <w:bCs/>
          <w:color w:val="000000" w:themeColor="text1"/>
          <w:sz w:val="28"/>
          <w:szCs w:val="28"/>
        </w:rPr>
        <w:br/>
      </w:r>
    </w:p>
    <w:p w14:paraId="5121028D" w14:textId="1ECD8F3D" w:rsidR="00052E21" w:rsidRPr="00052E21" w:rsidRDefault="00052E21" w:rsidP="00052E21">
      <w:pPr>
        <w:pStyle w:val="Caption"/>
        <w:rPr>
          <w:rFonts w:eastAsiaTheme="minorHAnsi"/>
          <w:b w:val="0"/>
          <w:sz w:val="20"/>
          <w:szCs w:val="20"/>
          <w:lang w:val="en-US" w:eastAsia="en-US"/>
        </w:rPr>
      </w:pPr>
      <w:r w:rsidRPr="00052E21">
        <w:rPr>
          <w:rFonts w:eastAsiaTheme="minorHAnsi"/>
          <w:b w:val="0"/>
          <w:sz w:val="20"/>
          <w:szCs w:val="20"/>
          <w:lang w:val="en-US" w:eastAsia="en-US"/>
        </w:rPr>
        <w:t xml:space="preserve">Extract from Victorian Government Purchasing Board </w:t>
      </w:r>
      <w:r w:rsidR="0033726A">
        <w:rPr>
          <w:rFonts w:eastAsiaTheme="minorHAnsi"/>
          <w:b w:val="0"/>
          <w:sz w:val="20"/>
          <w:szCs w:val="20"/>
          <w:lang w:val="en-US" w:eastAsia="en-US"/>
        </w:rPr>
        <w:t xml:space="preserve">Annual Report </w:t>
      </w:r>
      <w:bookmarkStart w:id="6" w:name="_GoBack"/>
      <w:bookmarkEnd w:id="6"/>
      <w:r w:rsidRPr="00052E21">
        <w:rPr>
          <w:rFonts w:eastAsiaTheme="minorHAnsi"/>
          <w:b w:val="0"/>
          <w:sz w:val="20"/>
          <w:szCs w:val="20"/>
          <w:lang w:val="en-US" w:eastAsia="en-US"/>
        </w:rPr>
        <w:t>2019-20</w:t>
      </w:r>
    </w:p>
    <w:p w14:paraId="11C31057" w14:textId="77777777" w:rsidR="00052E21" w:rsidRPr="00052E21" w:rsidRDefault="00052E21" w:rsidP="00052E21"/>
    <w:tbl>
      <w:tblPr>
        <w:tblStyle w:val="TableGrid1"/>
        <w:tblW w:w="8651" w:type="dxa"/>
        <w:tblInd w:w="704" w:type="dxa"/>
        <w:tblLook w:val="04A0" w:firstRow="1" w:lastRow="0" w:firstColumn="1" w:lastColumn="0" w:noHBand="0" w:noVBand="1"/>
      </w:tblPr>
      <w:tblGrid>
        <w:gridCol w:w="3119"/>
        <w:gridCol w:w="2268"/>
        <w:gridCol w:w="1134"/>
        <w:gridCol w:w="1134"/>
        <w:gridCol w:w="996"/>
      </w:tblGrid>
      <w:tr w:rsidR="005A2504" w:rsidRPr="00DA1E79" w14:paraId="7A4F1F3B" w14:textId="77777777" w:rsidTr="002F32B2">
        <w:tc>
          <w:tcPr>
            <w:tcW w:w="5387" w:type="dxa"/>
            <w:gridSpan w:val="2"/>
            <w:vMerge w:val="restart"/>
          </w:tcPr>
          <w:p w14:paraId="234B471F" w14:textId="77777777" w:rsidR="005A2504" w:rsidRPr="00DA1E79" w:rsidRDefault="005A2504" w:rsidP="002F32B2">
            <w:pPr>
              <w:pStyle w:val="TableHeader"/>
            </w:pPr>
            <w:r w:rsidRPr="00DA1E79">
              <w:t>Performance measure</w:t>
            </w:r>
          </w:p>
        </w:tc>
        <w:tc>
          <w:tcPr>
            <w:tcW w:w="1134" w:type="dxa"/>
          </w:tcPr>
          <w:p w14:paraId="19F42CF5" w14:textId="77777777" w:rsidR="005A2504" w:rsidRPr="00DA1E79" w:rsidRDefault="005A2504" w:rsidP="002F32B2">
            <w:pPr>
              <w:pStyle w:val="TableHeader"/>
            </w:pPr>
            <w:r w:rsidRPr="00DA1E79">
              <w:t xml:space="preserve">2017–18 </w:t>
            </w:r>
          </w:p>
        </w:tc>
        <w:tc>
          <w:tcPr>
            <w:tcW w:w="1134" w:type="dxa"/>
          </w:tcPr>
          <w:p w14:paraId="476D6B6D" w14:textId="77777777" w:rsidR="005A2504" w:rsidRPr="00DA1E79" w:rsidRDefault="005A2504" w:rsidP="002F32B2">
            <w:pPr>
              <w:pStyle w:val="TableHeader"/>
            </w:pPr>
            <w:r w:rsidRPr="00DA1E79">
              <w:t>2018–19</w:t>
            </w:r>
          </w:p>
        </w:tc>
        <w:tc>
          <w:tcPr>
            <w:tcW w:w="996" w:type="dxa"/>
          </w:tcPr>
          <w:p w14:paraId="4BBF05D2" w14:textId="77777777" w:rsidR="005A2504" w:rsidRPr="00DA1E79" w:rsidRDefault="005A2504" w:rsidP="002F32B2">
            <w:pPr>
              <w:pStyle w:val="TableHeader"/>
            </w:pPr>
            <w:r w:rsidRPr="00DA1E79">
              <w:t>2019–20</w:t>
            </w:r>
          </w:p>
        </w:tc>
      </w:tr>
      <w:tr w:rsidR="005A2504" w:rsidRPr="00DA1E79" w14:paraId="61E32871" w14:textId="77777777" w:rsidTr="002F32B2">
        <w:tc>
          <w:tcPr>
            <w:tcW w:w="5387" w:type="dxa"/>
            <w:gridSpan w:val="2"/>
            <w:vMerge/>
          </w:tcPr>
          <w:p w14:paraId="486E0163" w14:textId="77777777" w:rsidR="005A2504" w:rsidRPr="00DA1E79" w:rsidRDefault="005A2504" w:rsidP="002F32B2">
            <w:pPr>
              <w:pStyle w:val="TableHeader"/>
            </w:pPr>
          </w:p>
        </w:tc>
        <w:tc>
          <w:tcPr>
            <w:tcW w:w="3264" w:type="dxa"/>
            <w:gridSpan w:val="3"/>
          </w:tcPr>
          <w:p w14:paraId="3F37FC9F" w14:textId="77777777" w:rsidR="005A2504" w:rsidRPr="00DA1E79" w:rsidRDefault="005A2504" w:rsidP="002F32B2">
            <w:pPr>
              <w:pStyle w:val="TableHeader"/>
            </w:pPr>
            <w:r w:rsidRPr="00DA1E79">
              <w:t>(%)</w:t>
            </w:r>
          </w:p>
        </w:tc>
      </w:tr>
      <w:tr w:rsidR="005A2504" w:rsidRPr="005C4F4A" w14:paraId="58378700" w14:textId="77777777" w:rsidTr="002F32B2">
        <w:tc>
          <w:tcPr>
            <w:tcW w:w="5387" w:type="dxa"/>
            <w:gridSpan w:val="2"/>
          </w:tcPr>
          <w:p w14:paraId="6293583B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Value created from department procurement activity</w:t>
            </w:r>
          </w:p>
        </w:tc>
        <w:tc>
          <w:tcPr>
            <w:tcW w:w="1134" w:type="dxa"/>
          </w:tcPr>
          <w:p w14:paraId="49ACBFD3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24.3</w:t>
            </w:r>
          </w:p>
        </w:tc>
        <w:tc>
          <w:tcPr>
            <w:tcW w:w="1134" w:type="dxa"/>
          </w:tcPr>
          <w:p w14:paraId="0347ED2E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37.2</w:t>
            </w:r>
          </w:p>
        </w:tc>
        <w:tc>
          <w:tcPr>
            <w:tcW w:w="996" w:type="dxa"/>
          </w:tcPr>
          <w:p w14:paraId="7962A3EC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11.9</w:t>
            </w:r>
          </w:p>
        </w:tc>
      </w:tr>
      <w:tr w:rsidR="005A2504" w:rsidRPr="005F2BDA" w14:paraId="55C735F2" w14:textId="77777777" w:rsidTr="002F32B2">
        <w:tc>
          <w:tcPr>
            <w:tcW w:w="8651" w:type="dxa"/>
            <w:gridSpan w:val="5"/>
          </w:tcPr>
          <w:p w14:paraId="6542FBEA" w14:textId="77777777" w:rsidR="005A2504" w:rsidRPr="005F2BDA" w:rsidRDefault="005A2504" w:rsidP="002F32B2">
            <w:pPr>
              <w:pStyle w:val="TableText"/>
            </w:pPr>
            <w:r>
              <w:t xml:space="preserve">Value created was lower this year due to fewer significant (non-SPC) procurements, but still shows that DTF achieved value by driving competitive processes. </w:t>
            </w:r>
          </w:p>
        </w:tc>
      </w:tr>
      <w:tr w:rsidR="005A2504" w:rsidRPr="005C4F4A" w14:paraId="35F440D1" w14:textId="77777777" w:rsidTr="002F32B2">
        <w:tc>
          <w:tcPr>
            <w:tcW w:w="5387" w:type="dxa"/>
            <w:gridSpan w:val="2"/>
          </w:tcPr>
          <w:p w14:paraId="566D5B01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Managed spend</w:t>
            </w:r>
          </w:p>
        </w:tc>
        <w:tc>
          <w:tcPr>
            <w:tcW w:w="1134" w:type="dxa"/>
            <w:shd w:val="clear" w:color="auto" w:fill="FFFFFF" w:themeFill="background1"/>
          </w:tcPr>
          <w:p w14:paraId="3C492A41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n/a</w:t>
            </w:r>
          </w:p>
        </w:tc>
        <w:tc>
          <w:tcPr>
            <w:tcW w:w="1134" w:type="dxa"/>
            <w:shd w:val="clear" w:color="auto" w:fill="FFFFFF" w:themeFill="background1"/>
          </w:tcPr>
          <w:p w14:paraId="5DE6C0E0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n/a</w:t>
            </w:r>
          </w:p>
        </w:tc>
        <w:tc>
          <w:tcPr>
            <w:tcW w:w="996" w:type="dxa"/>
          </w:tcPr>
          <w:p w14:paraId="7882333A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97.6</w:t>
            </w:r>
          </w:p>
        </w:tc>
      </w:tr>
      <w:tr w:rsidR="005A2504" w:rsidRPr="00505378" w14:paraId="75B8713D" w14:textId="77777777" w:rsidTr="002F32B2">
        <w:tc>
          <w:tcPr>
            <w:tcW w:w="8651" w:type="dxa"/>
            <w:gridSpan w:val="5"/>
          </w:tcPr>
          <w:p w14:paraId="7667586E" w14:textId="77777777" w:rsidR="005A2504" w:rsidRPr="00C000FB" w:rsidRDefault="005A2504" w:rsidP="002F32B2">
            <w:pPr>
              <w:pStyle w:val="TableText"/>
            </w:pPr>
            <w:r>
              <w:t xml:space="preserve">DTF’s procurement function reviews or carries out the majority of the department’s goods and services procurement. </w:t>
            </w:r>
          </w:p>
        </w:tc>
      </w:tr>
      <w:tr w:rsidR="005A2504" w:rsidRPr="005C4F4A" w14:paraId="68B276D0" w14:textId="77777777" w:rsidTr="002F32B2">
        <w:tc>
          <w:tcPr>
            <w:tcW w:w="5387" w:type="dxa"/>
            <w:gridSpan w:val="2"/>
          </w:tcPr>
          <w:p w14:paraId="3FDD25F9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Increase in procurement capability</w:t>
            </w:r>
          </w:p>
        </w:tc>
        <w:tc>
          <w:tcPr>
            <w:tcW w:w="1134" w:type="dxa"/>
          </w:tcPr>
          <w:p w14:paraId="2206A231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−4.3</w:t>
            </w:r>
          </w:p>
        </w:tc>
        <w:tc>
          <w:tcPr>
            <w:tcW w:w="1134" w:type="dxa"/>
          </w:tcPr>
          <w:p w14:paraId="7388F861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6.0</w:t>
            </w:r>
          </w:p>
        </w:tc>
        <w:tc>
          <w:tcPr>
            <w:tcW w:w="996" w:type="dxa"/>
          </w:tcPr>
          <w:p w14:paraId="68ADA57C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3.4</w:t>
            </w:r>
          </w:p>
        </w:tc>
      </w:tr>
      <w:tr w:rsidR="005A2504" w:rsidRPr="00505378" w14:paraId="0433FFA7" w14:textId="77777777" w:rsidTr="002F32B2">
        <w:tc>
          <w:tcPr>
            <w:tcW w:w="8651" w:type="dxa"/>
            <w:gridSpan w:val="5"/>
          </w:tcPr>
          <w:p w14:paraId="2184F191" w14:textId="77777777" w:rsidR="005A2504" w:rsidRPr="00C000FB" w:rsidRDefault="005A2504" w:rsidP="002F32B2">
            <w:pPr>
              <w:pStyle w:val="TableText"/>
            </w:pPr>
            <w:r>
              <w:t xml:space="preserve">Capability increased from 117 to 121 out of 150. DTF </w:t>
            </w:r>
            <w:r w:rsidRPr="008826ED">
              <w:t xml:space="preserve">worked to support </w:t>
            </w:r>
            <w:r>
              <w:t xml:space="preserve">the transfer of Invest Victoria </w:t>
            </w:r>
            <w:r w:rsidRPr="008826ED">
              <w:t>into DTF's procurement responsibilities.</w:t>
            </w:r>
            <w:r>
              <w:t xml:space="preserve"> </w:t>
            </w:r>
            <w:r w:rsidRPr="00006CE6">
              <w:t>DTF recognises that its capability is in line with its procurement profile with room for continuous improvement.</w:t>
            </w:r>
          </w:p>
        </w:tc>
      </w:tr>
      <w:tr w:rsidR="005A2504" w:rsidRPr="005C4F4A" w14:paraId="3ACF8479" w14:textId="77777777" w:rsidTr="002F32B2">
        <w:tc>
          <w:tcPr>
            <w:tcW w:w="3119" w:type="dxa"/>
            <w:vMerge w:val="restart"/>
          </w:tcPr>
          <w:p w14:paraId="59E35114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Supplier satisfaction assessment</w:t>
            </w:r>
          </w:p>
        </w:tc>
        <w:tc>
          <w:tcPr>
            <w:tcW w:w="2268" w:type="dxa"/>
          </w:tcPr>
          <w:p w14:paraId="00AA5AF0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Successful satisfied</w:t>
            </w:r>
          </w:p>
        </w:tc>
        <w:tc>
          <w:tcPr>
            <w:tcW w:w="1134" w:type="dxa"/>
          </w:tcPr>
          <w:p w14:paraId="226F6788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91</w:t>
            </w:r>
          </w:p>
        </w:tc>
        <w:tc>
          <w:tcPr>
            <w:tcW w:w="1134" w:type="dxa"/>
          </w:tcPr>
          <w:p w14:paraId="26E384AE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90</w:t>
            </w:r>
          </w:p>
        </w:tc>
        <w:tc>
          <w:tcPr>
            <w:tcW w:w="996" w:type="dxa"/>
          </w:tcPr>
          <w:p w14:paraId="0165D601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100</w:t>
            </w:r>
          </w:p>
        </w:tc>
      </w:tr>
      <w:tr w:rsidR="005A2504" w:rsidRPr="005C4F4A" w14:paraId="7D27A774" w14:textId="77777777" w:rsidTr="002F32B2">
        <w:tc>
          <w:tcPr>
            <w:tcW w:w="3119" w:type="dxa"/>
            <w:vMerge/>
          </w:tcPr>
          <w:p w14:paraId="4619D636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</w:p>
        </w:tc>
        <w:tc>
          <w:tcPr>
            <w:tcW w:w="2268" w:type="dxa"/>
          </w:tcPr>
          <w:p w14:paraId="683B9E72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Unsuccessful satisfied</w:t>
            </w:r>
          </w:p>
        </w:tc>
        <w:tc>
          <w:tcPr>
            <w:tcW w:w="1134" w:type="dxa"/>
          </w:tcPr>
          <w:p w14:paraId="523A6A88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36</w:t>
            </w:r>
          </w:p>
        </w:tc>
        <w:tc>
          <w:tcPr>
            <w:tcW w:w="1134" w:type="dxa"/>
          </w:tcPr>
          <w:p w14:paraId="2615CB8F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46</w:t>
            </w:r>
          </w:p>
        </w:tc>
        <w:tc>
          <w:tcPr>
            <w:tcW w:w="996" w:type="dxa"/>
          </w:tcPr>
          <w:p w14:paraId="2D2EF2DC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55</w:t>
            </w:r>
          </w:p>
        </w:tc>
      </w:tr>
      <w:tr w:rsidR="005A2504" w:rsidRPr="00505378" w14:paraId="1898D7B0" w14:textId="77777777" w:rsidTr="002F32B2">
        <w:tc>
          <w:tcPr>
            <w:tcW w:w="8651" w:type="dxa"/>
            <w:gridSpan w:val="5"/>
          </w:tcPr>
          <w:p w14:paraId="754FFC8E" w14:textId="77777777" w:rsidR="005A2504" w:rsidRPr="00C000FB" w:rsidRDefault="005A2504" w:rsidP="002F32B2">
            <w:pPr>
              <w:pStyle w:val="TableText"/>
            </w:pPr>
            <w:r w:rsidRPr="008826ED">
              <w:t>Improvements are attributable to an increased focus on providing useful feedback to suppliers.</w:t>
            </w:r>
          </w:p>
        </w:tc>
      </w:tr>
      <w:tr w:rsidR="005A2504" w:rsidRPr="005C4F4A" w14:paraId="5712CD84" w14:textId="77777777" w:rsidTr="002F32B2">
        <w:tc>
          <w:tcPr>
            <w:tcW w:w="5387" w:type="dxa"/>
            <w:gridSpan w:val="2"/>
          </w:tcPr>
          <w:p w14:paraId="3A973768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Planned procurement activity as a % of actual procurement activity</w:t>
            </w:r>
          </w:p>
        </w:tc>
        <w:tc>
          <w:tcPr>
            <w:tcW w:w="1134" w:type="dxa"/>
          </w:tcPr>
          <w:p w14:paraId="56355AA9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47.2</w:t>
            </w:r>
          </w:p>
        </w:tc>
        <w:tc>
          <w:tcPr>
            <w:tcW w:w="1134" w:type="dxa"/>
          </w:tcPr>
          <w:p w14:paraId="57E3E2FB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56.5</w:t>
            </w:r>
          </w:p>
        </w:tc>
        <w:tc>
          <w:tcPr>
            <w:tcW w:w="996" w:type="dxa"/>
          </w:tcPr>
          <w:p w14:paraId="5C878C00" w14:textId="77777777" w:rsidR="005A2504" w:rsidRPr="005C4F4A" w:rsidRDefault="005A2504" w:rsidP="002F32B2">
            <w:pPr>
              <w:pStyle w:val="TableText"/>
              <w:rPr>
                <w:rStyle w:val="Strong"/>
              </w:rPr>
            </w:pPr>
            <w:r w:rsidRPr="005C4F4A">
              <w:rPr>
                <w:rStyle w:val="Strong"/>
              </w:rPr>
              <w:t>59.1</w:t>
            </w:r>
          </w:p>
        </w:tc>
      </w:tr>
      <w:tr w:rsidR="005A2504" w:rsidRPr="006C6059" w14:paraId="0118C323" w14:textId="77777777" w:rsidTr="002F32B2">
        <w:trPr>
          <w:trHeight w:val="221"/>
        </w:trPr>
        <w:tc>
          <w:tcPr>
            <w:tcW w:w="8651" w:type="dxa"/>
            <w:gridSpan w:val="5"/>
          </w:tcPr>
          <w:p w14:paraId="076321EA" w14:textId="77777777" w:rsidR="005A2504" w:rsidRPr="005F2BDA" w:rsidRDefault="005A2504" w:rsidP="002F32B2">
            <w:pPr>
              <w:pStyle w:val="TableText"/>
            </w:pPr>
            <w:r w:rsidRPr="008826ED">
              <w:t>DTF actively works with procuring teams to plan in advance</w:t>
            </w:r>
            <w:r>
              <w:t xml:space="preserve"> and t</w:t>
            </w:r>
            <w:r w:rsidRPr="008826ED">
              <w:t>he rate of planned procurement activity is broadly consistent with previous years.</w:t>
            </w:r>
          </w:p>
        </w:tc>
      </w:tr>
    </w:tbl>
    <w:p w14:paraId="4E76FDF0" w14:textId="77777777" w:rsidR="000C1A89" w:rsidRDefault="0033726A"/>
    <w:sectPr w:rsidR="000C1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1C291" w14:textId="77777777" w:rsidR="005A2504" w:rsidRDefault="005A2504" w:rsidP="005A2504">
      <w:r>
        <w:separator/>
      </w:r>
    </w:p>
  </w:endnote>
  <w:endnote w:type="continuationSeparator" w:id="0">
    <w:p w14:paraId="4BD526D9" w14:textId="77777777" w:rsidR="005A2504" w:rsidRDefault="005A2504" w:rsidP="005A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593A" w14:textId="77777777" w:rsidR="0033726A" w:rsidRDefault="00337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697D1" w14:textId="18AEDE62" w:rsidR="005A2504" w:rsidRDefault="005A25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961D29" wp14:editId="36FB680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e79442d58434809a5249b019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5A3AEB" w14:textId="1D6C2DB0" w:rsidR="005A2504" w:rsidRPr="005A2504" w:rsidRDefault="005A2504" w:rsidP="005A2504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A2504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61D29" id="_x0000_t202" coordsize="21600,21600" o:spt="202" path="m,l,21600r21600,l21600,xe">
              <v:stroke joinstyle="miter"/>
              <v:path gradientshapeok="t" o:connecttype="rect"/>
            </v:shapetype>
            <v:shape id="MSIPCMe79442d58434809a5249b019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A835yCsgIAAEgFAAAO&#10;AAAAAAAAAAAAAAAAAC4CAABkcnMvZTJvRG9jLnhtbFBLAQItABQABgAIAAAAIQBgEcYm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2C5A3AEB" w14:textId="1D6C2DB0" w:rsidR="005A2504" w:rsidRPr="005A2504" w:rsidRDefault="005A2504" w:rsidP="005A2504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A2504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C4538" w14:textId="77777777" w:rsidR="0033726A" w:rsidRDefault="00337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D422F" w14:textId="77777777" w:rsidR="005A2504" w:rsidRDefault="005A2504" w:rsidP="005A2504">
      <w:r>
        <w:separator/>
      </w:r>
    </w:p>
  </w:footnote>
  <w:footnote w:type="continuationSeparator" w:id="0">
    <w:p w14:paraId="5D496F63" w14:textId="77777777" w:rsidR="005A2504" w:rsidRDefault="005A2504" w:rsidP="005A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FEABF" w14:textId="77777777" w:rsidR="0033726A" w:rsidRDefault="00337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6CC6" w14:textId="77777777" w:rsidR="0033726A" w:rsidRDefault="00337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15274" w14:textId="77777777" w:rsidR="0033726A" w:rsidRDefault="00337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04"/>
    <w:rsid w:val="00052E21"/>
    <w:rsid w:val="0009066A"/>
    <w:rsid w:val="0033726A"/>
    <w:rsid w:val="005A2504"/>
    <w:rsid w:val="00B4701F"/>
    <w:rsid w:val="00E7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27563"/>
  <w15:chartTrackingRefBased/>
  <w15:docId w15:val="{4EE7AF5E-61A6-471E-8263-EB8A3C72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250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5A2504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5A2504"/>
    <w:rPr>
      <w:rFonts w:ascii="Calibri" w:eastAsia="Times New Roman" w:hAnsi="Calibri" w:cs="Calibri"/>
      <w:b/>
      <w:lang w:eastAsia="en-AU"/>
    </w:rPr>
  </w:style>
  <w:style w:type="character" w:styleId="Strong">
    <w:name w:val="Strong"/>
    <w:uiPriority w:val="22"/>
    <w:qFormat/>
    <w:rsid w:val="005A2504"/>
    <w:rPr>
      <w:b/>
      <w:bCs/>
    </w:rPr>
  </w:style>
  <w:style w:type="paragraph" w:customStyle="1" w:styleId="TableText">
    <w:name w:val="Table Text"/>
    <w:basedOn w:val="Normal"/>
    <w:link w:val="TableTextChar"/>
    <w:uiPriority w:val="15"/>
    <w:qFormat/>
    <w:rsid w:val="005A2504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5A2504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5A2504"/>
    <w:pPr>
      <w:keepNext/>
      <w:spacing w:before="40" w:after="40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A25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basedOn w:val="TableTextChar"/>
    <w:link w:val="TableHeader"/>
    <w:uiPriority w:val="15"/>
    <w:rsid w:val="005A2504"/>
    <w:rPr>
      <w:rFonts w:ascii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A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5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504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A25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504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1CAB11E-B980-4A04-BD09-D35503FBB89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Coles (DTF)</dc:creator>
  <cp:keywords/>
  <dc:description/>
  <cp:lastModifiedBy>Athena Rozenberg (DTF)</cp:lastModifiedBy>
  <cp:revision>3</cp:revision>
  <dcterms:created xsi:type="dcterms:W3CDTF">2020-10-12T05:31:00Z</dcterms:created>
  <dcterms:modified xsi:type="dcterms:W3CDTF">2020-10-12T05:32:00Z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Vanessa.Coles@dtf.vic.gov.au</vt:lpwstr>
  </property>
  <property fmtid="{D5CDD505-2E9C-101B-9397-08002B2CF9AE}" pid="5" name="MSIP_Label_7158ebbd-6c5e-441f-bfc9-4eb8c11e3978_SetDate">
    <vt:lpwstr>2020-10-11T02:38:08.6159859Z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