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279C1" w14:textId="6EDE888B" w:rsidR="00A63AFD" w:rsidRDefault="00A63AFD" w:rsidP="00E90192">
      <w:pPr>
        <w:pStyle w:val="Heading1"/>
        <w:spacing w:before="0" w:after="120"/>
        <w:rPr>
          <w:b/>
          <w:bCs/>
          <w:color w:val="auto"/>
          <w:sz w:val="24"/>
          <w:szCs w:val="24"/>
        </w:rPr>
      </w:pPr>
      <w:bookmarkStart w:id="0" w:name="_Ref425499231"/>
      <w:bookmarkStart w:id="1" w:name="_Ref520987609"/>
      <w:bookmarkStart w:id="2" w:name="_Ref16175171"/>
      <w:bookmarkStart w:id="3" w:name="_Toc17130211"/>
      <w:bookmarkStart w:id="4" w:name="_Toc48837157"/>
      <w:bookmarkStart w:id="5" w:name="_Toc49185547"/>
      <w:r w:rsidRPr="00A63AFD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A63AFD">
        <w:rPr>
          <w:b/>
          <w:bCs/>
          <w:color w:val="auto"/>
          <w:sz w:val="24"/>
          <w:szCs w:val="24"/>
        </w:rPr>
        <w:t xml:space="preserve">State Purchase Contracts approved in </w:t>
      </w:r>
      <w:bookmarkEnd w:id="1"/>
      <w:r w:rsidRPr="00A63AFD">
        <w:rPr>
          <w:b/>
          <w:bCs/>
          <w:color w:val="auto"/>
          <w:sz w:val="24"/>
          <w:szCs w:val="24"/>
        </w:rPr>
        <w:t>2019–20</w:t>
      </w:r>
      <w:bookmarkEnd w:id="2"/>
      <w:bookmarkEnd w:id="3"/>
      <w:bookmarkEnd w:id="4"/>
      <w:bookmarkEnd w:id="5"/>
    </w:p>
    <w:p w14:paraId="6A293F3E" w14:textId="46FC54E8" w:rsidR="00E90192" w:rsidRPr="00E90192" w:rsidRDefault="00E90192" w:rsidP="00E90192">
      <w:pPr>
        <w:spacing w:after="120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</w:t>
      </w:r>
      <w:bookmarkStart w:id="6" w:name="_GoBack"/>
      <w:bookmarkEnd w:id="6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ment Purchasing Board Annual Report 2019-20</w:t>
      </w:r>
    </w:p>
    <w:tbl>
      <w:tblPr>
        <w:tblStyle w:val="PlainTable21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032"/>
        <w:gridCol w:w="1370"/>
        <w:gridCol w:w="1276"/>
        <w:gridCol w:w="1275"/>
        <w:gridCol w:w="1418"/>
        <w:gridCol w:w="1276"/>
        <w:gridCol w:w="1417"/>
        <w:gridCol w:w="1276"/>
      </w:tblGrid>
      <w:tr w:rsidR="00A63AFD" w:rsidRPr="00A63AFD" w14:paraId="1ABD2966" w14:textId="77777777" w:rsidTr="00E901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auto"/>
          </w:tcPr>
          <w:p w14:paraId="7145D579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  <w:proofErr w:type="spellStart"/>
            <w:r w:rsidRPr="00A63AFD">
              <w:rPr>
                <w:sz w:val="22"/>
                <w:szCs w:val="22"/>
              </w:rPr>
              <w:t>Organisation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F1B8689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Total number</w:t>
            </w:r>
          </w:p>
        </w:tc>
        <w:tc>
          <w:tcPr>
            <w:tcW w:w="2032" w:type="dxa"/>
            <w:shd w:val="clear" w:color="auto" w:fill="auto"/>
          </w:tcPr>
          <w:p w14:paraId="7E04E7BE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Title/description</w:t>
            </w:r>
          </w:p>
        </w:tc>
        <w:tc>
          <w:tcPr>
            <w:tcW w:w="1370" w:type="dxa"/>
            <w:shd w:val="clear" w:color="auto" w:fill="auto"/>
          </w:tcPr>
          <w:p w14:paraId="1D3B6A26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Total estimated value (million)</w:t>
            </w:r>
          </w:p>
        </w:tc>
        <w:tc>
          <w:tcPr>
            <w:tcW w:w="1276" w:type="dxa"/>
            <w:shd w:val="clear" w:color="auto" w:fill="auto"/>
          </w:tcPr>
          <w:p w14:paraId="0B63ECAE" w14:textId="33A8C942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Contract term (y</w:t>
            </w:r>
            <w:r>
              <w:rPr>
                <w:sz w:val="22"/>
                <w:szCs w:val="22"/>
              </w:rPr>
              <w:t>ea</w:t>
            </w:r>
            <w:r w:rsidRPr="00A63AFD">
              <w:rPr>
                <w:sz w:val="22"/>
                <w:szCs w:val="22"/>
              </w:rPr>
              <w:t>rs)</w:t>
            </w:r>
          </w:p>
        </w:tc>
        <w:tc>
          <w:tcPr>
            <w:tcW w:w="1275" w:type="dxa"/>
            <w:shd w:val="clear" w:color="auto" w:fill="auto"/>
          </w:tcPr>
          <w:p w14:paraId="137B7D85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Options</w:t>
            </w:r>
          </w:p>
        </w:tc>
        <w:tc>
          <w:tcPr>
            <w:tcW w:w="1418" w:type="dxa"/>
            <w:shd w:val="clear" w:color="auto" w:fill="auto"/>
          </w:tcPr>
          <w:p w14:paraId="038B1489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Complexity assessment outcome</w:t>
            </w:r>
          </w:p>
        </w:tc>
        <w:tc>
          <w:tcPr>
            <w:tcW w:w="1276" w:type="dxa"/>
            <w:shd w:val="clear" w:color="auto" w:fill="auto"/>
          </w:tcPr>
          <w:p w14:paraId="099F8E9C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Market approach method</w:t>
            </w:r>
          </w:p>
        </w:tc>
        <w:tc>
          <w:tcPr>
            <w:tcW w:w="1417" w:type="dxa"/>
            <w:shd w:val="clear" w:color="auto" w:fill="auto"/>
          </w:tcPr>
          <w:p w14:paraId="492EAB0C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Type of arrangement</w:t>
            </w:r>
          </w:p>
        </w:tc>
        <w:tc>
          <w:tcPr>
            <w:tcW w:w="1276" w:type="dxa"/>
            <w:shd w:val="clear" w:color="auto" w:fill="auto"/>
          </w:tcPr>
          <w:p w14:paraId="1E64C3ED" w14:textId="77777777" w:rsidR="00A63AFD" w:rsidRPr="00A63AFD" w:rsidRDefault="00A63AFD" w:rsidP="00A63AFD">
            <w:pPr>
              <w:pStyle w:val="TableTex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No. of suppliers</w:t>
            </w:r>
          </w:p>
        </w:tc>
      </w:tr>
      <w:tr w:rsidR="00A63AFD" w:rsidRPr="00A63AFD" w14:paraId="2CA9B68D" w14:textId="77777777" w:rsidTr="00E90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5EA00C6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Treasury and Finance</w:t>
            </w:r>
          </w:p>
        </w:tc>
        <w:tc>
          <w:tcPr>
            <w:tcW w:w="992" w:type="dxa"/>
          </w:tcPr>
          <w:p w14:paraId="5D2C9A26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1</w:t>
            </w:r>
          </w:p>
        </w:tc>
        <w:tc>
          <w:tcPr>
            <w:tcW w:w="2032" w:type="dxa"/>
          </w:tcPr>
          <w:p w14:paraId="13228511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Natural gas for small sites</w:t>
            </w:r>
          </w:p>
        </w:tc>
        <w:tc>
          <w:tcPr>
            <w:tcW w:w="1370" w:type="dxa"/>
            <w:vAlign w:val="center"/>
          </w:tcPr>
          <w:p w14:paraId="2E5787D0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$65.0</w:t>
            </w:r>
          </w:p>
        </w:tc>
        <w:tc>
          <w:tcPr>
            <w:tcW w:w="1276" w:type="dxa"/>
            <w:vAlign w:val="center"/>
          </w:tcPr>
          <w:p w14:paraId="6F01F799" w14:textId="77777777" w:rsidR="00A63AFD" w:rsidRPr="00A63AFD" w:rsidRDefault="00A63AFD" w:rsidP="00E90192">
            <w:pPr>
              <w:pStyle w:val="Tablenumbers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39849BE6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Up to 3 years</w:t>
            </w:r>
          </w:p>
        </w:tc>
        <w:tc>
          <w:tcPr>
            <w:tcW w:w="1418" w:type="dxa"/>
            <w:vAlign w:val="center"/>
          </w:tcPr>
          <w:p w14:paraId="2F5D8F03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3344325E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RFT</w:t>
            </w:r>
          </w:p>
        </w:tc>
        <w:tc>
          <w:tcPr>
            <w:tcW w:w="1417" w:type="dxa"/>
            <w:vAlign w:val="center"/>
          </w:tcPr>
          <w:p w14:paraId="5A4D168A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5A669688" w14:textId="77777777" w:rsidR="00A63AFD" w:rsidRPr="00A63AFD" w:rsidRDefault="00A63AFD" w:rsidP="00E90192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</w:tr>
      <w:tr w:rsidR="00A63AFD" w:rsidRPr="00A63AFD" w14:paraId="44E8A730" w14:textId="77777777" w:rsidTr="00E90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 w:val="restart"/>
          </w:tcPr>
          <w:p w14:paraId="05CCFC38" w14:textId="77777777" w:rsidR="00A63AFD" w:rsidRPr="00A63AFD" w:rsidRDefault="00A63AFD" w:rsidP="00A63AFD">
            <w:pPr>
              <w:pStyle w:val="TableText"/>
              <w:spacing w:before="120" w:after="120"/>
              <w:rPr>
                <w:b w:val="0"/>
                <w:bCs w:val="0"/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Premier and Cabinet</w:t>
            </w:r>
          </w:p>
        </w:tc>
        <w:tc>
          <w:tcPr>
            <w:tcW w:w="992" w:type="dxa"/>
            <w:vMerge w:val="restart"/>
          </w:tcPr>
          <w:p w14:paraId="23F49E47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5</w:t>
            </w:r>
          </w:p>
        </w:tc>
        <w:tc>
          <w:tcPr>
            <w:tcW w:w="2032" w:type="dxa"/>
            <w:vAlign w:val="center"/>
          </w:tcPr>
          <w:p w14:paraId="7A68CA87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A63AFD">
              <w:rPr>
                <w:sz w:val="22"/>
                <w:szCs w:val="22"/>
              </w:rPr>
              <w:t>SalesForce</w:t>
            </w:r>
            <w:proofErr w:type="spellEnd"/>
            <w:r w:rsidRPr="00A63AFD">
              <w:rPr>
                <w:sz w:val="22"/>
                <w:szCs w:val="22"/>
              </w:rPr>
              <w:t xml:space="preserve"> renewal*</w:t>
            </w:r>
          </w:p>
        </w:tc>
        <w:tc>
          <w:tcPr>
            <w:tcW w:w="1370" w:type="dxa"/>
            <w:vAlign w:val="center"/>
          </w:tcPr>
          <w:p w14:paraId="212E9ADA" w14:textId="77777777" w:rsidR="00A63AFD" w:rsidRPr="00A63AFD" w:rsidRDefault="00A63AFD" w:rsidP="00A63AFD">
            <w:pPr>
              <w:pStyle w:val="Tablenumbers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$26.1</w:t>
            </w:r>
          </w:p>
        </w:tc>
        <w:tc>
          <w:tcPr>
            <w:tcW w:w="1276" w:type="dxa"/>
            <w:vAlign w:val="center"/>
          </w:tcPr>
          <w:p w14:paraId="13F74FC6" w14:textId="77777777" w:rsidR="00A63AFD" w:rsidRPr="00A63AFD" w:rsidRDefault="00A63AFD" w:rsidP="00E90192">
            <w:pPr>
              <w:pStyle w:val="Tablenumbers"/>
              <w:spacing w:before="120" w:after="120"/>
              <w:ind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11BC29B6" w14:textId="77777777" w:rsidR="00A63AFD" w:rsidRPr="00A63AFD" w:rsidRDefault="00A63AFD" w:rsidP="00A63AFD">
            <w:pPr>
              <w:pStyle w:val="Tablenumbers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A98E93B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57386C86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RFQ</w:t>
            </w:r>
          </w:p>
        </w:tc>
        <w:tc>
          <w:tcPr>
            <w:tcW w:w="1417" w:type="dxa"/>
            <w:vAlign w:val="center"/>
          </w:tcPr>
          <w:p w14:paraId="2AA846B2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14ACD15D" w14:textId="77777777" w:rsidR="00A63AFD" w:rsidRPr="00A63AFD" w:rsidRDefault="00A63AFD" w:rsidP="00E90192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</w:tr>
      <w:tr w:rsidR="00A63AFD" w:rsidRPr="00A63AFD" w14:paraId="3036291F" w14:textId="77777777" w:rsidTr="00E90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C62C471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6416DB05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5BDD42F4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Microsoft Enterprise Agreement renewal*</w:t>
            </w:r>
          </w:p>
        </w:tc>
        <w:tc>
          <w:tcPr>
            <w:tcW w:w="1370" w:type="dxa"/>
            <w:vAlign w:val="center"/>
          </w:tcPr>
          <w:p w14:paraId="525E794F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$157.2</w:t>
            </w:r>
          </w:p>
        </w:tc>
        <w:tc>
          <w:tcPr>
            <w:tcW w:w="1276" w:type="dxa"/>
            <w:vAlign w:val="center"/>
          </w:tcPr>
          <w:p w14:paraId="0D60B068" w14:textId="77777777" w:rsidR="00A63AFD" w:rsidRPr="00A63AFD" w:rsidRDefault="00A63AFD" w:rsidP="00E90192">
            <w:pPr>
              <w:pStyle w:val="Tablenumbers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515C3E0D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1x3</w:t>
            </w:r>
          </w:p>
        </w:tc>
        <w:tc>
          <w:tcPr>
            <w:tcW w:w="1418" w:type="dxa"/>
            <w:vAlign w:val="center"/>
          </w:tcPr>
          <w:p w14:paraId="5AC5625F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615BB4B2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RFQ</w:t>
            </w:r>
          </w:p>
        </w:tc>
        <w:tc>
          <w:tcPr>
            <w:tcW w:w="1417" w:type="dxa"/>
            <w:vAlign w:val="center"/>
          </w:tcPr>
          <w:p w14:paraId="162FF6DE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491E7332" w14:textId="77777777" w:rsidR="00A63AFD" w:rsidRPr="00A63AFD" w:rsidRDefault="00A63AFD" w:rsidP="00E90192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</w:tr>
      <w:tr w:rsidR="00A63AFD" w:rsidRPr="00A63AFD" w14:paraId="5243A040" w14:textId="77777777" w:rsidTr="00E90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28D44994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731778E5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6685E9FE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Data 3 (MS Licensing) renewal*</w:t>
            </w:r>
          </w:p>
        </w:tc>
        <w:tc>
          <w:tcPr>
            <w:tcW w:w="1370" w:type="dxa"/>
            <w:vAlign w:val="center"/>
          </w:tcPr>
          <w:p w14:paraId="3A6E9867" w14:textId="77777777" w:rsidR="00A63AFD" w:rsidRPr="00A63AFD" w:rsidRDefault="00A63AFD" w:rsidP="00A63AFD">
            <w:pPr>
              <w:pStyle w:val="Tablenumbers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As per Microsoft</w:t>
            </w:r>
          </w:p>
        </w:tc>
        <w:tc>
          <w:tcPr>
            <w:tcW w:w="1276" w:type="dxa"/>
            <w:vAlign w:val="center"/>
          </w:tcPr>
          <w:p w14:paraId="3FD98D2C" w14:textId="77777777" w:rsidR="00A63AFD" w:rsidRPr="00A63AFD" w:rsidRDefault="00A63AFD" w:rsidP="00E90192">
            <w:pPr>
              <w:pStyle w:val="Tablenumbers"/>
              <w:spacing w:before="120" w:after="120"/>
              <w:ind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18099E17" w14:textId="77777777" w:rsidR="00A63AFD" w:rsidRPr="00A63AFD" w:rsidRDefault="00A63AFD" w:rsidP="00A63AFD">
            <w:pPr>
              <w:pStyle w:val="Tablenumbers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4402884F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Strategic</w:t>
            </w:r>
          </w:p>
        </w:tc>
        <w:tc>
          <w:tcPr>
            <w:tcW w:w="1276" w:type="dxa"/>
            <w:vAlign w:val="center"/>
          </w:tcPr>
          <w:p w14:paraId="30342221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RFT</w:t>
            </w:r>
          </w:p>
        </w:tc>
        <w:tc>
          <w:tcPr>
            <w:tcW w:w="1417" w:type="dxa"/>
            <w:vAlign w:val="center"/>
          </w:tcPr>
          <w:p w14:paraId="5B0E2740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4904A53B" w14:textId="77777777" w:rsidR="00A63AFD" w:rsidRPr="00A63AFD" w:rsidRDefault="00A63AFD" w:rsidP="00E90192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</w:tr>
      <w:tr w:rsidR="00A63AFD" w:rsidRPr="00A63AFD" w14:paraId="1B75C60E" w14:textId="77777777" w:rsidTr="00E90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07678C99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2A8978CA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76EBA17D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 xml:space="preserve">Multifunctional Printing Device renewal </w:t>
            </w:r>
          </w:p>
        </w:tc>
        <w:tc>
          <w:tcPr>
            <w:tcW w:w="1370" w:type="dxa"/>
            <w:vAlign w:val="center"/>
          </w:tcPr>
          <w:p w14:paraId="489F3CE2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$46.5</w:t>
            </w:r>
          </w:p>
        </w:tc>
        <w:tc>
          <w:tcPr>
            <w:tcW w:w="1276" w:type="dxa"/>
            <w:vAlign w:val="center"/>
          </w:tcPr>
          <w:p w14:paraId="1FEF8956" w14:textId="77777777" w:rsidR="00A63AFD" w:rsidRPr="00A63AFD" w:rsidRDefault="00A63AFD" w:rsidP="00E90192">
            <w:pPr>
              <w:pStyle w:val="Tablenumbers"/>
              <w:spacing w:before="120" w:after="120"/>
              <w:ind w:right="17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43747CE9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 xml:space="preserve">2 </w:t>
            </w:r>
          </w:p>
        </w:tc>
        <w:tc>
          <w:tcPr>
            <w:tcW w:w="1418" w:type="dxa"/>
            <w:vAlign w:val="center"/>
          </w:tcPr>
          <w:p w14:paraId="66E8DA39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Transactional</w:t>
            </w:r>
          </w:p>
        </w:tc>
        <w:tc>
          <w:tcPr>
            <w:tcW w:w="1276" w:type="dxa"/>
            <w:vAlign w:val="center"/>
          </w:tcPr>
          <w:p w14:paraId="0E08A5E9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RFT</w:t>
            </w:r>
          </w:p>
        </w:tc>
        <w:tc>
          <w:tcPr>
            <w:tcW w:w="1417" w:type="dxa"/>
            <w:vAlign w:val="center"/>
          </w:tcPr>
          <w:p w14:paraId="7CD19004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Open</w:t>
            </w:r>
          </w:p>
        </w:tc>
        <w:tc>
          <w:tcPr>
            <w:tcW w:w="1276" w:type="dxa"/>
            <w:vAlign w:val="center"/>
          </w:tcPr>
          <w:p w14:paraId="0E8EE863" w14:textId="77777777" w:rsidR="00A63AFD" w:rsidRPr="00A63AFD" w:rsidRDefault="00A63AFD" w:rsidP="00E90192">
            <w:pPr>
              <w:pStyle w:val="Tablenumbers"/>
              <w:spacing w:before="120" w:after="120"/>
              <w:ind w:right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5</w:t>
            </w:r>
          </w:p>
        </w:tc>
      </w:tr>
      <w:tr w:rsidR="00A63AFD" w:rsidRPr="00A63AFD" w14:paraId="4EDC69BD" w14:textId="77777777" w:rsidTr="00E901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Merge/>
          </w:tcPr>
          <w:p w14:paraId="103BC162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14:paraId="5F768C37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032" w:type="dxa"/>
            <w:vAlign w:val="center"/>
          </w:tcPr>
          <w:p w14:paraId="61EDFBFC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 xml:space="preserve">Vendor Panel (supports eService and ICT infrastructure </w:t>
            </w:r>
            <w:proofErr w:type="gramStart"/>
            <w:r w:rsidRPr="00A63AFD">
              <w:rPr>
                <w:sz w:val="22"/>
                <w:szCs w:val="22"/>
              </w:rPr>
              <w:t>register)*</w:t>
            </w:r>
            <w:proofErr w:type="gramEnd"/>
          </w:p>
        </w:tc>
        <w:tc>
          <w:tcPr>
            <w:tcW w:w="1370" w:type="dxa"/>
            <w:vAlign w:val="center"/>
          </w:tcPr>
          <w:p w14:paraId="01E8E2DE" w14:textId="77777777" w:rsidR="00A63AFD" w:rsidRPr="00A63AFD" w:rsidRDefault="00A63AFD" w:rsidP="00A63AFD">
            <w:pPr>
              <w:pStyle w:val="Tablenumbers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$0.7</w:t>
            </w:r>
          </w:p>
        </w:tc>
        <w:tc>
          <w:tcPr>
            <w:tcW w:w="1276" w:type="dxa"/>
            <w:vAlign w:val="center"/>
          </w:tcPr>
          <w:p w14:paraId="5E541CD6" w14:textId="77777777" w:rsidR="00A63AFD" w:rsidRPr="00A63AFD" w:rsidRDefault="00A63AFD" w:rsidP="00E90192">
            <w:pPr>
              <w:pStyle w:val="Tablenumbers"/>
              <w:spacing w:before="120" w:after="120"/>
              <w:ind w:right="17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5BE334CE" w14:textId="77777777" w:rsidR="00A63AFD" w:rsidRPr="00A63AFD" w:rsidRDefault="00A63AFD" w:rsidP="00A63AFD">
            <w:pPr>
              <w:pStyle w:val="Tablenumbers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366DA55E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Transactional</w:t>
            </w:r>
          </w:p>
        </w:tc>
        <w:tc>
          <w:tcPr>
            <w:tcW w:w="1276" w:type="dxa"/>
            <w:vAlign w:val="center"/>
          </w:tcPr>
          <w:p w14:paraId="276DDB85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RFQ</w:t>
            </w:r>
          </w:p>
        </w:tc>
        <w:tc>
          <w:tcPr>
            <w:tcW w:w="1417" w:type="dxa"/>
            <w:vAlign w:val="center"/>
          </w:tcPr>
          <w:p w14:paraId="3C8B4506" w14:textId="77777777" w:rsidR="00A63AFD" w:rsidRPr="00A63AFD" w:rsidRDefault="00A63AFD" w:rsidP="00A63AFD">
            <w:pPr>
              <w:pStyle w:val="TableTex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Closed</w:t>
            </w:r>
          </w:p>
        </w:tc>
        <w:tc>
          <w:tcPr>
            <w:tcW w:w="1276" w:type="dxa"/>
            <w:vAlign w:val="center"/>
          </w:tcPr>
          <w:p w14:paraId="45E3CA80" w14:textId="77777777" w:rsidR="00A63AFD" w:rsidRPr="00A63AFD" w:rsidRDefault="00A63AFD" w:rsidP="00E90192">
            <w:pPr>
              <w:pStyle w:val="Tablenumbers"/>
              <w:spacing w:before="120" w:after="120"/>
              <w:ind w:right="17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1</w:t>
            </w:r>
          </w:p>
        </w:tc>
      </w:tr>
      <w:tr w:rsidR="00A63AFD" w:rsidRPr="00A63AFD" w14:paraId="4683922F" w14:textId="77777777" w:rsidTr="00E901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8D15E4F" w14:textId="77777777" w:rsidR="00A63AFD" w:rsidRPr="00A63AFD" w:rsidRDefault="00A63AFD" w:rsidP="00A63AFD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</w:tcPr>
          <w:p w14:paraId="131BF70F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63AFD">
              <w:rPr>
                <w:sz w:val="22"/>
                <w:szCs w:val="22"/>
              </w:rPr>
              <w:t>6</w:t>
            </w:r>
          </w:p>
        </w:tc>
        <w:tc>
          <w:tcPr>
            <w:tcW w:w="2032" w:type="dxa"/>
          </w:tcPr>
          <w:p w14:paraId="32E1C5C1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370" w:type="dxa"/>
          </w:tcPr>
          <w:p w14:paraId="1A6C45A6" w14:textId="77777777" w:rsidR="00A63AFD" w:rsidRPr="00A63AFD" w:rsidRDefault="00A63AFD" w:rsidP="00A63AFD">
            <w:pPr>
              <w:pStyle w:val="Tablenumbers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  <w:szCs w:val="22"/>
              </w:rPr>
            </w:pPr>
            <w:r w:rsidRPr="00A63AFD">
              <w:rPr>
                <w:rFonts w:cs="Calibri"/>
                <w:sz w:val="22"/>
                <w:szCs w:val="22"/>
              </w:rPr>
              <w:t>$295.5</w:t>
            </w:r>
          </w:p>
        </w:tc>
        <w:tc>
          <w:tcPr>
            <w:tcW w:w="1276" w:type="dxa"/>
          </w:tcPr>
          <w:p w14:paraId="46B89E30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9969B6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F792F87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2121AB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1D154583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186265" w14:textId="77777777" w:rsidR="00A63AFD" w:rsidRPr="00A63AFD" w:rsidRDefault="00A63AFD" w:rsidP="00A63AFD">
            <w:pPr>
              <w:pStyle w:val="TableText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408BF894" w14:textId="77777777" w:rsidR="00A63AFD" w:rsidRPr="00A63AFD" w:rsidRDefault="00A63AFD" w:rsidP="00A63AFD">
      <w:pPr>
        <w:pStyle w:val="Tablenotes"/>
        <w:spacing w:before="120" w:after="120"/>
        <w:ind w:left="0"/>
        <w:rPr>
          <w:rFonts w:cs="Calibri"/>
          <w:sz w:val="22"/>
          <w:szCs w:val="22"/>
        </w:rPr>
      </w:pPr>
      <w:r w:rsidRPr="00A63AFD">
        <w:rPr>
          <w:rFonts w:cs="Calibri"/>
          <w:sz w:val="22"/>
          <w:szCs w:val="22"/>
        </w:rPr>
        <w:t>RFT = Request for tender, RFQ = Request for quote</w:t>
      </w:r>
    </w:p>
    <w:p w14:paraId="2F3FFCB0" w14:textId="1C0109B8" w:rsidR="00297DA1" w:rsidRDefault="00A63AFD" w:rsidP="00E90192">
      <w:pPr>
        <w:pStyle w:val="Tablenotes"/>
        <w:spacing w:before="120" w:after="120"/>
        <w:ind w:left="0"/>
      </w:pPr>
      <w:r w:rsidRPr="00A63AFD">
        <w:rPr>
          <w:rFonts w:cs="Calibri"/>
          <w:sz w:val="22"/>
          <w:szCs w:val="22"/>
        </w:rPr>
        <w:t>* Non-mandatory/optional SPC</w:t>
      </w:r>
    </w:p>
    <w:sectPr w:rsidR="00297DA1" w:rsidSect="00E90192">
      <w:footerReference w:type="default" r:id="rId7"/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316E0" w14:textId="77777777" w:rsidR="00A63AFD" w:rsidRDefault="00A63AFD" w:rsidP="00A63AFD">
      <w:r>
        <w:separator/>
      </w:r>
    </w:p>
  </w:endnote>
  <w:endnote w:type="continuationSeparator" w:id="0">
    <w:p w14:paraId="2FE40273" w14:textId="77777777" w:rsidR="00A63AFD" w:rsidRDefault="00A63AFD" w:rsidP="00A6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7E2EC" w14:textId="5D476B7A" w:rsidR="00A63AFD" w:rsidRDefault="00A63A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F31E89" wp14:editId="51624984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d1424093af1508c9f85d0611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1988D2" w14:textId="5F60FA0F" w:rsidR="00A63AFD" w:rsidRPr="00A63AFD" w:rsidRDefault="00A63AFD" w:rsidP="00A63AFD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A63AFD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31E89" id="_x0000_t202" coordsize="21600,21600" o:spt="202" path="m,l,21600r21600,l21600,xe">
              <v:stroke joinstyle="miter"/>
              <v:path gradientshapeok="t" o:connecttype="rect"/>
            </v:shapetype>
            <v:shape id="MSIPCMd1424093af1508c9f85d0611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" o:allowincell="f" filled="f" stroked="f" strokeweight=".5pt">
              <v:fill o:detectmouseclick="t"/>
              <v:textbox inset="20pt,0,,0">
                <w:txbxContent>
                  <w:p w14:paraId="2B1988D2" w14:textId="5F60FA0F" w:rsidR="00A63AFD" w:rsidRPr="00A63AFD" w:rsidRDefault="00A63AFD" w:rsidP="00A63AFD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A63AFD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28087" w14:textId="77777777" w:rsidR="00A63AFD" w:rsidRDefault="00A63AFD" w:rsidP="00A63AFD">
      <w:r>
        <w:separator/>
      </w:r>
    </w:p>
  </w:footnote>
  <w:footnote w:type="continuationSeparator" w:id="0">
    <w:p w14:paraId="56214107" w14:textId="77777777" w:rsidR="00A63AFD" w:rsidRDefault="00A63AFD" w:rsidP="00A6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FD"/>
    <w:rsid w:val="002141FF"/>
    <w:rsid w:val="002425E7"/>
    <w:rsid w:val="0037394B"/>
    <w:rsid w:val="003F0859"/>
    <w:rsid w:val="00490C11"/>
    <w:rsid w:val="007714EB"/>
    <w:rsid w:val="00A63AFD"/>
    <w:rsid w:val="00A975B5"/>
    <w:rsid w:val="00E90192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524CB5"/>
  <w15:chartTrackingRefBased/>
  <w15:docId w15:val="{EDA23C4C-22C4-41D1-9803-FFB4DDCD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63A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3A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A63AFD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A63AFD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A63AFD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A63AFD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A63AFD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A63AFD"/>
    <w:rPr>
      <w:rFonts w:ascii="Calibri" w:hAnsi="Calibri"/>
      <w:color w:val="000000"/>
      <w:sz w:val="20"/>
      <w:szCs w:val="20"/>
      <w:lang w:val="en-US"/>
    </w:rPr>
  </w:style>
  <w:style w:type="table" w:customStyle="1" w:styleId="PlainTable21">
    <w:name w:val="Plain Table 21"/>
    <w:basedOn w:val="TableNormal"/>
    <w:rsid w:val="00A63A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notes">
    <w:name w:val="Table notes"/>
    <w:basedOn w:val="Normal"/>
    <w:link w:val="TablenotesChar"/>
    <w:qFormat/>
    <w:rsid w:val="00A63AFD"/>
    <w:pPr>
      <w:spacing w:before="20"/>
      <w:ind w:left="851"/>
      <w:contextualSpacing/>
    </w:pPr>
    <w:rPr>
      <w:rFonts w:ascii="Calibri" w:eastAsia="Calibri" w:hAnsi="Calibri"/>
      <w:spacing w:val="-2"/>
      <w:sz w:val="18"/>
      <w:szCs w:val="18"/>
      <w:lang w:eastAsia="en-US"/>
    </w:rPr>
  </w:style>
  <w:style w:type="character" w:customStyle="1" w:styleId="TablenotesChar">
    <w:name w:val="Table notes Char"/>
    <w:basedOn w:val="DefaultParagraphFont"/>
    <w:link w:val="Tablenotes"/>
    <w:rsid w:val="00A63AFD"/>
    <w:rPr>
      <w:rFonts w:ascii="Calibri" w:eastAsia="Calibri" w:hAnsi="Calibri" w:cs="Times New Roman"/>
      <w:spacing w:val="-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63AF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A63A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FD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A63A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AFD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3FD36A7-6CE7-4F20-A2AE-F767FC828E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Table-State-Purchase-Contracts-approved-in-2019–20</dc:title>
  <dc:subject/>
  <dc:creator>Athena Rozenberg (DTF)</dc:creator>
  <cp:keywords/>
  <dc:description/>
  <cp:lastModifiedBy>Athena Rozenberg (DTF)</cp:lastModifiedBy>
  <cp:revision>3</cp:revision>
  <dcterms:created xsi:type="dcterms:W3CDTF">2020-10-09T09:10:00Z</dcterms:created>
  <dcterms:modified xsi:type="dcterms:W3CDTF">2020-10-12T05:17:00Z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2020-10-09T09:15:42.0314311Z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