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1514" w14:textId="148BF7F0" w:rsidR="00185088" w:rsidRDefault="00185088" w:rsidP="00185088">
      <w:pPr>
        <w:pStyle w:val="Heading1"/>
        <w:spacing w:after="120"/>
        <w:rPr>
          <w:b/>
          <w:bCs/>
          <w:color w:val="auto"/>
          <w:sz w:val="24"/>
          <w:szCs w:val="24"/>
        </w:rPr>
      </w:pPr>
      <w:bookmarkStart w:id="0" w:name="_Toc49185535"/>
      <w:r w:rsidRPr="00185088">
        <w:rPr>
          <w:b/>
          <w:bCs/>
          <w:color w:val="auto"/>
          <w:sz w:val="24"/>
          <w:szCs w:val="24"/>
        </w:rPr>
        <w:t>Table: Summary of performance measure results in 2019–20</w:t>
      </w:r>
      <w:bookmarkEnd w:id="0"/>
    </w:p>
    <w:p w14:paraId="58B372D9" w14:textId="1C135384" w:rsidR="00E907E8" w:rsidRPr="00E907E8" w:rsidRDefault="00E907E8" w:rsidP="00E907E8">
      <w:pPr>
        <w:spacing w:after="120"/>
      </w:pPr>
      <w:r>
        <w:rPr>
          <w:rFonts w:asciiTheme="minorHAnsi" w:eastAsiaTheme="minorHAnsi" w:hAnsiTheme="minorHAnsi" w:cstheme="minorBidi"/>
          <w:sz w:val="22"/>
          <w:szCs w:val="22"/>
          <w:lang w:eastAsia="en-US"/>
        </w:rPr>
        <w:t>Extract from Victorian Government Purchasing Board Annual Report 2</w:t>
      </w:r>
      <w:bookmarkStart w:id="1" w:name="_GoBack"/>
      <w:bookmarkEnd w:id="1"/>
      <w:r>
        <w:rPr>
          <w:rFonts w:asciiTheme="minorHAnsi" w:eastAsiaTheme="minorHAnsi" w:hAnsiTheme="minorHAnsi" w:cstheme="minorBidi"/>
          <w:sz w:val="22"/>
          <w:szCs w:val="22"/>
          <w:lang w:eastAsia="en-US"/>
        </w:rPr>
        <w:t>019-20</w:t>
      </w:r>
    </w:p>
    <w:tbl>
      <w:tblPr>
        <w:tblStyle w:val="TableGrid1"/>
        <w:tblW w:w="9438" w:type="dxa"/>
        <w:tblInd w:w="-5" w:type="dxa"/>
        <w:tblLook w:val="04A0" w:firstRow="1" w:lastRow="0" w:firstColumn="1" w:lastColumn="0" w:noHBand="0" w:noVBand="1"/>
      </w:tblPr>
      <w:tblGrid>
        <w:gridCol w:w="561"/>
        <w:gridCol w:w="2504"/>
        <w:gridCol w:w="607"/>
        <w:gridCol w:w="607"/>
        <w:gridCol w:w="607"/>
        <w:gridCol w:w="644"/>
        <w:gridCol w:w="716"/>
        <w:gridCol w:w="607"/>
        <w:gridCol w:w="607"/>
        <w:gridCol w:w="607"/>
        <w:gridCol w:w="655"/>
        <w:gridCol w:w="716"/>
      </w:tblGrid>
      <w:tr w:rsidR="00185088" w:rsidRPr="00BE2C43" w14:paraId="1F79D46D" w14:textId="77777777" w:rsidTr="00185088">
        <w:trPr>
          <w:cantSplit/>
          <w:trHeight w:val="3817"/>
          <w:tblHeader/>
        </w:trPr>
        <w:tc>
          <w:tcPr>
            <w:tcW w:w="567" w:type="dxa"/>
            <w:shd w:val="clear" w:color="auto" w:fill="auto"/>
            <w:textDirection w:val="btLr"/>
          </w:tcPr>
          <w:p w14:paraId="6B794349" w14:textId="224452DA" w:rsidR="00185088" w:rsidRPr="00BE2C43" w:rsidRDefault="00185088" w:rsidP="00185088">
            <w:pPr>
              <w:pStyle w:val="TableText"/>
              <w:ind w:left="113" w:right="113"/>
              <w:rPr>
                <w:rFonts w:asciiTheme="minorHAnsi" w:hAnsiTheme="minorHAnsi" w:cstheme="minorHAnsi"/>
                <w:b/>
                <w:bCs/>
                <w:sz w:val="22"/>
                <w:szCs w:val="22"/>
              </w:rPr>
            </w:pPr>
            <w:r w:rsidRPr="00BE2C43">
              <w:rPr>
                <w:rFonts w:asciiTheme="minorHAnsi" w:hAnsiTheme="minorHAnsi" w:cstheme="minorHAnsi"/>
                <w:b/>
                <w:bCs/>
                <w:sz w:val="22"/>
                <w:szCs w:val="22"/>
              </w:rPr>
              <w:t>Performance measure number</w:t>
            </w:r>
          </w:p>
        </w:tc>
        <w:tc>
          <w:tcPr>
            <w:tcW w:w="2783" w:type="dxa"/>
            <w:shd w:val="clear" w:color="auto" w:fill="auto"/>
            <w:textDirection w:val="btLr"/>
            <w:vAlign w:val="center"/>
          </w:tcPr>
          <w:p w14:paraId="7054790E" w14:textId="73F91AE7" w:rsidR="00185088" w:rsidRPr="00BE2C43" w:rsidRDefault="00185088" w:rsidP="00185088">
            <w:pPr>
              <w:pStyle w:val="TableText"/>
              <w:ind w:left="113" w:right="113"/>
              <w:rPr>
                <w:rFonts w:asciiTheme="minorHAnsi" w:hAnsiTheme="minorHAnsi" w:cstheme="minorHAnsi"/>
                <w:b/>
                <w:bCs/>
                <w:sz w:val="22"/>
                <w:szCs w:val="22"/>
              </w:rPr>
            </w:pPr>
            <w:r w:rsidRPr="00BE2C43">
              <w:rPr>
                <w:rFonts w:asciiTheme="minorHAnsi" w:hAnsiTheme="minorHAnsi" w:cstheme="minorHAnsi"/>
                <w:b/>
                <w:bCs/>
                <w:sz w:val="22"/>
                <w:szCs w:val="22"/>
              </w:rPr>
              <w:t>Performance measure</w:t>
            </w:r>
          </w:p>
        </w:tc>
        <w:tc>
          <w:tcPr>
            <w:tcW w:w="571" w:type="dxa"/>
            <w:shd w:val="clear" w:color="auto" w:fill="auto"/>
            <w:textDirection w:val="btLr"/>
          </w:tcPr>
          <w:p w14:paraId="73B4F14A" w14:textId="77777777" w:rsidR="00185088" w:rsidRPr="00BE2C43" w:rsidRDefault="00185088" w:rsidP="00761DC3">
            <w:pPr>
              <w:pStyle w:val="TableText"/>
              <w:rPr>
                <w:rFonts w:asciiTheme="minorHAnsi" w:hAnsiTheme="minorHAnsi" w:cstheme="minorHAnsi"/>
                <w:b/>
                <w:bCs/>
                <w:sz w:val="22"/>
                <w:szCs w:val="22"/>
              </w:rPr>
            </w:pPr>
            <w:r w:rsidRPr="00BE2C43">
              <w:rPr>
                <w:rFonts w:asciiTheme="minorHAnsi" w:hAnsiTheme="minorHAnsi" w:cstheme="minorHAnsi"/>
                <w:b/>
                <w:bCs/>
                <w:sz w:val="22"/>
                <w:szCs w:val="22"/>
              </w:rPr>
              <w:t>Education and Training</w:t>
            </w:r>
          </w:p>
        </w:tc>
        <w:tc>
          <w:tcPr>
            <w:tcW w:w="571" w:type="dxa"/>
            <w:shd w:val="clear" w:color="auto" w:fill="auto"/>
            <w:textDirection w:val="btLr"/>
          </w:tcPr>
          <w:p w14:paraId="7F99909A" w14:textId="77777777" w:rsidR="00185088" w:rsidRPr="00BE2C43" w:rsidRDefault="00185088" w:rsidP="00761DC3">
            <w:pPr>
              <w:pStyle w:val="TableText"/>
              <w:rPr>
                <w:rFonts w:asciiTheme="minorHAnsi" w:hAnsiTheme="minorHAnsi" w:cstheme="minorHAnsi"/>
                <w:b/>
                <w:bCs/>
                <w:sz w:val="22"/>
                <w:szCs w:val="22"/>
              </w:rPr>
            </w:pPr>
            <w:r w:rsidRPr="00BE2C43">
              <w:rPr>
                <w:rFonts w:asciiTheme="minorHAnsi" w:hAnsiTheme="minorHAnsi" w:cstheme="minorHAnsi"/>
                <w:b/>
                <w:bCs/>
                <w:sz w:val="22"/>
                <w:szCs w:val="22"/>
              </w:rPr>
              <w:t>Environment, Land, Water and Planning</w:t>
            </w:r>
          </w:p>
        </w:tc>
        <w:tc>
          <w:tcPr>
            <w:tcW w:w="571" w:type="dxa"/>
            <w:shd w:val="clear" w:color="auto" w:fill="auto"/>
            <w:textDirection w:val="btLr"/>
          </w:tcPr>
          <w:p w14:paraId="414D535D" w14:textId="77777777" w:rsidR="00185088" w:rsidRPr="00BE2C43" w:rsidRDefault="00185088" w:rsidP="00761DC3">
            <w:pPr>
              <w:pStyle w:val="TableText"/>
              <w:rPr>
                <w:rFonts w:asciiTheme="minorHAnsi" w:hAnsiTheme="minorHAnsi" w:cstheme="minorHAnsi"/>
                <w:b/>
                <w:bCs/>
                <w:sz w:val="22"/>
                <w:szCs w:val="22"/>
              </w:rPr>
            </w:pPr>
            <w:r w:rsidRPr="00BE2C43">
              <w:rPr>
                <w:rFonts w:asciiTheme="minorHAnsi" w:hAnsiTheme="minorHAnsi" w:cstheme="minorHAnsi"/>
                <w:b/>
                <w:bCs/>
                <w:sz w:val="22"/>
                <w:szCs w:val="22"/>
              </w:rPr>
              <w:t>Health and Human Services</w:t>
            </w:r>
          </w:p>
        </w:tc>
        <w:tc>
          <w:tcPr>
            <w:tcW w:w="653" w:type="dxa"/>
            <w:shd w:val="clear" w:color="auto" w:fill="auto"/>
            <w:textDirection w:val="btLr"/>
          </w:tcPr>
          <w:p w14:paraId="4E83F485" w14:textId="77777777" w:rsidR="00185088" w:rsidRPr="00BE2C43" w:rsidRDefault="00185088" w:rsidP="00761DC3">
            <w:pPr>
              <w:pStyle w:val="TableText"/>
              <w:rPr>
                <w:rFonts w:asciiTheme="minorHAnsi" w:hAnsiTheme="minorHAnsi" w:cstheme="minorHAnsi"/>
                <w:b/>
                <w:bCs/>
                <w:sz w:val="22"/>
                <w:szCs w:val="22"/>
              </w:rPr>
            </w:pPr>
            <w:r w:rsidRPr="00BE2C43">
              <w:rPr>
                <w:rFonts w:asciiTheme="minorHAnsi" w:hAnsiTheme="minorHAnsi" w:cstheme="minorHAnsi"/>
                <w:b/>
                <w:bCs/>
                <w:sz w:val="22"/>
                <w:szCs w:val="22"/>
              </w:rPr>
              <w:t>Jobs, Precincts and Regions</w:t>
            </w:r>
          </w:p>
        </w:tc>
        <w:tc>
          <w:tcPr>
            <w:tcW w:w="671" w:type="dxa"/>
            <w:shd w:val="clear" w:color="auto" w:fill="auto"/>
            <w:textDirection w:val="btLr"/>
          </w:tcPr>
          <w:p w14:paraId="37487513" w14:textId="77777777" w:rsidR="00185088" w:rsidRPr="00BE2C43" w:rsidRDefault="00185088" w:rsidP="00761DC3">
            <w:pPr>
              <w:pStyle w:val="TableText"/>
              <w:rPr>
                <w:rFonts w:asciiTheme="minorHAnsi" w:hAnsiTheme="minorHAnsi" w:cstheme="minorHAnsi"/>
                <w:b/>
                <w:bCs/>
                <w:sz w:val="22"/>
                <w:szCs w:val="22"/>
              </w:rPr>
            </w:pPr>
            <w:r w:rsidRPr="00BE2C43">
              <w:rPr>
                <w:rFonts w:asciiTheme="minorHAnsi" w:hAnsiTheme="minorHAnsi" w:cstheme="minorHAnsi"/>
                <w:b/>
                <w:bCs/>
                <w:sz w:val="22"/>
                <w:szCs w:val="22"/>
              </w:rPr>
              <w:t>Justice and Community Safety</w:t>
            </w:r>
          </w:p>
        </w:tc>
        <w:tc>
          <w:tcPr>
            <w:tcW w:w="571" w:type="dxa"/>
            <w:shd w:val="clear" w:color="auto" w:fill="auto"/>
            <w:textDirection w:val="btLr"/>
          </w:tcPr>
          <w:p w14:paraId="71C01CD0" w14:textId="77777777" w:rsidR="00185088" w:rsidRPr="00BE2C43" w:rsidRDefault="00185088" w:rsidP="00761DC3">
            <w:pPr>
              <w:pStyle w:val="TableText"/>
              <w:rPr>
                <w:rFonts w:asciiTheme="minorHAnsi" w:hAnsiTheme="minorHAnsi" w:cstheme="minorHAnsi"/>
                <w:b/>
                <w:bCs/>
                <w:sz w:val="22"/>
                <w:szCs w:val="22"/>
              </w:rPr>
            </w:pPr>
            <w:r w:rsidRPr="00BE2C43">
              <w:rPr>
                <w:rFonts w:asciiTheme="minorHAnsi" w:hAnsiTheme="minorHAnsi" w:cstheme="minorHAnsi"/>
                <w:b/>
                <w:bCs/>
                <w:sz w:val="22"/>
                <w:szCs w:val="22"/>
              </w:rPr>
              <w:t>Premier and Cabinet</w:t>
            </w:r>
          </w:p>
        </w:tc>
        <w:tc>
          <w:tcPr>
            <w:tcW w:w="571" w:type="dxa"/>
            <w:shd w:val="clear" w:color="auto" w:fill="auto"/>
            <w:textDirection w:val="btLr"/>
          </w:tcPr>
          <w:p w14:paraId="721E3944" w14:textId="77777777" w:rsidR="00185088" w:rsidRPr="00BE2C43" w:rsidRDefault="00185088" w:rsidP="00761DC3">
            <w:pPr>
              <w:pStyle w:val="TableText"/>
              <w:rPr>
                <w:rFonts w:asciiTheme="minorHAnsi" w:hAnsiTheme="minorHAnsi" w:cstheme="minorHAnsi"/>
                <w:b/>
                <w:bCs/>
                <w:sz w:val="22"/>
                <w:szCs w:val="22"/>
              </w:rPr>
            </w:pPr>
            <w:r w:rsidRPr="00BE2C43">
              <w:rPr>
                <w:rFonts w:asciiTheme="minorHAnsi" w:hAnsiTheme="minorHAnsi" w:cstheme="minorHAnsi"/>
                <w:b/>
                <w:bCs/>
                <w:sz w:val="22"/>
                <w:szCs w:val="22"/>
              </w:rPr>
              <w:t>Transport</w:t>
            </w:r>
          </w:p>
        </w:tc>
        <w:tc>
          <w:tcPr>
            <w:tcW w:w="571" w:type="dxa"/>
            <w:shd w:val="clear" w:color="auto" w:fill="auto"/>
            <w:textDirection w:val="btLr"/>
          </w:tcPr>
          <w:p w14:paraId="0C87E084" w14:textId="77777777" w:rsidR="00185088" w:rsidRPr="00BE2C43" w:rsidRDefault="00185088" w:rsidP="00761DC3">
            <w:pPr>
              <w:pStyle w:val="TableText"/>
              <w:rPr>
                <w:rFonts w:asciiTheme="minorHAnsi" w:hAnsiTheme="minorHAnsi" w:cstheme="minorHAnsi"/>
                <w:b/>
                <w:bCs/>
                <w:sz w:val="22"/>
                <w:szCs w:val="22"/>
              </w:rPr>
            </w:pPr>
            <w:r w:rsidRPr="00BE2C43">
              <w:rPr>
                <w:rFonts w:asciiTheme="minorHAnsi" w:hAnsiTheme="minorHAnsi" w:cstheme="minorHAnsi"/>
                <w:b/>
                <w:bCs/>
                <w:sz w:val="22"/>
                <w:szCs w:val="22"/>
              </w:rPr>
              <w:t>Treasury and Finance</w:t>
            </w:r>
          </w:p>
        </w:tc>
        <w:tc>
          <w:tcPr>
            <w:tcW w:w="667" w:type="dxa"/>
            <w:shd w:val="clear" w:color="auto" w:fill="auto"/>
            <w:textDirection w:val="btLr"/>
          </w:tcPr>
          <w:p w14:paraId="53BCD057" w14:textId="77777777" w:rsidR="00185088" w:rsidRPr="00BE2C43" w:rsidRDefault="00185088" w:rsidP="00761DC3">
            <w:pPr>
              <w:pStyle w:val="TableText"/>
              <w:rPr>
                <w:rFonts w:asciiTheme="minorHAnsi" w:hAnsiTheme="minorHAnsi" w:cstheme="minorHAnsi"/>
                <w:b/>
                <w:bCs/>
                <w:sz w:val="22"/>
                <w:szCs w:val="22"/>
              </w:rPr>
            </w:pPr>
            <w:r w:rsidRPr="00BE2C43">
              <w:rPr>
                <w:rFonts w:asciiTheme="minorHAnsi" w:hAnsiTheme="minorHAnsi" w:cstheme="minorHAnsi"/>
                <w:b/>
                <w:bCs/>
                <w:sz w:val="22"/>
                <w:szCs w:val="22"/>
              </w:rPr>
              <w:t>Cenitex</w:t>
            </w:r>
          </w:p>
        </w:tc>
        <w:tc>
          <w:tcPr>
            <w:tcW w:w="671" w:type="dxa"/>
            <w:shd w:val="clear" w:color="auto" w:fill="auto"/>
            <w:textDirection w:val="btLr"/>
          </w:tcPr>
          <w:p w14:paraId="0D916FC7" w14:textId="77777777" w:rsidR="00185088" w:rsidRPr="00BE2C43" w:rsidRDefault="00185088" w:rsidP="00761DC3">
            <w:pPr>
              <w:pStyle w:val="TableText"/>
              <w:rPr>
                <w:rFonts w:asciiTheme="minorHAnsi" w:hAnsiTheme="minorHAnsi" w:cstheme="minorHAnsi"/>
                <w:b/>
                <w:bCs/>
                <w:sz w:val="22"/>
                <w:szCs w:val="22"/>
              </w:rPr>
            </w:pPr>
            <w:r w:rsidRPr="00BE2C43">
              <w:rPr>
                <w:rFonts w:asciiTheme="minorHAnsi" w:hAnsiTheme="minorHAnsi" w:cstheme="minorHAnsi"/>
                <w:b/>
                <w:bCs/>
                <w:sz w:val="22"/>
                <w:szCs w:val="22"/>
              </w:rPr>
              <w:t>Victoria Police</w:t>
            </w:r>
          </w:p>
        </w:tc>
      </w:tr>
      <w:tr w:rsidR="00185088" w:rsidRPr="00BE2C43" w14:paraId="3668B999" w14:textId="77777777" w:rsidTr="00185088">
        <w:tc>
          <w:tcPr>
            <w:tcW w:w="567" w:type="dxa"/>
          </w:tcPr>
          <w:p w14:paraId="1FD716BE" w14:textId="77777777"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1</w:t>
            </w:r>
          </w:p>
        </w:tc>
        <w:tc>
          <w:tcPr>
            <w:tcW w:w="2783" w:type="dxa"/>
          </w:tcPr>
          <w:p w14:paraId="199032E5" w14:textId="77777777"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Value created through procurement (%)</w:t>
            </w:r>
          </w:p>
        </w:tc>
        <w:tc>
          <w:tcPr>
            <w:tcW w:w="571" w:type="dxa"/>
          </w:tcPr>
          <w:p w14:paraId="4BFD33B0"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8.9</w:t>
            </w:r>
          </w:p>
        </w:tc>
        <w:tc>
          <w:tcPr>
            <w:tcW w:w="571" w:type="dxa"/>
            <w:shd w:val="clear" w:color="auto" w:fill="auto"/>
          </w:tcPr>
          <w:p w14:paraId="4BB4BF21"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5.3</w:t>
            </w:r>
          </w:p>
        </w:tc>
        <w:tc>
          <w:tcPr>
            <w:tcW w:w="571" w:type="dxa"/>
          </w:tcPr>
          <w:p w14:paraId="701526CF"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4.1</w:t>
            </w:r>
          </w:p>
        </w:tc>
        <w:tc>
          <w:tcPr>
            <w:tcW w:w="653" w:type="dxa"/>
          </w:tcPr>
          <w:p w14:paraId="767EBA86"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w:t>
            </w:r>
          </w:p>
        </w:tc>
        <w:tc>
          <w:tcPr>
            <w:tcW w:w="671" w:type="dxa"/>
          </w:tcPr>
          <w:p w14:paraId="76C69319"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10.0</w:t>
            </w:r>
          </w:p>
        </w:tc>
        <w:tc>
          <w:tcPr>
            <w:tcW w:w="571" w:type="dxa"/>
          </w:tcPr>
          <w:p w14:paraId="3B061FFE"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1.9</w:t>
            </w:r>
          </w:p>
        </w:tc>
        <w:tc>
          <w:tcPr>
            <w:tcW w:w="571" w:type="dxa"/>
          </w:tcPr>
          <w:p w14:paraId="75061B20"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2.2</w:t>
            </w:r>
          </w:p>
        </w:tc>
        <w:tc>
          <w:tcPr>
            <w:tcW w:w="571" w:type="dxa"/>
          </w:tcPr>
          <w:p w14:paraId="064BA240"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11.9</w:t>
            </w:r>
          </w:p>
        </w:tc>
        <w:tc>
          <w:tcPr>
            <w:tcW w:w="667" w:type="dxa"/>
          </w:tcPr>
          <w:p w14:paraId="1E9C1C09"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10.8</w:t>
            </w:r>
          </w:p>
        </w:tc>
        <w:tc>
          <w:tcPr>
            <w:tcW w:w="671" w:type="dxa"/>
          </w:tcPr>
          <w:p w14:paraId="65EC543E"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4.3</w:t>
            </w:r>
          </w:p>
        </w:tc>
      </w:tr>
      <w:tr w:rsidR="00185088" w:rsidRPr="00BE2C43" w14:paraId="27510989" w14:textId="77777777" w:rsidTr="00185088">
        <w:trPr>
          <w:trHeight w:val="310"/>
        </w:trPr>
        <w:tc>
          <w:tcPr>
            <w:tcW w:w="567" w:type="dxa"/>
          </w:tcPr>
          <w:p w14:paraId="6AA4EBB6" w14:textId="77777777"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2</w:t>
            </w:r>
          </w:p>
        </w:tc>
        <w:tc>
          <w:tcPr>
            <w:tcW w:w="2783" w:type="dxa"/>
          </w:tcPr>
          <w:p w14:paraId="53F389BF" w14:textId="77777777"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Managed spend (%)</w:t>
            </w:r>
          </w:p>
        </w:tc>
        <w:tc>
          <w:tcPr>
            <w:tcW w:w="571" w:type="dxa"/>
          </w:tcPr>
          <w:p w14:paraId="40F83C0E"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49.7</w:t>
            </w:r>
          </w:p>
        </w:tc>
        <w:tc>
          <w:tcPr>
            <w:tcW w:w="571" w:type="dxa"/>
            <w:shd w:val="clear" w:color="auto" w:fill="auto"/>
          </w:tcPr>
          <w:p w14:paraId="0E24AC7F"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26.9</w:t>
            </w:r>
          </w:p>
        </w:tc>
        <w:tc>
          <w:tcPr>
            <w:tcW w:w="571" w:type="dxa"/>
          </w:tcPr>
          <w:p w14:paraId="2FFA3B96"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93.0</w:t>
            </w:r>
          </w:p>
        </w:tc>
        <w:tc>
          <w:tcPr>
            <w:tcW w:w="653" w:type="dxa"/>
          </w:tcPr>
          <w:p w14:paraId="2DCCACDB"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8.2</w:t>
            </w:r>
          </w:p>
        </w:tc>
        <w:tc>
          <w:tcPr>
            <w:tcW w:w="671" w:type="dxa"/>
            <w:shd w:val="clear" w:color="auto" w:fill="auto"/>
          </w:tcPr>
          <w:p w14:paraId="20100C5A"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w:t>
            </w:r>
          </w:p>
        </w:tc>
        <w:tc>
          <w:tcPr>
            <w:tcW w:w="571" w:type="dxa"/>
          </w:tcPr>
          <w:p w14:paraId="22B6946A"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29.3</w:t>
            </w:r>
          </w:p>
        </w:tc>
        <w:tc>
          <w:tcPr>
            <w:tcW w:w="571" w:type="dxa"/>
          </w:tcPr>
          <w:p w14:paraId="5168776E"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79.8</w:t>
            </w:r>
          </w:p>
        </w:tc>
        <w:tc>
          <w:tcPr>
            <w:tcW w:w="571" w:type="dxa"/>
            <w:shd w:val="clear" w:color="auto" w:fill="auto"/>
          </w:tcPr>
          <w:p w14:paraId="2FBA9765"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97.6</w:t>
            </w:r>
          </w:p>
        </w:tc>
        <w:tc>
          <w:tcPr>
            <w:tcW w:w="667" w:type="dxa"/>
          </w:tcPr>
          <w:p w14:paraId="244ECEC4"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100</w:t>
            </w:r>
          </w:p>
        </w:tc>
        <w:tc>
          <w:tcPr>
            <w:tcW w:w="671" w:type="dxa"/>
          </w:tcPr>
          <w:p w14:paraId="7E5EFD35"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86.1</w:t>
            </w:r>
          </w:p>
          <w:p w14:paraId="1D24C973" w14:textId="77777777" w:rsidR="00185088" w:rsidRPr="00BE2C43" w:rsidRDefault="00185088" w:rsidP="00BE2C43">
            <w:pPr>
              <w:pStyle w:val="Tablenumbers"/>
              <w:spacing w:before="120" w:after="120"/>
              <w:rPr>
                <w:rFonts w:asciiTheme="minorHAnsi" w:hAnsiTheme="minorHAnsi" w:cstheme="minorHAnsi"/>
                <w:sz w:val="22"/>
                <w:szCs w:val="22"/>
              </w:rPr>
            </w:pPr>
          </w:p>
        </w:tc>
      </w:tr>
      <w:tr w:rsidR="00185088" w:rsidRPr="00BE2C43" w14:paraId="6BF01A77" w14:textId="77777777" w:rsidTr="00185088">
        <w:tc>
          <w:tcPr>
            <w:tcW w:w="567" w:type="dxa"/>
          </w:tcPr>
          <w:p w14:paraId="6AE78E8E" w14:textId="77777777"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3</w:t>
            </w:r>
          </w:p>
        </w:tc>
        <w:tc>
          <w:tcPr>
            <w:tcW w:w="2783" w:type="dxa"/>
          </w:tcPr>
          <w:p w14:paraId="5054C9DB" w14:textId="77777777"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Increase in procurement capability (%)</w:t>
            </w:r>
          </w:p>
        </w:tc>
        <w:tc>
          <w:tcPr>
            <w:tcW w:w="571" w:type="dxa"/>
          </w:tcPr>
          <w:p w14:paraId="5FD0C287"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2.3</w:t>
            </w:r>
          </w:p>
        </w:tc>
        <w:tc>
          <w:tcPr>
            <w:tcW w:w="571" w:type="dxa"/>
            <w:shd w:val="clear" w:color="auto" w:fill="auto"/>
          </w:tcPr>
          <w:p w14:paraId="66C3AB6D"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6.3</w:t>
            </w:r>
          </w:p>
        </w:tc>
        <w:tc>
          <w:tcPr>
            <w:tcW w:w="571" w:type="dxa"/>
          </w:tcPr>
          <w:p w14:paraId="7B94747F"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2.8</w:t>
            </w:r>
          </w:p>
        </w:tc>
        <w:tc>
          <w:tcPr>
            <w:tcW w:w="653" w:type="dxa"/>
          </w:tcPr>
          <w:p w14:paraId="09462EAA"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10.6</w:t>
            </w:r>
          </w:p>
        </w:tc>
        <w:tc>
          <w:tcPr>
            <w:tcW w:w="671" w:type="dxa"/>
          </w:tcPr>
          <w:p w14:paraId="6478F36B"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−20.7</w:t>
            </w:r>
          </w:p>
        </w:tc>
        <w:tc>
          <w:tcPr>
            <w:tcW w:w="571" w:type="dxa"/>
          </w:tcPr>
          <w:p w14:paraId="0F1F2A8A"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14.1</w:t>
            </w:r>
          </w:p>
        </w:tc>
        <w:tc>
          <w:tcPr>
            <w:tcW w:w="571" w:type="dxa"/>
          </w:tcPr>
          <w:p w14:paraId="39AF9B5E"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18.7</w:t>
            </w:r>
          </w:p>
        </w:tc>
        <w:tc>
          <w:tcPr>
            <w:tcW w:w="571" w:type="dxa"/>
          </w:tcPr>
          <w:p w14:paraId="20E83792"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3.4</w:t>
            </w:r>
          </w:p>
        </w:tc>
        <w:tc>
          <w:tcPr>
            <w:tcW w:w="667" w:type="dxa"/>
          </w:tcPr>
          <w:p w14:paraId="07A8AE64"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8.6</w:t>
            </w:r>
          </w:p>
        </w:tc>
        <w:tc>
          <w:tcPr>
            <w:tcW w:w="671" w:type="dxa"/>
          </w:tcPr>
          <w:p w14:paraId="6D36D757"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−10.4</w:t>
            </w:r>
          </w:p>
        </w:tc>
      </w:tr>
      <w:tr w:rsidR="00185088" w:rsidRPr="00BE2C43" w14:paraId="683322E0" w14:textId="77777777" w:rsidTr="00185088">
        <w:tc>
          <w:tcPr>
            <w:tcW w:w="567" w:type="dxa"/>
          </w:tcPr>
          <w:p w14:paraId="75343CCA" w14:textId="4FD3BD89"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4a</w:t>
            </w:r>
          </w:p>
        </w:tc>
        <w:tc>
          <w:tcPr>
            <w:tcW w:w="2783" w:type="dxa"/>
          </w:tcPr>
          <w:p w14:paraId="700D116F" w14:textId="77777777"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Successful suppliers satisfied (%)</w:t>
            </w:r>
          </w:p>
        </w:tc>
        <w:tc>
          <w:tcPr>
            <w:tcW w:w="571" w:type="dxa"/>
          </w:tcPr>
          <w:p w14:paraId="4062B97F"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79</w:t>
            </w:r>
          </w:p>
        </w:tc>
        <w:tc>
          <w:tcPr>
            <w:tcW w:w="571" w:type="dxa"/>
            <w:shd w:val="clear" w:color="auto" w:fill="auto"/>
          </w:tcPr>
          <w:p w14:paraId="267325D0"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60</w:t>
            </w:r>
          </w:p>
        </w:tc>
        <w:tc>
          <w:tcPr>
            <w:tcW w:w="571" w:type="dxa"/>
          </w:tcPr>
          <w:p w14:paraId="2A7E6CE3"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83</w:t>
            </w:r>
          </w:p>
        </w:tc>
        <w:tc>
          <w:tcPr>
            <w:tcW w:w="653" w:type="dxa"/>
          </w:tcPr>
          <w:p w14:paraId="4F240F83"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86</w:t>
            </w:r>
          </w:p>
        </w:tc>
        <w:tc>
          <w:tcPr>
            <w:tcW w:w="671" w:type="dxa"/>
          </w:tcPr>
          <w:p w14:paraId="357406A2"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69</w:t>
            </w:r>
          </w:p>
        </w:tc>
        <w:tc>
          <w:tcPr>
            <w:tcW w:w="571" w:type="dxa"/>
          </w:tcPr>
          <w:p w14:paraId="3F2F39DC"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100</w:t>
            </w:r>
          </w:p>
        </w:tc>
        <w:tc>
          <w:tcPr>
            <w:tcW w:w="571" w:type="dxa"/>
          </w:tcPr>
          <w:p w14:paraId="11CB91EE"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69</w:t>
            </w:r>
          </w:p>
        </w:tc>
        <w:tc>
          <w:tcPr>
            <w:tcW w:w="571" w:type="dxa"/>
          </w:tcPr>
          <w:p w14:paraId="49AA053E"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100</w:t>
            </w:r>
          </w:p>
        </w:tc>
        <w:tc>
          <w:tcPr>
            <w:tcW w:w="667" w:type="dxa"/>
          </w:tcPr>
          <w:p w14:paraId="1A97F4B1"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67</w:t>
            </w:r>
          </w:p>
        </w:tc>
        <w:tc>
          <w:tcPr>
            <w:tcW w:w="671" w:type="dxa"/>
          </w:tcPr>
          <w:p w14:paraId="5292E39F"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93</w:t>
            </w:r>
          </w:p>
        </w:tc>
      </w:tr>
      <w:tr w:rsidR="00185088" w:rsidRPr="00BE2C43" w14:paraId="405F934D" w14:textId="77777777" w:rsidTr="00185088">
        <w:tc>
          <w:tcPr>
            <w:tcW w:w="567" w:type="dxa"/>
          </w:tcPr>
          <w:p w14:paraId="0CCDDC98" w14:textId="70F0CC1F"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4b</w:t>
            </w:r>
          </w:p>
        </w:tc>
        <w:tc>
          <w:tcPr>
            <w:tcW w:w="2783" w:type="dxa"/>
          </w:tcPr>
          <w:p w14:paraId="5094784D" w14:textId="77777777"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Unsuccessful suppliers satisfied (%)</w:t>
            </w:r>
          </w:p>
        </w:tc>
        <w:tc>
          <w:tcPr>
            <w:tcW w:w="571" w:type="dxa"/>
          </w:tcPr>
          <w:p w14:paraId="6AD80DF1"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52</w:t>
            </w:r>
          </w:p>
        </w:tc>
        <w:tc>
          <w:tcPr>
            <w:tcW w:w="571" w:type="dxa"/>
            <w:shd w:val="clear" w:color="auto" w:fill="auto"/>
          </w:tcPr>
          <w:p w14:paraId="7D9BCCEF"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32</w:t>
            </w:r>
          </w:p>
        </w:tc>
        <w:tc>
          <w:tcPr>
            <w:tcW w:w="571" w:type="dxa"/>
          </w:tcPr>
          <w:p w14:paraId="5D11ECBA"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38</w:t>
            </w:r>
          </w:p>
        </w:tc>
        <w:tc>
          <w:tcPr>
            <w:tcW w:w="653" w:type="dxa"/>
          </w:tcPr>
          <w:p w14:paraId="13B377CF"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57</w:t>
            </w:r>
          </w:p>
        </w:tc>
        <w:tc>
          <w:tcPr>
            <w:tcW w:w="671" w:type="dxa"/>
          </w:tcPr>
          <w:p w14:paraId="67080AAD"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33</w:t>
            </w:r>
          </w:p>
        </w:tc>
        <w:tc>
          <w:tcPr>
            <w:tcW w:w="571" w:type="dxa"/>
          </w:tcPr>
          <w:p w14:paraId="3A8E7DD1"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75</w:t>
            </w:r>
          </w:p>
        </w:tc>
        <w:tc>
          <w:tcPr>
            <w:tcW w:w="571" w:type="dxa"/>
          </w:tcPr>
          <w:p w14:paraId="077D9525"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26</w:t>
            </w:r>
          </w:p>
        </w:tc>
        <w:tc>
          <w:tcPr>
            <w:tcW w:w="571" w:type="dxa"/>
          </w:tcPr>
          <w:p w14:paraId="77CF543A"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55</w:t>
            </w:r>
          </w:p>
        </w:tc>
        <w:tc>
          <w:tcPr>
            <w:tcW w:w="667" w:type="dxa"/>
          </w:tcPr>
          <w:p w14:paraId="67DF2037"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40</w:t>
            </w:r>
          </w:p>
        </w:tc>
        <w:tc>
          <w:tcPr>
            <w:tcW w:w="671" w:type="dxa"/>
          </w:tcPr>
          <w:p w14:paraId="75E3D497"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33</w:t>
            </w:r>
          </w:p>
        </w:tc>
      </w:tr>
      <w:tr w:rsidR="00185088" w:rsidRPr="00BE2C43" w14:paraId="6F1887BA" w14:textId="77777777" w:rsidTr="00185088">
        <w:tc>
          <w:tcPr>
            <w:tcW w:w="567" w:type="dxa"/>
          </w:tcPr>
          <w:p w14:paraId="2DA2C0EC" w14:textId="77777777"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5</w:t>
            </w:r>
          </w:p>
        </w:tc>
        <w:tc>
          <w:tcPr>
            <w:tcW w:w="2783" w:type="dxa"/>
          </w:tcPr>
          <w:p w14:paraId="57CFF04E" w14:textId="77777777" w:rsidR="00185088" w:rsidRPr="00BE2C43" w:rsidRDefault="00185088" w:rsidP="00BE2C43">
            <w:pPr>
              <w:pStyle w:val="TableText"/>
              <w:spacing w:before="120" w:after="120"/>
              <w:rPr>
                <w:rFonts w:asciiTheme="minorHAnsi" w:hAnsiTheme="minorHAnsi" w:cstheme="minorHAnsi"/>
                <w:sz w:val="22"/>
                <w:szCs w:val="22"/>
              </w:rPr>
            </w:pPr>
            <w:r w:rsidRPr="00BE2C43">
              <w:rPr>
                <w:rFonts w:asciiTheme="minorHAnsi" w:hAnsiTheme="minorHAnsi" w:cstheme="minorHAnsi"/>
                <w:sz w:val="22"/>
                <w:szCs w:val="22"/>
              </w:rPr>
              <w:t>Planned procurement activity (%)</w:t>
            </w:r>
          </w:p>
        </w:tc>
        <w:tc>
          <w:tcPr>
            <w:tcW w:w="571" w:type="dxa"/>
          </w:tcPr>
          <w:p w14:paraId="5F42C09E"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46.7</w:t>
            </w:r>
          </w:p>
        </w:tc>
        <w:tc>
          <w:tcPr>
            <w:tcW w:w="571" w:type="dxa"/>
            <w:shd w:val="clear" w:color="auto" w:fill="auto"/>
          </w:tcPr>
          <w:p w14:paraId="1EE456E6"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71.7</w:t>
            </w:r>
          </w:p>
        </w:tc>
        <w:tc>
          <w:tcPr>
            <w:tcW w:w="571" w:type="dxa"/>
          </w:tcPr>
          <w:p w14:paraId="38E685CE"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22.4</w:t>
            </w:r>
          </w:p>
        </w:tc>
        <w:tc>
          <w:tcPr>
            <w:tcW w:w="653" w:type="dxa"/>
          </w:tcPr>
          <w:p w14:paraId="7EA7F7EA"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38.5</w:t>
            </w:r>
          </w:p>
        </w:tc>
        <w:tc>
          <w:tcPr>
            <w:tcW w:w="671" w:type="dxa"/>
          </w:tcPr>
          <w:p w14:paraId="0CDEC22C"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24.9</w:t>
            </w:r>
          </w:p>
        </w:tc>
        <w:tc>
          <w:tcPr>
            <w:tcW w:w="571" w:type="dxa"/>
          </w:tcPr>
          <w:p w14:paraId="58CBD6B1"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50.0</w:t>
            </w:r>
          </w:p>
        </w:tc>
        <w:tc>
          <w:tcPr>
            <w:tcW w:w="571" w:type="dxa"/>
          </w:tcPr>
          <w:p w14:paraId="1EF833CC"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10.5</w:t>
            </w:r>
          </w:p>
        </w:tc>
        <w:tc>
          <w:tcPr>
            <w:tcW w:w="571" w:type="dxa"/>
          </w:tcPr>
          <w:p w14:paraId="32E7D760"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59.1</w:t>
            </w:r>
          </w:p>
        </w:tc>
        <w:tc>
          <w:tcPr>
            <w:tcW w:w="667" w:type="dxa"/>
          </w:tcPr>
          <w:p w14:paraId="033E558C"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35.7</w:t>
            </w:r>
          </w:p>
        </w:tc>
        <w:tc>
          <w:tcPr>
            <w:tcW w:w="671" w:type="dxa"/>
          </w:tcPr>
          <w:p w14:paraId="09647CE8" w14:textId="77777777" w:rsidR="00185088" w:rsidRPr="00BE2C43" w:rsidRDefault="00185088" w:rsidP="00BE2C43">
            <w:pPr>
              <w:pStyle w:val="Tablenumbers"/>
              <w:spacing w:before="120" w:after="120"/>
              <w:rPr>
                <w:rFonts w:asciiTheme="minorHAnsi" w:hAnsiTheme="minorHAnsi" w:cstheme="minorHAnsi"/>
                <w:sz w:val="22"/>
                <w:szCs w:val="22"/>
              </w:rPr>
            </w:pPr>
            <w:r w:rsidRPr="00BE2C43">
              <w:rPr>
                <w:rFonts w:asciiTheme="minorHAnsi" w:hAnsiTheme="minorHAnsi" w:cstheme="minorHAnsi"/>
                <w:sz w:val="22"/>
                <w:szCs w:val="22"/>
              </w:rPr>
              <w:t>82.6</w:t>
            </w:r>
          </w:p>
        </w:tc>
      </w:tr>
    </w:tbl>
    <w:p w14:paraId="3B8D7F72" w14:textId="77777777" w:rsidR="00185088" w:rsidRDefault="00185088" w:rsidP="00185088">
      <w:pPr>
        <w:pStyle w:val="Tablenotes"/>
        <w:ind w:left="0"/>
        <w:rPr>
          <w:rStyle w:val="hgkelc"/>
        </w:rPr>
      </w:pPr>
    </w:p>
    <w:p w14:paraId="1B1BEB4A" w14:textId="17693E73" w:rsidR="00185088" w:rsidRPr="00BE2C43" w:rsidRDefault="00185088" w:rsidP="00185088">
      <w:pPr>
        <w:pStyle w:val="Tablenotes"/>
        <w:spacing w:before="0" w:after="120"/>
        <w:ind w:left="0"/>
        <w:contextualSpacing w:val="0"/>
        <w:rPr>
          <w:rStyle w:val="hgkelc"/>
          <w:sz w:val="22"/>
          <w:szCs w:val="22"/>
        </w:rPr>
      </w:pPr>
      <w:r w:rsidRPr="00BE2C43">
        <w:rPr>
          <w:rStyle w:val="hgkelc"/>
          <w:sz w:val="22"/>
          <w:szCs w:val="22"/>
        </w:rPr>
        <w:t xml:space="preserve">* The Department of Jobs, Precincts and Regions </w:t>
      </w:r>
      <w:r w:rsidRPr="00BE2C43">
        <w:rPr>
          <w:sz w:val="22"/>
          <w:szCs w:val="22"/>
        </w:rPr>
        <w:t>operates a decentralised procurement model with mandatory requirements to demonstrate value for money. However, the model does not currently capture monetary value from procurement activity. The department is considering initiatives to increase visibility of cost saving achievements across the department.</w:t>
      </w:r>
    </w:p>
    <w:p w14:paraId="191E42D6" w14:textId="77777777" w:rsidR="00185088" w:rsidRPr="00BE2C43" w:rsidRDefault="00185088" w:rsidP="00185088">
      <w:pPr>
        <w:pStyle w:val="Tablenotes"/>
        <w:spacing w:before="0" w:after="120"/>
        <w:ind w:left="0"/>
        <w:rPr>
          <w:sz w:val="22"/>
          <w:szCs w:val="22"/>
        </w:rPr>
      </w:pPr>
      <w:r w:rsidRPr="00BE2C43">
        <w:rPr>
          <w:rStyle w:val="hgkelc"/>
          <w:sz w:val="22"/>
          <w:szCs w:val="22"/>
        </w:rPr>
        <w:t>†</w:t>
      </w:r>
      <w:r w:rsidRPr="00BE2C43">
        <w:rPr>
          <w:sz w:val="22"/>
          <w:szCs w:val="22"/>
        </w:rPr>
        <w:t xml:space="preserve"> The Department of Justice and Community Safety could not provide data for this metric and is implementing a new system which will help provide this data in future.</w:t>
      </w:r>
    </w:p>
    <w:p w14:paraId="38F6D420" w14:textId="77777777" w:rsidR="00297DA1" w:rsidRDefault="00C671A7"/>
    <w:sectPr w:rsidR="00297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82555" w14:textId="77777777" w:rsidR="00185088" w:rsidRDefault="00185088" w:rsidP="00185088">
      <w:r>
        <w:separator/>
      </w:r>
    </w:p>
  </w:endnote>
  <w:endnote w:type="continuationSeparator" w:id="0">
    <w:p w14:paraId="4EFFC82F" w14:textId="77777777" w:rsidR="00185088" w:rsidRDefault="00185088" w:rsidP="0018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939A" w14:textId="77777777" w:rsidR="00C671A7" w:rsidRDefault="00C67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F817" w14:textId="5FE96878" w:rsidR="00185088" w:rsidRDefault="00185088">
    <w:pPr>
      <w:pStyle w:val="Footer"/>
    </w:pPr>
    <w:r>
      <w:rPr>
        <w:noProof/>
      </w:rPr>
      <mc:AlternateContent>
        <mc:Choice Requires="wps">
          <w:drawing>
            <wp:anchor distT="0" distB="0" distL="114300" distR="114300" simplePos="0" relativeHeight="251659264" behindDoc="0" locked="0" layoutInCell="0" allowOverlap="1" wp14:anchorId="18599C3D" wp14:editId="15874C06">
              <wp:simplePos x="0" y="0"/>
              <wp:positionH relativeFrom="page">
                <wp:posOffset>0</wp:posOffset>
              </wp:positionH>
              <wp:positionV relativeFrom="page">
                <wp:posOffset>10234930</wp:posOffset>
              </wp:positionV>
              <wp:extent cx="7560310" cy="266700"/>
              <wp:effectExtent l="0" t="0" r="0" b="0"/>
              <wp:wrapNone/>
              <wp:docPr id="1" name="MSIPCM618344b4b75ab318b2c26e7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8096A" w14:textId="56C95901" w:rsidR="00185088" w:rsidRPr="00185088" w:rsidRDefault="00185088" w:rsidP="00185088">
                          <w:pPr>
                            <w:rPr>
                              <w:rFonts w:ascii="Calibri" w:hAnsi="Calibri" w:cs="Calibri"/>
                              <w:color w:val="000000"/>
                              <w:sz w:val="22"/>
                            </w:rPr>
                          </w:pPr>
                          <w:r w:rsidRPr="0018508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599C3D" id="_x0000_t202" coordsize="21600,21600" o:spt="202" path="m,l,21600r21600,l21600,xe">
              <v:stroke joinstyle="miter"/>
              <v:path gradientshapeok="t" o:connecttype="rect"/>
            </v:shapetype>
            <v:shape id="MSIPCM618344b4b75ab318b2c26e7a"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mWKy5sgIAAEgFAAAO&#10;AAAAAAAAAAAAAAAAAC4CAABkcnMvZTJvRG9jLnhtbFBLAQItABQABgAIAAAAIQBgEcYm3gAAAAsB&#10;AAAPAAAAAAAAAAAAAAAAAAwFAABkcnMvZG93bnJldi54bWxQSwUGAAAAAAQABADzAAAAFwYAAAAA&#10;" o:allowincell="f" filled="f" stroked="f" strokeweight=".5pt">
              <v:fill o:detectmouseclick="t"/>
              <v:textbox inset="20pt,0,,0">
                <w:txbxContent>
                  <w:p w14:paraId="7328096A" w14:textId="56C95901" w:rsidR="00185088" w:rsidRPr="00185088" w:rsidRDefault="00185088" w:rsidP="00185088">
                    <w:pPr>
                      <w:rPr>
                        <w:rFonts w:ascii="Calibri" w:hAnsi="Calibri" w:cs="Calibri"/>
                        <w:color w:val="000000"/>
                        <w:sz w:val="22"/>
                      </w:rPr>
                    </w:pPr>
                    <w:r w:rsidRPr="00185088">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BDAA" w14:textId="77777777" w:rsidR="00C671A7" w:rsidRDefault="00C67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342B" w14:textId="77777777" w:rsidR="00185088" w:rsidRDefault="00185088" w:rsidP="00185088">
      <w:r>
        <w:separator/>
      </w:r>
    </w:p>
  </w:footnote>
  <w:footnote w:type="continuationSeparator" w:id="0">
    <w:p w14:paraId="16102C77" w14:textId="77777777" w:rsidR="00185088" w:rsidRDefault="00185088" w:rsidP="00185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67177" w14:textId="77777777" w:rsidR="00C671A7" w:rsidRDefault="00C67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1BE9F" w14:textId="77777777" w:rsidR="00C671A7" w:rsidRDefault="00C67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3ED7" w14:textId="77777777" w:rsidR="00C671A7" w:rsidRDefault="00C67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88"/>
    <w:rsid w:val="00183C24"/>
    <w:rsid w:val="00185088"/>
    <w:rsid w:val="002141FF"/>
    <w:rsid w:val="002425E7"/>
    <w:rsid w:val="0037394B"/>
    <w:rsid w:val="003F0859"/>
    <w:rsid w:val="00490C11"/>
    <w:rsid w:val="00A975B5"/>
    <w:rsid w:val="00BE2C43"/>
    <w:rsid w:val="00C671A7"/>
    <w:rsid w:val="00E907E8"/>
    <w:rsid w:val="00ED63FA"/>
    <w:rsid w:val="00F47874"/>
    <w:rsid w:val="00F91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2248E"/>
  <w15:chartTrackingRefBased/>
  <w15:docId w15:val="{8F596C0F-0669-43C5-8ACA-C1587486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5088"/>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rsid w:val="00185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185088"/>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185088"/>
    <w:rPr>
      <w:rFonts w:ascii="Calibri" w:eastAsia="Times New Roman" w:hAnsi="Calibri" w:cs="Calibri"/>
      <w:b/>
      <w:lang w:eastAsia="en-AU"/>
    </w:rPr>
  </w:style>
  <w:style w:type="paragraph" w:customStyle="1" w:styleId="TableText">
    <w:name w:val="Table Text"/>
    <w:basedOn w:val="Normal"/>
    <w:link w:val="TableTextChar"/>
    <w:uiPriority w:val="15"/>
    <w:qFormat/>
    <w:rsid w:val="00185088"/>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185088"/>
    <w:rPr>
      <w:rFonts w:ascii="Calibri" w:hAnsi="Calibri" w:cs="Calibri"/>
      <w:sz w:val="20"/>
      <w:szCs w:val="20"/>
      <w:lang w:val="en-US"/>
    </w:rPr>
  </w:style>
  <w:style w:type="paragraph" w:customStyle="1" w:styleId="TableHeader">
    <w:name w:val="Table Header"/>
    <w:basedOn w:val="TableText"/>
    <w:link w:val="TableHeaderChar"/>
    <w:uiPriority w:val="15"/>
    <w:qFormat/>
    <w:rsid w:val="00185088"/>
    <w:pPr>
      <w:keepNext/>
      <w:spacing w:before="40" w:after="40"/>
    </w:pPr>
    <w:rPr>
      <w:sz w:val="24"/>
      <w:szCs w:val="24"/>
    </w:rPr>
  </w:style>
  <w:style w:type="paragraph" w:customStyle="1" w:styleId="Tablenumbers">
    <w:name w:val="Table numbers"/>
    <w:basedOn w:val="Normal"/>
    <w:link w:val="TablenumbersChar"/>
    <w:qFormat/>
    <w:rsid w:val="00185088"/>
    <w:pPr>
      <w:jc w:val="right"/>
    </w:pPr>
    <w:rPr>
      <w:rFonts w:ascii="Calibri" w:eastAsiaTheme="minorHAnsi" w:hAnsi="Calibri" w:cstheme="minorBidi"/>
      <w:color w:val="000000"/>
      <w:sz w:val="20"/>
      <w:szCs w:val="20"/>
      <w:lang w:val="en-US" w:eastAsia="en-US"/>
    </w:rPr>
  </w:style>
  <w:style w:type="character" w:customStyle="1" w:styleId="TablenumbersChar">
    <w:name w:val="Table numbers Char"/>
    <w:basedOn w:val="DefaultParagraphFont"/>
    <w:link w:val="Tablenumbers"/>
    <w:rsid w:val="00185088"/>
    <w:rPr>
      <w:rFonts w:ascii="Calibri" w:hAnsi="Calibri"/>
      <w:color w:val="000000"/>
      <w:sz w:val="20"/>
      <w:szCs w:val="20"/>
      <w:lang w:val="en-US"/>
    </w:rPr>
  </w:style>
  <w:style w:type="paragraph" w:customStyle="1" w:styleId="Tablenotes">
    <w:name w:val="Table notes"/>
    <w:basedOn w:val="Normal"/>
    <w:link w:val="TablenotesChar"/>
    <w:qFormat/>
    <w:rsid w:val="00185088"/>
    <w:pPr>
      <w:spacing w:before="20"/>
      <w:ind w:left="851"/>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185088"/>
    <w:rPr>
      <w:rFonts w:ascii="Calibri" w:eastAsia="Calibri" w:hAnsi="Calibri" w:cs="Times New Roman"/>
      <w:spacing w:val="-2"/>
      <w:sz w:val="18"/>
      <w:szCs w:val="18"/>
    </w:rPr>
  </w:style>
  <w:style w:type="table" w:customStyle="1" w:styleId="TableGrid1">
    <w:name w:val="Table Grid1"/>
    <w:basedOn w:val="TableNormal"/>
    <w:next w:val="TableGrid"/>
    <w:uiPriority w:val="39"/>
    <w:rsid w:val="001850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185088"/>
    <w:rPr>
      <w:rFonts w:ascii="Calibri" w:hAnsi="Calibri" w:cs="Calibri"/>
      <w:sz w:val="24"/>
      <w:szCs w:val="24"/>
      <w:lang w:val="en-US"/>
    </w:rPr>
  </w:style>
  <w:style w:type="character" w:customStyle="1" w:styleId="hgkelc">
    <w:name w:val="hgkelc"/>
    <w:basedOn w:val="DefaultParagraphFont"/>
    <w:rsid w:val="00185088"/>
  </w:style>
  <w:style w:type="table" w:styleId="TableGrid">
    <w:name w:val="Table Grid"/>
    <w:basedOn w:val="TableNormal"/>
    <w:uiPriority w:val="39"/>
    <w:rsid w:val="0018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5088"/>
    <w:rPr>
      <w:rFonts w:asciiTheme="majorHAnsi" w:eastAsiaTheme="majorEastAsia" w:hAnsiTheme="majorHAnsi" w:cstheme="majorBidi"/>
      <w:color w:val="2F5496" w:themeColor="accent1" w:themeShade="BF"/>
      <w:sz w:val="32"/>
      <w:szCs w:val="32"/>
      <w:lang w:eastAsia="en-AU"/>
    </w:rPr>
  </w:style>
  <w:style w:type="paragraph" w:styleId="Header">
    <w:name w:val="header"/>
    <w:basedOn w:val="Normal"/>
    <w:link w:val="HeaderChar"/>
    <w:uiPriority w:val="99"/>
    <w:unhideWhenUsed/>
    <w:rsid w:val="00185088"/>
    <w:pPr>
      <w:tabs>
        <w:tab w:val="center" w:pos="4513"/>
        <w:tab w:val="right" w:pos="9026"/>
      </w:tabs>
    </w:pPr>
  </w:style>
  <w:style w:type="character" w:customStyle="1" w:styleId="HeaderChar">
    <w:name w:val="Header Char"/>
    <w:basedOn w:val="DefaultParagraphFont"/>
    <w:link w:val="Header"/>
    <w:uiPriority w:val="99"/>
    <w:rsid w:val="00185088"/>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185088"/>
    <w:pPr>
      <w:tabs>
        <w:tab w:val="center" w:pos="4513"/>
        <w:tab w:val="right" w:pos="9026"/>
      </w:tabs>
    </w:pPr>
  </w:style>
  <w:style w:type="character" w:customStyle="1" w:styleId="FooterChar">
    <w:name w:val="Footer Char"/>
    <w:basedOn w:val="DefaultParagraphFont"/>
    <w:link w:val="Footer"/>
    <w:uiPriority w:val="99"/>
    <w:rsid w:val="00185088"/>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B18572E-623F-43E2-A9FD-0511BE61D6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Table-Summary-of-performance-measure-results-in-2019–20</dc:title>
  <dc:subject/>
  <dc:creator>Athena Rozenberg (DTF)</dc:creator>
  <cp:keywords/>
  <dc:description/>
  <cp:lastModifiedBy>Athena Rozenberg (DTF)</cp:lastModifiedBy>
  <cp:revision>6</cp:revision>
  <dcterms:created xsi:type="dcterms:W3CDTF">2020-10-09T05:36:00Z</dcterms:created>
  <dcterms:modified xsi:type="dcterms:W3CDTF">2020-10-12T04:46:00Z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athena.rozenberg@dtf.vic.gov.au</vt:lpwstr>
  </property>
  <property fmtid="{D5CDD505-2E9C-101B-9397-08002B2CF9AE}" pid="5" name="MSIP_Label_7158ebbd-6c5e-441f-bfc9-4eb8c11e3978_SetDate">
    <vt:lpwstr>2020-10-09T05:41:42.0378923Z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