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421CD" w14:textId="5FD1566E" w:rsidR="0004170F" w:rsidRDefault="0004170F" w:rsidP="0004170F">
      <w:pPr>
        <w:pStyle w:val="Heading1"/>
        <w:spacing w:after="120"/>
        <w:rPr>
          <w:b/>
          <w:bCs/>
          <w:color w:val="auto"/>
          <w:sz w:val="24"/>
          <w:szCs w:val="24"/>
        </w:rPr>
      </w:pPr>
      <w:bookmarkStart w:id="0" w:name="_Ref425964284"/>
      <w:bookmarkStart w:id="1" w:name="_Ref450554704"/>
      <w:bookmarkStart w:id="2" w:name="_Toc17130202"/>
      <w:bookmarkStart w:id="3" w:name="_Toc48837148"/>
      <w:bookmarkStart w:id="4" w:name="_Toc49185538"/>
      <w:r w:rsidRPr="0004170F">
        <w:rPr>
          <w:b/>
          <w:bCs/>
          <w:color w:val="auto"/>
          <w:sz w:val="24"/>
          <w:szCs w:val="24"/>
        </w:rPr>
        <w:t xml:space="preserve">Table </w:t>
      </w:r>
      <w:bookmarkEnd w:id="0"/>
      <w:r w:rsidRPr="0004170F">
        <w:rPr>
          <w:b/>
          <w:bCs/>
          <w:color w:val="auto"/>
          <w:sz w:val="24"/>
          <w:szCs w:val="24"/>
        </w:rPr>
        <w:t xml:space="preserve">Total number and value of contract approvals in 2019–20 </w:t>
      </w:r>
      <w:bookmarkEnd w:id="1"/>
      <w:r w:rsidRPr="0004170F">
        <w:rPr>
          <w:b/>
          <w:bCs/>
          <w:color w:val="auto"/>
          <w:sz w:val="24"/>
          <w:szCs w:val="24"/>
        </w:rPr>
        <w:t>by goods and services</w:t>
      </w:r>
      <w:bookmarkEnd w:id="2"/>
      <w:bookmarkEnd w:id="3"/>
      <w:bookmarkEnd w:id="4"/>
    </w:p>
    <w:p w14:paraId="7CEDAB40" w14:textId="3868A29F" w:rsidR="00634FCD" w:rsidRPr="00634FCD" w:rsidRDefault="00634FCD" w:rsidP="00634FCD">
      <w:pPr>
        <w:spacing w:after="120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Extract from Victorian Government Purchasing Board Annual Report 2019-20</w:t>
      </w:r>
    </w:p>
    <w:tbl>
      <w:tblPr>
        <w:tblStyle w:val="TableGrid1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1418"/>
        <w:gridCol w:w="1559"/>
        <w:gridCol w:w="1418"/>
        <w:gridCol w:w="1417"/>
        <w:gridCol w:w="1418"/>
        <w:gridCol w:w="1559"/>
      </w:tblGrid>
      <w:tr w:rsidR="0004170F" w:rsidRPr="0004170F" w14:paraId="736106DA" w14:textId="77777777" w:rsidTr="0004170F">
        <w:trPr>
          <w:tblHeader/>
        </w:trPr>
        <w:tc>
          <w:tcPr>
            <w:tcW w:w="1843" w:type="dxa"/>
            <w:shd w:val="clear" w:color="auto" w:fill="auto"/>
          </w:tcPr>
          <w:p w14:paraId="1BC0911A" w14:textId="50B5265B" w:rsidR="0004170F" w:rsidRPr="0004170F" w:rsidRDefault="00634FCD" w:rsidP="0004170F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Goods / services</w:t>
            </w:r>
          </w:p>
        </w:tc>
        <w:tc>
          <w:tcPr>
            <w:tcW w:w="1559" w:type="dxa"/>
            <w:shd w:val="clear" w:color="auto" w:fill="auto"/>
          </w:tcPr>
          <w:p w14:paraId="27768E33" w14:textId="77777777" w:rsidR="00634FCD" w:rsidRDefault="00634FCD" w:rsidP="00634FCD">
            <w:pPr>
              <w:pStyle w:val="TableHeader"/>
              <w:spacing w:before="12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One-off supplies</w:t>
            </w:r>
          </w:p>
          <w:p w14:paraId="4F3E635C" w14:textId="0A3A02D6" w:rsidR="00634FCD" w:rsidRDefault="00634FCD" w:rsidP="00634FCD">
            <w:pPr>
              <w:pStyle w:val="TableText"/>
              <w:spacing w:before="24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Non-critical</w:t>
            </w:r>
          </w:p>
          <w:p w14:paraId="458B5A4D" w14:textId="0F807CBF" w:rsidR="0004170F" w:rsidRPr="0004170F" w:rsidRDefault="0004170F" w:rsidP="0004170F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701" w:type="dxa"/>
            <w:shd w:val="clear" w:color="auto" w:fill="auto"/>
          </w:tcPr>
          <w:p w14:paraId="16F1C211" w14:textId="77777777" w:rsidR="00634FCD" w:rsidRDefault="00634FCD" w:rsidP="00634FCD">
            <w:pPr>
              <w:pStyle w:val="TableHeader"/>
              <w:spacing w:before="12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One-off supplies</w:t>
            </w:r>
          </w:p>
          <w:p w14:paraId="7A3D2643" w14:textId="53AEC50A" w:rsidR="00634FCD" w:rsidRDefault="00634FCD" w:rsidP="00634FCD">
            <w:pPr>
              <w:pStyle w:val="TableText"/>
              <w:spacing w:before="24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Non-critical</w:t>
            </w:r>
          </w:p>
          <w:p w14:paraId="0E141D3C" w14:textId="6E8B8A14" w:rsidR="0004170F" w:rsidRPr="0004170F" w:rsidRDefault="0004170F" w:rsidP="0004170F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Value ($m)</w:t>
            </w:r>
          </w:p>
        </w:tc>
        <w:tc>
          <w:tcPr>
            <w:tcW w:w="1418" w:type="dxa"/>
            <w:shd w:val="clear" w:color="auto" w:fill="auto"/>
          </w:tcPr>
          <w:p w14:paraId="4795F2C2" w14:textId="77777777" w:rsidR="00634FCD" w:rsidRDefault="00634FCD" w:rsidP="00634FCD">
            <w:pPr>
              <w:pStyle w:val="TableHeader"/>
              <w:spacing w:before="12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One-off supplies</w:t>
            </w:r>
          </w:p>
          <w:p w14:paraId="497C7B60" w14:textId="1A70E063" w:rsidR="00634FCD" w:rsidRDefault="002A7392" w:rsidP="00634FCD">
            <w:pPr>
              <w:pStyle w:val="TableText"/>
              <w:spacing w:before="24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634FCD" w:rsidRPr="0004170F">
              <w:rPr>
                <w:b/>
                <w:bCs/>
                <w:sz w:val="22"/>
                <w:szCs w:val="22"/>
              </w:rPr>
              <w:t>ritical</w:t>
            </w:r>
          </w:p>
          <w:p w14:paraId="34B2316F" w14:textId="72C9F9AE" w:rsidR="0004170F" w:rsidRPr="0004170F" w:rsidRDefault="0004170F" w:rsidP="0004170F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559" w:type="dxa"/>
            <w:shd w:val="clear" w:color="auto" w:fill="auto"/>
          </w:tcPr>
          <w:p w14:paraId="4CFF74C9" w14:textId="77777777" w:rsidR="00634FCD" w:rsidRDefault="00634FCD" w:rsidP="00634FCD">
            <w:pPr>
              <w:pStyle w:val="TableHeader"/>
              <w:spacing w:before="12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One-off supplies</w:t>
            </w:r>
          </w:p>
          <w:p w14:paraId="6E1C413B" w14:textId="32E3219D" w:rsidR="00634FCD" w:rsidRDefault="002A7392" w:rsidP="00634FCD">
            <w:pPr>
              <w:pStyle w:val="TableText"/>
              <w:spacing w:before="24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634FCD" w:rsidRPr="0004170F">
              <w:rPr>
                <w:b/>
                <w:bCs/>
                <w:sz w:val="22"/>
                <w:szCs w:val="22"/>
              </w:rPr>
              <w:t>ritical</w:t>
            </w:r>
            <w:bookmarkStart w:id="5" w:name="_GoBack"/>
            <w:bookmarkEnd w:id="5"/>
          </w:p>
          <w:p w14:paraId="331F305D" w14:textId="27F49C48" w:rsidR="0004170F" w:rsidRPr="0004170F" w:rsidRDefault="0004170F" w:rsidP="0004170F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Value ($m)</w:t>
            </w:r>
          </w:p>
        </w:tc>
        <w:tc>
          <w:tcPr>
            <w:tcW w:w="1418" w:type="dxa"/>
            <w:shd w:val="clear" w:color="auto" w:fill="auto"/>
          </w:tcPr>
          <w:p w14:paraId="34A435A7" w14:textId="77777777" w:rsidR="00634FCD" w:rsidRDefault="00634FCD" w:rsidP="0004170F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Sole entity </w:t>
            </w:r>
            <w:proofErr w:type="gramStart"/>
            <w:r>
              <w:rPr>
                <w:b/>
                <w:bCs/>
                <w:sz w:val="22"/>
                <w:szCs w:val="22"/>
              </w:rPr>
              <w:t>purchase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contracts</w:t>
            </w:r>
          </w:p>
          <w:p w14:paraId="4E8F2CBC" w14:textId="00E38CFB" w:rsidR="0004170F" w:rsidRPr="0004170F" w:rsidRDefault="0004170F" w:rsidP="00634FCD">
            <w:pPr>
              <w:pStyle w:val="TableText"/>
              <w:spacing w:before="36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417" w:type="dxa"/>
            <w:shd w:val="clear" w:color="auto" w:fill="auto"/>
          </w:tcPr>
          <w:p w14:paraId="2FCD10F3" w14:textId="690FF761" w:rsidR="00634FCD" w:rsidRDefault="00634FCD" w:rsidP="0004170F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Sole entity </w:t>
            </w:r>
            <w:proofErr w:type="gramStart"/>
            <w:r>
              <w:rPr>
                <w:b/>
                <w:bCs/>
                <w:sz w:val="22"/>
                <w:szCs w:val="22"/>
              </w:rPr>
              <w:t>purchase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contracts</w:t>
            </w:r>
          </w:p>
          <w:p w14:paraId="65B4170A" w14:textId="1AAB118D" w:rsidR="0004170F" w:rsidRPr="0004170F" w:rsidRDefault="0004170F" w:rsidP="00634FCD">
            <w:pPr>
              <w:pStyle w:val="TableText"/>
              <w:spacing w:before="36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Value ($m)</w:t>
            </w:r>
          </w:p>
        </w:tc>
        <w:tc>
          <w:tcPr>
            <w:tcW w:w="1418" w:type="dxa"/>
            <w:shd w:val="clear" w:color="auto" w:fill="auto"/>
          </w:tcPr>
          <w:p w14:paraId="1834DD66" w14:textId="3F1E5A5C" w:rsidR="00634FCD" w:rsidRDefault="00634FCD" w:rsidP="0004170F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Sole entity </w:t>
            </w:r>
            <w:proofErr w:type="gramStart"/>
            <w:r>
              <w:rPr>
                <w:b/>
                <w:bCs/>
                <w:sz w:val="22"/>
                <w:szCs w:val="22"/>
              </w:rPr>
              <w:t>purchase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contracts</w:t>
            </w:r>
          </w:p>
          <w:p w14:paraId="48E4C64E" w14:textId="2492362B" w:rsidR="0004170F" w:rsidRPr="0004170F" w:rsidRDefault="0004170F" w:rsidP="00634FCD">
            <w:pPr>
              <w:pStyle w:val="TableText"/>
              <w:spacing w:before="36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1559" w:type="dxa"/>
            <w:shd w:val="clear" w:color="auto" w:fill="auto"/>
          </w:tcPr>
          <w:p w14:paraId="06DD8A43" w14:textId="7C0DEF9F" w:rsidR="00634FCD" w:rsidRDefault="00634FCD" w:rsidP="0004170F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Sole entity </w:t>
            </w:r>
            <w:proofErr w:type="gramStart"/>
            <w:r>
              <w:rPr>
                <w:b/>
                <w:bCs/>
                <w:sz w:val="22"/>
                <w:szCs w:val="22"/>
              </w:rPr>
              <w:t>purchase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contracts</w:t>
            </w:r>
          </w:p>
          <w:p w14:paraId="0B9878DA" w14:textId="0A7D6021" w:rsidR="0004170F" w:rsidRPr="0004170F" w:rsidRDefault="0004170F" w:rsidP="00634FCD">
            <w:pPr>
              <w:pStyle w:val="TableText"/>
              <w:spacing w:before="360" w:after="120"/>
              <w:rPr>
                <w:b/>
                <w:bCs/>
                <w:sz w:val="22"/>
                <w:szCs w:val="22"/>
              </w:rPr>
            </w:pPr>
            <w:r w:rsidRPr="0004170F">
              <w:rPr>
                <w:b/>
                <w:bCs/>
                <w:sz w:val="22"/>
                <w:szCs w:val="22"/>
              </w:rPr>
              <w:t>Value ($m)</w:t>
            </w:r>
          </w:p>
        </w:tc>
      </w:tr>
      <w:tr w:rsidR="0004170F" w:rsidRPr="0004170F" w14:paraId="76455049" w14:textId="77777777" w:rsidTr="0004170F">
        <w:tc>
          <w:tcPr>
            <w:tcW w:w="1843" w:type="dxa"/>
          </w:tcPr>
          <w:p w14:paraId="6C50DA38" w14:textId="77777777" w:rsidR="0004170F" w:rsidRPr="00634FCD" w:rsidRDefault="0004170F" w:rsidP="0004170F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634FCD">
              <w:rPr>
                <w:b/>
                <w:bCs/>
                <w:sz w:val="22"/>
                <w:szCs w:val="22"/>
              </w:rPr>
              <w:t>Goods</w:t>
            </w:r>
          </w:p>
        </w:tc>
        <w:tc>
          <w:tcPr>
            <w:tcW w:w="1559" w:type="dxa"/>
          </w:tcPr>
          <w:p w14:paraId="74D08E73" w14:textId="77777777" w:rsidR="0004170F" w:rsidRPr="0004170F" w:rsidRDefault="0004170F" w:rsidP="0004170F">
            <w:pPr>
              <w:pStyle w:val="Tablenumbers"/>
              <w:spacing w:before="120" w:after="120"/>
              <w:rPr>
                <w:rFonts w:cs="Calibri"/>
                <w:sz w:val="22"/>
                <w:szCs w:val="22"/>
                <w:highlight w:val="green"/>
              </w:rPr>
            </w:pPr>
            <w:r w:rsidRPr="0004170F">
              <w:rPr>
                <w:rFonts w:cs="Calibri"/>
                <w:sz w:val="22"/>
                <w:szCs w:val="22"/>
              </w:rPr>
              <w:t>95</w:t>
            </w:r>
          </w:p>
        </w:tc>
        <w:tc>
          <w:tcPr>
            <w:tcW w:w="1701" w:type="dxa"/>
          </w:tcPr>
          <w:p w14:paraId="7FF5D892" w14:textId="77777777" w:rsidR="0004170F" w:rsidRPr="0004170F" w:rsidRDefault="0004170F" w:rsidP="0004170F">
            <w:pPr>
              <w:pStyle w:val="Tablenumbers"/>
              <w:spacing w:before="120" w:after="120"/>
              <w:rPr>
                <w:rFonts w:cs="Calibri"/>
                <w:sz w:val="22"/>
                <w:szCs w:val="22"/>
                <w:highlight w:val="green"/>
              </w:rPr>
            </w:pPr>
            <w:r w:rsidRPr="0004170F">
              <w:rPr>
                <w:rFonts w:cs="Calibri"/>
                <w:sz w:val="22"/>
                <w:szCs w:val="22"/>
              </w:rPr>
              <w:t>$38.2</w:t>
            </w:r>
          </w:p>
        </w:tc>
        <w:tc>
          <w:tcPr>
            <w:tcW w:w="1418" w:type="dxa"/>
          </w:tcPr>
          <w:p w14:paraId="1582508D" w14:textId="77777777" w:rsidR="0004170F" w:rsidRPr="0004170F" w:rsidRDefault="0004170F" w:rsidP="0004170F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04170F">
              <w:rPr>
                <w:rFonts w:cs="Calibri"/>
                <w:sz w:val="22"/>
                <w:szCs w:val="22"/>
              </w:rPr>
              <w:t>234</w:t>
            </w:r>
          </w:p>
        </w:tc>
        <w:tc>
          <w:tcPr>
            <w:tcW w:w="1559" w:type="dxa"/>
          </w:tcPr>
          <w:p w14:paraId="43590046" w14:textId="60F44246" w:rsidR="0004170F" w:rsidRPr="0004170F" w:rsidRDefault="0004170F" w:rsidP="0004170F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04170F">
              <w:rPr>
                <w:rFonts w:cs="Calibri"/>
                <w:sz w:val="22"/>
                <w:szCs w:val="22"/>
              </w:rPr>
              <w:t>$75.2</w:t>
            </w:r>
          </w:p>
        </w:tc>
        <w:tc>
          <w:tcPr>
            <w:tcW w:w="1418" w:type="dxa"/>
          </w:tcPr>
          <w:p w14:paraId="486C491B" w14:textId="77777777" w:rsidR="0004170F" w:rsidRPr="0004170F" w:rsidRDefault="0004170F" w:rsidP="0004170F">
            <w:pPr>
              <w:pStyle w:val="Tablenumbers"/>
              <w:spacing w:before="120" w:after="120"/>
              <w:rPr>
                <w:rFonts w:cs="Calibri"/>
                <w:sz w:val="22"/>
                <w:szCs w:val="22"/>
                <w:highlight w:val="green"/>
              </w:rPr>
            </w:pPr>
            <w:r w:rsidRPr="0004170F">
              <w:rPr>
                <w:rFonts w:cs="Calibri"/>
                <w:sz w:val="22"/>
                <w:szCs w:val="22"/>
              </w:rPr>
              <w:t>24</w:t>
            </w:r>
          </w:p>
        </w:tc>
        <w:tc>
          <w:tcPr>
            <w:tcW w:w="1417" w:type="dxa"/>
          </w:tcPr>
          <w:p w14:paraId="7D3D7C2D" w14:textId="77777777" w:rsidR="0004170F" w:rsidRPr="0004170F" w:rsidRDefault="0004170F" w:rsidP="0004170F">
            <w:pPr>
              <w:pStyle w:val="Tablenumbers"/>
              <w:spacing w:before="120" w:after="120"/>
              <w:rPr>
                <w:rFonts w:cs="Calibri"/>
                <w:sz w:val="22"/>
                <w:szCs w:val="22"/>
                <w:highlight w:val="green"/>
              </w:rPr>
            </w:pPr>
            <w:r w:rsidRPr="0004170F">
              <w:rPr>
                <w:rFonts w:cs="Calibri"/>
                <w:sz w:val="22"/>
                <w:szCs w:val="22"/>
              </w:rPr>
              <w:t>$66.6</w:t>
            </w:r>
          </w:p>
        </w:tc>
        <w:tc>
          <w:tcPr>
            <w:tcW w:w="1418" w:type="dxa"/>
          </w:tcPr>
          <w:p w14:paraId="3AD1D5B7" w14:textId="77777777" w:rsidR="0004170F" w:rsidRPr="0004170F" w:rsidRDefault="0004170F" w:rsidP="0004170F">
            <w:pPr>
              <w:pStyle w:val="Tablenumbers"/>
              <w:spacing w:before="120" w:after="120"/>
              <w:rPr>
                <w:rFonts w:cs="Calibri"/>
                <w:sz w:val="22"/>
                <w:szCs w:val="22"/>
                <w:highlight w:val="green"/>
              </w:rPr>
            </w:pPr>
            <w:r w:rsidRPr="0004170F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1F00A1A1" w14:textId="77777777" w:rsidR="0004170F" w:rsidRPr="0004170F" w:rsidRDefault="0004170F" w:rsidP="0004170F">
            <w:pPr>
              <w:pStyle w:val="Tablenumbers"/>
              <w:spacing w:before="120" w:after="120"/>
              <w:rPr>
                <w:rFonts w:cs="Calibri"/>
                <w:sz w:val="22"/>
                <w:szCs w:val="22"/>
                <w:highlight w:val="green"/>
              </w:rPr>
            </w:pPr>
            <w:r w:rsidRPr="0004170F">
              <w:rPr>
                <w:rFonts w:cs="Calibri"/>
                <w:sz w:val="22"/>
                <w:szCs w:val="22"/>
              </w:rPr>
              <w:t>$65.0</w:t>
            </w:r>
          </w:p>
        </w:tc>
      </w:tr>
      <w:tr w:rsidR="0004170F" w:rsidRPr="0004170F" w14:paraId="55219D46" w14:textId="77777777" w:rsidTr="0004170F">
        <w:tc>
          <w:tcPr>
            <w:tcW w:w="1843" w:type="dxa"/>
          </w:tcPr>
          <w:p w14:paraId="5C260691" w14:textId="77777777" w:rsidR="0004170F" w:rsidRPr="00634FCD" w:rsidRDefault="0004170F" w:rsidP="0004170F">
            <w:pPr>
              <w:pStyle w:val="TableText"/>
              <w:spacing w:before="120" w:after="120"/>
              <w:rPr>
                <w:b/>
                <w:bCs/>
                <w:sz w:val="22"/>
                <w:szCs w:val="22"/>
              </w:rPr>
            </w:pPr>
            <w:r w:rsidRPr="00634FCD">
              <w:rPr>
                <w:b/>
                <w:bCs/>
                <w:sz w:val="22"/>
                <w:szCs w:val="22"/>
              </w:rPr>
              <w:t>Services</w:t>
            </w:r>
          </w:p>
        </w:tc>
        <w:tc>
          <w:tcPr>
            <w:tcW w:w="1559" w:type="dxa"/>
          </w:tcPr>
          <w:p w14:paraId="39D6C0DE" w14:textId="77777777" w:rsidR="0004170F" w:rsidRPr="0004170F" w:rsidRDefault="0004170F" w:rsidP="0004170F">
            <w:pPr>
              <w:pStyle w:val="Tablenumbers"/>
              <w:spacing w:before="120" w:after="120"/>
              <w:rPr>
                <w:rFonts w:cs="Calibri"/>
                <w:sz w:val="22"/>
                <w:szCs w:val="22"/>
                <w:highlight w:val="green"/>
              </w:rPr>
            </w:pPr>
            <w:r w:rsidRPr="0004170F">
              <w:rPr>
                <w:rFonts w:cs="Calibri"/>
                <w:sz w:val="22"/>
                <w:szCs w:val="22"/>
              </w:rPr>
              <w:t>941</w:t>
            </w:r>
          </w:p>
        </w:tc>
        <w:tc>
          <w:tcPr>
            <w:tcW w:w="1701" w:type="dxa"/>
          </w:tcPr>
          <w:p w14:paraId="7EB1D677" w14:textId="2934A0CE" w:rsidR="0004170F" w:rsidRPr="0004170F" w:rsidRDefault="0004170F" w:rsidP="0004170F">
            <w:pPr>
              <w:pStyle w:val="Tablenumbers"/>
              <w:spacing w:before="120" w:after="120"/>
              <w:rPr>
                <w:rFonts w:cs="Calibri"/>
                <w:sz w:val="22"/>
                <w:szCs w:val="22"/>
                <w:highlight w:val="green"/>
              </w:rPr>
            </w:pPr>
            <w:r w:rsidRPr="0004170F">
              <w:rPr>
                <w:rFonts w:cs="Calibri"/>
                <w:sz w:val="22"/>
                <w:szCs w:val="22"/>
              </w:rPr>
              <w:t>$1</w:t>
            </w:r>
            <w:r>
              <w:rPr>
                <w:rFonts w:cs="Calibri"/>
                <w:sz w:val="22"/>
                <w:szCs w:val="22"/>
              </w:rPr>
              <w:t>,</w:t>
            </w:r>
            <w:r w:rsidRPr="0004170F">
              <w:rPr>
                <w:rFonts w:cs="Calibri"/>
                <w:sz w:val="22"/>
                <w:szCs w:val="22"/>
              </w:rPr>
              <w:t>233.7</w:t>
            </w:r>
          </w:p>
        </w:tc>
        <w:tc>
          <w:tcPr>
            <w:tcW w:w="1418" w:type="dxa"/>
          </w:tcPr>
          <w:p w14:paraId="077DA0EC" w14:textId="77777777" w:rsidR="0004170F" w:rsidRPr="0004170F" w:rsidRDefault="0004170F" w:rsidP="0004170F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04170F">
              <w:rPr>
                <w:rFonts w:cs="Calibri"/>
                <w:sz w:val="22"/>
                <w:szCs w:val="22"/>
              </w:rPr>
              <w:t>337</w:t>
            </w:r>
          </w:p>
        </w:tc>
        <w:tc>
          <w:tcPr>
            <w:tcW w:w="1559" w:type="dxa"/>
          </w:tcPr>
          <w:p w14:paraId="799343CA" w14:textId="159F59AA" w:rsidR="0004170F" w:rsidRPr="0004170F" w:rsidRDefault="0004170F" w:rsidP="0004170F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04170F">
              <w:rPr>
                <w:rFonts w:cs="Calibri"/>
                <w:sz w:val="22"/>
                <w:szCs w:val="22"/>
              </w:rPr>
              <w:t>$210.3</w:t>
            </w:r>
          </w:p>
        </w:tc>
        <w:tc>
          <w:tcPr>
            <w:tcW w:w="1418" w:type="dxa"/>
          </w:tcPr>
          <w:p w14:paraId="219C9638" w14:textId="77777777" w:rsidR="0004170F" w:rsidRPr="0004170F" w:rsidRDefault="0004170F" w:rsidP="0004170F">
            <w:pPr>
              <w:pStyle w:val="Tablenumbers"/>
              <w:spacing w:before="120" w:after="120"/>
              <w:rPr>
                <w:rFonts w:cs="Calibri"/>
                <w:sz w:val="22"/>
                <w:szCs w:val="22"/>
                <w:highlight w:val="green"/>
              </w:rPr>
            </w:pPr>
            <w:r w:rsidRPr="0004170F">
              <w:rPr>
                <w:rFonts w:cs="Calibri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14:paraId="0F3BA34F" w14:textId="77777777" w:rsidR="0004170F" w:rsidRPr="0004170F" w:rsidRDefault="0004170F" w:rsidP="0004170F">
            <w:pPr>
              <w:pStyle w:val="Tablenumbers"/>
              <w:spacing w:before="120" w:after="120"/>
              <w:rPr>
                <w:rFonts w:cs="Calibri"/>
                <w:sz w:val="22"/>
                <w:szCs w:val="22"/>
              </w:rPr>
            </w:pPr>
            <w:r w:rsidRPr="0004170F">
              <w:rPr>
                <w:rFonts w:cs="Calibri"/>
                <w:sz w:val="22"/>
                <w:szCs w:val="22"/>
              </w:rPr>
              <w:t>$32.2</w:t>
            </w:r>
          </w:p>
        </w:tc>
        <w:tc>
          <w:tcPr>
            <w:tcW w:w="1418" w:type="dxa"/>
          </w:tcPr>
          <w:p w14:paraId="7DF4D3AE" w14:textId="77777777" w:rsidR="0004170F" w:rsidRPr="0004170F" w:rsidRDefault="0004170F" w:rsidP="0004170F">
            <w:pPr>
              <w:pStyle w:val="Tablenumbers"/>
              <w:spacing w:before="120" w:after="120"/>
              <w:rPr>
                <w:rFonts w:cs="Calibri"/>
                <w:sz w:val="22"/>
                <w:szCs w:val="22"/>
                <w:highlight w:val="green"/>
              </w:rPr>
            </w:pPr>
            <w:r w:rsidRPr="0004170F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14:paraId="3469AD14" w14:textId="77777777" w:rsidR="0004170F" w:rsidRPr="0004170F" w:rsidRDefault="0004170F" w:rsidP="0004170F">
            <w:pPr>
              <w:pStyle w:val="Tablenumbers"/>
              <w:spacing w:before="120" w:after="120"/>
              <w:rPr>
                <w:rFonts w:cs="Calibri"/>
                <w:sz w:val="22"/>
                <w:szCs w:val="22"/>
                <w:highlight w:val="green"/>
              </w:rPr>
            </w:pPr>
            <w:r w:rsidRPr="0004170F">
              <w:rPr>
                <w:rFonts w:cs="Calibri"/>
                <w:sz w:val="22"/>
                <w:szCs w:val="22"/>
              </w:rPr>
              <w:t>$230.5</w:t>
            </w:r>
          </w:p>
        </w:tc>
      </w:tr>
      <w:tr w:rsidR="0004170F" w:rsidRPr="0004170F" w14:paraId="3ECA5134" w14:textId="77777777" w:rsidTr="0004170F">
        <w:tc>
          <w:tcPr>
            <w:tcW w:w="1843" w:type="dxa"/>
          </w:tcPr>
          <w:p w14:paraId="059B6B70" w14:textId="77777777" w:rsidR="0004170F" w:rsidRPr="0004170F" w:rsidRDefault="0004170F" w:rsidP="0004170F">
            <w:pPr>
              <w:pStyle w:val="TableText"/>
              <w:spacing w:before="120" w:after="120"/>
              <w:rPr>
                <w:rStyle w:val="Strong"/>
                <w:sz w:val="22"/>
                <w:szCs w:val="22"/>
              </w:rPr>
            </w:pPr>
            <w:r w:rsidRPr="0004170F">
              <w:rPr>
                <w:rStyle w:val="Strong"/>
                <w:sz w:val="22"/>
                <w:szCs w:val="22"/>
              </w:rPr>
              <w:t>Total</w:t>
            </w:r>
          </w:p>
        </w:tc>
        <w:tc>
          <w:tcPr>
            <w:tcW w:w="1559" w:type="dxa"/>
          </w:tcPr>
          <w:p w14:paraId="36755578" w14:textId="48571948" w:rsidR="0004170F" w:rsidRPr="0004170F" w:rsidRDefault="0004170F" w:rsidP="0004170F">
            <w:pPr>
              <w:pStyle w:val="Tablenumbers"/>
              <w:spacing w:before="120" w:after="120"/>
              <w:rPr>
                <w:rStyle w:val="Strong"/>
                <w:rFonts w:cs="Calibri"/>
                <w:sz w:val="22"/>
                <w:szCs w:val="22"/>
                <w:highlight w:val="green"/>
              </w:rPr>
            </w:pPr>
            <w:r w:rsidRPr="0004170F">
              <w:rPr>
                <w:rStyle w:val="Strong"/>
                <w:rFonts w:cs="Calibri"/>
                <w:sz w:val="22"/>
                <w:szCs w:val="22"/>
              </w:rPr>
              <w:t>1</w:t>
            </w:r>
            <w:r>
              <w:rPr>
                <w:rStyle w:val="Strong"/>
                <w:rFonts w:cs="Calibri"/>
                <w:sz w:val="22"/>
                <w:szCs w:val="22"/>
              </w:rPr>
              <w:t>,</w:t>
            </w:r>
            <w:r w:rsidRPr="0004170F">
              <w:rPr>
                <w:rStyle w:val="Strong"/>
                <w:rFonts w:cs="Calibri"/>
                <w:sz w:val="22"/>
                <w:szCs w:val="22"/>
              </w:rPr>
              <w:t>036</w:t>
            </w:r>
          </w:p>
        </w:tc>
        <w:tc>
          <w:tcPr>
            <w:tcW w:w="1701" w:type="dxa"/>
          </w:tcPr>
          <w:p w14:paraId="4E5CB5C2" w14:textId="0A96A45C" w:rsidR="0004170F" w:rsidRPr="0004170F" w:rsidRDefault="0004170F" w:rsidP="0004170F">
            <w:pPr>
              <w:pStyle w:val="Tablenumbers"/>
              <w:spacing w:before="120" w:after="120"/>
              <w:rPr>
                <w:rStyle w:val="Strong"/>
                <w:rFonts w:cs="Calibri"/>
                <w:sz w:val="22"/>
                <w:szCs w:val="22"/>
                <w:highlight w:val="green"/>
              </w:rPr>
            </w:pPr>
            <w:r w:rsidRPr="0004170F">
              <w:rPr>
                <w:rStyle w:val="Strong"/>
                <w:rFonts w:cs="Calibri"/>
                <w:sz w:val="22"/>
                <w:szCs w:val="22"/>
              </w:rPr>
              <w:t>$1</w:t>
            </w:r>
            <w:r>
              <w:rPr>
                <w:rStyle w:val="Strong"/>
                <w:rFonts w:cs="Calibri"/>
                <w:sz w:val="22"/>
                <w:szCs w:val="22"/>
              </w:rPr>
              <w:t>,</w:t>
            </w:r>
            <w:r w:rsidRPr="0004170F">
              <w:rPr>
                <w:rStyle w:val="Strong"/>
                <w:rFonts w:cs="Calibri"/>
                <w:sz w:val="22"/>
                <w:szCs w:val="22"/>
              </w:rPr>
              <w:t>272.0</w:t>
            </w:r>
          </w:p>
        </w:tc>
        <w:tc>
          <w:tcPr>
            <w:tcW w:w="1418" w:type="dxa"/>
          </w:tcPr>
          <w:p w14:paraId="55B5B329" w14:textId="77777777" w:rsidR="0004170F" w:rsidRPr="0004170F" w:rsidRDefault="0004170F" w:rsidP="0004170F">
            <w:pPr>
              <w:pStyle w:val="Tablenumbers"/>
              <w:spacing w:before="120" w:after="120"/>
              <w:rPr>
                <w:rStyle w:val="Strong"/>
                <w:rFonts w:cs="Calibri"/>
                <w:sz w:val="22"/>
                <w:szCs w:val="22"/>
              </w:rPr>
            </w:pPr>
            <w:r w:rsidRPr="0004170F">
              <w:rPr>
                <w:rStyle w:val="Strong"/>
                <w:rFonts w:cs="Calibri"/>
                <w:sz w:val="22"/>
                <w:szCs w:val="22"/>
              </w:rPr>
              <w:t>571</w:t>
            </w:r>
          </w:p>
        </w:tc>
        <w:tc>
          <w:tcPr>
            <w:tcW w:w="1559" w:type="dxa"/>
          </w:tcPr>
          <w:p w14:paraId="36A70403" w14:textId="77777777" w:rsidR="0004170F" w:rsidRPr="0004170F" w:rsidRDefault="0004170F" w:rsidP="0004170F">
            <w:pPr>
              <w:pStyle w:val="Tablenumbers"/>
              <w:spacing w:before="120" w:after="120"/>
              <w:rPr>
                <w:rStyle w:val="Strong"/>
                <w:rFonts w:cs="Calibri"/>
                <w:sz w:val="22"/>
                <w:szCs w:val="22"/>
              </w:rPr>
            </w:pPr>
            <w:r w:rsidRPr="0004170F">
              <w:rPr>
                <w:rStyle w:val="Strong"/>
                <w:rFonts w:cs="Calibri"/>
                <w:sz w:val="22"/>
                <w:szCs w:val="22"/>
              </w:rPr>
              <w:t>$285.4*</w:t>
            </w:r>
          </w:p>
        </w:tc>
        <w:tc>
          <w:tcPr>
            <w:tcW w:w="1418" w:type="dxa"/>
          </w:tcPr>
          <w:p w14:paraId="4051B1F2" w14:textId="77777777" w:rsidR="0004170F" w:rsidRPr="0004170F" w:rsidRDefault="0004170F" w:rsidP="0004170F">
            <w:pPr>
              <w:pStyle w:val="Tablenumbers"/>
              <w:spacing w:before="120" w:after="120"/>
              <w:rPr>
                <w:rStyle w:val="Strong"/>
                <w:rFonts w:cs="Calibri"/>
                <w:sz w:val="22"/>
                <w:szCs w:val="22"/>
                <w:highlight w:val="green"/>
              </w:rPr>
            </w:pPr>
            <w:r w:rsidRPr="0004170F">
              <w:rPr>
                <w:rStyle w:val="Strong"/>
                <w:rFonts w:cs="Calibri"/>
                <w:sz w:val="22"/>
                <w:szCs w:val="22"/>
              </w:rPr>
              <w:t>44</w:t>
            </w:r>
          </w:p>
        </w:tc>
        <w:tc>
          <w:tcPr>
            <w:tcW w:w="1417" w:type="dxa"/>
          </w:tcPr>
          <w:p w14:paraId="19245600" w14:textId="77777777" w:rsidR="0004170F" w:rsidRPr="0004170F" w:rsidRDefault="0004170F" w:rsidP="0004170F">
            <w:pPr>
              <w:pStyle w:val="Tablenumbers"/>
              <w:spacing w:before="120" w:after="120"/>
              <w:rPr>
                <w:rStyle w:val="Strong"/>
                <w:rFonts w:cs="Calibri"/>
                <w:sz w:val="22"/>
                <w:szCs w:val="22"/>
              </w:rPr>
            </w:pPr>
            <w:r w:rsidRPr="0004170F">
              <w:rPr>
                <w:rStyle w:val="Strong"/>
                <w:rFonts w:cs="Calibri"/>
                <w:sz w:val="22"/>
                <w:szCs w:val="22"/>
              </w:rPr>
              <w:t>$98.8</w:t>
            </w:r>
          </w:p>
        </w:tc>
        <w:tc>
          <w:tcPr>
            <w:tcW w:w="1418" w:type="dxa"/>
          </w:tcPr>
          <w:p w14:paraId="2204039C" w14:textId="77777777" w:rsidR="0004170F" w:rsidRPr="0004170F" w:rsidRDefault="0004170F" w:rsidP="0004170F">
            <w:pPr>
              <w:pStyle w:val="Tablenumbers"/>
              <w:spacing w:before="120" w:after="120"/>
              <w:rPr>
                <w:rStyle w:val="Strong"/>
                <w:rFonts w:cs="Calibri"/>
                <w:sz w:val="22"/>
                <w:szCs w:val="22"/>
                <w:highlight w:val="green"/>
              </w:rPr>
            </w:pPr>
            <w:r w:rsidRPr="0004170F">
              <w:rPr>
                <w:rStyle w:val="Strong"/>
                <w:rFonts w:cs="Calibri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0F0B47B3" w14:textId="77777777" w:rsidR="0004170F" w:rsidRPr="0004170F" w:rsidRDefault="0004170F" w:rsidP="0004170F">
            <w:pPr>
              <w:pStyle w:val="Tablenumbers"/>
              <w:spacing w:before="120" w:after="120"/>
              <w:rPr>
                <w:rStyle w:val="Strong"/>
                <w:rFonts w:cs="Calibri"/>
                <w:sz w:val="22"/>
                <w:szCs w:val="22"/>
                <w:highlight w:val="green"/>
              </w:rPr>
            </w:pPr>
            <w:r w:rsidRPr="0004170F">
              <w:rPr>
                <w:rStyle w:val="Strong"/>
                <w:rFonts w:cs="Calibri"/>
                <w:sz w:val="22"/>
                <w:szCs w:val="22"/>
              </w:rPr>
              <w:t>$295.5</w:t>
            </w:r>
          </w:p>
        </w:tc>
      </w:tr>
    </w:tbl>
    <w:p w14:paraId="729A140D" w14:textId="77777777" w:rsidR="0004170F" w:rsidRPr="0004170F" w:rsidRDefault="0004170F" w:rsidP="0004170F">
      <w:pPr>
        <w:pStyle w:val="Tablenotes"/>
        <w:spacing w:before="120" w:after="120"/>
        <w:ind w:left="0"/>
        <w:contextualSpacing w:val="0"/>
        <w:rPr>
          <w:sz w:val="22"/>
          <w:szCs w:val="22"/>
        </w:rPr>
      </w:pPr>
      <w:r w:rsidRPr="0004170F">
        <w:rPr>
          <w:sz w:val="22"/>
          <w:szCs w:val="22"/>
        </w:rPr>
        <w:t>Note: Due to the high number of critical incident procurements reported in 2019–20, critical and non-critical contract approvals have been reported separately under one-off supplies in this table. Discrepancies between totals and sums of totals reflect rounding.</w:t>
      </w:r>
    </w:p>
    <w:p w14:paraId="1C002099" w14:textId="77777777" w:rsidR="0004170F" w:rsidRPr="0004170F" w:rsidRDefault="0004170F" w:rsidP="0004170F">
      <w:pPr>
        <w:pStyle w:val="Tablenotes"/>
        <w:spacing w:before="120" w:after="120"/>
        <w:ind w:left="0"/>
        <w:rPr>
          <w:sz w:val="22"/>
          <w:szCs w:val="22"/>
        </w:rPr>
      </w:pPr>
      <w:r w:rsidRPr="0004170F">
        <w:rPr>
          <w:sz w:val="22"/>
          <w:szCs w:val="22"/>
        </w:rPr>
        <w:t>*Contract value excludes the Department of Jobs, Precincts and Regions’ contracts where contract value is still to be finalised.</w:t>
      </w:r>
    </w:p>
    <w:p w14:paraId="3E1BA9CC" w14:textId="77777777" w:rsidR="00297DA1" w:rsidRDefault="002A7392"/>
    <w:sectPr w:rsidR="00297DA1" w:rsidSect="0004170F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6F8A1" w14:textId="77777777" w:rsidR="0004170F" w:rsidRDefault="0004170F" w:rsidP="0004170F">
      <w:r>
        <w:separator/>
      </w:r>
    </w:p>
  </w:endnote>
  <w:endnote w:type="continuationSeparator" w:id="0">
    <w:p w14:paraId="2D38EDB1" w14:textId="77777777" w:rsidR="0004170F" w:rsidRDefault="0004170F" w:rsidP="0004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672DE" w14:textId="6B1DFA95" w:rsidR="0004170F" w:rsidRDefault="000417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23049C" wp14:editId="5BFF5792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163c4da7b09746f0bc6828db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6DD303" w14:textId="24EE9D36" w:rsidR="0004170F" w:rsidRPr="0004170F" w:rsidRDefault="0004170F" w:rsidP="0004170F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04170F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3049C" id="_x0000_t202" coordsize="21600,21600" o:spt="202" path="m,l,21600r21600,l21600,xe">
              <v:stroke joinstyle="miter"/>
              <v:path gradientshapeok="t" o:connecttype="rect"/>
            </v:shapetype>
            <v:shape id="MSIPCM163c4da7b09746f0bc6828db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" o:allowincell="f" filled="f" stroked="f" strokeweight=".5pt">
              <v:fill o:detectmouseclick="t"/>
              <v:textbox inset="20pt,0,,0">
                <w:txbxContent>
                  <w:p w14:paraId="116DD303" w14:textId="24EE9D36" w:rsidR="0004170F" w:rsidRPr="0004170F" w:rsidRDefault="0004170F" w:rsidP="0004170F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04170F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46248" w14:textId="77777777" w:rsidR="0004170F" w:rsidRDefault="0004170F" w:rsidP="0004170F">
      <w:r>
        <w:separator/>
      </w:r>
    </w:p>
  </w:footnote>
  <w:footnote w:type="continuationSeparator" w:id="0">
    <w:p w14:paraId="17BF2BF6" w14:textId="77777777" w:rsidR="0004170F" w:rsidRDefault="0004170F" w:rsidP="00041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0F"/>
    <w:rsid w:val="0004170F"/>
    <w:rsid w:val="002141FF"/>
    <w:rsid w:val="002425E7"/>
    <w:rsid w:val="002A7392"/>
    <w:rsid w:val="0037394B"/>
    <w:rsid w:val="003F0859"/>
    <w:rsid w:val="00490C11"/>
    <w:rsid w:val="00634FCD"/>
    <w:rsid w:val="00846076"/>
    <w:rsid w:val="00A975B5"/>
    <w:rsid w:val="00F47874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A61CD2"/>
  <w15:chartTrackingRefBased/>
  <w15:docId w15:val="{6058BB99-B6F9-44F2-9833-771640B4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4170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7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04170F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04170F"/>
    <w:rPr>
      <w:rFonts w:ascii="Calibri" w:eastAsia="Times New Roman" w:hAnsi="Calibri" w:cs="Calibri"/>
      <w:b/>
      <w:lang w:eastAsia="en-AU"/>
    </w:rPr>
  </w:style>
  <w:style w:type="character" w:styleId="Strong">
    <w:name w:val="Strong"/>
    <w:uiPriority w:val="22"/>
    <w:qFormat/>
    <w:rsid w:val="0004170F"/>
    <w:rPr>
      <w:b/>
      <w:bCs/>
    </w:rPr>
  </w:style>
  <w:style w:type="paragraph" w:customStyle="1" w:styleId="TableText">
    <w:name w:val="Table Text"/>
    <w:basedOn w:val="Normal"/>
    <w:link w:val="TableTextChar"/>
    <w:uiPriority w:val="15"/>
    <w:qFormat/>
    <w:rsid w:val="0004170F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04170F"/>
    <w:rPr>
      <w:rFonts w:ascii="Calibri" w:hAnsi="Calibri" w:cs="Calibri"/>
      <w:sz w:val="20"/>
      <w:szCs w:val="20"/>
      <w:lang w:val="en-US"/>
    </w:rPr>
  </w:style>
  <w:style w:type="paragraph" w:customStyle="1" w:styleId="TableHeader">
    <w:name w:val="Table Header"/>
    <w:basedOn w:val="TableText"/>
    <w:link w:val="TableHeaderChar"/>
    <w:uiPriority w:val="15"/>
    <w:qFormat/>
    <w:rsid w:val="0004170F"/>
    <w:pPr>
      <w:keepNext/>
      <w:spacing w:before="40" w:after="40"/>
    </w:pPr>
    <w:rPr>
      <w:sz w:val="24"/>
      <w:szCs w:val="24"/>
    </w:rPr>
  </w:style>
  <w:style w:type="paragraph" w:customStyle="1" w:styleId="Tablenumbers">
    <w:name w:val="Table numbers"/>
    <w:basedOn w:val="Normal"/>
    <w:link w:val="TablenumbersChar"/>
    <w:qFormat/>
    <w:rsid w:val="0004170F"/>
    <w:pPr>
      <w:jc w:val="right"/>
    </w:pPr>
    <w:rPr>
      <w:rFonts w:ascii="Calibri" w:eastAsiaTheme="minorHAnsi" w:hAnsi="Calibri" w:cstheme="minorBidi"/>
      <w:color w:val="000000"/>
      <w:sz w:val="20"/>
      <w:szCs w:val="20"/>
      <w:lang w:val="en-US" w:eastAsia="en-US"/>
    </w:rPr>
  </w:style>
  <w:style w:type="character" w:customStyle="1" w:styleId="TablenumbersChar">
    <w:name w:val="Table numbers Char"/>
    <w:basedOn w:val="DefaultParagraphFont"/>
    <w:link w:val="Tablenumbers"/>
    <w:rsid w:val="0004170F"/>
    <w:rPr>
      <w:rFonts w:ascii="Calibri" w:hAnsi="Calibri"/>
      <w:color w:val="000000"/>
      <w:sz w:val="20"/>
      <w:szCs w:val="20"/>
      <w:lang w:val="en-US"/>
    </w:rPr>
  </w:style>
  <w:style w:type="paragraph" w:customStyle="1" w:styleId="Tablenotes">
    <w:name w:val="Table notes"/>
    <w:basedOn w:val="Normal"/>
    <w:link w:val="TablenotesChar"/>
    <w:qFormat/>
    <w:rsid w:val="0004170F"/>
    <w:pPr>
      <w:spacing w:before="20"/>
      <w:ind w:left="851"/>
      <w:contextualSpacing/>
    </w:pPr>
    <w:rPr>
      <w:rFonts w:ascii="Calibri" w:eastAsia="Calibri" w:hAnsi="Calibri"/>
      <w:spacing w:val="-2"/>
      <w:sz w:val="18"/>
      <w:szCs w:val="18"/>
      <w:lang w:eastAsia="en-US"/>
    </w:rPr>
  </w:style>
  <w:style w:type="character" w:customStyle="1" w:styleId="TablenotesChar">
    <w:name w:val="Table notes Char"/>
    <w:basedOn w:val="DefaultParagraphFont"/>
    <w:link w:val="Tablenotes"/>
    <w:rsid w:val="0004170F"/>
    <w:rPr>
      <w:rFonts w:ascii="Calibri" w:eastAsia="Calibri" w:hAnsi="Calibri" w:cs="Times New Roman"/>
      <w:spacing w:val="-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417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erChar">
    <w:name w:val="Table Header Char"/>
    <w:basedOn w:val="TableTextChar"/>
    <w:link w:val="TableHeader"/>
    <w:uiPriority w:val="15"/>
    <w:rsid w:val="0004170F"/>
    <w:rPr>
      <w:rFonts w:ascii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4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17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417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70F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417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70F"/>
    <w:rPr>
      <w:rFonts w:ascii="Arial" w:eastAsia="Times New Roman" w:hAnsi="Arial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0B30474-4A22-430C-9885-77C7DD6242A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Table-Total-number-and-value-of-contract-approvals-in-2019–20-by-goods-and-services</dc:title>
  <dc:subject/>
  <dc:creator>Athena Rozenberg (DTF)</dc:creator>
  <cp:keywords/>
  <dc:description/>
  <cp:lastModifiedBy>Athena Rozenberg (DTF)</cp:lastModifiedBy>
  <cp:revision>4</cp:revision>
  <dcterms:created xsi:type="dcterms:W3CDTF">2020-10-09T07:31:00Z</dcterms:created>
  <dcterms:modified xsi:type="dcterms:W3CDTF">2020-10-12T05:04:00Z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athena.rozenberg@dtf.vic.gov.au</vt:lpwstr>
  </property>
  <property fmtid="{D5CDD505-2E9C-101B-9397-08002B2CF9AE}" pid="5" name="MSIP_Label_7158ebbd-6c5e-441f-bfc9-4eb8c11e3978_SetDate">
    <vt:lpwstr>2020-10-09T07:38:19.3581033Z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