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81EA" w14:textId="2F3A1299" w:rsidR="00C32545" w:rsidRDefault="00C32545" w:rsidP="00C32545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51521058"/>
      <w:bookmarkStart w:id="1" w:name="_Ref489003425"/>
      <w:bookmarkStart w:id="2" w:name="_Toc17130203"/>
      <w:bookmarkStart w:id="3" w:name="_Toc48837149"/>
      <w:bookmarkStart w:id="4" w:name="_Toc49185539"/>
      <w:r w:rsidRPr="00C32545">
        <w:rPr>
          <w:b/>
          <w:bCs/>
          <w:color w:val="auto"/>
          <w:sz w:val="24"/>
          <w:szCs w:val="24"/>
        </w:rPr>
        <w:t>Table</w:t>
      </w:r>
      <w:bookmarkEnd w:id="0"/>
      <w:bookmarkEnd w:id="1"/>
      <w:r w:rsidRPr="00C32545">
        <w:rPr>
          <w:b/>
          <w:bCs/>
          <w:color w:val="auto"/>
          <w:sz w:val="24"/>
          <w:szCs w:val="24"/>
        </w:rPr>
        <w:t xml:space="preserve"> Trends in one-off supply, SEPC and SPC contract approvals from 2017–18 to 201</w:t>
      </w:r>
      <w:bookmarkEnd w:id="2"/>
      <w:r w:rsidRPr="00C32545">
        <w:rPr>
          <w:b/>
          <w:bCs/>
          <w:color w:val="auto"/>
          <w:sz w:val="24"/>
          <w:szCs w:val="24"/>
        </w:rPr>
        <w:t>9–20</w:t>
      </w:r>
      <w:bookmarkEnd w:id="3"/>
      <w:bookmarkEnd w:id="4"/>
    </w:p>
    <w:p w14:paraId="61E848F4" w14:textId="06A3AA15" w:rsidR="00AC76E3" w:rsidRPr="00AC76E3" w:rsidRDefault="00AC76E3" w:rsidP="00AC76E3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</w:p>
    <w:tbl>
      <w:tblPr>
        <w:tblStyle w:val="TableGrid1"/>
        <w:tblW w:w="13608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843"/>
        <w:gridCol w:w="1701"/>
        <w:gridCol w:w="1842"/>
      </w:tblGrid>
      <w:tr w:rsidR="00C32545" w:rsidRPr="00C32545" w14:paraId="61AA69CA" w14:textId="77777777" w:rsidTr="00C32545">
        <w:trPr>
          <w:tblHeader/>
        </w:trPr>
        <w:tc>
          <w:tcPr>
            <w:tcW w:w="2552" w:type="dxa"/>
            <w:shd w:val="clear" w:color="auto" w:fill="auto"/>
          </w:tcPr>
          <w:p w14:paraId="0355644F" w14:textId="152107EF" w:rsidR="00C32545" w:rsidRPr="00C32545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Purchase type</w:t>
            </w:r>
          </w:p>
        </w:tc>
        <w:tc>
          <w:tcPr>
            <w:tcW w:w="1843" w:type="dxa"/>
            <w:shd w:val="clear" w:color="auto" w:fill="auto"/>
          </w:tcPr>
          <w:p w14:paraId="7A4575A1" w14:textId="55BE89B6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2017–18</w:t>
            </w:r>
          </w:p>
          <w:p w14:paraId="7DF5EA3C" w14:textId="4284C34F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984" w:type="dxa"/>
            <w:shd w:val="clear" w:color="auto" w:fill="auto"/>
          </w:tcPr>
          <w:p w14:paraId="25EEB0B5" w14:textId="50FDD510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2017–18</w:t>
            </w:r>
          </w:p>
          <w:p w14:paraId="5E280133" w14:textId="09B5FE6F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843" w:type="dxa"/>
            <w:shd w:val="clear" w:color="auto" w:fill="auto"/>
          </w:tcPr>
          <w:p w14:paraId="0F75A8B1" w14:textId="2FD53A5C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2018–19</w:t>
            </w:r>
          </w:p>
          <w:p w14:paraId="3FC2E69B" w14:textId="6A3BB402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3" w:type="dxa"/>
            <w:shd w:val="clear" w:color="auto" w:fill="auto"/>
          </w:tcPr>
          <w:p w14:paraId="271329F2" w14:textId="253CF86A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2018–19</w:t>
            </w:r>
          </w:p>
          <w:p w14:paraId="3315A36C" w14:textId="222CADC5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701" w:type="dxa"/>
            <w:shd w:val="clear" w:color="auto" w:fill="auto"/>
          </w:tcPr>
          <w:p w14:paraId="512B1C7E" w14:textId="7DF0EC54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2019–20</w:t>
            </w:r>
          </w:p>
          <w:p w14:paraId="602B3B47" w14:textId="4474D563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842" w:type="dxa"/>
            <w:shd w:val="clear" w:color="auto" w:fill="auto"/>
          </w:tcPr>
          <w:p w14:paraId="15705F55" w14:textId="13060651" w:rsidR="00AC76E3" w:rsidRDefault="00AC76E3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2019–20</w:t>
            </w:r>
          </w:p>
          <w:p w14:paraId="758DF2D9" w14:textId="1EA75B90" w:rsidR="00C32545" w:rsidRPr="00C32545" w:rsidRDefault="00C32545" w:rsidP="00C32545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C32545"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C32545" w:rsidRPr="00C32545" w14:paraId="7AB40828" w14:textId="77777777" w:rsidTr="00AC76E3">
        <w:tc>
          <w:tcPr>
            <w:tcW w:w="2552" w:type="dxa"/>
          </w:tcPr>
          <w:p w14:paraId="61A94711" w14:textId="77777777" w:rsidR="00C32545" w:rsidRPr="00C32545" w:rsidRDefault="00C32545" w:rsidP="00C32545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One-off supplies</w:t>
            </w:r>
            <w:bookmarkStart w:id="5" w:name="_GoBack"/>
            <w:bookmarkEnd w:id="5"/>
          </w:p>
        </w:tc>
        <w:tc>
          <w:tcPr>
            <w:tcW w:w="1843" w:type="dxa"/>
          </w:tcPr>
          <w:p w14:paraId="36184B77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1 152</w:t>
            </w:r>
          </w:p>
        </w:tc>
        <w:tc>
          <w:tcPr>
            <w:tcW w:w="1984" w:type="dxa"/>
          </w:tcPr>
          <w:p w14:paraId="5D13EA79" w14:textId="77777777" w:rsidR="00C32545" w:rsidRPr="00C32545" w:rsidRDefault="00C32545" w:rsidP="00AC76E3">
            <w:pPr>
              <w:pStyle w:val="Tablenumbers"/>
              <w:spacing w:before="120" w:after="120"/>
              <w:ind w:right="174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$1 515.8</w:t>
            </w:r>
          </w:p>
        </w:tc>
        <w:tc>
          <w:tcPr>
            <w:tcW w:w="1843" w:type="dxa"/>
          </w:tcPr>
          <w:p w14:paraId="6017006B" w14:textId="77777777" w:rsidR="00C32545" w:rsidRPr="00C32545" w:rsidRDefault="00C32545" w:rsidP="00AC76E3">
            <w:pPr>
              <w:pStyle w:val="Tablenumbers"/>
              <w:spacing w:before="120" w:after="120"/>
              <w:ind w:right="177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1 239</w:t>
            </w:r>
          </w:p>
        </w:tc>
        <w:tc>
          <w:tcPr>
            <w:tcW w:w="1843" w:type="dxa"/>
          </w:tcPr>
          <w:p w14:paraId="6D77E841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$1 249.7</w:t>
            </w:r>
          </w:p>
        </w:tc>
        <w:tc>
          <w:tcPr>
            <w:tcW w:w="1701" w:type="dxa"/>
          </w:tcPr>
          <w:p w14:paraId="2C15E838" w14:textId="77777777" w:rsidR="00C32545" w:rsidRPr="00C32545" w:rsidRDefault="00C32545" w:rsidP="00AC76E3">
            <w:pPr>
              <w:pStyle w:val="Tablenumbers"/>
              <w:spacing w:before="120" w:after="120"/>
              <w:ind w:right="173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1 607</w:t>
            </w:r>
          </w:p>
        </w:tc>
        <w:tc>
          <w:tcPr>
            <w:tcW w:w="1842" w:type="dxa"/>
          </w:tcPr>
          <w:p w14:paraId="5F7A87AE" w14:textId="77777777" w:rsidR="00C32545" w:rsidRPr="00C32545" w:rsidRDefault="00C32545" w:rsidP="00AC76E3">
            <w:pPr>
              <w:pStyle w:val="Tablenumbers"/>
              <w:spacing w:before="120" w:after="120"/>
              <w:ind w:right="176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$1 557.4</w:t>
            </w:r>
          </w:p>
        </w:tc>
      </w:tr>
      <w:tr w:rsidR="00C32545" w:rsidRPr="00C32545" w14:paraId="0FB04F13" w14:textId="77777777" w:rsidTr="00AC76E3">
        <w:tc>
          <w:tcPr>
            <w:tcW w:w="2552" w:type="dxa"/>
          </w:tcPr>
          <w:p w14:paraId="67A9E096" w14:textId="0441D53F" w:rsidR="00C32545" w:rsidRPr="00C32545" w:rsidRDefault="00C32545" w:rsidP="00C32545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Sole entity </w:t>
            </w:r>
            <w:proofErr w:type="gramStart"/>
            <w:r>
              <w:rPr>
                <w:sz w:val="22"/>
                <w:szCs w:val="22"/>
              </w:rPr>
              <w:t>purchase</w:t>
            </w:r>
            <w:proofErr w:type="gramEnd"/>
            <w:r>
              <w:rPr>
                <w:sz w:val="22"/>
                <w:szCs w:val="22"/>
              </w:rPr>
              <w:t xml:space="preserve"> contracts</w:t>
            </w:r>
          </w:p>
        </w:tc>
        <w:tc>
          <w:tcPr>
            <w:tcW w:w="1843" w:type="dxa"/>
          </w:tcPr>
          <w:p w14:paraId="7B19D6A5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</w:tcPr>
          <w:p w14:paraId="294C7752" w14:textId="77777777" w:rsidR="00C32545" w:rsidRPr="00C32545" w:rsidRDefault="00C32545" w:rsidP="00AC76E3">
            <w:pPr>
              <w:pStyle w:val="Tablenumbers"/>
              <w:spacing w:before="120" w:after="120"/>
              <w:ind w:right="174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$254.2</w:t>
            </w:r>
          </w:p>
        </w:tc>
        <w:tc>
          <w:tcPr>
            <w:tcW w:w="1843" w:type="dxa"/>
          </w:tcPr>
          <w:p w14:paraId="758A5688" w14:textId="77777777" w:rsidR="00C32545" w:rsidRPr="00C32545" w:rsidRDefault="00C32545" w:rsidP="00AC76E3">
            <w:pPr>
              <w:pStyle w:val="Tablenumbers"/>
              <w:spacing w:before="120" w:after="120"/>
              <w:ind w:right="177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</w:tcPr>
          <w:p w14:paraId="5726A620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$441.9</w:t>
            </w:r>
          </w:p>
        </w:tc>
        <w:tc>
          <w:tcPr>
            <w:tcW w:w="1701" w:type="dxa"/>
          </w:tcPr>
          <w:p w14:paraId="00C00A3F" w14:textId="77777777" w:rsidR="00C32545" w:rsidRPr="00C32545" w:rsidRDefault="00C32545" w:rsidP="00AC76E3">
            <w:pPr>
              <w:pStyle w:val="Tablenumbers"/>
              <w:spacing w:before="120" w:after="120"/>
              <w:ind w:right="173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44</w:t>
            </w:r>
          </w:p>
        </w:tc>
        <w:tc>
          <w:tcPr>
            <w:tcW w:w="1842" w:type="dxa"/>
          </w:tcPr>
          <w:p w14:paraId="6255C696" w14:textId="77777777" w:rsidR="00C32545" w:rsidRPr="00C32545" w:rsidRDefault="00C32545" w:rsidP="00AC76E3">
            <w:pPr>
              <w:pStyle w:val="Tablenumbers"/>
              <w:spacing w:before="120" w:after="120"/>
              <w:ind w:right="176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$98.8</w:t>
            </w:r>
          </w:p>
        </w:tc>
      </w:tr>
      <w:tr w:rsidR="00C32545" w:rsidRPr="00C32545" w14:paraId="687826BF" w14:textId="77777777" w:rsidTr="00AC76E3">
        <w:tc>
          <w:tcPr>
            <w:tcW w:w="2552" w:type="dxa"/>
          </w:tcPr>
          <w:p w14:paraId="79D63E07" w14:textId="0FF4A7ED" w:rsidR="00C32545" w:rsidRPr="00C32545" w:rsidRDefault="00C32545" w:rsidP="00C32545">
            <w:pPr>
              <w:pStyle w:val="TableTex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purchase contracts</w:t>
            </w:r>
          </w:p>
        </w:tc>
        <w:tc>
          <w:tcPr>
            <w:tcW w:w="1843" w:type="dxa"/>
          </w:tcPr>
          <w:p w14:paraId="2B16803D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14:paraId="19427B01" w14:textId="77777777" w:rsidR="00C32545" w:rsidRPr="00C32545" w:rsidRDefault="00C32545" w:rsidP="00AC76E3">
            <w:pPr>
              <w:pStyle w:val="Tablenumbers"/>
              <w:spacing w:before="120" w:after="120"/>
              <w:ind w:right="174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$1 241.2</w:t>
            </w:r>
          </w:p>
        </w:tc>
        <w:tc>
          <w:tcPr>
            <w:tcW w:w="1843" w:type="dxa"/>
          </w:tcPr>
          <w:p w14:paraId="26759CD9" w14:textId="77777777" w:rsidR="00C32545" w:rsidRPr="00C32545" w:rsidRDefault="00C32545" w:rsidP="00AC76E3">
            <w:pPr>
              <w:pStyle w:val="Tablenumbers"/>
              <w:spacing w:before="120" w:after="120"/>
              <w:ind w:right="177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090EEF40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sz w:val="22"/>
                <w:szCs w:val="22"/>
                <w:highlight w:val="yellow"/>
              </w:rPr>
            </w:pPr>
            <w:r w:rsidRPr="00C32545">
              <w:rPr>
                <w:sz w:val="22"/>
                <w:szCs w:val="22"/>
              </w:rPr>
              <w:t>$885.8</w:t>
            </w:r>
          </w:p>
        </w:tc>
        <w:tc>
          <w:tcPr>
            <w:tcW w:w="1701" w:type="dxa"/>
          </w:tcPr>
          <w:p w14:paraId="1CFD297E" w14:textId="77777777" w:rsidR="00C32545" w:rsidRPr="00C32545" w:rsidRDefault="00C32545" w:rsidP="00AC76E3">
            <w:pPr>
              <w:pStyle w:val="Tablenumbers"/>
              <w:spacing w:before="120" w:after="120"/>
              <w:ind w:right="173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14:paraId="372D85F0" w14:textId="77777777" w:rsidR="00C32545" w:rsidRPr="00C32545" w:rsidRDefault="00C32545" w:rsidP="00AC76E3">
            <w:pPr>
              <w:pStyle w:val="Tablenumbers"/>
              <w:spacing w:before="120" w:after="120"/>
              <w:ind w:right="176"/>
              <w:rPr>
                <w:sz w:val="22"/>
                <w:szCs w:val="22"/>
              </w:rPr>
            </w:pPr>
            <w:r w:rsidRPr="00C32545">
              <w:rPr>
                <w:sz w:val="22"/>
                <w:szCs w:val="22"/>
              </w:rPr>
              <w:t>$295.5</w:t>
            </w:r>
          </w:p>
        </w:tc>
      </w:tr>
      <w:tr w:rsidR="00C32545" w:rsidRPr="00C32545" w14:paraId="2A99A017" w14:textId="77777777" w:rsidTr="00AC76E3">
        <w:tc>
          <w:tcPr>
            <w:tcW w:w="2552" w:type="dxa"/>
          </w:tcPr>
          <w:p w14:paraId="64735011" w14:textId="77777777" w:rsidR="00C32545" w:rsidRPr="00C32545" w:rsidRDefault="00C32545" w:rsidP="00C32545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843" w:type="dxa"/>
          </w:tcPr>
          <w:p w14:paraId="36D37E7C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1 197</w:t>
            </w:r>
          </w:p>
        </w:tc>
        <w:tc>
          <w:tcPr>
            <w:tcW w:w="1984" w:type="dxa"/>
          </w:tcPr>
          <w:p w14:paraId="6AA81A82" w14:textId="77777777" w:rsidR="00C32545" w:rsidRPr="00C32545" w:rsidRDefault="00C32545" w:rsidP="00AC76E3">
            <w:pPr>
              <w:pStyle w:val="Tablenumbers"/>
              <w:spacing w:before="120" w:after="120"/>
              <w:ind w:right="174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$3 011.2</w:t>
            </w:r>
          </w:p>
        </w:tc>
        <w:tc>
          <w:tcPr>
            <w:tcW w:w="1843" w:type="dxa"/>
          </w:tcPr>
          <w:p w14:paraId="4E0DE7A9" w14:textId="77777777" w:rsidR="00C32545" w:rsidRPr="00C32545" w:rsidRDefault="00C32545" w:rsidP="00AC76E3">
            <w:pPr>
              <w:pStyle w:val="Tablenumbers"/>
              <w:spacing w:before="120" w:after="120"/>
              <w:ind w:right="177"/>
              <w:rPr>
                <w:rStyle w:val="Strong"/>
                <w:sz w:val="22"/>
                <w:szCs w:val="22"/>
                <w:highlight w:val="yellow"/>
              </w:rPr>
            </w:pPr>
            <w:r w:rsidRPr="00C32545">
              <w:rPr>
                <w:rStyle w:val="Strong"/>
                <w:sz w:val="22"/>
                <w:szCs w:val="22"/>
              </w:rPr>
              <w:t>1 280</w:t>
            </w:r>
          </w:p>
        </w:tc>
        <w:tc>
          <w:tcPr>
            <w:tcW w:w="1843" w:type="dxa"/>
          </w:tcPr>
          <w:p w14:paraId="067D1098" w14:textId="77777777" w:rsidR="00C32545" w:rsidRPr="00C32545" w:rsidRDefault="00C32545" w:rsidP="00AC76E3">
            <w:pPr>
              <w:pStyle w:val="Tablenumbers"/>
              <w:spacing w:before="120" w:after="120"/>
              <w:ind w:right="179"/>
              <w:rPr>
                <w:rStyle w:val="Strong"/>
                <w:sz w:val="22"/>
                <w:szCs w:val="22"/>
                <w:highlight w:val="yellow"/>
              </w:rPr>
            </w:pPr>
            <w:r w:rsidRPr="00C32545">
              <w:rPr>
                <w:rStyle w:val="Strong"/>
                <w:sz w:val="22"/>
                <w:szCs w:val="22"/>
              </w:rPr>
              <w:t>$2 577.4</w:t>
            </w:r>
          </w:p>
        </w:tc>
        <w:tc>
          <w:tcPr>
            <w:tcW w:w="1701" w:type="dxa"/>
            <w:vAlign w:val="center"/>
          </w:tcPr>
          <w:p w14:paraId="06F254AA" w14:textId="77777777" w:rsidR="00C32545" w:rsidRPr="00C32545" w:rsidRDefault="00C32545" w:rsidP="00AC76E3">
            <w:pPr>
              <w:pStyle w:val="Tablenumbers"/>
              <w:spacing w:before="120" w:after="120"/>
              <w:ind w:right="173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1 657</w:t>
            </w:r>
          </w:p>
        </w:tc>
        <w:tc>
          <w:tcPr>
            <w:tcW w:w="1842" w:type="dxa"/>
            <w:vAlign w:val="center"/>
          </w:tcPr>
          <w:p w14:paraId="19A6AF23" w14:textId="77777777" w:rsidR="00C32545" w:rsidRPr="00C32545" w:rsidRDefault="00C32545" w:rsidP="00AC76E3">
            <w:pPr>
              <w:pStyle w:val="Tablenumbers"/>
              <w:spacing w:before="120" w:after="120"/>
              <w:ind w:right="176"/>
              <w:rPr>
                <w:rStyle w:val="Strong"/>
                <w:sz w:val="22"/>
                <w:szCs w:val="22"/>
              </w:rPr>
            </w:pPr>
            <w:r w:rsidRPr="00C32545">
              <w:rPr>
                <w:rStyle w:val="Strong"/>
                <w:sz w:val="22"/>
                <w:szCs w:val="22"/>
              </w:rPr>
              <w:t>$1 951.7</w:t>
            </w:r>
          </w:p>
        </w:tc>
      </w:tr>
    </w:tbl>
    <w:p w14:paraId="05DC95CD" w14:textId="77777777" w:rsidR="00297DA1" w:rsidRDefault="00AC76E3"/>
    <w:sectPr w:rsidR="00297DA1" w:rsidSect="00C32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67EF" w14:textId="77777777" w:rsidR="00C32545" w:rsidRDefault="00C32545" w:rsidP="00C32545">
      <w:r>
        <w:separator/>
      </w:r>
    </w:p>
  </w:endnote>
  <w:endnote w:type="continuationSeparator" w:id="0">
    <w:p w14:paraId="47F21C04" w14:textId="77777777" w:rsidR="00C32545" w:rsidRDefault="00C32545" w:rsidP="00C3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1908B" w14:textId="77777777" w:rsidR="0020468B" w:rsidRDefault="00204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A46A2" w14:textId="3BC963F1" w:rsidR="00C32545" w:rsidRDefault="00C325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0BEA92" wp14:editId="2DD7660D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00864ceb8bf7d5819364d6c5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14298" w14:textId="1E7BFF21" w:rsidR="00C32545" w:rsidRPr="00C32545" w:rsidRDefault="00C32545" w:rsidP="00C32545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3254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BEA92" id="_x0000_t202" coordsize="21600,21600" o:spt="202" path="m,l,21600r21600,l21600,xe">
              <v:stroke joinstyle="miter"/>
              <v:path gradientshapeok="t" o:connecttype="rect"/>
            </v:shapetype>
            <v:shape id="MSIPCM00864ceb8bf7d5819364d6c5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H85yBK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3B714298" w14:textId="1E7BFF21" w:rsidR="00C32545" w:rsidRPr="00C32545" w:rsidRDefault="00C32545" w:rsidP="00C32545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32545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A8FE" w14:textId="77777777" w:rsidR="0020468B" w:rsidRDefault="0020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D8841" w14:textId="77777777" w:rsidR="00C32545" w:rsidRDefault="00C32545" w:rsidP="00C32545">
      <w:r>
        <w:separator/>
      </w:r>
    </w:p>
  </w:footnote>
  <w:footnote w:type="continuationSeparator" w:id="0">
    <w:p w14:paraId="4BE31725" w14:textId="77777777" w:rsidR="00C32545" w:rsidRDefault="00C32545" w:rsidP="00C3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D9AD" w14:textId="77777777" w:rsidR="0020468B" w:rsidRDefault="00204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1CE52" w14:textId="77777777" w:rsidR="0020468B" w:rsidRDefault="00204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A2DD" w14:textId="77777777" w:rsidR="0020468B" w:rsidRDefault="002046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45"/>
    <w:rsid w:val="001B30D3"/>
    <w:rsid w:val="0020468B"/>
    <w:rsid w:val="002141FF"/>
    <w:rsid w:val="002425E7"/>
    <w:rsid w:val="0037394B"/>
    <w:rsid w:val="003F0859"/>
    <w:rsid w:val="00490C11"/>
    <w:rsid w:val="00A975B5"/>
    <w:rsid w:val="00AC76E3"/>
    <w:rsid w:val="00C3254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F6A1D7"/>
  <w15:chartTrackingRefBased/>
  <w15:docId w15:val="{945AF369-DBFC-4E2F-8875-7DED5EB5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5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C32545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C32545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C32545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C32545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C32545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C32545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C32545"/>
    <w:rPr>
      <w:rFonts w:ascii="Calibri" w:hAnsi="Calibri"/>
      <w:color w:val="000000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3254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25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325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545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25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545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B8ED8A6-CAB4-477E-9E9E-404BB58B28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Treausry and Finance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Table-Trends-in-one-off-supply-SEPC-and-SPC-contract-approvals-from-2017–18-to-2019–20</dc:title>
  <dc:subject/>
  <dc:creator>Athena Rozenberg (DTF)</dc:creator>
  <cp:keywords/>
  <dc:description/>
  <cp:lastModifiedBy>Athena Rozenberg (DTF)</cp:lastModifiedBy>
  <cp:revision>4</cp:revision>
  <dcterms:created xsi:type="dcterms:W3CDTF">2020-10-09T07:55:00Z</dcterms:created>
  <dcterms:modified xsi:type="dcterms:W3CDTF">2020-10-12T05:08:00Z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2020-10-09T07:58:48.5478626Z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