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BA581" w14:textId="39A38C39" w:rsidR="00356D3B" w:rsidRPr="008A4523" w:rsidRDefault="00356D3B" w:rsidP="008A4523">
      <w:pPr>
        <w:pStyle w:val="Heading1"/>
        <w:ind w:firstLine="720"/>
        <w:rPr>
          <w:rFonts w:cstheme="majorHAnsi"/>
          <w:b/>
          <w:bCs/>
          <w:color w:val="000000" w:themeColor="text1"/>
          <w:sz w:val="28"/>
          <w:szCs w:val="28"/>
        </w:rPr>
      </w:pPr>
      <w:bookmarkStart w:id="0" w:name="_Ref489367054"/>
      <w:bookmarkStart w:id="1" w:name="_Toc503949277"/>
      <w:bookmarkStart w:id="2" w:name="_Toc12718001"/>
      <w:bookmarkStart w:id="3" w:name="_Toc17130223"/>
      <w:bookmarkStart w:id="4" w:name="_Toc48837168"/>
      <w:bookmarkStart w:id="5" w:name="_Toc49185558"/>
      <w:r w:rsidRPr="008A4523">
        <w:rPr>
          <w:rFonts w:cstheme="majorHAnsi"/>
          <w:b/>
          <w:bCs/>
          <w:color w:val="000000" w:themeColor="text1"/>
          <w:sz w:val="28"/>
          <w:szCs w:val="28"/>
        </w:rPr>
        <w:t>Table</w:t>
      </w:r>
      <w:bookmarkEnd w:id="0"/>
      <w:r w:rsidRPr="008A4523">
        <w:rPr>
          <w:rFonts w:cstheme="majorHAnsi"/>
          <w:b/>
          <w:bCs/>
          <w:color w:val="000000" w:themeColor="text1"/>
          <w:sz w:val="28"/>
          <w:szCs w:val="28"/>
        </w:rPr>
        <w:t xml:space="preserve"> Victoria Police performance in </w:t>
      </w:r>
      <w:bookmarkEnd w:id="1"/>
      <w:r w:rsidRPr="008A4523">
        <w:rPr>
          <w:rFonts w:cstheme="majorHAnsi"/>
          <w:b/>
          <w:bCs/>
          <w:color w:val="000000" w:themeColor="text1"/>
          <w:sz w:val="28"/>
          <w:szCs w:val="28"/>
        </w:rPr>
        <w:t>2019–20</w:t>
      </w:r>
      <w:bookmarkEnd w:id="2"/>
      <w:bookmarkEnd w:id="3"/>
      <w:bookmarkEnd w:id="4"/>
      <w:bookmarkEnd w:id="5"/>
    </w:p>
    <w:p w14:paraId="52472AAB" w14:textId="6D5F9200" w:rsidR="0066182F" w:rsidRDefault="0066182F" w:rsidP="0066182F"/>
    <w:p w14:paraId="0670FF57" w14:textId="543271EE" w:rsidR="0066182F" w:rsidRPr="008A4523" w:rsidRDefault="0066182F" w:rsidP="008A4523">
      <w:pPr>
        <w:ind w:firstLine="720"/>
        <w:rPr>
          <w:rFonts w:ascii="Calibri" w:eastAsiaTheme="minorHAnsi" w:hAnsi="Calibri" w:cs="Calibri"/>
          <w:sz w:val="20"/>
          <w:szCs w:val="20"/>
          <w:lang w:val="en-US" w:eastAsia="en-US"/>
        </w:rPr>
      </w:pPr>
      <w:r w:rsidRPr="008A4523">
        <w:rPr>
          <w:rFonts w:ascii="Calibri" w:eastAsiaTheme="minorHAnsi" w:hAnsi="Calibri" w:cs="Calibri"/>
          <w:sz w:val="20"/>
          <w:szCs w:val="20"/>
          <w:lang w:val="en-US" w:eastAsia="en-US"/>
        </w:rPr>
        <w:t>Extract from Victorian Govern</w:t>
      </w:r>
      <w:bookmarkStart w:id="6" w:name="_GoBack"/>
      <w:bookmarkEnd w:id="6"/>
      <w:r w:rsidRPr="008A4523">
        <w:rPr>
          <w:rFonts w:ascii="Calibri" w:eastAsiaTheme="minorHAnsi" w:hAnsi="Calibri" w:cs="Calibri"/>
          <w:sz w:val="20"/>
          <w:szCs w:val="20"/>
          <w:lang w:val="en-US" w:eastAsia="en-US"/>
        </w:rPr>
        <w:t xml:space="preserve">ment Purchasing Board </w:t>
      </w:r>
      <w:r w:rsidR="00A52D65">
        <w:rPr>
          <w:rFonts w:ascii="Calibri" w:eastAsiaTheme="minorHAnsi" w:hAnsi="Calibri" w:cs="Calibri"/>
          <w:sz w:val="20"/>
          <w:szCs w:val="20"/>
          <w:lang w:val="en-US" w:eastAsia="en-US"/>
        </w:rPr>
        <w:t xml:space="preserve">Annual Report </w:t>
      </w:r>
      <w:r w:rsidRPr="008A4523">
        <w:rPr>
          <w:rFonts w:ascii="Calibri" w:eastAsiaTheme="minorHAnsi" w:hAnsi="Calibri" w:cs="Calibri"/>
          <w:sz w:val="20"/>
          <w:szCs w:val="20"/>
          <w:lang w:val="en-US" w:eastAsia="en-US"/>
        </w:rPr>
        <w:t>2019-20</w:t>
      </w:r>
    </w:p>
    <w:p w14:paraId="5E244EA2" w14:textId="77777777" w:rsidR="0066182F" w:rsidRPr="0066182F" w:rsidRDefault="0066182F" w:rsidP="0066182F"/>
    <w:tbl>
      <w:tblPr>
        <w:tblStyle w:val="TableGrid1"/>
        <w:tblW w:w="9072" w:type="dxa"/>
        <w:tblInd w:w="704" w:type="dxa"/>
        <w:tblLook w:val="04A0" w:firstRow="1" w:lastRow="0" w:firstColumn="1" w:lastColumn="0" w:noHBand="0" w:noVBand="1"/>
      </w:tblPr>
      <w:tblGrid>
        <w:gridCol w:w="3402"/>
        <w:gridCol w:w="2263"/>
        <w:gridCol w:w="6"/>
        <w:gridCol w:w="1133"/>
        <w:gridCol w:w="1134"/>
        <w:gridCol w:w="1134"/>
      </w:tblGrid>
      <w:tr w:rsidR="00356D3B" w:rsidRPr="00DA1E79" w14:paraId="6C48051B" w14:textId="77777777" w:rsidTr="002F32B2">
        <w:tc>
          <w:tcPr>
            <w:tcW w:w="5671" w:type="dxa"/>
            <w:gridSpan w:val="3"/>
            <w:vMerge w:val="restart"/>
          </w:tcPr>
          <w:p w14:paraId="47E908D9" w14:textId="77777777" w:rsidR="00356D3B" w:rsidRPr="00DA1E79" w:rsidRDefault="00356D3B" w:rsidP="002F32B2">
            <w:pPr>
              <w:pStyle w:val="TableHeader"/>
            </w:pPr>
            <w:r w:rsidRPr="00DA1E79">
              <w:t>Performance measure</w:t>
            </w:r>
          </w:p>
        </w:tc>
        <w:tc>
          <w:tcPr>
            <w:tcW w:w="1133" w:type="dxa"/>
          </w:tcPr>
          <w:p w14:paraId="52055582" w14:textId="77777777" w:rsidR="00356D3B" w:rsidRPr="00DA1E79" w:rsidRDefault="00356D3B" w:rsidP="002F32B2">
            <w:pPr>
              <w:pStyle w:val="TableHeader"/>
            </w:pPr>
            <w:r w:rsidRPr="00DA1E79">
              <w:t>2017–18</w:t>
            </w:r>
          </w:p>
        </w:tc>
        <w:tc>
          <w:tcPr>
            <w:tcW w:w="1134" w:type="dxa"/>
          </w:tcPr>
          <w:p w14:paraId="31AE2C8D" w14:textId="77777777" w:rsidR="00356D3B" w:rsidRPr="00DA1E79" w:rsidRDefault="00356D3B" w:rsidP="002F32B2">
            <w:pPr>
              <w:pStyle w:val="TableHeader"/>
            </w:pPr>
            <w:r w:rsidRPr="00DA1E79">
              <w:t>2018–19</w:t>
            </w:r>
          </w:p>
        </w:tc>
        <w:tc>
          <w:tcPr>
            <w:tcW w:w="1134" w:type="dxa"/>
          </w:tcPr>
          <w:p w14:paraId="01EFEC47" w14:textId="77777777" w:rsidR="00356D3B" w:rsidRPr="00DA1E79" w:rsidRDefault="00356D3B" w:rsidP="002F32B2">
            <w:pPr>
              <w:pStyle w:val="TableHeader"/>
            </w:pPr>
            <w:r w:rsidRPr="00DA1E79">
              <w:t>2019–20</w:t>
            </w:r>
          </w:p>
        </w:tc>
      </w:tr>
      <w:tr w:rsidR="00356D3B" w:rsidRPr="00DA1E79" w14:paraId="749DC5EB" w14:textId="77777777" w:rsidTr="002F32B2">
        <w:tc>
          <w:tcPr>
            <w:tcW w:w="5671" w:type="dxa"/>
            <w:gridSpan w:val="3"/>
            <w:vMerge/>
          </w:tcPr>
          <w:p w14:paraId="21F8C82F" w14:textId="77777777" w:rsidR="00356D3B" w:rsidRPr="00DA1E79" w:rsidRDefault="00356D3B" w:rsidP="002F32B2">
            <w:pPr>
              <w:pStyle w:val="TableHeader"/>
            </w:pPr>
          </w:p>
        </w:tc>
        <w:tc>
          <w:tcPr>
            <w:tcW w:w="3401" w:type="dxa"/>
            <w:gridSpan w:val="3"/>
          </w:tcPr>
          <w:p w14:paraId="602488B7" w14:textId="77777777" w:rsidR="00356D3B" w:rsidRPr="00DA1E79" w:rsidRDefault="00356D3B" w:rsidP="002F32B2">
            <w:pPr>
              <w:pStyle w:val="TableHeader"/>
            </w:pPr>
            <w:r w:rsidRPr="00DA1E79">
              <w:t>(%)</w:t>
            </w:r>
          </w:p>
        </w:tc>
      </w:tr>
      <w:tr w:rsidR="00356D3B" w:rsidRPr="005C4F4A" w14:paraId="063732A7" w14:textId="77777777" w:rsidTr="002F32B2">
        <w:tc>
          <w:tcPr>
            <w:tcW w:w="5671" w:type="dxa"/>
            <w:gridSpan w:val="3"/>
          </w:tcPr>
          <w:p w14:paraId="63BEC8B9" w14:textId="77777777" w:rsidR="00356D3B" w:rsidRPr="005C4F4A" w:rsidRDefault="00356D3B" w:rsidP="002F32B2">
            <w:pPr>
              <w:pStyle w:val="TableText"/>
              <w:rPr>
                <w:rStyle w:val="Strong"/>
              </w:rPr>
            </w:pPr>
            <w:r w:rsidRPr="005C4F4A">
              <w:rPr>
                <w:rStyle w:val="Strong"/>
              </w:rPr>
              <w:t>Value created from department procurement activity</w:t>
            </w:r>
          </w:p>
        </w:tc>
        <w:tc>
          <w:tcPr>
            <w:tcW w:w="1133" w:type="dxa"/>
          </w:tcPr>
          <w:p w14:paraId="292740E4" w14:textId="77777777" w:rsidR="00356D3B" w:rsidRPr="005C4F4A" w:rsidRDefault="00356D3B" w:rsidP="002F32B2">
            <w:pPr>
              <w:pStyle w:val="TableText"/>
              <w:rPr>
                <w:rStyle w:val="Strong"/>
              </w:rPr>
            </w:pPr>
            <w:r w:rsidRPr="005C4F4A">
              <w:rPr>
                <w:rStyle w:val="Strong"/>
              </w:rPr>
              <w:t>5.4</w:t>
            </w:r>
          </w:p>
        </w:tc>
        <w:tc>
          <w:tcPr>
            <w:tcW w:w="1134" w:type="dxa"/>
          </w:tcPr>
          <w:p w14:paraId="61F142F1" w14:textId="77777777" w:rsidR="00356D3B" w:rsidRPr="005C4F4A" w:rsidRDefault="00356D3B" w:rsidP="002F32B2">
            <w:pPr>
              <w:pStyle w:val="TableText"/>
              <w:rPr>
                <w:rStyle w:val="Strong"/>
              </w:rPr>
            </w:pPr>
            <w:r w:rsidRPr="005C4F4A">
              <w:rPr>
                <w:rStyle w:val="Strong"/>
              </w:rPr>
              <w:t>5.0</w:t>
            </w:r>
          </w:p>
        </w:tc>
        <w:tc>
          <w:tcPr>
            <w:tcW w:w="1134" w:type="dxa"/>
          </w:tcPr>
          <w:p w14:paraId="7FA208C4" w14:textId="77777777" w:rsidR="00356D3B" w:rsidRPr="005C4F4A" w:rsidRDefault="00356D3B" w:rsidP="002F32B2">
            <w:pPr>
              <w:pStyle w:val="TableText"/>
              <w:rPr>
                <w:rStyle w:val="Strong"/>
              </w:rPr>
            </w:pPr>
            <w:r w:rsidRPr="005C4F4A">
              <w:rPr>
                <w:rStyle w:val="Strong"/>
              </w:rPr>
              <w:t>4.3</w:t>
            </w:r>
          </w:p>
        </w:tc>
      </w:tr>
      <w:tr w:rsidR="00356D3B" w:rsidRPr="005F2BDA" w14:paraId="03609190" w14:textId="77777777" w:rsidTr="002F32B2">
        <w:tc>
          <w:tcPr>
            <w:tcW w:w="9072" w:type="dxa"/>
            <w:gridSpan w:val="6"/>
          </w:tcPr>
          <w:p w14:paraId="0E9EF66E" w14:textId="77777777" w:rsidR="00356D3B" w:rsidRPr="005F2BDA" w:rsidRDefault="00356D3B" w:rsidP="002F32B2">
            <w:pPr>
              <w:pStyle w:val="TableText"/>
            </w:pPr>
            <w:r>
              <w:t xml:space="preserve">The Procurement Division continues to ensure procurement practitioners </w:t>
            </w:r>
            <w:r w:rsidRPr="00162DC8">
              <w:t xml:space="preserve">look for savings as part of the procurement process. </w:t>
            </w:r>
            <w:r>
              <w:t xml:space="preserve">At the end of the </w:t>
            </w:r>
            <w:r w:rsidRPr="00162DC8">
              <w:t xml:space="preserve">procurement </w:t>
            </w:r>
            <w:r>
              <w:t>process</w:t>
            </w:r>
            <w:r w:rsidRPr="00162DC8">
              <w:t xml:space="preserve">, practitioners report on the value and type of savings </w:t>
            </w:r>
            <w:r>
              <w:t xml:space="preserve">achieved in a central database. </w:t>
            </w:r>
          </w:p>
        </w:tc>
      </w:tr>
      <w:tr w:rsidR="00356D3B" w:rsidRPr="005C4F4A" w14:paraId="05B5858D" w14:textId="77777777" w:rsidTr="002F32B2">
        <w:tc>
          <w:tcPr>
            <w:tcW w:w="5671" w:type="dxa"/>
            <w:gridSpan w:val="3"/>
          </w:tcPr>
          <w:p w14:paraId="2ABCEC3F" w14:textId="77777777" w:rsidR="00356D3B" w:rsidRPr="005C4F4A" w:rsidRDefault="00356D3B" w:rsidP="002F32B2">
            <w:pPr>
              <w:pStyle w:val="TableText"/>
              <w:rPr>
                <w:rStyle w:val="Strong"/>
              </w:rPr>
            </w:pPr>
            <w:r w:rsidRPr="005C4F4A">
              <w:rPr>
                <w:rStyle w:val="Strong"/>
              </w:rPr>
              <w:t xml:space="preserve">Managed spend </w:t>
            </w:r>
          </w:p>
        </w:tc>
        <w:tc>
          <w:tcPr>
            <w:tcW w:w="1133" w:type="dxa"/>
            <w:shd w:val="clear" w:color="auto" w:fill="FFFFFF" w:themeFill="background1"/>
          </w:tcPr>
          <w:p w14:paraId="2CC009CD" w14:textId="77777777" w:rsidR="00356D3B" w:rsidRPr="005C4F4A" w:rsidRDefault="00356D3B" w:rsidP="002F32B2">
            <w:pPr>
              <w:pStyle w:val="TableText"/>
              <w:rPr>
                <w:rStyle w:val="Strong"/>
              </w:rPr>
            </w:pPr>
            <w:r w:rsidRPr="005C4F4A">
              <w:rPr>
                <w:rStyle w:val="Strong"/>
              </w:rPr>
              <w:t>n/a</w:t>
            </w:r>
          </w:p>
        </w:tc>
        <w:tc>
          <w:tcPr>
            <w:tcW w:w="1134" w:type="dxa"/>
            <w:shd w:val="clear" w:color="auto" w:fill="FFFFFF" w:themeFill="background1"/>
          </w:tcPr>
          <w:p w14:paraId="5E44B9F0" w14:textId="77777777" w:rsidR="00356D3B" w:rsidRPr="005C4F4A" w:rsidRDefault="00356D3B" w:rsidP="002F32B2">
            <w:pPr>
              <w:pStyle w:val="TableText"/>
              <w:rPr>
                <w:rStyle w:val="Strong"/>
              </w:rPr>
            </w:pPr>
            <w:r w:rsidRPr="005C4F4A">
              <w:rPr>
                <w:rStyle w:val="Strong"/>
              </w:rPr>
              <w:t>n/a</w:t>
            </w:r>
          </w:p>
        </w:tc>
        <w:tc>
          <w:tcPr>
            <w:tcW w:w="1134" w:type="dxa"/>
          </w:tcPr>
          <w:p w14:paraId="0D9E1C6F" w14:textId="77777777" w:rsidR="00356D3B" w:rsidRPr="005C4F4A" w:rsidRDefault="00356D3B" w:rsidP="002F32B2">
            <w:pPr>
              <w:pStyle w:val="TableText"/>
              <w:rPr>
                <w:rStyle w:val="Strong"/>
              </w:rPr>
            </w:pPr>
            <w:r w:rsidRPr="005C4F4A">
              <w:rPr>
                <w:rStyle w:val="Strong"/>
              </w:rPr>
              <w:t>86.1</w:t>
            </w:r>
          </w:p>
        </w:tc>
      </w:tr>
      <w:tr w:rsidR="00356D3B" w:rsidRPr="00505378" w14:paraId="34DF7E5D" w14:textId="77777777" w:rsidTr="002F32B2">
        <w:tc>
          <w:tcPr>
            <w:tcW w:w="9072" w:type="dxa"/>
            <w:gridSpan w:val="6"/>
          </w:tcPr>
          <w:p w14:paraId="1FD120AE" w14:textId="77777777" w:rsidR="00356D3B" w:rsidRPr="00C000FB" w:rsidRDefault="00356D3B" w:rsidP="002F32B2">
            <w:pPr>
              <w:pStyle w:val="TableText"/>
            </w:pPr>
            <w:bookmarkStart w:id="7" w:name="_Hlk48303534"/>
            <w:bookmarkStart w:id="8" w:name="_Hlk48306575"/>
            <w:r>
              <w:t>Victoria Police’s total spend excluding activities under the Project Development Construction Management Act and non-procurement categories (such as wages, GST payments, etc.) was reported at $824 million incl. GST, including spend under $100 000. Victoria Police has defined non-managed spend as spend not under contract. Examining non-contract spend and then taking out a major contract which should be under contract (VicFleet), non-managed spend is $114 million incl. GST, including under $100 000 spend. Subtracting this from the total spend leaves $710 million as managed spend.</w:t>
            </w:r>
            <w:bookmarkEnd w:id="7"/>
            <w:bookmarkEnd w:id="8"/>
          </w:p>
        </w:tc>
      </w:tr>
      <w:tr w:rsidR="00356D3B" w:rsidRPr="005C4F4A" w14:paraId="27BB2624" w14:textId="77777777" w:rsidTr="002F32B2">
        <w:tc>
          <w:tcPr>
            <w:tcW w:w="5671" w:type="dxa"/>
            <w:gridSpan w:val="3"/>
          </w:tcPr>
          <w:p w14:paraId="7CFF96BD" w14:textId="77777777" w:rsidR="00356D3B" w:rsidRPr="005C4F4A" w:rsidRDefault="00356D3B" w:rsidP="002F32B2">
            <w:pPr>
              <w:pStyle w:val="TableText"/>
              <w:rPr>
                <w:rStyle w:val="Strong"/>
              </w:rPr>
            </w:pPr>
            <w:r w:rsidRPr="005C4F4A">
              <w:rPr>
                <w:rStyle w:val="Strong"/>
              </w:rPr>
              <w:t>Increase in procurement capability</w:t>
            </w:r>
          </w:p>
        </w:tc>
        <w:tc>
          <w:tcPr>
            <w:tcW w:w="1133" w:type="dxa"/>
          </w:tcPr>
          <w:p w14:paraId="7446D282" w14:textId="77777777" w:rsidR="00356D3B" w:rsidRPr="005C4F4A" w:rsidRDefault="00356D3B" w:rsidP="002F32B2">
            <w:pPr>
              <w:pStyle w:val="TableText"/>
              <w:rPr>
                <w:rStyle w:val="Strong"/>
              </w:rPr>
            </w:pPr>
            <w:r w:rsidRPr="005C4F4A">
              <w:rPr>
                <w:rStyle w:val="Strong"/>
              </w:rPr>
              <w:t>−5.1</w:t>
            </w:r>
          </w:p>
        </w:tc>
        <w:tc>
          <w:tcPr>
            <w:tcW w:w="1134" w:type="dxa"/>
          </w:tcPr>
          <w:p w14:paraId="5C06BD2F" w14:textId="77777777" w:rsidR="00356D3B" w:rsidRPr="005C4F4A" w:rsidRDefault="00356D3B" w:rsidP="002F32B2">
            <w:pPr>
              <w:pStyle w:val="TableText"/>
              <w:rPr>
                <w:rStyle w:val="Strong"/>
              </w:rPr>
            </w:pPr>
            <w:r w:rsidRPr="005C4F4A">
              <w:rPr>
                <w:rStyle w:val="Strong"/>
              </w:rPr>
              <w:t>3.6</w:t>
            </w:r>
          </w:p>
        </w:tc>
        <w:tc>
          <w:tcPr>
            <w:tcW w:w="1134" w:type="dxa"/>
          </w:tcPr>
          <w:p w14:paraId="0994ACF0" w14:textId="77777777" w:rsidR="00356D3B" w:rsidRPr="005C4F4A" w:rsidRDefault="00356D3B" w:rsidP="002F32B2">
            <w:pPr>
              <w:pStyle w:val="TableText"/>
              <w:rPr>
                <w:rStyle w:val="Strong"/>
              </w:rPr>
            </w:pPr>
            <w:r w:rsidRPr="005C4F4A">
              <w:rPr>
                <w:rStyle w:val="Strong"/>
              </w:rPr>
              <w:t>−10.4</w:t>
            </w:r>
          </w:p>
        </w:tc>
      </w:tr>
      <w:tr w:rsidR="00356D3B" w:rsidRPr="00505378" w14:paraId="5A3A851D" w14:textId="77777777" w:rsidTr="002F32B2">
        <w:tc>
          <w:tcPr>
            <w:tcW w:w="9072" w:type="dxa"/>
            <w:gridSpan w:val="6"/>
          </w:tcPr>
          <w:p w14:paraId="51B2FA56" w14:textId="77777777" w:rsidR="00356D3B" w:rsidRPr="00C000FB" w:rsidRDefault="00356D3B" w:rsidP="002F32B2">
            <w:pPr>
              <w:pStyle w:val="TableText"/>
            </w:pPr>
            <w:r>
              <w:t xml:space="preserve">Procurement capability dropped from 115 to 103 (out of 150), which is a 10.4 per cent decrease in capability. Victoria Police appointed a new CPO during the year which led to a reassessment of the questions used to determine capability and opportunities found to allow for growth in process and policy. Recent CIPS </w:t>
            </w:r>
            <w:r w:rsidRPr="00436BFB">
              <w:t>re-accreditation</w:t>
            </w:r>
            <w:r>
              <w:t xml:space="preserve"> and work involved to re-examine process and policy documents also provided an opportunity to re-evaluate how the questions are interpreted and responded to. Lastly, the loss of key staff without the opportunity to backfill due to Financial Sustainability restrictions has also diminished capacity and capability.</w:t>
            </w:r>
          </w:p>
        </w:tc>
      </w:tr>
      <w:tr w:rsidR="00356D3B" w:rsidRPr="005C4F4A" w14:paraId="2FED3CC1" w14:textId="77777777" w:rsidTr="002F32B2">
        <w:tc>
          <w:tcPr>
            <w:tcW w:w="3402" w:type="dxa"/>
            <w:vMerge w:val="restart"/>
          </w:tcPr>
          <w:p w14:paraId="12119B81" w14:textId="77777777" w:rsidR="00356D3B" w:rsidRPr="005C4F4A" w:rsidRDefault="00356D3B" w:rsidP="002F32B2">
            <w:pPr>
              <w:pStyle w:val="TableText"/>
              <w:rPr>
                <w:rStyle w:val="Strong"/>
              </w:rPr>
            </w:pPr>
            <w:r w:rsidRPr="005C4F4A">
              <w:rPr>
                <w:rStyle w:val="Strong"/>
              </w:rPr>
              <w:t>Supplier satisfaction assessment</w:t>
            </w:r>
          </w:p>
        </w:tc>
        <w:tc>
          <w:tcPr>
            <w:tcW w:w="2263" w:type="dxa"/>
          </w:tcPr>
          <w:p w14:paraId="488761E7" w14:textId="77777777" w:rsidR="00356D3B" w:rsidRPr="005C4F4A" w:rsidRDefault="00356D3B" w:rsidP="002F32B2">
            <w:pPr>
              <w:pStyle w:val="TableText"/>
              <w:rPr>
                <w:rStyle w:val="Strong"/>
              </w:rPr>
            </w:pPr>
            <w:r w:rsidRPr="005C4F4A">
              <w:rPr>
                <w:rStyle w:val="Strong"/>
              </w:rPr>
              <w:t>Successful satisfied</w:t>
            </w:r>
          </w:p>
        </w:tc>
        <w:tc>
          <w:tcPr>
            <w:tcW w:w="1139" w:type="dxa"/>
            <w:gridSpan w:val="2"/>
          </w:tcPr>
          <w:p w14:paraId="0CC3C40C" w14:textId="77777777" w:rsidR="00356D3B" w:rsidRPr="005C4F4A" w:rsidRDefault="00356D3B" w:rsidP="002F32B2">
            <w:pPr>
              <w:pStyle w:val="TableText"/>
              <w:rPr>
                <w:rStyle w:val="Strong"/>
              </w:rPr>
            </w:pPr>
            <w:r w:rsidRPr="005C4F4A">
              <w:rPr>
                <w:rStyle w:val="Strong"/>
              </w:rPr>
              <w:t>82</w:t>
            </w:r>
          </w:p>
        </w:tc>
        <w:tc>
          <w:tcPr>
            <w:tcW w:w="1134" w:type="dxa"/>
          </w:tcPr>
          <w:p w14:paraId="4D44ADC4" w14:textId="77777777" w:rsidR="00356D3B" w:rsidRPr="005C4F4A" w:rsidRDefault="00356D3B" w:rsidP="002F32B2">
            <w:pPr>
              <w:pStyle w:val="TableText"/>
              <w:rPr>
                <w:rStyle w:val="Strong"/>
              </w:rPr>
            </w:pPr>
            <w:r w:rsidRPr="005C4F4A">
              <w:rPr>
                <w:rStyle w:val="Strong"/>
              </w:rPr>
              <w:t>86</w:t>
            </w:r>
          </w:p>
        </w:tc>
        <w:tc>
          <w:tcPr>
            <w:tcW w:w="1134" w:type="dxa"/>
          </w:tcPr>
          <w:p w14:paraId="5ECB14E3" w14:textId="77777777" w:rsidR="00356D3B" w:rsidRPr="005C4F4A" w:rsidRDefault="00356D3B" w:rsidP="002F32B2">
            <w:pPr>
              <w:pStyle w:val="TableText"/>
              <w:rPr>
                <w:rStyle w:val="Strong"/>
              </w:rPr>
            </w:pPr>
            <w:r w:rsidRPr="005C4F4A">
              <w:rPr>
                <w:rStyle w:val="Strong"/>
              </w:rPr>
              <w:t>93</w:t>
            </w:r>
          </w:p>
        </w:tc>
      </w:tr>
      <w:tr w:rsidR="00356D3B" w:rsidRPr="005C4F4A" w14:paraId="37FDCF64" w14:textId="77777777" w:rsidTr="002F32B2">
        <w:tc>
          <w:tcPr>
            <w:tcW w:w="3402" w:type="dxa"/>
            <w:vMerge/>
          </w:tcPr>
          <w:p w14:paraId="3B408E5B" w14:textId="77777777" w:rsidR="00356D3B" w:rsidRPr="005C4F4A" w:rsidRDefault="00356D3B" w:rsidP="002F32B2">
            <w:pPr>
              <w:pStyle w:val="TableText"/>
              <w:rPr>
                <w:rStyle w:val="Strong"/>
              </w:rPr>
            </w:pPr>
          </w:p>
        </w:tc>
        <w:tc>
          <w:tcPr>
            <w:tcW w:w="2263" w:type="dxa"/>
          </w:tcPr>
          <w:p w14:paraId="36A21585" w14:textId="77777777" w:rsidR="00356D3B" w:rsidRPr="005C4F4A" w:rsidRDefault="00356D3B" w:rsidP="002F32B2">
            <w:pPr>
              <w:pStyle w:val="TableText"/>
              <w:rPr>
                <w:rStyle w:val="Strong"/>
              </w:rPr>
            </w:pPr>
            <w:r w:rsidRPr="005C4F4A">
              <w:rPr>
                <w:rStyle w:val="Strong"/>
              </w:rPr>
              <w:t>Unsuccessful satisfied</w:t>
            </w:r>
          </w:p>
        </w:tc>
        <w:tc>
          <w:tcPr>
            <w:tcW w:w="1139" w:type="dxa"/>
            <w:gridSpan w:val="2"/>
          </w:tcPr>
          <w:p w14:paraId="03206EB4" w14:textId="77777777" w:rsidR="00356D3B" w:rsidRPr="005C4F4A" w:rsidRDefault="00356D3B" w:rsidP="002F32B2">
            <w:pPr>
              <w:pStyle w:val="TableText"/>
              <w:rPr>
                <w:rStyle w:val="Strong"/>
              </w:rPr>
            </w:pPr>
            <w:r w:rsidRPr="005C4F4A">
              <w:rPr>
                <w:rStyle w:val="Strong"/>
              </w:rPr>
              <w:t>0</w:t>
            </w:r>
          </w:p>
        </w:tc>
        <w:tc>
          <w:tcPr>
            <w:tcW w:w="1134" w:type="dxa"/>
          </w:tcPr>
          <w:p w14:paraId="0E43ABA3" w14:textId="77777777" w:rsidR="00356D3B" w:rsidRPr="005C4F4A" w:rsidRDefault="00356D3B" w:rsidP="002F32B2">
            <w:pPr>
              <w:pStyle w:val="TableText"/>
              <w:rPr>
                <w:rStyle w:val="Strong"/>
              </w:rPr>
            </w:pPr>
            <w:r w:rsidRPr="005C4F4A">
              <w:rPr>
                <w:rStyle w:val="Strong"/>
              </w:rPr>
              <w:t>20</w:t>
            </w:r>
          </w:p>
        </w:tc>
        <w:tc>
          <w:tcPr>
            <w:tcW w:w="1134" w:type="dxa"/>
          </w:tcPr>
          <w:p w14:paraId="551C4131" w14:textId="77777777" w:rsidR="00356D3B" w:rsidRPr="005C4F4A" w:rsidRDefault="00356D3B" w:rsidP="002F32B2">
            <w:pPr>
              <w:pStyle w:val="TableText"/>
              <w:rPr>
                <w:rStyle w:val="Strong"/>
              </w:rPr>
            </w:pPr>
            <w:r w:rsidRPr="005C4F4A">
              <w:rPr>
                <w:rStyle w:val="Strong"/>
              </w:rPr>
              <w:t>33</w:t>
            </w:r>
          </w:p>
        </w:tc>
      </w:tr>
      <w:tr w:rsidR="00356D3B" w:rsidRPr="00505378" w14:paraId="5CC7028B" w14:textId="77777777" w:rsidTr="002F32B2">
        <w:tc>
          <w:tcPr>
            <w:tcW w:w="9072" w:type="dxa"/>
            <w:gridSpan w:val="6"/>
          </w:tcPr>
          <w:p w14:paraId="1F09F9F6" w14:textId="77777777" w:rsidR="00356D3B" w:rsidRPr="00C000FB" w:rsidRDefault="00356D3B" w:rsidP="002F32B2">
            <w:pPr>
              <w:pStyle w:val="TableText"/>
            </w:pPr>
            <w:r w:rsidRPr="00084620">
              <w:t xml:space="preserve">Reasons for satisfaction primarily related to clarity of information/evaluation criteria, the process being simple/straightforward and effective communication. Reasons for dissatisfaction most commonly related to timeliness of the process, </w:t>
            </w:r>
            <w:r>
              <w:t xml:space="preserve">the </w:t>
            </w:r>
            <w:r w:rsidRPr="00084620">
              <w:t>burden of submission requirements and clarity/timeliness of feedback.</w:t>
            </w:r>
          </w:p>
        </w:tc>
      </w:tr>
      <w:tr w:rsidR="00356D3B" w:rsidRPr="005C4F4A" w14:paraId="49237E18" w14:textId="77777777" w:rsidTr="002F32B2">
        <w:tc>
          <w:tcPr>
            <w:tcW w:w="5671" w:type="dxa"/>
            <w:gridSpan w:val="3"/>
          </w:tcPr>
          <w:p w14:paraId="59B986D4" w14:textId="77777777" w:rsidR="00356D3B" w:rsidRPr="005C4F4A" w:rsidRDefault="00356D3B" w:rsidP="002F32B2">
            <w:pPr>
              <w:pStyle w:val="TableText"/>
              <w:rPr>
                <w:rStyle w:val="Strong"/>
              </w:rPr>
            </w:pPr>
            <w:r w:rsidRPr="005C4F4A">
              <w:rPr>
                <w:rStyle w:val="Strong"/>
              </w:rPr>
              <w:t>Planned procurement activity as a % of actual procurement activity</w:t>
            </w:r>
          </w:p>
        </w:tc>
        <w:tc>
          <w:tcPr>
            <w:tcW w:w="1133" w:type="dxa"/>
          </w:tcPr>
          <w:p w14:paraId="3D766847" w14:textId="77777777" w:rsidR="00356D3B" w:rsidRPr="005C4F4A" w:rsidRDefault="00356D3B" w:rsidP="002F32B2">
            <w:pPr>
              <w:pStyle w:val="TableText"/>
              <w:rPr>
                <w:rStyle w:val="Strong"/>
              </w:rPr>
            </w:pPr>
            <w:r w:rsidRPr="005C4F4A">
              <w:rPr>
                <w:rStyle w:val="Strong"/>
              </w:rPr>
              <w:t>74.2</w:t>
            </w:r>
          </w:p>
        </w:tc>
        <w:tc>
          <w:tcPr>
            <w:tcW w:w="1134" w:type="dxa"/>
          </w:tcPr>
          <w:p w14:paraId="028B4FE7" w14:textId="77777777" w:rsidR="00356D3B" w:rsidRPr="005C4F4A" w:rsidRDefault="00356D3B" w:rsidP="002F32B2">
            <w:pPr>
              <w:pStyle w:val="TableText"/>
              <w:rPr>
                <w:rStyle w:val="Strong"/>
              </w:rPr>
            </w:pPr>
            <w:r w:rsidRPr="005C4F4A">
              <w:rPr>
                <w:rStyle w:val="Strong"/>
              </w:rPr>
              <w:t>65.8</w:t>
            </w:r>
          </w:p>
        </w:tc>
        <w:tc>
          <w:tcPr>
            <w:tcW w:w="1134" w:type="dxa"/>
          </w:tcPr>
          <w:p w14:paraId="3584F7CF" w14:textId="77777777" w:rsidR="00356D3B" w:rsidRPr="005C4F4A" w:rsidRDefault="00356D3B" w:rsidP="002F32B2">
            <w:pPr>
              <w:pStyle w:val="TableText"/>
              <w:rPr>
                <w:rStyle w:val="Strong"/>
              </w:rPr>
            </w:pPr>
            <w:r w:rsidRPr="005C4F4A">
              <w:rPr>
                <w:rStyle w:val="Strong"/>
              </w:rPr>
              <w:t>82.6</w:t>
            </w:r>
          </w:p>
        </w:tc>
      </w:tr>
      <w:tr w:rsidR="00356D3B" w:rsidRPr="006C6059" w14:paraId="01D20FCF" w14:textId="77777777" w:rsidTr="002F32B2">
        <w:tc>
          <w:tcPr>
            <w:tcW w:w="9072" w:type="dxa"/>
            <w:gridSpan w:val="6"/>
          </w:tcPr>
          <w:p w14:paraId="71A92A8B" w14:textId="77777777" w:rsidR="00356D3B" w:rsidRPr="005F2BDA" w:rsidRDefault="00356D3B" w:rsidP="002F32B2">
            <w:pPr>
              <w:pStyle w:val="TableText"/>
            </w:pPr>
            <w:r w:rsidRPr="00084620">
              <w:t>Annual procurement planning continues</w:t>
            </w:r>
            <w:r>
              <w:t xml:space="preserve"> and o</w:t>
            </w:r>
            <w:r w:rsidRPr="00084620">
              <w:t>verall</w:t>
            </w:r>
            <w:r>
              <w:t xml:space="preserve"> </w:t>
            </w:r>
            <w:r w:rsidRPr="00084620">
              <w:t>works well. Capturing government</w:t>
            </w:r>
            <w:r>
              <w:t>-</w:t>
            </w:r>
            <w:r w:rsidRPr="00084620">
              <w:t>funded projects that are announced after the planning process has concluded will continue to pose a challenge to this metric.</w:t>
            </w:r>
          </w:p>
        </w:tc>
      </w:tr>
    </w:tbl>
    <w:p w14:paraId="72B52EAB" w14:textId="77777777" w:rsidR="00356D3B" w:rsidRDefault="00356D3B" w:rsidP="00356D3B"/>
    <w:p w14:paraId="42E0A44D" w14:textId="77777777" w:rsidR="000C1A89" w:rsidRDefault="00A52D65"/>
    <w:sectPr w:rsidR="000C1A8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11321" w14:textId="77777777" w:rsidR="00356D3B" w:rsidRDefault="00356D3B" w:rsidP="00356D3B">
      <w:r>
        <w:separator/>
      </w:r>
    </w:p>
  </w:endnote>
  <w:endnote w:type="continuationSeparator" w:id="0">
    <w:p w14:paraId="5846F7BB" w14:textId="77777777" w:rsidR="00356D3B" w:rsidRDefault="00356D3B" w:rsidP="0035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7E6FA" w14:textId="6E75608A" w:rsidR="00356D3B" w:rsidRDefault="00356D3B">
    <w:pPr>
      <w:pStyle w:val="Footer"/>
    </w:pPr>
    <w:r>
      <w:rPr>
        <w:noProof/>
      </w:rPr>
      <mc:AlternateContent>
        <mc:Choice Requires="wps">
          <w:drawing>
            <wp:anchor distT="0" distB="0" distL="114300" distR="114300" simplePos="0" relativeHeight="251659264" behindDoc="0" locked="0" layoutInCell="0" allowOverlap="1" wp14:anchorId="28057ADB" wp14:editId="6EFDA9ED">
              <wp:simplePos x="0" y="0"/>
              <wp:positionH relativeFrom="page">
                <wp:posOffset>0</wp:posOffset>
              </wp:positionH>
              <wp:positionV relativeFrom="page">
                <wp:posOffset>10234930</wp:posOffset>
              </wp:positionV>
              <wp:extent cx="7560310" cy="266700"/>
              <wp:effectExtent l="0" t="0" r="0" b="0"/>
              <wp:wrapNone/>
              <wp:docPr id="1" name="MSIPCM4a084816ad8b1a118922d096"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D970EA" w14:textId="73EB0ED5" w:rsidR="00356D3B" w:rsidRPr="00356D3B" w:rsidRDefault="00356D3B" w:rsidP="00356D3B">
                          <w:pPr>
                            <w:rPr>
                              <w:rFonts w:ascii="Calibri" w:hAnsi="Calibri" w:cs="Calibri"/>
                              <w:color w:val="000000"/>
                              <w:sz w:val="22"/>
                            </w:rPr>
                          </w:pPr>
                          <w:r w:rsidRPr="00356D3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057ADB" id="_x0000_t202" coordsize="21600,21600" o:spt="202" path="m,l,21600r21600,l21600,xe">
              <v:stroke joinstyle="miter"/>
              <v:path gradientshapeok="t" o:connecttype="rect"/>
            </v:shapetype>
            <v:shape id="MSIPCM4a084816ad8b1a118922d096"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AZo2n2sgIAAEgFAAAO&#10;AAAAAAAAAAAAAAAAAC4CAABkcnMvZTJvRG9jLnhtbFBLAQItABQABgAIAAAAIQBgEcYm3gAAAAsB&#10;AAAPAAAAAAAAAAAAAAAAAAwFAABkcnMvZG93bnJldi54bWxQSwUGAAAAAAQABADzAAAAFwYAAAAA&#10;" o:allowincell="f" filled="f" stroked="f" strokeweight=".5pt">
              <v:textbox inset="20pt,0,,0">
                <w:txbxContent>
                  <w:p w14:paraId="56D970EA" w14:textId="73EB0ED5" w:rsidR="00356D3B" w:rsidRPr="00356D3B" w:rsidRDefault="00356D3B" w:rsidP="00356D3B">
                    <w:pPr>
                      <w:rPr>
                        <w:rFonts w:ascii="Calibri" w:hAnsi="Calibri" w:cs="Calibri"/>
                        <w:color w:val="000000"/>
                        <w:sz w:val="22"/>
                      </w:rPr>
                    </w:pPr>
                    <w:r w:rsidRPr="00356D3B">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CC95F" w14:textId="77777777" w:rsidR="00356D3B" w:rsidRDefault="00356D3B" w:rsidP="00356D3B">
      <w:r>
        <w:separator/>
      </w:r>
    </w:p>
  </w:footnote>
  <w:footnote w:type="continuationSeparator" w:id="0">
    <w:p w14:paraId="7C891B65" w14:textId="77777777" w:rsidR="00356D3B" w:rsidRDefault="00356D3B" w:rsidP="00356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3B"/>
    <w:rsid w:val="00356D3B"/>
    <w:rsid w:val="0066182F"/>
    <w:rsid w:val="008A4523"/>
    <w:rsid w:val="00A52D65"/>
    <w:rsid w:val="00AD42E5"/>
    <w:rsid w:val="00B4701F"/>
    <w:rsid w:val="00E744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1A282"/>
  <w15:chartTrackingRefBased/>
  <w15:docId w15:val="{DF58B016-32A5-46BF-9EF2-9BD0263D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6D3B"/>
    <w:pPr>
      <w:spacing w:after="0" w:line="240" w:lineRule="auto"/>
    </w:pPr>
    <w:rPr>
      <w:rFonts w:ascii="Arial" w:eastAsia="Times New Roman" w:hAnsi="Arial" w:cs="Times New Roman"/>
      <w:sz w:val="24"/>
      <w:szCs w:val="24"/>
      <w:lang w:eastAsia="en-AU"/>
    </w:rPr>
  </w:style>
  <w:style w:type="paragraph" w:styleId="Heading1">
    <w:name w:val="heading 1"/>
    <w:basedOn w:val="Normal"/>
    <w:next w:val="Normal"/>
    <w:link w:val="Heading1Char"/>
    <w:uiPriority w:val="9"/>
    <w:qFormat/>
    <w:rsid w:val="0066182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356D3B"/>
    <w:pPr>
      <w:keepNext/>
      <w:keepLines/>
      <w:tabs>
        <w:tab w:val="left" w:pos="851"/>
      </w:tabs>
      <w:spacing w:before="60" w:after="60" w:line="228" w:lineRule="auto"/>
      <w:ind w:left="794"/>
    </w:pPr>
    <w:rPr>
      <w:rFonts w:ascii="Calibri" w:hAnsi="Calibri" w:cs="Calibri"/>
      <w:b/>
      <w:sz w:val="22"/>
      <w:szCs w:val="22"/>
    </w:rPr>
  </w:style>
  <w:style w:type="character" w:customStyle="1" w:styleId="CaptionChar">
    <w:name w:val="Caption Char"/>
    <w:link w:val="Caption"/>
    <w:rsid w:val="00356D3B"/>
    <w:rPr>
      <w:rFonts w:ascii="Calibri" w:eastAsia="Times New Roman" w:hAnsi="Calibri" w:cs="Calibri"/>
      <w:b/>
      <w:lang w:eastAsia="en-AU"/>
    </w:rPr>
  </w:style>
  <w:style w:type="character" w:styleId="Strong">
    <w:name w:val="Strong"/>
    <w:uiPriority w:val="22"/>
    <w:qFormat/>
    <w:rsid w:val="00356D3B"/>
    <w:rPr>
      <w:b/>
      <w:bCs/>
    </w:rPr>
  </w:style>
  <w:style w:type="paragraph" w:customStyle="1" w:styleId="TableText">
    <w:name w:val="Table Text"/>
    <w:basedOn w:val="Normal"/>
    <w:link w:val="TableTextChar"/>
    <w:uiPriority w:val="15"/>
    <w:qFormat/>
    <w:rsid w:val="00356D3B"/>
    <w:pPr>
      <w:spacing w:before="20" w:after="20"/>
    </w:pPr>
    <w:rPr>
      <w:rFonts w:ascii="Calibri" w:eastAsiaTheme="minorHAnsi" w:hAnsi="Calibri" w:cs="Calibri"/>
      <w:sz w:val="20"/>
      <w:szCs w:val="20"/>
      <w:lang w:val="en-US" w:eastAsia="en-US"/>
    </w:rPr>
  </w:style>
  <w:style w:type="character" w:customStyle="1" w:styleId="TableTextChar">
    <w:name w:val="Table Text Char"/>
    <w:basedOn w:val="DefaultParagraphFont"/>
    <w:link w:val="TableText"/>
    <w:uiPriority w:val="15"/>
    <w:rsid w:val="00356D3B"/>
    <w:rPr>
      <w:rFonts w:ascii="Calibri" w:hAnsi="Calibri" w:cs="Calibri"/>
      <w:sz w:val="20"/>
      <w:szCs w:val="20"/>
      <w:lang w:val="en-US"/>
    </w:rPr>
  </w:style>
  <w:style w:type="paragraph" w:customStyle="1" w:styleId="TableHeader">
    <w:name w:val="Table Header"/>
    <w:basedOn w:val="TableText"/>
    <w:link w:val="TableHeaderChar"/>
    <w:uiPriority w:val="15"/>
    <w:qFormat/>
    <w:rsid w:val="00356D3B"/>
    <w:pPr>
      <w:keepNext/>
      <w:spacing w:before="40" w:after="40"/>
    </w:pPr>
    <w:rPr>
      <w:sz w:val="24"/>
      <w:szCs w:val="24"/>
    </w:rPr>
  </w:style>
  <w:style w:type="table" w:customStyle="1" w:styleId="TableGrid1">
    <w:name w:val="Table Grid1"/>
    <w:basedOn w:val="TableNormal"/>
    <w:next w:val="TableGrid"/>
    <w:uiPriority w:val="39"/>
    <w:rsid w:val="00356D3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erChar">
    <w:name w:val="Table Header Char"/>
    <w:basedOn w:val="TableTextChar"/>
    <w:link w:val="TableHeader"/>
    <w:uiPriority w:val="15"/>
    <w:rsid w:val="00356D3B"/>
    <w:rPr>
      <w:rFonts w:ascii="Calibri" w:hAnsi="Calibri" w:cs="Calibri"/>
      <w:sz w:val="24"/>
      <w:szCs w:val="24"/>
      <w:lang w:val="en-US"/>
    </w:rPr>
  </w:style>
  <w:style w:type="table" w:styleId="TableGrid">
    <w:name w:val="Table Grid"/>
    <w:basedOn w:val="TableNormal"/>
    <w:uiPriority w:val="39"/>
    <w:rsid w:val="0035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6D3B"/>
    <w:pPr>
      <w:tabs>
        <w:tab w:val="center" w:pos="4513"/>
        <w:tab w:val="right" w:pos="9026"/>
      </w:tabs>
    </w:pPr>
  </w:style>
  <w:style w:type="character" w:customStyle="1" w:styleId="HeaderChar">
    <w:name w:val="Header Char"/>
    <w:basedOn w:val="DefaultParagraphFont"/>
    <w:link w:val="Header"/>
    <w:uiPriority w:val="99"/>
    <w:rsid w:val="00356D3B"/>
    <w:rPr>
      <w:rFonts w:ascii="Arial" w:eastAsia="Times New Roman" w:hAnsi="Arial" w:cs="Times New Roman"/>
      <w:sz w:val="24"/>
      <w:szCs w:val="24"/>
      <w:lang w:eastAsia="en-AU"/>
    </w:rPr>
  </w:style>
  <w:style w:type="paragraph" w:styleId="Footer">
    <w:name w:val="footer"/>
    <w:basedOn w:val="Normal"/>
    <w:link w:val="FooterChar"/>
    <w:uiPriority w:val="99"/>
    <w:unhideWhenUsed/>
    <w:rsid w:val="00356D3B"/>
    <w:pPr>
      <w:tabs>
        <w:tab w:val="center" w:pos="4513"/>
        <w:tab w:val="right" w:pos="9026"/>
      </w:tabs>
    </w:pPr>
  </w:style>
  <w:style w:type="character" w:customStyle="1" w:styleId="FooterChar">
    <w:name w:val="Footer Char"/>
    <w:basedOn w:val="DefaultParagraphFont"/>
    <w:link w:val="Footer"/>
    <w:uiPriority w:val="99"/>
    <w:rsid w:val="00356D3B"/>
    <w:rPr>
      <w:rFonts w:ascii="Arial" w:eastAsia="Times New Roman" w:hAnsi="Arial" w:cs="Times New Roman"/>
      <w:sz w:val="24"/>
      <w:szCs w:val="24"/>
      <w:lang w:eastAsia="en-AU"/>
    </w:rPr>
  </w:style>
  <w:style w:type="character" w:customStyle="1" w:styleId="Heading1Char">
    <w:name w:val="Heading 1 Char"/>
    <w:basedOn w:val="DefaultParagraphFont"/>
    <w:link w:val="Heading1"/>
    <w:uiPriority w:val="9"/>
    <w:rsid w:val="0066182F"/>
    <w:rPr>
      <w:rFonts w:asciiTheme="majorHAnsi" w:eastAsiaTheme="majorEastAsia" w:hAnsiTheme="majorHAnsi" w:cstheme="majorBidi"/>
      <w:color w:val="2F5496" w:themeColor="accent1" w:themeShade="BF"/>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7FDD694-8CA1-4761-93F9-E13FA2968A4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Coles (DTF)</dc:creator>
  <cp:keywords/>
  <dc:description/>
  <cp:lastModifiedBy>Athena Rozenberg (DTF)</cp:lastModifiedBy>
  <cp:revision>2</cp:revision>
  <dcterms:created xsi:type="dcterms:W3CDTF">2020-10-12T05:28:00Z</dcterms:created>
  <dcterms:modified xsi:type="dcterms:W3CDTF">2020-10-12T05:28:00Z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Vanessa.Coles@dtf.vic.gov.au</vt:lpwstr>
  </property>
  <property fmtid="{D5CDD505-2E9C-101B-9397-08002B2CF9AE}" pid="5" name="MSIP_Label_7158ebbd-6c5e-441f-bfc9-4eb8c11e3978_SetDate">
    <vt:lpwstr>2020-10-11T02:45:14.7571261Z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ies>
</file>