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10596" w14:textId="23B28437" w:rsidR="0096595A" w:rsidRDefault="0096595A" w:rsidP="0096595A">
      <w:pPr>
        <w:pStyle w:val="Caption"/>
        <w:rPr>
          <w:rFonts w:asciiTheme="majorHAnsi" w:eastAsiaTheme="majorEastAsia" w:hAnsiTheme="majorHAnsi" w:cstheme="majorHAnsi"/>
          <w:bCs/>
          <w:color w:val="000000" w:themeColor="text1"/>
          <w:sz w:val="28"/>
          <w:szCs w:val="28"/>
        </w:rPr>
      </w:pPr>
      <w:bookmarkStart w:id="0" w:name="_Ref519678912"/>
      <w:bookmarkStart w:id="1" w:name="_Toc503949257"/>
      <w:bookmarkStart w:id="2" w:name="_Toc12717998"/>
      <w:bookmarkStart w:id="3" w:name="_Toc17130220"/>
      <w:bookmarkStart w:id="4" w:name="_Toc48837167"/>
      <w:bookmarkStart w:id="5" w:name="_Toc49185557"/>
      <w:r w:rsidRPr="00F42DAB">
        <w:rPr>
          <w:rFonts w:asciiTheme="majorHAnsi" w:eastAsiaTheme="majorEastAsia" w:hAnsiTheme="majorHAnsi" w:cstheme="majorHAnsi"/>
          <w:bCs/>
          <w:color w:val="000000" w:themeColor="text1"/>
          <w:sz w:val="28"/>
          <w:szCs w:val="28"/>
        </w:rPr>
        <w:t xml:space="preserve">Table </w:t>
      </w:r>
      <w:bookmarkEnd w:id="0"/>
      <w:r w:rsidRPr="00F42DAB">
        <w:rPr>
          <w:rFonts w:asciiTheme="majorHAnsi" w:eastAsiaTheme="majorEastAsia" w:hAnsiTheme="majorHAnsi" w:cstheme="majorHAnsi"/>
          <w:bCs/>
          <w:color w:val="000000" w:themeColor="text1"/>
          <w:sz w:val="28"/>
          <w:szCs w:val="28"/>
        </w:rPr>
        <w:t xml:space="preserve">Cenitex performance in </w:t>
      </w:r>
      <w:bookmarkEnd w:id="1"/>
      <w:r w:rsidRPr="00F42DAB">
        <w:rPr>
          <w:rFonts w:asciiTheme="majorHAnsi" w:eastAsiaTheme="majorEastAsia" w:hAnsiTheme="majorHAnsi" w:cstheme="majorHAnsi"/>
          <w:bCs/>
          <w:color w:val="000000" w:themeColor="text1"/>
          <w:sz w:val="28"/>
          <w:szCs w:val="28"/>
        </w:rPr>
        <w:t>20</w:t>
      </w:r>
      <w:bookmarkEnd w:id="2"/>
      <w:bookmarkEnd w:id="3"/>
      <w:bookmarkEnd w:id="4"/>
      <w:bookmarkEnd w:id="5"/>
      <w:r w:rsidR="003202F0">
        <w:rPr>
          <w:rFonts w:asciiTheme="majorHAnsi" w:eastAsiaTheme="majorEastAsia" w:hAnsiTheme="majorHAnsi" w:cstheme="majorHAnsi"/>
          <w:bCs/>
          <w:color w:val="000000" w:themeColor="text1"/>
          <w:sz w:val="28"/>
          <w:szCs w:val="28"/>
        </w:rPr>
        <w:t>20-21</w:t>
      </w:r>
    </w:p>
    <w:p w14:paraId="503E005A" w14:textId="77777777" w:rsidR="00F42DAB" w:rsidRPr="00F42DAB" w:rsidRDefault="00F42DAB" w:rsidP="00F42DAB"/>
    <w:p w14:paraId="3EC0FFB1" w14:textId="484FED60" w:rsidR="00F42DAB" w:rsidRPr="00F42DAB" w:rsidRDefault="00F42DAB" w:rsidP="00F42DAB">
      <w:pPr>
        <w:ind w:firstLine="720"/>
        <w:rPr>
          <w:rFonts w:ascii="Calibri" w:eastAsiaTheme="minorHAnsi" w:hAnsi="Calibri" w:cs="Calibri"/>
          <w:sz w:val="20"/>
          <w:szCs w:val="20"/>
          <w:lang w:val="en-US" w:eastAsia="en-US"/>
        </w:rPr>
      </w:pPr>
      <w:r w:rsidRPr="008A4523">
        <w:rPr>
          <w:rFonts w:ascii="Calibri" w:eastAsiaTheme="minorHAnsi" w:hAnsi="Calibri" w:cs="Calibri"/>
          <w:sz w:val="20"/>
          <w:szCs w:val="20"/>
          <w:lang w:val="en-US" w:eastAsia="en-US"/>
        </w:rPr>
        <w:t xml:space="preserve">Extract from Victorian Government Purchasing Board </w:t>
      </w:r>
      <w:r w:rsidR="00F004B3">
        <w:rPr>
          <w:rFonts w:ascii="Calibri" w:eastAsiaTheme="minorHAnsi" w:hAnsi="Calibri" w:cs="Calibri"/>
          <w:sz w:val="20"/>
          <w:szCs w:val="20"/>
          <w:lang w:val="en-US" w:eastAsia="en-US"/>
        </w:rPr>
        <w:t xml:space="preserve">Annual Report </w:t>
      </w:r>
      <w:r w:rsidRPr="008A4523">
        <w:rPr>
          <w:rFonts w:ascii="Calibri" w:eastAsiaTheme="minorHAnsi" w:hAnsi="Calibri" w:cs="Calibri"/>
          <w:sz w:val="20"/>
          <w:szCs w:val="20"/>
          <w:lang w:val="en-US" w:eastAsia="en-US"/>
        </w:rPr>
        <w:t>20</w:t>
      </w:r>
      <w:r w:rsidR="003202F0">
        <w:rPr>
          <w:rFonts w:ascii="Calibri" w:eastAsiaTheme="minorHAnsi" w:hAnsi="Calibri" w:cs="Calibri"/>
          <w:sz w:val="20"/>
          <w:szCs w:val="20"/>
          <w:lang w:val="en-US" w:eastAsia="en-US"/>
        </w:rPr>
        <w:t>20-21</w:t>
      </w:r>
    </w:p>
    <w:p w14:paraId="53E6E830" w14:textId="77777777" w:rsidR="00F42DAB" w:rsidRPr="00F42DAB" w:rsidRDefault="00F42DAB" w:rsidP="00F42DAB"/>
    <w:tbl>
      <w:tblPr>
        <w:tblStyle w:val="TableGrid1"/>
        <w:tblW w:w="9072" w:type="dxa"/>
        <w:tblInd w:w="279" w:type="dxa"/>
        <w:tblLook w:val="04A0" w:firstRow="1" w:lastRow="0" w:firstColumn="1" w:lastColumn="0" w:noHBand="0" w:noVBand="1"/>
      </w:tblPr>
      <w:tblGrid>
        <w:gridCol w:w="3402"/>
        <w:gridCol w:w="2263"/>
        <w:gridCol w:w="6"/>
        <w:gridCol w:w="1133"/>
        <w:gridCol w:w="1134"/>
        <w:gridCol w:w="1134"/>
      </w:tblGrid>
      <w:tr w:rsidR="003202F0" w:rsidRPr="0029428D" w14:paraId="313A70B4" w14:textId="77777777" w:rsidTr="00417F46">
        <w:tc>
          <w:tcPr>
            <w:tcW w:w="5671" w:type="dxa"/>
            <w:gridSpan w:val="3"/>
            <w:vMerge w:val="restart"/>
          </w:tcPr>
          <w:p w14:paraId="53E4EE98" w14:textId="77777777" w:rsidR="003202F0" w:rsidRPr="0029428D" w:rsidRDefault="003202F0" w:rsidP="00417F46">
            <w:pPr>
              <w:pStyle w:val="TableHeader"/>
            </w:pPr>
            <w:r w:rsidRPr="0029428D">
              <w:t>Performance measure</w:t>
            </w:r>
          </w:p>
        </w:tc>
        <w:tc>
          <w:tcPr>
            <w:tcW w:w="1133" w:type="dxa"/>
          </w:tcPr>
          <w:p w14:paraId="10A23256" w14:textId="77777777" w:rsidR="003202F0" w:rsidRPr="0029428D" w:rsidRDefault="003202F0" w:rsidP="00417F46">
            <w:pPr>
              <w:pStyle w:val="TableHeader"/>
            </w:pPr>
            <w:r w:rsidRPr="0029428D">
              <w:t>2018–19</w:t>
            </w:r>
          </w:p>
        </w:tc>
        <w:tc>
          <w:tcPr>
            <w:tcW w:w="1134" w:type="dxa"/>
          </w:tcPr>
          <w:p w14:paraId="3971BD0C" w14:textId="77777777" w:rsidR="003202F0" w:rsidRPr="0029428D" w:rsidRDefault="003202F0" w:rsidP="00417F46">
            <w:pPr>
              <w:pStyle w:val="TableHeader"/>
            </w:pPr>
            <w:r w:rsidRPr="0029428D">
              <w:t>2019–20</w:t>
            </w:r>
          </w:p>
        </w:tc>
        <w:tc>
          <w:tcPr>
            <w:tcW w:w="1134" w:type="dxa"/>
          </w:tcPr>
          <w:p w14:paraId="5B6E4ADA" w14:textId="77777777" w:rsidR="003202F0" w:rsidRPr="0029428D" w:rsidRDefault="003202F0" w:rsidP="00417F46">
            <w:pPr>
              <w:pStyle w:val="TableHeader"/>
            </w:pPr>
            <w:r w:rsidRPr="0029428D">
              <w:t>2020–21</w:t>
            </w:r>
          </w:p>
        </w:tc>
      </w:tr>
      <w:tr w:rsidR="003202F0" w:rsidRPr="0029428D" w14:paraId="6EAFB0EE" w14:textId="77777777" w:rsidTr="00417F46">
        <w:tc>
          <w:tcPr>
            <w:tcW w:w="5671" w:type="dxa"/>
            <w:gridSpan w:val="3"/>
            <w:vMerge/>
          </w:tcPr>
          <w:p w14:paraId="2A026543" w14:textId="77777777" w:rsidR="003202F0" w:rsidRPr="0029428D" w:rsidRDefault="003202F0" w:rsidP="00417F46">
            <w:pPr>
              <w:pStyle w:val="TableHeader"/>
            </w:pPr>
          </w:p>
        </w:tc>
        <w:tc>
          <w:tcPr>
            <w:tcW w:w="3401" w:type="dxa"/>
            <w:gridSpan w:val="3"/>
          </w:tcPr>
          <w:p w14:paraId="38F373D6" w14:textId="77777777" w:rsidR="003202F0" w:rsidRPr="0029428D" w:rsidRDefault="003202F0" w:rsidP="00417F46">
            <w:pPr>
              <w:pStyle w:val="TableHeader"/>
            </w:pPr>
            <w:r w:rsidRPr="0029428D">
              <w:t>(%)</w:t>
            </w:r>
          </w:p>
        </w:tc>
      </w:tr>
      <w:tr w:rsidR="003202F0" w:rsidRPr="0029428D" w14:paraId="5AA5F501" w14:textId="77777777" w:rsidTr="00417F46">
        <w:tc>
          <w:tcPr>
            <w:tcW w:w="5671" w:type="dxa"/>
            <w:gridSpan w:val="3"/>
            <w:shd w:val="clear" w:color="auto" w:fill="FFFFFF" w:themeFill="background1"/>
          </w:tcPr>
          <w:p w14:paraId="652392A5" w14:textId="77777777" w:rsidR="003202F0" w:rsidRPr="0029428D" w:rsidRDefault="003202F0" w:rsidP="00417F46">
            <w:pPr>
              <w:pStyle w:val="TableText"/>
              <w:rPr>
                <w:rStyle w:val="Strong"/>
              </w:rPr>
            </w:pPr>
            <w:r w:rsidRPr="0029428D">
              <w:rPr>
                <w:rStyle w:val="Strong"/>
              </w:rPr>
              <w:t>Value created from department procurement activity</w:t>
            </w:r>
          </w:p>
        </w:tc>
        <w:tc>
          <w:tcPr>
            <w:tcW w:w="1133" w:type="dxa"/>
            <w:shd w:val="clear" w:color="auto" w:fill="FFFFFF" w:themeFill="background1"/>
          </w:tcPr>
          <w:p w14:paraId="20BDAB45" w14:textId="77777777" w:rsidR="003202F0" w:rsidRPr="0029428D" w:rsidRDefault="003202F0" w:rsidP="00417F46">
            <w:pPr>
              <w:pStyle w:val="TableText"/>
              <w:rPr>
                <w:rStyle w:val="Strong"/>
              </w:rPr>
            </w:pPr>
            <w:r w:rsidRPr="0029428D">
              <w:rPr>
                <w:rStyle w:val="Strong"/>
              </w:rPr>
              <w:t>7.5</w:t>
            </w:r>
          </w:p>
        </w:tc>
        <w:tc>
          <w:tcPr>
            <w:tcW w:w="1134" w:type="dxa"/>
            <w:shd w:val="clear" w:color="auto" w:fill="FFFFFF" w:themeFill="background1"/>
          </w:tcPr>
          <w:p w14:paraId="27603C0D" w14:textId="77777777" w:rsidR="003202F0" w:rsidRPr="0029428D" w:rsidRDefault="003202F0" w:rsidP="00417F46">
            <w:pPr>
              <w:pStyle w:val="TableText"/>
              <w:rPr>
                <w:rStyle w:val="Strong"/>
              </w:rPr>
            </w:pPr>
            <w:r w:rsidRPr="0029428D">
              <w:rPr>
                <w:rStyle w:val="Strong"/>
              </w:rPr>
              <w:t>10.8</w:t>
            </w:r>
          </w:p>
        </w:tc>
        <w:tc>
          <w:tcPr>
            <w:tcW w:w="1134" w:type="dxa"/>
            <w:shd w:val="clear" w:color="auto" w:fill="FFFFFF" w:themeFill="background1"/>
          </w:tcPr>
          <w:p w14:paraId="31EC8B3A" w14:textId="77777777" w:rsidR="003202F0" w:rsidRPr="0029428D" w:rsidRDefault="003202F0" w:rsidP="00417F46">
            <w:pPr>
              <w:pStyle w:val="TableText"/>
              <w:rPr>
                <w:rStyle w:val="Strong"/>
              </w:rPr>
            </w:pPr>
            <w:r w:rsidRPr="0029428D">
              <w:rPr>
                <w:rStyle w:val="Strong"/>
              </w:rPr>
              <w:t>2.7</w:t>
            </w:r>
          </w:p>
        </w:tc>
      </w:tr>
      <w:tr w:rsidR="003202F0" w:rsidRPr="0029428D" w14:paraId="5A9CF252" w14:textId="77777777" w:rsidTr="00417F46">
        <w:tc>
          <w:tcPr>
            <w:tcW w:w="9072" w:type="dxa"/>
            <w:gridSpan w:val="6"/>
            <w:shd w:val="clear" w:color="auto" w:fill="FFFFFF" w:themeFill="background1"/>
          </w:tcPr>
          <w:p w14:paraId="2BB50566" w14:textId="77777777" w:rsidR="003202F0" w:rsidRPr="0029428D" w:rsidRDefault="003202F0" w:rsidP="00417F46">
            <w:pPr>
              <w:pStyle w:val="TableText"/>
            </w:pPr>
            <w:r w:rsidRPr="0029428D">
              <w:t>Cenitex performed well by delivering $4.2 million in benefits. Last year, Cenitex introduced a 'benefits rationale' signoff between the business stakeholders and procurement. Every benefit has been independently verified by the business and finance stakeholders. Cenitex’s PowerBI dashboards have been expanded to include benefits management and is connected to</w:t>
            </w:r>
            <w:r>
              <w:t xml:space="preserve"> </w:t>
            </w:r>
            <w:r w:rsidRPr="0029428D">
              <w:t xml:space="preserve">its finance team and related organisations benefit reporting. The decrease in the year-on-year comparison relates to a change in the VGPB methodology for this performance measure as organisations now include SPC spend in their total annual spend. Savings excluding SPC spend were 15%. </w:t>
            </w:r>
          </w:p>
        </w:tc>
      </w:tr>
      <w:tr w:rsidR="003202F0" w:rsidRPr="0029428D" w14:paraId="7E086EF8" w14:textId="77777777" w:rsidTr="00417F46">
        <w:tc>
          <w:tcPr>
            <w:tcW w:w="5671" w:type="dxa"/>
            <w:gridSpan w:val="3"/>
            <w:shd w:val="clear" w:color="auto" w:fill="FFFFFF" w:themeFill="background1"/>
          </w:tcPr>
          <w:p w14:paraId="52090C94" w14:textId="77777777" w:rsidR="003202F0" w:rsidRPr="0029428D" w:rsidRDefault="003202F0" w:rsidP="00417F46">
            <w:pPr>
              <w:pStyle w:val="TableText"/>
              <w:rPr>
                <w:rStyle w:val="Strong"/>
              </w:rPr>
            </w:pPr>
            <w:r w:rsidRPr="0029428D">
              <w:rPr>
                <w:rStyle w:val="Strong"/>
              </w:rPr>
              <w:t>Managed spend</w:t>
            </w:r>
          </w:p>
        </w:tc>
        <w:tc>
          <w:tcPr>
            <w:tcW w:w="1133" w:type="dxa"/>
            <w:shd w:val="clear" w:color="auto" w:fill="FFFFFF" w:themeFill="background1"/>
          </w:tcPr>
          <w:p w14:paraId="40346CF9" w14:textId="77777777" w:rsidR="003202F0" w:rsidRPr="0029428D" w:rsidRDefault="003202F0" w:rsidP="00417F46">
            <w:pPr>
              <w:pStyle w:val="TableText"/>
              <w:rPr>
                <w:rStyle w:val="Strong"/>
              </w:rPr>
            </w:pPr>
            <w:r w:rsidRPr="0029428D">
              <w:rPr>
                <w:rStyle w:val="Strong"/>
              </w:rPr>
              <w:t>n/a</w:t>
            </w:r>
          </w:p>
        </w:tc>
        <w:tc>
          <w:tcPr>
            <w:tcW w:w="1134" w:type="dxa"/>
            <w:shd w:val="clear" w:color="auto" w:fill="FFFFFF" w:themeFill="background1"/>
          </w:tcPr>
          <w:p w14:paraId="364552D1" w14:textId="77777777" w:rsidR="003202F0" w:rsidRPr="0029428D" w:rsidRDefault="003202F0" w:rsidP="00417F46">
            <w:pPr>
              <w:pStyle w:val="TableText"/>
              <w:rPr>
                <w:rStyle w:val="Strong"/>
              </w:rPr>
            </w:pPr>
            <w:r w:rsidRPr="0029428D">
              <w:rPr>
                <w:rStyle w:val="Strong"/>
              </w:rPr>
              <w:t>100</w:t>
            </w:r>
          </w:p>
        </w:tc>
        <w:tc>
          <w:tcPr>
            <w:tcW w:w="1134" w:type="dxa"/>
            <w:shd w:val="clear" w:color="auto" w:fill="FFFFFF" w:themeFill="background1"/>
          </w:tcPr>
          <w:p w14:paraId="1C86E4E9" w14:textId="77777777" w:rsidR="003202F0" w:rsidRPr="0029428D" w:rsidRDefault="003202F0" w:rsidP="00417F46">
            <w:pPr>
              <w:pStyle w:val="TableText"/>
              <w:rPr>
                <w:rStyle w:val="Strong"/>
              </w:rPr>
            </w:pPr>
            <w:r w:rsidRPr="0029428D">
              <w:rPr>
                <w:rStyle w:val="Strong"/>
              </w:rPr>
              <w:t>100</w:t>
            </w:r>
          </w:p>
        </w:tc>
      </w:tr>
      <w:tr w:rsidR="003202F0" w:rsidRPr="0029428D" w14:paraId="2F4AAACF" w14:textId="77777777" w:rsidTr="00417F46">
        <w:tc>
          <w:tcPr>
            <w:tcW w:w="9072" w:type="dxa"/>
            <w:gridSpan w:val="6"/>
            <w:shd w:val="clear" w:color="auto" w:fill="FFFFFF" w:themeFill="background1"/>
          </w:tcPr>
          <w:p w14:paraId="2496265E" w14:textId="77777777" w:rsidR="003202F0" w:rsidRPr="0029428D" w:rsidRDefault="003202F0" w:rsidP="00417F46">
            <w:pPr>
              <w:pStyle w:val="TableText"/>
            </w:pPr>
            <w:r w:rsidRPr="0029428D">
              <w:t>Procurement oversees all Cenitex spend, either via direct management or governance through system controls, with close alignment to finance processes and systems. The organisation’s 'no purchase order, no pay' policy ensures all goods and services spend receives procurement oversight.</w:t>
            </w:r>
          </w:p>
        </w:tc>
      </w:tr>
      <w:tr w:rsidR="003202F0" w:rsidRPr="0029428D" w14:paraId="01C6BC2F" w14:textId="77777777" w:rsidTr="00417F46">
        <w:tc>
          <w:tcPr>
            <w:tcW w:w="5671" w:type="dxa"/>
            <w:gridSpan w:val="3"/>
            <w:shd w:val="clear" w:color="auto" w:fill="FFFFFF" w:themeFill="background1"/>
          </w:tcPr>
          <w:p w14:paraId="5E8785B0" w14:textId="77777777" w:rsidR="003202F0" w:rsidRPr="0029428D" w:rsidRDefault="003202F0" w:rsidP="00417F46">
            <w:pPr>
              <w:pStyle w:val="TableText"/>
              <w:rPr>
                <w:rStyle w:val="Strong"/>
              </w:rPr>
            </w:pPr>
            <w:r w:rsidRPr="0029428D">
              <w:rPr>
                <w:rStyle w:val="Strong"/>
              </w:rPr>
              <w:t>Increase in procurement capability</w:t>
            </w:r>
          </w:p>
        </w:tc>
        <w:tc>
          <w:tcPr>
            <w:tcW w:w="1133" w:type="dxa"/>
            <w:shd w:val="clear" w:color="auto" w:fill="FFFFFF" w:themeFill="background1"/>
          </w:tcPr>
          <w:p w14:paraId="10209D83" w14:textId="77777777" w:rsidR="003202F0" w:rsidRPr="0029428D" w:rsidRDefault="003202F0" w:rsidP="00417F46">
            <w:pPr>
              <w:pStyle w:val="TableText"/>
              <w:rPr>
                <w:rStyle w:val="Strong"/>
              </w:rPr>
            </w:pPr>
            <w:r w:rsidRPr="0029428D">
              <w:rPr>
                <w:rStyle w:val="Strong"/>
              </w:rPr>
              <w:t>2.7</w:t>
            </w:r>
          </w:p>
        </w:tc>
        <w:tc>
          <w:tcPr>
            <w:tcW w:w="1134" w:type="dxa"/>
            <w:shd w:val="clear" w:color="auto" w:fill="FFFFFF" w:themeFill="background1"/>
          </w:tcPr>
          <w:p w14:paraId="4E4765A2" w14:textId="77777777" w:rsidR="003202F0" w:rsidRPr="0029428D" w:rsidRDefault="003202F0" w:rsidP="00417F46">
            <w:pPr>
              <w:pStyle w:val="TableText"/>
              <w:rPr>
                <w:rStyle w:val="Strong"/>
              </w:rPr>
            </w:pPr>
            <w:r w:rsidRPr="0029428D">
              <w:rPr>
                <w:rStyle w:val="Strong"/>
              </w:rPr>
              <w:t>8.6</w:t>
            </w:r>
          </w:p>
        </w:tc>
        <w:tc>
          <w:tcPr>
            <w:tcW w:w="1134" w:type="dxa"/>
            <w:shd w:val="clear" w:color="auto" w:fill="FFFFFF" w:themeFill="background1"/>
          </w:tcPr>
          <w:p w14:paraId="2412D6CA" w14:textId="77777777" w:rsidR="003202F0" w:rsidRPr="0029428D" w:rsidRDefault="003202F0" w:rsidP="00417F46">
            <w:pPr>
              <w:pStyle w:val="TableText"/>
              <w:rPr>
                <w:rStyle w:val="Strong"/>
              </w:rPr>
            </w:pPr>
            <w:r w:rsidRPr="0029428D">
              <w:rPr>
                <w:rStyle w:val="Strong"/>
              </w:rPr>
              <w:t>0.8</w:t>
            </w:r>
          </w:p>
        </w:tc>
      </w:tr>
      <w:tr w:rsidR="003202F0" w:rsidRPr="0029428D" w14:paraId="3F85E9D9" w14:textId="77777777" w:rsidTr="00417F46">
        <w:tc>
          <w:tcPr>
            <w:tcW w:w="9072" w:type="dxa"/>
            <w:gridSpan w:val="6"/>
            <w:shd w:val="clear" w:color="auto" w:fill="FFFFFF" w:themeFill="background1"/>
          </w:tcPr>
          <w:p w14:paraId="402DFE69" w14:textId="77777777" w:rsidR="003202F0" w:rsidRPr="0029428D" w:rsidRDefault="003202F0" w:rsidP="00417F46">
            <w:pPr>
              <w:pStyle w:val="TableText"/>
            </w:pPr>
            <w:r w:rsidRPr="0029428D">
              <w:t>The increase in procurement capability is due to Cenitex maintaining all of its existing governance and processes that support procurement capability and adding a skills assessment database, which enables training needs analysis to be undertaken to identify key skills required per role.</w:t>
            </w:r>
          </w:p>
        </w:tc>
      </w:tr>
      <w:tr w:rsidR="003202F0" w:rsidRPr="0029428D" w14:paraId="012F5CB6" w14:textId="77777777" w:rsidTr="00417F46">
        <w:tc>
          <w:tcPr>
            <w:tcW w:w="3402" w:type="dxa"/>
            <w:vMerge w:val="restart"/>
            <w:shd w:val="clear" w:color="auto" w:fill="FFFFFF" w:themeFill="background1"/>
          </w:tcPr>
          <w:p w14:paraId="0F69034D" w14:textId="77777777" w:rsidR="003202F0" w:rsidRPr="0029428D" w:rsidRDefault="003202F0" w:rsidP="00417F46">
            <w:pPr>
              <w:pStyle w:val="TableText"/>
              <w:rPr>
                <w:rStyle w:val="Strong"/>
              </w:rPr>
            </w:pPr>
            <w:r w:rsidRPr="0029428D">
              <w:rPr>
                <w:rStyle w:val="Strong"/>
              </w:rPr>
              <w:t>Supplier satisfaction assessment</w:t>
            </w:r>
          </w:p>
        </w:tc>
        <w:tc>
          <w:tcPr>
            <w:tcW w:w="2263" w:type="dxa"/>
            <w:shd w:val="clear" w:color="auto" w:fill="FFFFFF" w:themeFill="background1"/>
          </w:tcPr>
          <w:p w14:paraId="4AB04FCD" w14:textId="77777777" w:rsidR="003202F0" w:rsidRPr="0029428D" w:rsidRDefault="003202F0" w:rsidP="00417F46">
            <w:pPr>
              <w:pStyle w:val="TableText"/>
              <w:rPr>
                <w:rStyle w:val="Strong"/>
              </w:rPr>
            </w:pPr>
            <w:r w:rsidRPr="0029428D">
              <w:rPr>
                <w:rStyle w:val="Strong"/>
              </w:rPr>
              <w:t>Successful satisfied</w:t>
            </w:r>
          </w:p>
        </w:tc>
        <w:tc>
          <w:tcPr>
            <w:tcW w:w="1139" w:type="dxa"/>
            <w:gridSpan w:val="2"/>
            <w:shd w:val="clear" w:color="auto" w:fill="FFFFFF" w:themeFill="background1"/>
          </w:tcPr>
          <w:p w14:paraId="68F25977" w14:textId="77777777" w:rsidR="003202F0" w:rsidRPr="0029428D" w:rsidRDefault="003202F0" w:rsidP="00417F46">
            <w:pPr>
              <w:pStyle w:val="TableText"/>
              <w:rPr>
                <w:rStyle w:val="Strong"/>
              </w:rPr>
            </w:pPr>
            <w:r w:rsidRPr="0029428D">
              <w:rPr>
                <w:rStyle w:val="Strong"/>
              </w:rPr>
              <w:t>100</w:t>
            </w:r>
          </w:p>
        </w:tc>
        <w:tc>
          <w:tcPr>
            <w:tcW w:w="1134" w:type="dxa"/>
            <w:shd w:val="clear" w:color="auto" w:fill="FFFFFF" w:themeFill="background1"/>
          </w:tcPr>
          <w:p w14:paraId="345F1CF2" w14:textId="77777777" w:rsidR="003202F0" w:rsidRPr="0029428D" w:rsidRDefault="003202F0" w:rsidP="00417F46">
            <w:pPr>
              <w:pStyle w:val="TableText"/>
              <w:rPr>
                <w:rStyle w:val="Strong"/>
              </w:rPr>
            </w:pPr>
            <w:r w:rsidRPr="0029428D">
              <w:rPr>
                <w:rStyle w:val="Strong"/>
              </w:rPr>
              <w:t>67</w:t>
            </w:r>
          </w:p>
        </w:tc>
        <w:tc>
          <w:tcPr>
            <w:tcW w:w="1134" w:type="dxa"/>
            <w:shd w:val="clear" w:color="auto" w:fill="FFFFFF" w:themeFill="background1"/>
          </w:tcPr>
          <w:p w14:paraId="3FE64D46" w14:textId="77777777" w:rsidR="003202F0" w:rsidRPr="0029428D" w:rsidRDefault="003202F0" w:rsidP="00417F46">
            <w:pPr>
              <w:pStyle w:val="TableText"/>
              <w:rPr>
                <w:rStyle w:val="Strong"/>
              </w:rPr>
            </w:pPr>
            <w:r w:rsidRPr="0029428D">
              <w:rPr>
                <w:rStyle w:val="Strong"/>
              </w:rPr>
              <w:t>100</w:t>
            </w:r>
          </w:p>
        </w:tc>
      </w:tr>
      <w:tr w:rsidR="003202F0" w:rsidRPr="0029428D" w14:paraId="2B5CD4B2" w14:textId="77777777" w:rsidTr="00417F46">
        <w:tc>
          <w:tcPr>
            <w:tcW w:w="3402" w:type="dxa"/>
            <w:vMerge/>
            <w:shd w:val="clear" w:color="auto" w:fill="FFFFFF" w:themeFill="background1"/>
          </w:tcPr>
          <w:p w14:paraId="11046346" w14:textId="77777777" w:rsidR="003202F0" w:rsidRPr="0029428D" w:rsidRDefault="003202F0" w:rsidP="00417F46">
            <w:pPr>
              <w:pStyle w:val="TableText"/>
              <w:rPr>
                <w:rStyle w:val="Strong"/>
              </w:rPr>
            </w:pPr>
          </w:p>
        </w:tc>
        <w:tc>
          <w:tcPr>
            <w:tcW w:w="2263" w:type="dxa"/>
            <w:shd w:val="clear" w:color="auto" w:fill="FFFFFF" w:themeFill="background1"/>
          </w:tcPr>
          <w:p w14:paraId="70612DE6" w14:textId="77777777" w:rsidR="003202F0" w:rsidRPr="0029428D" w:rsidRDefault="003202F0" w:rsidP="00417F46">
            <w:pPr>
              <w:pStyle w:val="TableText"/>
              <w:rPr>
                <w:rStyle w:val="Strong"/>
              </w:rPr>
            </w:pPr>
            <w:r w:rsidRPr="0029428D">
              <w:rPr>
                <w:rStyle w:val="Strong"/>
              </w:rPr>
              <w:t>Unsuccessful satisfied</w:t>
            </w:r>
          </w:p>
        </w:tc>
        <w:tc>
          <w:tcPr>
            <w:tcW w:w="1139" w:type="dxa"/>
            <w:gridSpan w:val="2"/>
            <w:shd w:val="clear" w:color="auto" w:fill="FFFFFF" w:themeFill="background1"/>
          </w:tcPr>
          <w:p w14:paraId="5B2AC21B" w14:textId="77777777" w:rsidR="003202F0" w:rsidRPr="0029428D" w:rsidRDefault="003202F0" w:rsidP="00417F46">
            <w:pPr>
              <w:pStyle w:val="TableText"/>
              <w:rPr>
                <w:rStyle w:val="Strong"/>
              </w:rPr>
            </w:pPr>
            <w:r w:rsidRPr="0029428D">
              <w:rPr>
                <w:rStyle w:val="Strong"/>
              </w:rPr>
              <w:t>50</w:t>
            </w:r>
          </w:p>
        </w:tc>
        <w:tc>
          <w:tcPr>
            <w:tcW w:w="1134" w:type="dxa"/>
            <w:shd w:val="clear" w:color="auto" w:fill="FFFFFF" w:themeFill="background1"/>
          </w:tcPr>
          <w:p w14:paraId="12657D79" w14:textId="77777777" w:rsidR="003202F0" w:rsidRPr="0029428D" w:rsidRDefault="003202F0" w:rsidP="00417F46">
            <w:pPr>
              <w:pStyle w:val="TableText"/>
              <w:rPr>
                <w:rStyle w:val="Strong"/>
              </w:rPr>
            </w:pPr>
            <w:r w:rsidRPr="0029428D">
              <w:rPr>
                <w:rStyle w:val="Strong"/>
              </w:rPr>
              <w:t>40</w:t>
            </w:r>
          </w:p>
        </w:tc>
        <w:tc>
          <w:tcPr>
            <w:tcW w:w="1134" w:type="dxa"/>
            <w:shd w:val="clear" w:color="auto" w:fill="FFFFFF" w:themeFill="background1"/>
          </w:tcPr>
          <w:p w14:paraId="5A8B4181" w14:textId="77777777" w:rsidR="003202F0" w:rsidRPr="0029428D" w:rsidRDefault="003202F0" w:rsidP="00417F46">
            <w:pPr>
              <w:pStyle w:val="TableText"/>
              <w:rPr>
                <w:rStyle w:val="Strong"/>
              </w:rPr>
            </w:pPr>
            <w:r w:rsidRPr="0029428D">
              <w:rPr>
                <w:rStyle w:val="Strong"/>
              </w:rPr>
              <w:t>33</w:t>
            </w:r>
          </w:p>
        </w:tc>
      </w:tr>
      <w:tr w:rsidR="003202F0" w:rsidRPr="0029428D" w14:paraId="28F0FCEF" w14:textId="77777777" w:rsidTr="00417F46">
        <w:tc>
          <w:tcPr>
            <w:tcW w:w="9072" w:type="dxa"/>
            <w:gridSpan w:val="6"/>
            <w:shd w:val="clear" w:color="auto" w:fill="FFFFFF" w:themeFill="background1"/>
          </w:tcPr>
          <w:p w14:paraId="23587A8C" w14:textId="77777777" w:rsidR="003202F0" w:rsidRPr="0029428D" w:rsidRDefault="003202F0" w:rsidP="00417F46">
            <w:pPr>
              <w:pStyle w:val="TableText"/>
            </w:pPr>
            <w:r w:rsidRPr="0029428D">
              <w:t>The increase in satisfied suppliers is most likely due to the work started in 2019–20 to document more sourcing processes and update all templates, which has improved communication and timeliness for suppliers, as well as process improvements end-to-end. This was reflected in the survey results with improved scores in the timeliness of being notified of the outcome and being kept informed during the evaluation process. Satisfaction was related to effective communication, clear information/evaluation criteria and a simple/straightforward process.</w:t>
            </w:r>
          </w:p>
          <w:p w14:paraId="14620416" w14:textId="77777777" w:rsidR="003202F0" w:rsidRPr="0029428D" w:rsidRDefault="003202F0" w:rsidP="00417F46">
            <w:pPr>
              <w:pStyle w:val="TableText"/>
            </w:pPr>
            <w:r w:rsidRPr="0029428D">
              <w:t>Cenitex has developed a sourcing service catalogue focused on a ‘fit-for-purpose’ process, appropriate to the scope and complexity of the procurement need. This should contribute to maintaining timely and simple/straightforward processes. This should also contribute to improving some of the dissatisfaction measures, namely unclear information/evaluation criteria and the burden of submission requirements.</w:t>
            </w:r>
          </w:p>
          <w:p w14:paraId="0F436E73" w14:textId="77777777" w:rsidR="003202F0" w:rsidRPr="0029428D" w:rsidRDefault="003202F0" w:rsidP="00417F46">
            <w:pPr>
              <w:pStyle w:val="TableText"/>
            </w:pPr>
            <w:r w:rsidRPr="0029428D">
              <w:t xml:space="preserve">The results for dissatisfied suppliers decreased but were based on a low response rate. </w:t>
            </w:r>
          </w:p>
        </w:tc>
      </w:tr>
      <w:tr w:rsidR="003202F0" w:rsidRPr="0029428D" w14:paraId="5E24849D" w14:textId="77777777" w:rsidTr="00417F46">
        <w:tc>
          <w:tcPr>
            <w:tcW w:w="5671" w:type="dxa"/>
            <w:gridSpan w:val="3"/>
            <w:shd w:val="clear" w:color="auto" w:fill="FFFFFF" w:themeFill="background1"/>
          </w:tcPr>
          <w:p w14:paraId="4024176B" w14:textId="77777777" w:rsidR="003202F0" w:rsidRPr="0029428D" w:rsidRDefault="003202F0" w:rsidP="00417F46">
            <w:pPr>
              <w:pStyle w:val="TableText"/>
              <w:rPr>
                <w:rStyle w:val="Strong"/>
              </w:rPr>
            </w:pPr>
            <w:r w:rsidRPr="0029428D">
              <w:rPr>
                <w:rStyle w:val="Strong"/>
              </w:rPr>
              <w:t>Planned procurement activity as a % of actual procurement activity</w:t>
            </w:r>
          </w:p>
        </w:tc>
        <w:tc>
          <w:tcPr>
            <w:tcW w:w="1133" w:type="dxa"/>
            <w:shd w:val="clear" w:color="auto" w:fill="FFFFFF" w:themeFill="background1"/>
          </w:tcPr>
          <w:p w14:paraId="43A33F5C" w14:textId="77777777" w:rsidR="003202F0" w:rsidRPr="0029428D" w:rsidRDefault="003202F0" w:rsidP="00417F46">
            <w:pPr>
              <w:pStyle w:val="TableText"/>
              <w:rPr>
                <w:rStyle w:val="Strong"/>
              </w:rPr>
            </w:pPr>
            <w:r w:rsidRPr="0029428D">
              <w:rPr>
                <w:rStyle w:val="Strong"/>
              </w:rPr>
              <w:t>22.2</w:t>
            </w:r>
          </w:p>
        </w:tc>
        <w:tc>
          <w:tcPr>
            <w:tcW w:w="1134" w:type="dxa"/>
            <w:shd w:val="clear" w:color="auto" w:fill="FFFFFF" w:themeFill="background1"/>
          </w:tcPr>
          <w:p w14:paraId="68C27DF1" w14:textId="77777777" w:rsidR="003202F0" w:rsidRPr="0029428D" w:rsidRDefault="003202F0" w:rsidP="00417F46">
            <w:pPr>
              <w:pStyle w:val="TableText"/>
              <w:rPr>
                <w:rStyle w:val="Strong"/>
              </w:rPr>
            </w:pPr>
            <w:r w:rsidRPr="0029428D">
              <w:rPr>
                <w:rStyle w:val="Strong"/>
              </w:rPr>
              <w:t>35.7</w:t>
            </w:r>
          </w:p>
        </w:tc>
        <w:tc>
          <w:tcPr>
            <w:tcW w:w="1134" w:type="dxa"/>
            <w:shd w:val="clear" w:color="auto" w:fill="FFFFFF" w:themeFill="background1"/>
          </w:tcPr>
          <w:p w14:paraId="0866785F" w14:textId="77777777" w:rsidR="003202F0" w:rsidRPr="0029428D" w:rsidRDefault="003202F0" w:rsidP="00417F46">
            <w:pPr>
              <w:pStyle w:val="TableText"/>
              <w:rPr>
                <w:rStyle w:val="Strong"/>
              </w:rPr>
            </w:pPr>
            <w:r w:rsidRPr="0029428D">
              <w:rPr>
                <w:rStyle w:val="Strong"/>
              </w:rPr>
              <w:t>57.7</w:t>
            </w:r>
          </w:p>
        </w:tc>
      </w:tr>
      <w:tr w:rsidR="003202F0" w:rsidRPr="0029428D" w14:paraId="3D4B7E70" w14:textId="77777777" w:rsidTr="00417F46">
        <w:tc>
          <w:tcPr>
            <w:tcW w:w="9072" w:type="dxa"/>
            <w:gridSpan w:val="6"/>
          </w:tcPr>
          <w:p w14:paraId="3A006C67" w14:textId="77777777" w:rsidR="003202F0" w:rsidRPr="0029428D" w:rsidRDefault="003202F0" w:rsidP="00417F46">
            <w:pPr>
              <w:pStyle w:val="TableText"/>
            </w:pPr>
            <w:r w:rsidRPr="0029428D">
              <w:t>This measure has improved as a result of the effort put into dedicated stakeholder engagement and data quality review of the content in the forward activity plan. Some improvements have been made to integrate budget planning initiatives with procurement's sourcing pipeline. More work is planned for 2021–22 to structure regular reviews of forward plan activity against work priorities in progress and/or the pipeline, leveraging a stakeholder engagement plan framework.</w:t>
            </w:r>
          </w:p>
        </w:tc>
      </w:tr>
    </w:tbl>
    <w:p w14:paraId="17625DA3" w14:textId="77777777" w:rsidR="003202F0" w:rsidRPr="0029428D" w:rsidRDefault="003202F0" w:rsidP="003202F0">
      <w:pPr>
        <w:pStyle w:val="Tablenotes"/>
        <w:ind w:left="0"/>
      </w:pPr>
      <w:r w:rsidRPr="0029428D">
        <w:t xml:space="preserve">Refer to </w:t>
      </w:r>
      <w:r w:rsidRPr="0029428D">
        <w:rPr>
          <w:i/>
          <w:iCs/>
        </w:rPr>
        <w:fldChar w:fldCharType="begin"/>
      </w:r>
      <w:r w:rsidRPr="0029428D">
        <w:rPr>
          <w:i/>
          <w:iCs/>
        </w:rPr>
        <w:instrText xml:space="preserve"> REF _Ref80607952 \h  \* MERGEFORMAT </w:instrText>
      </w:r>
      <w:r w:rsidRPr="0029428D">
        <w:rPr>
          <w:i/>
          <w:iCs/>
        </w:rPr>
      </w:r>
      <w:r w:rsidRPr="0029428D">
        <w:rPr>
          <w:i/>
          <w:iCs/>
        </w:rPr>
        <w:fldChar w:fldCharType="separate"/>
      </w:r>
      <w:r w:rsidRPr="0029428D">
        <w:rPr>
          <w:i/>
          <w:iCs/>
        </w:rPr>
        <w:t xml:space="preserve">Table </w:t>
      </w:r>
      <w:r w:rsidRPr="0029428D">
        <w:rPr>
          <w:i/>
          <w:iCs/>
          <w:noProof/>
        </w:rPr>
        <w:t>11</w:t>
      </w:r>
      <w:r w:rsidRPr="0029428D">
        <w:rPr>
          <w:i/>
          <w:iCs/>
        </w:rPr>
        <w:t>: Performance measure methodology</w:t>
      </w:r>
      <w:r w:rsidRPr="0029428D">
        <w:rPr>
          <w:i/>
          <w:iCs/>
        </w:rPr>
        <w:fldChar w:fldCharType="end"/>
      </w:r>
      <w:r w:rsidRPr="0029428D">
        <w:t xml:space="preserve"> in the compliance section for a definition of performance measures.   </w:t>
      </w:r>
    </w:p>
    <w:p w14:paraId="7CCEDD14" w14:textId="77777777" w:rsidR="000C1A89" w:rsidRDefault="003202F0"/>
    <w:sectPr w:rsidR="000C1A8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14E05" w14:textId="77777777" w:rsidR="0096595A" w:rsidRDefault="0096595A" w:rsidP="0096595A">
      <w:r>
        <w:separator/>
      </w:r>
    </w:p>
  </w:endnote>
  <w:endnote w:type="continuationSeparator" w:id="0">
    <w:p w14:paraId="5F92CD65" w14:textId="77777777" w:rsidR="0096595A" w:rsidRDefault="0096595A" w:rsidP="00965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A4F4F" w14:textId="77777777" w:rsidR="0096595A" w:rsidRDefault="0096595A">
    <w:pPr>
      <w:pStyle w:val="Footer"/>
    </w:pPr>
    <w:r>
      <w:rPr>
        <w:noProof/>
      </w:rPr>
      <mc:AlternateContent>
        <mc:Choice Requires="wps">
          <w:drawing>
            <wp:anchor distT="0" distB="0" distL="114300" distR="114300" simplePos="0" relativeHeight="251659264" behindDoc="0" locked="0" layoutInCell="0" allowOverlap="1" wp14:anchorId="18C76789" wp14:editId="34DBA38D">
              <wp:simplePos x="0" y="0"/>
              <wp:positionH relativeFrom="page">
                <wp:posOffset>0</wp:posOffset>
              </wp:positionH>
              <wp:positionV relativeFrom="page">
                <wp:posOffset>10234930</wp:posOffset>
              </wp:positionV>
              <wp:extent cx="7560310" cy="266700"/>
              <wp:effectExtent l="0" t="0" r="0" b="0"/>
              <wp:wrapNone/>
              <wp:docPr id="1" name="MSIPCM5f1a409ea2fe24a822ec9f3a"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1E1536" w14:textId="77777777" w:rsidR="0096595A" w:rsidRPr="0096595A" w:rsidRDefault="0096595A" w:rsidP="0096595A">
                          <w:pPr>
                            <w:rPr>
                              <w:rFonts w:ascii="Calibri" w:hAnsi="Calibri" w:cs="Calibri"/>
                              <w:color w:val="000000"/>
                              <w:sz w:val="22"/>
                            </w:rPr>
                          </w:pPr>
                          <w:r w:rsidRPr="0096595A">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8C76789" id="_x0000_t202" coordsize="21600,21600" o:spt="202" path="m,l,21600r21600,l21600,xe">
              <v:stroke joinstyle="miter"/>
              <v:path gradientshapeok="t" o:connecttype="rect"/>
            </v:shapetype>
            <v:shape id="MSIPCM5f1a409ea2fe24a822ec9f3a"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" o:allowincell="f" filled="f" stroked="f" strokeweight=".5pt">
              <v:textbox inset="20pt,0,,0">
                <w:txbxContent>
                  <w:p w14:paraId="691E1536" w14:textId="77777777" w:rsidR="0096595A" w:rsidRPr="0096595A" w:rsidRDefault="0096595A" w:rsidP="0096595A">
                    <w:pPr>
                      <w:rPr>
                        <w:rFonts w:ascii="Calibri" w:hAnsi="Calibri" w:cs="Calibri"/>
                        <w:color w:val="000000"/>
                        <w:sz w:val="22"/>
                      </w:rPr>
                    </w:pPr>
                    <w:r w:rsidRPr="0096595A">
                      <w:rPr>
                        <w:rFonts w:ascii="Calibri" w:hAnsi="Calibri" w:cs="Calibri"/>
                        <w:color w:val="000000"/>
                        <w:sz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44AB8" w14:textId="77777777" w:rsidR="0096595A" w:rsidRDefault="0096595A" w:rsidP="0096595A">
      <w:r>
        <w:separator/>
      </w:r>
    </w:p>
  </w:footnote>
  <w:footnote w:type="continuationSeparator" w:id="0">
    <w:p w14:paraId="777D53AE" w14:textId="77777777" w:rsidR="0096595A" w:rsidRDefault="0096595A" w:rsidP="009659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95A"/>
    <w:rsid w:val="003202F0"/>
    <w:rsid w:val="0096595A"/>
    <w:rsid w:val="009721B1"/>
    <w:rsid w:val="00B4701F"/>
    <w:rsid w:val="00E744CF"/>
    <w:rsid w:val="00F004B3"/>
    <w:rsid w:val="00F42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BB8C5"/>
  <w15:chartTrackingRefBased/>
  <w15:docId w15:val="{81AEA0C6-5802-4FAB-870E-CFCEE4877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6595A"/>
    <w:pPr>
      <w:spacing w:after="0" w:line="240" w:lineRule="auto"/>
    </w:pPr>
    <w:rPr>
      <w:rFonts w:ascii="Arial" w:eastAsia="Times New Roman" w:hAnsi="Arial"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rsid w:val="0096595A"/>
    <w:pPr>
      <w:keepNext/>
      <w:keepLines/>
      <w:tabs>
        <w:tab w:val="left" w:pos="851"/>
      </w:tabs>
      <w:spacing w:before="60" w:after="60" w:line="228" w:lineRule="auto"/>
      <w:ind w:left="794"/>
    </w:pPr>
    <w:rPr>
      <w:rFonts w:ascii="Calibri" w:hAnsi="Calibri" w:cs="Calibri"/>
      <w:b/>
      <w:sz w:val="22"/>
      <w:szCs w:val="22"/>
    </w:rPr>
  </w:style>
  <w:style w:type="character" w:customStyle="1" w:styleId="CaptionChar">
    <w:name w:val="Caption Char"/>
    <w:link w:val="Caption"/>
    <w:rsid w:val="0096595A"/>
    <w:rPr>
      <w:rFonts w:ascii="Calibri" w:eastAsia="Times New Roman" w:hAnsi="Calibri" w:cs="Calibri"/>
      <w:b/>
      <w:lang w:eastAsia="en-AU"/>
    </w:rPr>
  </w:style>
  <w:style w:type="character" w:styleId="Strong">
    <w:name w:val="Strong"/>
    <w:uiPriority w:val="22"/>
    <w:qFormat/>
    <w:rsid w:val="0096595A"/>
    <w:rPr>
      <w:b/>
      <w:bCs/>
    </w:rPr>
  </w:style>
  <w:style w:type="paragraph" w:customStyle="1" w:styleId="TableText">
    <w:name w:val="Table Text"/>
    <w:basedOn w:val="Normal"/>
    <w:link w:val="TableTextChar"/>
    <w:uiPriority w:val="15"/>
    <w:qFormat/>
    <w:rsid w:val="0096595A"/>
    <w:pPr>
      <w:spacing w:before="20" w:after="20"/>
    </w:pPr>
    <w:rPr>
      <w:rFonts w:ascii="Calibri" w:eastAsiaTheme="minorHAnsi" w:hAnsi="Calibri" w:cs="Calibri"/>
      <w:sz w:val="20"/>
      <w:szCs w:val="20"/>
      <w:lang w:val="en-US" w:eastAsia="en-US"/>
    </w:rPr>
  </w:style>
  <w:style w:type="character" w:customStyle="1" w:styleId="TableTextChar">
    <w:name w:val="Table Text Char"/>
    <w:basedOn w:val="DefaultParagraphFont"/>
    <w:link w:val="TableText"/>
    <w:uiPriority w:val="15"/>
    <w:rsid w:val="0096595A"/>
    <w:rPr>
      <w:rFonts w:ascii="Calibri" w:hAnsi="Calibri" w:cs="Calibri"/>
      <w:sz w:val="20"/>
      <w:szCs w:val="20"/>
      <w:lang w:val="en-US"/>
    </w:rPr>
  </w:style>
  <w:style w:type="paragraph" w:customStyle="1" w:styleId="TableHeader">
    <w:name w:val="Table Header"/>
    <w:basedOn w:val="TableText"/>
    <w:link w:val="TableHeaderChar"/>
    <w:uiPriority w:val="15"/>
    <w:qFormat/>
    <w:rsid w:val="0096595A"/>
    <w:pPr>
      <w:keepNext/>
      <w:spacing w:before="40" w:after="40"/>
    </w:pPr>
    <w:rPr>
      <w:sz w:val="24"/>
      <w:szCs w:val="24"/>
    </w:rPr>
  </w:style>
  <w:style w:type="paragraph" w:customStyle="1" w:styleId="Tablenotes">
    <w:name w:val="Table notes"/>
    <w:basedOn w:val="Normal"/>
    <w:link w:val="TablenotesChar"/>
    <w:qFormat/>
    <w:rsid w:val="0096595A"/>
    <w:pPr>
      <w:spacing w:before="20"/>
      <w:ind w:left="851"/>
      <w:contextualSpacing/>
    </w:pPr>
    <w:rPr>
      <w:rFonts w:ascii="Calibri" w:eastAsia="Calibri" w:hAnsi="Calibri"/>
      <w:spacing w:val="-2"/>
      <w:sz w:val="18"/>
      <w:szCs w:val="18"/>
      <w:lang w:eastAsia="en-US"/>
    </w:rPr>
  </w:style>
  <w:style w:type="character" w:customStyle="1" w:styleId="TablenotesChar">
    <w:name w:val="Table notes Char"/>
    <w:basedOn w:val="DefaultParagraphFont"/>
    <w:link w:val="Tablenotes"/>
    <w:rsid w:val="0096595A"/>
    <w:rPr>
      <w:rFonts w:ascii="Calibri" w:eastAsia="Calibri" w:hAnsi="Calibri" w:cs="Times New Roman"/>
      <w:spacing w:val="-2"/>
      <w:sz w:val="18"/>
      <w:szCs w:val="18"/>
    </w:rPr>
  </w:style>
  <w:style w:type="table" w:customStyle="1" w:styleId="TableGrid1">
    <w:name w:val="Table Grid1"/>
    <w:basedOn w:val="TableNormal"/>
    <w:next w:val="TableGrid"/>
    <w:uiPriority w:val="39"/>
    <w:rsid w:val="0096595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erChar">
    <w:name w:val="Table Header Char"/>
    <w:basedOn w:val="TableTextChar"/>
    <w:link w:val="TableHeader"/>
    <w:uiPriority w:val="15"/>
    <w:rsid w:val="0096595A"/>
    <w:rPr>
      <w:rFonts w:ascii="Calibri" w:hAnsi="Calibri" w:cs="Calibri"/>
      <w:sz w:val="24"/>
      <w:szCs w:val="24"/>
      <w:lang w:val="en-US"/>
    </w:rPr>
  </w:style>
  <w:style w:type="table" w:styleId="TableGrid">
    <w:name w:val="Table Grid"/>
    <w:basedOn w:val="TableNormal"/>
    <w:uiPriority w:val="39"/>
    <w:rsid w:val="00965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95A"/>
    <w:pPr>
      <w:tabs>
        <w:tab w:val="center" w:pos="4513"/>
        <w:tab w:val="right" w:pos="9026"/>
      </w:tabs>
    </w:pPr>
  </w:style>
  <w:style w:type="character" w:customStyle="1" w:styleId="HeaderChar">
    <w:name w:val="Header Char"/>
    <w:basedOn w:val="DefaultParagraphFont"/>
    <w:link w:val="Header"/>
    <w:uiPriority w:val="99"/>
    <w:rsid w:val="0096595A"/>
    <w:rPr>
      <w:rFonts w:ascii="Arial" w:eastAsia="Times New Roman" w:hAnsi="Arial" w:cs="Times New Roman"/>
      <w:sz w:val="24"/>
      <w:szCs w:val="24"/>
      <w:lang w:eastAsia="en-AU"/>
    </w:rPr>
  </w:style>
  <w:style w:type="paragraph" w:styleId="Footer">
    <w:name w:val="footer"/>
    <w:basedOn w:val="Normal"/>
    <w:link w:val="FooterChar"/>
    <w:uiPriority w:val="99"/>
    <w:unhideWhenUsed/>
    <w:rsid w:val="0096595A"/>
    <w:pPr>
      <w:tabs>
        <w:tab w:val="center" w:pos="4513"/>
        <w:tab w:val="right" w:pos="9026"/>
      </w:tabs>
    </w:pPr>
  </w:style>
  <w:style w:type="character" w:customStyle="1" w:styleId="FooterChar">
    <w:name w:val="Footer Char"/>
    <w:basedOn w:val="DefaultParagraphFont"/>
    <w:link w:val="Footer"/>
    <w:uiPriority w:val="99"/>
    <w:rsid w:val="0096595A"/>
    <w:rPr>
      <w:rFonts w:ascii="Arial" w:eastAsia="Times New Roman" w:hAnsi="Arial"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43B6DCA-AC0A-44B4-839E-A7D04A00498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507</Words>
  <Characters>2890</Characters>
  <Application>Microsoft Office Word</Application>
  <DocSecurity>0</DocSecurity>
  <Lines>24</Lines>
  <Paragraphs>6</Paragraphs>
  <ScaleCrop>false</ScaleCrop>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Coles (DTF)</dc:creator>
  <cp:keywords/>
  <dc:description/>
  <cp:lastModifiedBy>Vanessa Coles (DTF)</cp:lastModifiedBy>
  <cp:revision>2</cp:revision>
  <dcterms:created xsi:type="dcterms:W3CDTF">2021-10-21T05:44:00Z</dcterms:created>
  <dcterms:modified xsi:type="dcterms:W3CDTF">2021-10-21T05:44:00Z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2021-10-21T05:43:46Z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
  </property>
  <property fmtid="{D5CDD505-2E9C-101B-9397-08002B2CF9AE}" pid="8" name="MSIP_Label_7158ebbd-6c5e-441f-bfc9-4eb8c11e3978_ContentBits">
    <vt:lpwstr>2</vt:lpwstr>
  </property>
</Properties>
</file>