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10596" w14:textId="1C705AC4" w:rsidR="0096595A" w:rsidRDefault="0096595A" w:rsidP="0096595A">
      <w:pPr>
        <w:pStyle w:val="Caption"/>
        <w:rPr>
          <w:rFonts w:asciiTheme="majorHAnsi" w:eastAsiaTheme="majorEastAsia" w:hAnsiTheme="majorHAnsi" w:cstheme="majorHAnsi"/>
          <w:bCs/>
          <w:color w:val="000000" w:themeColor="text1"/>
          <w:sz w:val="28"/>
          <w:szCs w:val="28"/>
        </w:rPr>
      </w:pPr>
      <w:bookmarkStart w:id="0" w:name="_Toc503949257"/>
      <w:bookmarkStart w:id="1" w:name="_Toc12717998"/>
      <w:bookmarkStart w:id="2" w:name="_Toc17130220"/>
      <w:bookmarkStart w:id="3" w:name="_Toc48837167"/>
      <w:bookmarkStart w:id="4" w:name="_Toc49185557"/>
      <w:bookmarkStart w:id="5" w:name="_Ref519678912"/>
      <w:r w:rsidRPr="00F42DAB">
        <w:rPr>
          <w:rFonts w:asciiTheme="majorHAnsi" w:eastAsiaTheme="majorEastAsia" w:hAnsiTheme="majorHAnsi" w:cstheme="majorHAnsi"/>
          <w:bCs/>
          <w:color w:val="000000" w:themeColor="text1"/>
          <w:sz w:val="28"/>
          <w:szCs w:val="28"/>
        </w:rPr>
        <w:t xml:space="preserve">Table </w:t>
      </w:r>
      <w:bookmarkEnd w:id="5"/>
      <w:r w:rsidR="00F87434" w:rsidRPr="00F87434">
        <w:rPr>
          <w:rFonts w:asciiTheme="majorHAnsi" w:eastAsiaTheme="majorEastAsia" w:hAnsiTheme="majorHAnsi" w:cstheme="majorHAnsi"/>
          <w:bCs/>
          <w:color w:val="000000" w:themeColor="text1"/>
          <w:sz w:val="28"/>
          <w:szCs w:val="28"/>
        </w:rPr>
        <w:t>Major Transport Infrastructure Authority</w:t>
      </w:r>
      <w:bookmarkEnd w:id="0"/>
      <w:bookmarkEnd w:id="1"/>
      <w:bookmarkEnd w:id="2"/>
      <w:bookmarkEnd w:id="3"/>
      <w:bookmarkEnd w:id="4"/>
      <w:r w:rsidR="00F87434">
        <w:rPr>
          <w:rFonts w:asciiTheme="majorHAnsi" w:eastAsiaTheme="majorEastAsia" w:hAnsiTheme="majorHAnsi" w:cstheme="majorHAnsi"/>
          <w:bCs/>
          <w:color w:val="000000" w:themeColor="text1"/>
          <w:sz w:val="28"/>
          <w:szCs w:val="28"/>
        </w:rPr>
        <w:t xml:space="preserve"> in 2020-21</w:t>
      </w:r>
    </w:p>
    <w:p w14:paraId="503E005A" w14:textId="77777777" w:rsidR="00F42DAB" w:rsidRPr="00F42DAB" w:rsidRDefault="00F42DAB" w:rsidP="00F42DAB"/>
    <w:p w14:paraId="3EC0FFB1" w14:textId="42FEE711" w:rsidR="00F42DAB" w:rsidRPr="00F42DAB" w:rsidRDefault="00F42DAB" w:rsidP="00F42DAB">
      <w:pPr>
        <w:ind w:firstLine="720"/>
        <w:rPr>
          <w:rFonts w:ascii="Calibri" w:eastAsiaTheme="minorHAnsi" w:hAnsi="Calibri" w:cs="Calibri"/>
          <w:sz w:val="20"/>
          <w:szCs w:val="20"/>
          <w:lang w:val="en-US" w:eastAsia="en-US"/>
        </w:rPr>
      </w:pPr>
      <w:r w:rsidRPr="008A4523">
        <w:rPr>
          <w:rFonts w:ascii="Calibri" w:eastAsiaTheme="minorHAnsi" w:hAnsi="Calibri" w:cs="Calibri"/>
          <w:sz w:val="20"/>
          <w:szCs w:val="20"/>
          <w:lang w:val="en-US" w:eastAsia="en-US"/>
        </w:rPr>
        <w:t xml:space="preserve">Extract from Victorian Government Purchasing Board </w:t>
      </w:r>
      <w:r w:rsidR="00F004B3">
        <w:rPr>
          <w:rFonts w:ascii="Calibri" w:eastAsiaTheme="minorHAnsi" w:hAnsi="Calibri" w:cs="Calibri"/>
          <w:sz w:val="20"/>
          <w:szCs w:val="20"/>
          <w:lang w:val="en-US" w:eastAsia="en-US"/>
        </w:rPr>
        <w:t xml:space="preserve">Annual Report </w:t>
      </w:r>
      <w:r w:rsidR="00F87434">
        <w:rPr>
          <w:rFonts w:ascii="Calibri" w:eastAsiaTheme="minorHAnsi" w:hAnsi="Calibri" w:cs="Calibri"/>
          <w:sz w:val="20"/>
          <w:szCs w:val="20"/>
          <w:lang w:val="en-US" w:eastAsia="en-US"/>
        </w:rPr>
        <w:t>2020-21</w:t>
      </w:r>
    </w:p>
    <w:p w14:paraId="16BD7219" w14:textId="699CCFB6" w:rsidR="0096595A" w:rsidRPr="00914284" w:rsidRDefault="0096595A" w:rsidP="00F87434">
      <w:pPr>
        <w:pStyle w:val="Tablenotes"/>
        <w:ind w:left="0"/>
      </w:pPr>
    </w:p>
    <w:tbl>
      <w:tblPr>
        <w:tblStyle w:val="TableGrid1"/>
        <w:tblW w:w="9239" w:type="dxa"/>
        <w:tblInd w:w="279" w:type="dxa"/>
        <w:tblLook w:val="04A0" w:firstRow="1" w:lastRow="0" w:firstColumn="1" w:lastColumn="0" w:noHBand="0" w:noVBand="1"/>
      </w:tblPr>
      <w:tblGrid>
        <w:gridCol w:w="3399"/>
        <w:gridCol w:w="4397"/>
        <w:gridCol w:w="1423"/>
        <w:gridCol w:w="20"/>
      </w:tblGrid>
      <w:tr w:rsidR="00F87434" w:rsidRPr="0029428D" w14:paraId="26B9009F" w14:textId="77777777" w:rsidTr="00417F46">
        <w:trPr>
          <w:gridAfter w:val="1"/>
          <w:wAfter w:w="20" w:type="dxa"/>
        </w:trPr>
        <w:tc>
          <w:tcPr>
            <w:tcW w:w="7796" w:type="dxa"/>
            <w:gridSpan w:val="2"/>
          </w:tcPr>
          <w:p w14:paraId="5795C67A" w14:textId="77777777" w:rsidR="00F87434" w:rsidRPr="0029428D" w:rsidRDefault="00F87434" w:rsidP="00417F46">
            <w:pPr>
              <w:pStyle w:val="TableHeader"/>
            </w:pPr>
            <w:r w:rsidRPr="0029428D">
              <w:t>Performance measure</w:t>
            </w:r>
          </w:p>
        </w:tc>
        <w:tc>
          <w:tcPr>
            <w:tcW w:w="1423" w:type="dxa"/>
          </w:tcPr>
          <w:p w14:paraId="27EC139C" w14:textId="77777777" w:rsidR="00F87434" w:rsidRPr="0029428D" w:rsidRDefault="00F87434" w:rsidP="00417F46">
            <w:pPr>
              <w:pStyle w:val="TableHeader"/>
            </w:pPr>
            <w:r w:rsidRPr="0029428D">
              <w:t>2020–21</w:t>
            </w:r>
          </w:p>
        </w:tc>
      </w:tr>
      <w:tr w:rsidR="00F87434" w:rsidRPr="0029428D" w14:paraId="5514B225" w14:textId="77777777" w:rsidTr="00417F46">
        <w:trPr>
          <w:gridAfter w:val="1"/>
          <w:wAfter w:w="20" w:type="dxa"/>
        </w:trPr>
        <w:tc>
          <w:tcPr>
            <w:tcW w:w="7796" w:type="dxa"/>
            <w:gridSpan w:val="2"/>
            <w:shd w:val="clear" w:color="auto" w:fill="FFFFFF" w:themeFill="background1"/>
          </w:tcPr>
          <w:p w14:paraId="2259890A" w14:textId="77777777" w:rsidR="00F87434" w:rsidRPr="0029428D" w:rsidRDefault="00F87434" w:rsidP="00417F46">
            <w:pPr>
              <w:pStyle w:val="TableHeader"/>
            </w:pPr>
          </w:p>
        </w:tc>
        <w:tc>
          <w:tcPr>
            <w:tcW w:w="1423" w:type="dxa"/>
            <w:shd w:val="clear" w:color="auto" w:fill="FFFFFF" w:themeFill="background1"/>
          </w:tcPr>
          <w:p w14:paraId="5FEAFDBA" w14:textId="77777777" w:rsidR="00F87434" w:rsidRPr="0029428D" w:rsidRDefault="00F87434" w:rsidP="00417F46">
            <w:pPr>
              <w:pStyle w:val="TableHeader"/>
            </w:pPr>
            <w:r w:rsidRPr="0029428D">
              <w:t>(%)</w:t>
            </w:r>
          </w:p>
        </w:tc>
      </w:tr>
      <w:tr w:rsidR="00F87434" w:rsidRPr="0029428D" w14:paraId="1B9B3A3C" w14:textId="77777777" w:rsidTr="00417F46">
        <w:trPr>
          <w:gridAfter w:val="1"/>
          <w:wAfter w:w="20" w:type="dxa"/>
        </w:trPr>
        <w:tc>
          <w:tcPr>
            <w:tcW w:w="7796" w:type="dxa"/>
            <w:gridSpan w:val="2"/>
            <w:shd w:val="clear" w:color="auto" w:fill="FFFFFF" w:themeFill="background1"/>
          </w:tcPr>
          <w:p w14:paraId="16030CA9" w14:textId="77777777" w:rsidR="00F87434" w:rsidRPr="0029428D" w:rsidRDefault="00F87434" w:rsidP="00417F46">
            <w:pPr>
              <w:pStyle w:val="TableText"/>
              <w:rPr>
                <w:rStyle w:val="Strong"/>
              </w:rPr>
            </w:pPr>
            <w:r w:rsidRPr="0029428D">
              <w:rPr>
                <w:rStyle w:val="Strong"/>
              </w:rPr>
              <w:t>Value created from department procurement activity</w:t>
            </w:r>
          </w:p>
        </w:tc>
        <w:tc>
          <w:tcPr>
            <w:tcW w:w="1423" w:type="dxa"/>
            <w:shd w:val="clear" w:color="auto" w:fill="FFFFFF" w:themeFill="background1"/>
          </w:tcPr>
          <w:p w14:paraId="0E09735C" w14:textId="77777777" w:rsidR="00F87434" w:rsidRPr="0029428D" w:rsidRDefault="00F87434" w:rsidP="00417F46">
            <w:pPr>
              <w:pStyle w:val="TableText"/>
              <w:rPr>
                <w:rStyle w:val="Strong"/>
              </w:rPr>
            </w:pPr>
            <w:r w:rsidRPr="0029428D">
              <w:rPr>
                <w:rStyle w:val="Strong"/>
              </w:rPr>
              <w:t>–</w:t>
            </w:r>
          </w:p>
        </w:tc>
      </w:tr>
      <w:tr w:rsidR="00F87434" w:rsidRPr="0029428D" w14:paraId="38FC4E91" w14:textId="77777777" w:rsidTr="00417F46">
        <w:tc>
          <w:tcPr>
            <w:tcW w:w="9239" w:type="dxa"/>
            <w:gridSpan w:val="4"/>
            <w:shd w:val="clear" w:color="auto" w:fill="FFFFFF" w:themeFill="background1"/>
          </w:tcPr>
          <w:p w14:paraId="2D15D0E9" w14:textId="77777777" w:rsidR="00F87434" w:rsidRPr="0029428D" w:rsidRDefault="00F87434" w:rsidP="00417F46">
            <w:pPr>
              <w:pStyle w:val="TableText"/>
            </w:pPr>
            <w:r w:rsidRPr="0029428D">
              <w:t xml:space="preserve">MTIA could not track this measure in 2020–21 but will roll out a new financial and contract management system in late 2021 which will enable MTIA to track this information. </w:t>
            </w:r>
          </w:p>
        </w:tc>
      </w:tr>
      <w:tr w:rsidR="00F87434" w:rsidRPr="0029428D" w14:paraId="02C30202" w14:textId="77777777" w:rsidTr="00417F46">
        <w:trPr>
          <w:gridAfter w:val="1"/>
          <w:wAfter w:w="20" w:type="dxa"/>
        </w:trPr>
        <w:tc>
          <w:tcPr>
            <w:tcW w:w="7796" w:type="dxa"/>
            <w:gridSpan w:val="2"/>
            <w:shd w:val="clear" w:color="auto" w:fill="FFFFFF" w:themeFill="background1"/>
          </w:tcPr>
          <w:p w14:paraId="425ED4F0" w14:textId="77777777" w:rsidR="00F87434" w:rsidRPr="0029428D" w:rsidRDefault="00F87434" w:rsidP="00417F46">
            <w:pPr>
              <w:pStyle w:val="TableText"/>
              <w:rPr>
                <w:rStyle w:val="Strong"/>
              </w:rPr>
            </w:pPr>
            <w:r w:rsidRPr="0029428D">
              <w:rPr>
                <w:rStyle w:val="Strong"/>
              </w:rPr>
              <w:t>Managed spend</w:t>
            </w:r>
          </w:p>
        </w:tc>
        <w:tc>
          <w:tcPr>
            <w:tcW w:w="1423" w:type="dxa"/>
            <w:shd w:val="clear" w:color="auto" w:fill="FFFFFF" w:themeFill="background1"/>
          </w:tcPr>
          <w:p w14:paraId="4B1BC0DF" w14:textId="77777777" w:rsidR="00F87434" w:rsidRPr="0029428D" w:rsidRDefault="00F87434" w:rsidP="00417F46">
            <w:pPr>
              <w:pStyle w:val="TableText"/>
              <w:rPr>
                <w:rStyle w:val="Strong"/>
              </w:rPr>
            </w:pPr>
            <w:r w:rsidRPr="0029428D">
              <w:rPr>
                <w:rStyle w:val="Strong"/>
              </w:rPr>
              <w:t>71.4</w:t>
            </w:r>
          </w:p>
        </w:tc>
      </w:tr>
      <w:tr w:rsidR="00F87434" w:rsidRPr="0029428D" w14:paraId="7DBA9631" w14:textId="77777777" w:rsidTr="00417F46">
        <w:tc>
          <w:tcPr>
            <w:tcW w:w="9239" w:type="dxa"/>
            <w:gridSpan w:val="4"/>
            <w:shd w:val="clear" w:color="auto" w:fill="FFFFFF" w:themeFill="background1"/>
          </w:tcPr>
          <w:p w14:paraId="0E30B5C9" w14:textId="77777777" w:rsidR="00F87434" w:rsidRPr="0029428D" w:rsidRDefault="00F87434" w:rsidP="00417F46">
            <w:pPr>
              <w:pStyle w:val="TableText"/>
            </w:pPr>
            <w:r w:rsidRPr="0029428D">
              <w:t>The performance measure is consistent with the defined role of the central procurement governance unit under the MTIA Procurement Framework. As MTIA works towards VGPB accreditation, the overall governance of MTIA goods and services procurements will continue to be reviewed and refined.</w:t>
            </w:r>
          </w:p>
        </w:tc>
      </w:tr>
      <w:tr w:rsidR="00F87434" w:rsidRPr="0029428D" w14:paraId="48E978C2" w14:textId="77777777" w:rsidTr="00417F46">
        <w:trPr>
          <w:gridAfter w:val="1"/>
          <w:wAfter w:w="20" w:type="dxa"/>
        </w:trPr>
        <w:tc>
          <w:tcPr>
            <w:tcW w:w="7796" w:type="dxa"/>
            <w:gridSpan w:val="2"/>
            <w:shd w:val="clear" w:color="auto" w:fill="FFFFFF" w:themeFill="background1"/>
          </w:tcPr>
          <w:p w14:paraId="7A20D327" w14:textId="77777777" w:rsidR="00F87434" w:rsidRPr="0029428D" w:rsidRDefault="00F87434" w:rsidP="00417F46">
            <w:pPr>
              <w:pStyle w:val="TableText"/>
              <w:rPr>
                <w:rStyle w:val="Strong"/>
              </w:rPr>
            </w:pPr>
            <w:r w:rsidRPr="0029428D">
              <w:rPr>
                <w:rStyle w:val="Strong"/>
              </w:rPr>
              <w:t>Increase in procurement capability</w:t>
            </w:r>
          </w:p>
        </w:tc>
        <w:tc>
          <w:tcPr>
            <w:tcW w:w="1423" w:type="dxa"/>
            <w:shd w:val="clear" w:color="auto" w:fill="FFFFFF" w:themeFill="background1"/>
          </w:tcPr>
          <w:p w14:paraId="58517B06" w14:textId="77777777" w:rsidR="00F87434" w:rsidRPr="0029428D" w:rsidRDefault="00F87434" w:rsidP="00417F46">
            <w:pPr>
              <w:pStyle w:val="TableText"/>
              <w:rPr>
                <w:rStyle w:val="Strong"/>
              </w:rPr>
            </w:pPr>
            <w:r w:rsidRPr="0029428D">
              <w:rPr>
                <w:rStyle w:val="Strong"/>
              </w:rPr>
              <w:t>–</w:t>
            </w:r>
          </w:p>
        </w:tc>
      </w:tr>
      <w:tr w:rsidR="00F87434" w:rsidRPr="0029428D" w14:paraId="49536278" w14:textId="77777777" w:rsidTr="00417F46">
        <w:tc>
          <w:tcPr>
            <w:tcW w:w="9239" w:type="dxa"/>
            <w:gridSpan w:val="4"/>
            <w:shd w:val="clear" w:color="auto" w:fill="FFFFFF" w:themeFill="background1"/>
          </w:tcPr>
          <w:p w14:paraId="3FCA93AD" w14:textId="77777777" w:rsidR="00F87434" w:rsidRPr="0029428D" w:rsidRDefault="00F87434" w:rsidP="00417F46">
            <w:pPr>
              <w:pStyle w:val="TableText"/>
            </w:pPr>
            <w:r w:rsidRPr="0029428D">
              <w:t>In 2020–21, MTIA scored 118 out of 150, but has no data for 2019–20 to measure an increase. During the year, MTIA completed an external review of the goods and services procurement function in preparation for seeking VGPB accreditation. This review identified opportunities related to:</w:t>
            </w:r>
          </w:p>
          <w:p w14:paraId="59902E96" w14:textId="77777777" w:rsidR="00F87434" w:rsidRPr="0029428D" w:rsidRDefault="00F87434" w:rsidP="00F87434">
            <w:pPr>
              <w:pStyle w:val="TableText"/>
              <w:numPr>
                <w:ilvl w:val="0"/>
                <w:numId w:val="1"/>
              </w:numPr>
            </w:pPr>
            <w:r w:rsidRPr="0029428D">
              <w:t xml:space="preserve">systems and planning for selection and implementation of a document automation and workflow system to integrate with the current rollout of a new contract management system </w:t>
            </w:r>
          </w:p>
          <w:p w14:paraId="0B580910" w14:textId="77777777" w:rsidR="00F87434" w:rsidRPr="0029428D" w:rsidRDefault="00F87434" w:rsidP="00F87434">
            <w:pPr>
              <w:pStyle w:val="TableText"/>
              <w:numPr>
                <w:ilvl w:val="0"/>
                <w:numId w:val="1"/>
              </w:numPr>
            </w:pPr>
            <w:r w:rsidRPr="0029428D">
              <w:t xml:space="preserve">improved data analytics capability through refinement of spend categorisation and capture of related data </w:t>
            </w:r>
          </w:p>
          <w:p w14:paraId="4B6052C0" w14:textId="77777777" w:rsidR="00F87434" w:rsidRPr="0029428D" w:rsidRDefault="00F87434" w:rsidP="00F87434">
            <w:pPr>
              <w:pStyle w:val="TableText"/>
              <w:numPr>
                <w:ilvl w:val="0"/>
                <w:numId w:val="1"/>
              </w:numPr>
            </w:pPr>
            <w:r w:rsidRPr="0029428D">
              <w:t xml:space="preserve">refining procurement roles and adjusting the procurement capability framework. </w:t>
            </w:r>
          </w:p>
        </w:tc>
      </w:tr>
      <w:tr w:rsidR="00F87434" w:rsidRPr="0029428D" w14:paraId="3D9957EC" w14:textId="77777777" w:rsidTr="00417F46">
        <w:trPr>
          <w:gridAfter w:val="1"/>
          <w:wAfter w:w="20" w:type="dxa"/>
        </w:trPr>
        <w:tc>
          <w:tcPr>
            <w:tcW w:w="3399" w:type="dxa"/>
            <w:vMerge w:val="restart"/>
            <w:shd w:val="clear" w:color="auto" w:fill="FFFFFF" w:themeFill="background1"/>
          </w:tcPr>
          <w:p w14:paraId="1EF583D1" w14:textId="77777777" w:rsidR="00F87434" w:rsidRPr="0029428D" w:rsidRDefault="00F87434" w:rsidP="00417F46">
            <w:pPr>
              <w:pStyle w:val="TableText"/>
              <w:rPr>
                <w:rStyle w:val="Strong"/>
              </w:rPr>
            </w:pPr>
            <w:r w:rsidRPr="0029428D">
              <w:rPr>
                <w:rStyle w:val="Strong"/>
              </w:rPr>
              <w:t>Supplier satisfaction assessment</w:t>
            </w:r>
          </w:p>
        </w:tc>
        <w:tc>
          <w:tcPr>
            <w:tcW w:w="4397" w:type="dxa"/>
            <w:shd w:val="clear" w:color="auto" w:fill="FFFFFF" w:themeFill="background1"/>
          </w:tcPr>
          <w:p w14:paraId="4BCEA3D2" w14:textId="77777777" w:rsidR="00F87434" w:rsidRPr="0029428D" w:rsidRDefault="00F87434" w:rsidP="00417F46">
            <w:pPr>
              <w:pStyle w:val="TableText"/>
              <w:rPr>
                <w:rStyle w:val="Strong"/>
              </w:rPr>
            </w:pPr>
            <w:r w:rsidRPr="0029428D">
              <w:rPr>
                <w:rStyle w:val="Strong"/>
              </w:rPr>
              <w:t>Successful satisfied</w:t>
            </w:r>
          </w:p>
        </w:tc>
        <w:tc>
          <w:tcPr>
            <w:tcW w:w="1423" w:type="dxa"/>
            <w:shd w:val="clear" w:color="auto" w:fill="FFFFFF" w:themeFill="background1"/>
          </w:tcPr>
          <w:p w14:paraId="516F8049" w14:textId="77777777" w:rsidR="00F87434" w:rsidRPr="0029428D" w:rsidRDefault="00F87434" w:rsidP="00417F46">
            <w:pPr>
              <w:pStyle w:val="TableText"/>
              <w:rPr>
                <w:rStyle w:val="Strong"/>
              </w:rPr>
            </w:pPr>
            <w:r w:rsidRPr="0029428D">
              <w:rPr>
                <w:rStyle w:val="Strong"/>
              </w:rPr>
              <w:t>80</w:t>
            </w:r>
          </w:p>
        </w:tc>
      </w:tr>
      <w:tr w:rsidR="00F87434" w:rsidRPr="0029428D" w14:paraId="609D4D98" w14:textId="77777777" w:rsidTr="00417F46">
        <w:trPr>
          <w:gridAfter w:val="1"/>
          <w:wAfter w:w="20" w:type="dxa"/>
        </w:trPr>
        <w:tc>
          <w:tcPr>
            <w:tcW w:w="3399" w:type="dxa"/>
            <w:vMerge/>
            <w:shd w:val="clear" w:color="auto" w:fill="FFFFFF" w:themeFill="background1"/>
          </w:tcPr>
          <w:p w14:paraId="3ECEC5B0" w14:textId="77777777" w:rsidR="00F87434" w:rsidRPr="0029428D" w:rsidRDefault="00F87434" w:rsidP="00417F46">
            <w:pPr>
              <w:pStyle w:val="TableText"/>
              <w:rPr>
                <w:rStyle w:val="Strong"/>
              </w:rPr>
            </w:pPr>
          </w:p>
        </w:tc>
        <w:tc>
          <w:tcPr>
            <w:tcW w:w="4397" w:type="dxa"/>
            <w:shd w:val="clear" w:color="auto" w:fill="FFFFFF" w:themeFill="background1"/>
          </w:tcPr>
          <w:p w14:paraId="1D82B952" w14:textId="77777777" w:rsidR="00F87434" w:rsidRPr="0029428D" w:rsidRDefault="00F87434" w:rsidP="00417F46">
            <w:pPr>
              <w:pStyle w:val="TableText"/>
              <w:rPr>
                <w:rStyle w:val="Strong"/>
              </w:rPr>
            </w:pPr>
            <w:r w:rsidRPr="0029428D">
              <w:rPr>
                <w:rStyle w:val="Strong"/>
              </w:rPr>
              <w:t>Unsuccessful satisfied</w:t>
            </w:r>
          </w:p>
        </w:tc>
        <w:tc>
          <w:tcPr>
            <w:tcW w:w="1423" w:type="dxa"/>
            <w:shd w:val="clear" w:color="auto" w:fill="FFFFFF" w:themeFill="background1"/>
          </w:tcPr>
          <w:p w14:paraId="3B0C4419" w14:textId="77777777" w:rsidR="00F87434" w:rsidRPr="0029428D" w:rsidRDefault="00F87434" w:rsidP="00417F46">
            <w:pPr>
              <w:pStyle w:val="TableText"/>
              <w:rPr>
                <w:rStyle w:val="Strong"/>
              </w:rPr>
            </w:pPr>
            <w:r w:rsidRPr="0029428D">
              <w:rPr>
                <w:rStyle w:val="Strong"/>
              </w:rPr>
              <w:t>21</w:t>
            </w:r>
          </w:p>
        </w:tc>
      </w:tr>
      <w:tr w:rsidR="00F87434" w:rsidRPr="0029428D" w14:paraId="33ADE730" w14:textId="77777777" w:rsidTr="00417F46">
        <w:tc>
          <w:tcPr>
            <w:tcW w:w="9239" w:type="dxa"/>
            <w:gridSpan w:val="4"/>
            <w:shd w:val="clear" w:color="auto" w:fill="FFFFFF" w:themeFill="background1"/>
          </w:tcPr>
          <w:p w14:paraId="0DB6AA3F" w14:textId="77777777" w:rsidR="00F87434" w:rsidRPr="0029428D" w:rsidRDefault="00F87434" w:rsidP="00417F46">
            <w:pPr>
              <w:pStyle w:val="TableText"/>
            </w:pPr>
            <w:r w:rsidRPr="0029428D">
              <w:t>MTIA received 54 survey responses (29% response rate). MTIA was rated highly in relation to supply process, submission process and contract management. Areas identified for improvement related to the feedback process and clarity on evaluation process.</w:t>
            </w:r>
          </w:p>
        </w:tc>
      </w:tr>
      <w:tr w:rsidR="00F87434" w:rsidRPr="0029428D" w14:paraId="1379D5A6" w14:textId="77777777" w:rsidTr="00417F46">
        <w:trPr>
          <w:gridAfter w:val="1"/>
          <w:wAfter w:w="20" w:type="dxa"/>
        </w:trPr>
        <w:tc>
          <w:tcPr>
            <w:tcW w:w="7796" w:type="dxa"/>
            <w:gridSpan w:val="2"/>
            <w:shd w:val="clear" w:color="auto" w:fill="FFFFFF" w:themeFill="background1"/>
          </w:tcPr>
          <w:p w14:paraId="318AEE09" w14:textId="77777777" w:rsidR="00F87434" w:rsidRPr="0029428D" w:rsidRDefault="00F87434" w:rsidP="00417F46">
            <w:pPr>
              <w:pStyle w:val="TableText"/>
              <w:rPr>
                <w:rStyle w:val="Strong"/>
              </w:rPr>
            </w:pPr>
            <w:r w:rsidRPr="0029428D">
              <w:rPr>
                <w:rStyle w:val="Strong"/>
              </w:rPr>
              <w:t>Planned procurement activity as a % of actual procurement activity</w:t>
            </w:r>
          </w:p>
        </w:tc>
        <w:tc>
          <w:tcPr>
            <w:tcW w:w="1423" w:type="dxa"/>
            <w:shd w:val="clear" w:color="auto" w:fill="FFFFFF" w:themeFill="background1"/>
          </w:tcPr>
          <w:p w14:paraId="39DAA1B1" w14:textId="77777777" w:rsidR="00F87434" w:rsidRPr="0029428D" w:rsidRDefault="00F87434" w:rsidP="00417F46">
            <w:pPr>
              <w:pStyle w:val="TableText"/>
              <w:rPr>
                <w:rStyle w:val="Strong"/>
              </w:rPr>
            </w:pPr>
            <w:r w:rsidRPr="0029428D">
              <w:rPr>
                <w:rStyle w:val="Strong"/>
              </w:rPr>
              <w:t>78.2</w:t>
            </w:r>
          </w:p>
        </w:tc>
      </w:tr>
      <w:tr w:rsidR="00F87434" w:rsidRPr="0029428D" w14:paraId="37216513" w14:textId="77777777" w:rsidTr="00417F46">
        <w:tc>
          <w:tcPr>
            <w:tcW w:w="9239" w:type="dxa"/>
            <w:gridSpan w:val="4"/>
            <w:shd w:val="clear" w:color="auto" w:fill="FFFFFF" w:themeFill="background1"/>
          </w:tcPr>
          <w:p w14:paraId="44060CAF" w14:textId="77777777" w:rsidR="00F87434" w:rsidRPr="0029428D" w:rsidRDefault="00F87434" w:rsidP="00417F46">
            <w:pPr>
              <w:pStyle w:val="TableText"/>
            </w:pPr>
            <w:r w:rsidRPr="0029428D">
              <w:t>MTIA has progressively improved the information collected to assist with planning. This will be enhanced with the introduction of a new integrated contract management system and financial system in late 2021.</w:t>
            </w:r>
          </w:p>
        </w:tc>
      </w:tr>
    </w:tbl>
    <w:p w14:paraId="015DA078" w14:textId="77777777" w:rsidR="00F87434" w:rsidRPr="0029428D" w:rsidRDefault="00F87434" w:rsidP="00F87434">
      <w:pPr>
        <w:pStyle w:val="Tablenotes"/>
        <w:ind w:left="0"/>
      </w:pPr>
      <w:r w:rsidRPr="0029428D">
        <w:t xml:space="preserve">Refer to </w:t>
      </w:r>
      <w:r w:rsidRPr="0029428D">
        <w:rPr>
          <w:i/>
          <w:iCs/>
        </w:rPr>
        <w:fldChar w:fldCharType="begin"/>
      </w:r>
      <w:r w:rsidRPr="0029428D">
        <w:rPr>
          <w:i/>
          <w:iCs/>
        </w:rPr>
        <w:instrText xml:space="preserve"> REF _Ref80607952 \h  \* MERGEFORMAT </w:instrText>
      </w:r>
      <w:r w:rsidRPr="0029428D">
        <w:rPr>
          <w:i/>
          <w:iCs/>
        </w:rPr>
      </w:r>
      <w:r w:rsidRPr="0029428D">
        <w:rPr>
          <w:i/>
          <w:iCs/>
        </w:rPr>
        <w:fldChar w:fldCharType="separate"/>
      </w:r>
      <w:r w:rsidRPr="0029428D">
        <w:rPr>
          <w:i/>
          <w:iCs/>
        </w:rPr>
        <w:t xml:space="preserve">Table </w:t>
      </w:r>
      <w:r w:rsidRPr="0029428D">
        <w:rPr>
          <w:i/>
          <w:iCs/>
          <w:noProof/>
        </w:rPr>
        <w:t>11</w:t>
      </w:r>
      <w:r w:rsidRPr="0029428D">
        <w:rPr>
          <w:i/>
          <w:iCs/>
        </w:rPr>
        <w:t>: Performance measure methodology</w:t>
      </w:r>
      <w:r w:rsidRPr="0029428D">
        <w:rPr>
          <w:i/>
          <w:iCs/>
        </w:rPr>
        <w:fldChar w:fldCharType="end"/>
      </w:r>
      <w:r w:rsidRPr="0029428D">
        <w:t xml:space="preserve"> in the compliance section for a definition of performance measures.   </w:t>
      </w:r>
    </w:p>
    <w:p w14:paraId="7FE1D5E2" w14:textId="77777777" w:rsidR="00F87434" w:rsidRPr="0029428D" w:rsidRDefault="00F87434" w:rsidP="00F87434"/>
    <w:p w14:paraId="7CCEDD14" w14:textId="77777777" w:rsidR="000C1A89" w:rsidRDefault="00F87434"/>
    <w:sectPr w:rsidR="000C1A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14E05" w14:textId="77777777" w:rsidR="0096595A" w:rsidRDefault="0096595A" w:rsidP="0096595A">
      <w:r>
        <w:separator/>
      </w:r>
    </w:p>
  </w:endnote>
  <w:endnote w:type="continuationSeparator" w:id="0">
    <w:p w14:paraId="5F92CD65" w14:textId="77777777" w:rsidR="0096595A" w:rsidRDefault="0096595A" w:rsidP="0096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4F4F" w14:textId="77777777" w:rsidR="0096595A" w:rsidRDefault="0096595A">
    <w:pPr>
      <w:pStyle w:val="Footer"/>
    </w:pPr>
    <w:r>
      <w:rPr>
        <w:noProof/>
      </w:rPr>
      <mc:AlternateContent>
        <mc:Choice Requires="wps">
          <w:drawing>
            <wp:anchor distT="0" distB="0" distL="114300" distR="114300" simplePos="0" relativeHeight="251659264" behindDoc="0" locked="0" layoutInCell="0" allowOverlap="1" wp14:anchorId="18C76789" wp14:editId="34DBA38D">
              <wp:simplePos x="0" y="0"/>
              <wp:positionH relativeFrom="page">
                <wp:posOffset>0</wp:posOffset>
              </wp:positionH>
              <wp:positionV relativeFrom="page">
                <wp:posOffset>10234930</wp:posOffset>
              </wp:positionV>
              <wp:extent cx="7560310" cy="266700"/>
              <wp:effectExtent l="0" t="0" r="0" b="0"/>
              <wp:wrapNone/>
              <wp:docPr id="1" name="MSIPCM5f1a409ea2fe24a822ec9f3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E1536" w14:textId="77777777" w:rsidR="0096595A" w:rsidRPr="0096595A" w:rsidRDefault="0096595A" w:rsidP="0096595A">
                          <w:pPr>
                            <w:rPr>
                              <w:rFonts w:ascii="Calibri" w:hAnsi="Calibri" w:cs="Calibri"/>
                              <w:color w:val="000000"/>
                              <w:sz w:val="22"/>
                            </w:rPr>
                          </w:pPr>
                          <w:r w:rsidRPr="0096595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C76789" id="_x0000_t202" coordsize="21600,21600" o:spt="202" path="m,l,21600r21600,l21600,xe">
              <v:stroke joinstyle="miter"/>
              <v:path gradientshapeok="t" o:connecttype="rect"/>
            </v:shapetype>
            <v:shape id="MSIPCM5f1a409ea2fe24a822ec9f3a"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EbQzQWxAgAASAUAAA4A&#10;AAAAAAAAAAAAAAAALgIAAGRycy9lMm9Eb2MueG1sUEsBAi0AFAAGAAgAAAAhAGARxibeAAAACwEA&#10;AA8AAAAAAAAAAAAAAAAACwUAAGRycy9kb3ducmV2LnhtbFBLBQYAAAAABAAEAPMAAAAWBgAAAAA=&#10;" o:allowincell="f" filled="f" stroked="f" strokeweight=".5pt">
              <v:textbox inset="20pt,0,,0">
                <w:txbxContent>
                  <w:p w14:paraId="691E1536" w14:textId="77777777" w:rsidR="0096595A" w:rsidRPr="0096595A" w:rsidRDefault="0096595A" w:rsidP="0096595A">
                    <w:pPr>
                      <w:rPr>
                        <w:rFonts w:ascii="Calibri" w:hAnsi="Calibri" w:cs="Calibri"/>
                        <w:color w:val="000000"/>
                        <w:sz w:val="22"/>
                      </w:rPr>
                    </w:pPr>
                    <w:r w:rsidRPr="0096595A">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44AB8" w14:textId="77777777" w:rsidR="0096595A" w:rsidRDefault="0096595A" w:rsidP="0096595A">
      <w:r>
        <w:separator/>
      </w:r>
    </w:p>
  </w:footnote>
  <w:footnote w:type="continuationSeparator" w:id="0">
    <w:p w14:paraId="777D53AE" w14:textId="77777777" w:rsidR="0096595A" w:rsidRDefault="0096595A" w:rsidP="0096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07BF7"/>
    <w:multiLevelType w:val="hybridMultilevel"/>
    <w:tmpl w:val="F71ECD82"/>
    <w:lvl w:ilvl="0" w:tplc="D7E867A0">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5A"/>
    <w:rsid w:val="0096595A"/>
    <w:rsid w:val="009721B1"/>
    <w:rsid w:val="00B4701F"/>
    <w:rsid w:val="00E744CF"/>
    <w:rsid w:val="00F004B3"/>
    <w:rsid w:val="00F42DAB"/>
    <w:rsid w:val="00F87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B8C5"/>
  <w15:chartTrackingRefBased/>
  <w15:docId w15:val="{81AEA0C6-5802-4FAB-870E-CFCEE487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95A"/>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96595A"/>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96595A"/>
    <w:rPr>
      <w:rFonts w:ascii="Calibri" w:eastAsia="Times New Roman" w:hAnsi="Calibri" w:cs="Calibri"/>
      <w:b/>
      <w:lang w:eastAsia="en-AU"/>
    </w:rPr>
  </w:style>
  <w:style w:type="character" w:styleId="Strong">
    <w:name w:val="Strong"/>
    <w:uiPriority w:val="22"/>
    <w:qFormat/>
    <w:rsid w:val="0096595A"/>
    <w:rPr>
      <w:b/>
      <w:bCs/>
    </w:rPr>
  </w:style>
  <w:style w:type="paragraph" w:customStyle="1" w:styleId="TableText">
    <w:name w:val="Table Text"/>
    <w:basedOn w:val="Normal"/>
    <w:link w:val="TableTextChar"/>
    <w:uiPriority w:val="15"/>
    <w:qFormat/>
    <w:rsid w:val="0096595A"/>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96595A"/>
    <w:rPr>
      <w:rFonts w:ascii="Calibri" w:hAnsi="Calibri" w:cs="Calibri"/>
      <w:sz w:val="20"/>
      <w:szCs w:val="20"/>
      <w:lang w:val="en-US"/>
    </w:rPr>
  </w:style>
  <w:style w:type="paragraph" w:customStyle="1" w:styleId="TableHeader">
    <w:name w:val="Table Header"/>
    <w:basedOn w:val="TableText"/>
    <w:link w:val="TableHeaderChar"/>
    <w:uiPriority w:val="15"/>
    <w:qFormat/>
    <w:rsid w:val="0096595A"/>
    <w:pPr>
      <w:keepNext/>
      <w:spacing w:before="40" w:after="40"/>
    </w:pPr>
    <w:rPr>
      <w:sz w:val="24"/>
      <w:szCs w:val="24"/>
    </w:rPr>
  </w:style>
  <w:style w:type="paragraph" w:customStyle="1" w:styleId="Tablenotes">
    <w:name w:val="Table notes"/>
    <w:basedOn w:val="Normal"/>
    <w:link w:val="TablenotesChar"/>
    <w:qFormat/>
    <w:rsid w:val="0096595A"/>
    <w:pPr>
      <w:spacing w:before="20"/>
      <w:ind w:left="851"/>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96595A"/>
    <w:rPr>
      <w:rFonts w:ascii="Calibri" w:eastAsia="Calibri" w:hAnsi="Calibri" w:cs="Times New Roman"/>
      <w:spacing w:val="-2"/>
      <w:sz w:val="18"/>
      <w:szCs w:val="18"/>
    </w:rPr>
  </w:style>
  <w:style w:type="table" w:customStyle="1" w:styleId="TableGrid1">
    <w:name w:val="Table Grid1"/>
    <w:basedOn w:val="TableNormal"/>
    <w:next w:val="TableGrid"/>
    <w:uiPriority w:val="39"/>
    <w:rsid w:val="009659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Char">
    <w:name w:val="Table Header Char"/>
    <w:basedOn w:val="TableTextChar"/>
    <w:link w:val="TableHeader"/>
    <w:uiPriority w:val="15"/>
    <w:rsid w:val="0096595A"/>
    <w:rPr>
      <w:rFonts w:ascii="Calibri" w:hAnsi="Calibri" w:cs="Calibri"/>
      <w:sz w:val="24"/>
      <w:szCs w:val="24"/>
      <w:lang w:val="en-US"/>
    </w:rPr>
  </w:style>
  <w:style w:type="table" w:styleId="TableGrid">
    <w:name w:val="Table Grid"/>
    <w:basedOn w:val="TableNormal"/>
    <w:uiPriority w:val="39"/>
    <w:rsid w:val="00965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95A"/>
    <w:pPr>
      <w:tabs>
        <w:tab w:val="center" w:pos="4513"/>
        <w:tab w:val="right" w:pos="9026"/>
      </w:tabs>
    </w:pPr>
  </w:style>
  <w:style w:type="character" w:customStyle="1" w:styleId="HeaderChar">
    <w:name w:val="Header Char"/>
    <w:basedOn w:val="DefaultParagraphFont"/>
    <w:link w:val="Header"/>
    <w:uiPriority w:val="99"/>
    <w:rsid w:val="0096595A"/>
    <w:rPr>
      <w:rFonts w:ascii="Arial" w:eastAsia="Times New Roman" w:hAnsi="Arial" w:cs="Times New Roman"/>
      <w:sz w:val="24"/>
      <w:szCs w:val="24"/>
      <w:lang w:eastAsia="en-AU"/>
    </w:rPr>
  </w:style>
  <w:style w:type="paragraph" w:styleId="Footer">
    <w:name w:val="footer"/>
    <w:basedOn w:val="Normal"/>
    <w:link w:val="FooterChar"/>
    <w:uiPriority w:val="99"/>
    <w:unhideWhenUsed/>
    <w:rsid w:val="0096595A"/>
    <w:pPr>
      <w:tabs>
        <w:tab w:val="center" w:pos="4513"/>
        <w:tab w:val="right" w:pos="9026"/>
      </w:tabs>
    </w:pPr>
  </w:style>
  <w:style w:type="character" w:customStyle="1" w:styleId="FooterChar">
    <w:name w:val="Footer Char"/>
    <w:basedOn w:val="DefaultParagraphFont"/>
    <w:link w:val="Footer"/>
    <w:uiPriority w:val="99"/>
    <w:rsid w:val="0096595A"/>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C18B79F-ED22-4BCE-870E-5C9239491B1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Coles (DTF)</dc:creator>
  <cp:keywords/>
  <dc:description/>
  <cp:lastModifiedBy>Vanessa Coles (DTF)</cp:lastModifiedBy>
  <cp:revision>2</cp:revision>
  <dcterms:created xsi:type="dcterms:W3CDTF">2021-10-21T05:47:00Z</dcterms:created>
  <dcterms:modified xsi:type="dcterms:W3CDTF">2021-10-21T05:47:00Z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2021-10-21T05:45:54Z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