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D719D" w14:textId="180867AF" w:rsidR="00F72578" w:rsidRPr="00457876" w:rsidRDefault="00F72578" w:rsidP="00F72578">
      <w:pPr>
        <w:pStyle w:val="Caption"/>
        <w:rPr>
          <w:rFonts w:asciiTheme="majorHAnsi" w:eastAsiaTheme="majorEastAsia" w:hAnsiTheme="majorHAnsi" w:cstheme="majorHAnsi"/>
          <w:bCs/>
          <w:color w:val="000000" w:themeColor="text1"/>
          <w:sz w:val="28"/>
          <w:szCs w:val="28"/>
        </w:rPr>
      </w:pPr>
      <w:bookmarkStart w:id="0" w:name="_Ref16587759"/>
      <w:bookmarkStart w:id="1" w:name="_Toc12717990"/>
      <w:bookmarkStart w:id="2" w:name="_Ref16587748"/>
      <w:bookmarkStart w:id="3" w:name="_Toc17130213"/>
      <w:bookmarkStart w:id="4" w:name="_Toc48837159"/>
      <w:bookmarkStart w:id="5" w:name="_Toc49185549"/>
      <w:r w:rsidRPr="00457876">
        <w:rPr>
          <w:rFonts w:asciiTheme="majorHAnsi" w:eastAsiaTheme="majorEastAsia" w:hAnsiTheme="majorHAnsi" w:cstheme="majorHAnsi"/>
          <w:bCs/>
          <w:color w:val="000000" w:themeColor="text1"/>
          <w:sz w:val="28"/>
          <w:szCs w:val="28"/>
        </w:rPr>
        <w:t>Table</w:t>
      </w:r>
      <w:bookmarkEnd w:id="0"/>
      <w:r w:rsidRPr="00457876">
        <w:rPr>
          <w:rFonts w:asciiTheme="majorHAnsi" w:eastAsiaTheme="majorEastAsia" w:hAnsiTheme="majorHAnsi" w:cstheme="majorHAnsi"/>
          <w:bCs/>
          <w:color w:val="000000" w:themeColor="text1"/>
          <w:sz w:val="28"/>
          <w:szCs w:val="28"/>
        </w:rPr>
        <w:t xml:space="preserve"> Department of Education and Training performance in 20</w:t>
      </w:r>
      <w:bookmarkEnd w:id="1"/>
      <w:bookmarkEnd w:id="2"/>
      <w:bookmarkEnd w:id="3"/>
      <w:bookmarkEnd w:id="4"/>
      <w:bookmarkEnd w:id="5"/>
      <w:r w:rsidR="00517797">
        <w:rPr>
          <w:rFonts w:asciiTheme="majorHAnsi" w:eastAsiaTheme="majorEastAsia" w:hAnsiTheme="majorHAnsi" w:cstheme="majorHAnsi"/>
          <w:bCs/>
          <w:color w:val="000000" w:themeColor="text1"/>
          <w:sz w:val="28"/>
          <w:szCs w:val="28"/>
        </w:rPr>
        <w:t>20-21</w:t>
      </w:r>
    </w:p>
    <w:p w14:paraId="38A0F4CA" w14:textId="11DBBA9C" w:rsidR="00457876" w:rsidRDefault="00457876" w:rsidP="00457876"/>
    <w:p w14:paraId="78AF8C64" w14:textId="563E9E1A" w:rsidR="00457876" w:rsidRPr="008A4523" w:rsidRDefault="00457876" w:rsidP="00457876">
      <w:pPr>
        <w:ind w:firstLine="720"/>
        <w:rPr>
          <w:rFonts w:ascii="Calibri" w:eastAsiaTheme="minorHAnsi" w:hAnsi="Calibri" w:cs="Calibri"/>
          <w:sz w:val="20"/>
          <w:szCs w:val="20"/>
          <w:lang w:val="en-US" w:eastAsia="en-US"/>
        </w:rPr>
      </w:pPr>
      <w:r w:rsidRPr="008A4523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Extract from Victorian Government Purchasing Board </w:t>
      </w:r>
      <w:r w:rsidR="00D479BB">
        <w:rPr>
          <w:rFonts w:ascii="Calibri" w:eastAsiaTheme="minorHAnsi" w:hAnsi="Calibri" w:cs="Calibri"/>
          <w:sz w:val="20"/>
          <w:szCs w:val="20"/>
          <w:lang w:val="en-US" w:eastAsia="en-US"/>
        </w:rPr>
        <w:t xml:space="preserve">Annual Report </w:t>
      </w:r>
      <w:r w:rsidRPr="008A4523">
        <w:rPr>
          <w:rFonts w:ascii="Calibri" w:eastAsiaTheme="minorHAnsi" w:hAnsi="Calibri" w:cs="Calibri"/>
          <w:sz w:val="20"/>
          <w:szCs w:val="20"/>
          <w:lang w:val="en-US" w:eastAsia="en-US"/>
        </w:rPr>
        <w:t>20</w:t>
      </w:r>
      <w:r w:rsidR="00517797">
        <w:rPr>
          <w:rFonts w:ascii="Calibri" w:eastAsiaTheme="minorHAnsi" w:hAnsi="Calibri" w:cs="Calibri"/>
          <w:sz w:val="20"/>
          <w:szCs w:val="20"/>
          <w:lang w:val="en-US" w:eastAsia="en-US"/>
        </w:rPr>
        <w:t>20-21</w:t>
      </w:r>
    </w:p>
    <w:p w14:paraId="3592A241" w14:textId="77777777" w:rsidR="00457876" w:rsidRPr="00457876" w:rsidRDefault="00457876" w:rsidP="00457876"/>
    <w:tbl>
      <w:tblPr>
        <w:tblStyle w:val="TableGrid1"/>
        <w:tblW w:w="9214" w:type="dxa"/>
        <w:tblInd w:w="279" w:type="dxa"/>
        <w:tblLook w:val="04A0" w:firstRow="1" w:lastRow="0" w:firstColumn="1" w:lastColumn="0" w:noHBand="0" w:noVBand="1"/>
      </w:tblPr>
      <w:tblGrid>
        <w:gridCol w:w="3119"/>
        <w:gridCol w:w="2693"/>
        <w:gridCol w:w="1134"/>
        <w:gridCol w:w="1134"/>
        <w:gridCol w:w="1134"/>
      </w:tblGrid>
      <w:tr w:rsidR="00517797" w:rsidRPr="0029428D" w14:paraId="433438E9" w14:textId="77777777" w:rsidTr="00517797">
        <w:tc>
          <w:tcPr>
            <w:tcW w:w="5812" w:type="dxa"/>
            <w:gridSpan w:val="2"/>
            <w:vMerge w:val="restart"/>
            <w:shd w:val="clear" w:color="auto" w:fill="FFFFFF" w:themeFill="background1"/>
          </w:tcPr>
          <w:p w14:paraId="07065097" w14:textId="77777777" w:rsidR="00517797" w:rsidRPr="0029428D" w:rsidRDefault="00517797" w:rsidP="00417F46">
            <w:pPr>
              <w:pStyle w:val="TableHeader"/>
            </w:pPr>
            <w:r w:rsidRPr="0029428D">
              <w:t>Performance measure</w:t>
            </w:r>
          </w:p>
        </w:tc>
        <w:tc>
          <w:tcPr>
            <w:tcW w:w="1134" w:type="dxa"/>
            <w:shd w:val="clear" w:color="auto" w:fill="FFFFFF" w:themeFill="background1"/>
          </w:tcPr>
          <w:p w14:paraId="184E75F1" w14:textId="77777777" w:rsidR="00517797" w:rsidRPr="0029428D" w:rsidRDefault="00517797" w:rsidP="00417F46">
            <w:pPr>
              <w:pStyle w:val="TableHeader"/>
            </w:pPr>
            <w:r w:rsidRPr="0029428D">
              <w:t>2018–19</w:t>
            </w:r>
          </w:p>
        </w:tc>
        <w:tc>
          <w:tcPr>
            <w:tcW w:w="1134" w:type="dxa"/>
            <w:shd w:val="clear" w:color="auto" w:fill="FFFFFF" w:themeFill="background1"/>
          </w:tcPr>
          <w:p w14:paraId="150F642A" w14:textId="77777777" w:rsidR="00517797" w:rsidRPr="0029428D" w:rsidRDefault="00517797" w:rsidP="00417F46">
            <w:pPr>
              <w:pStyle w:val="TableHeader"/>
            </w:pPr>
            <w:r w:rsidRPr="0029428D">
              <w:t>2019–20</w:t>
            </w:r>
          </w:p>
        </w:tc>
        <w:tc>
          <w:tcPr>
            <w:tcW w:w="1134" w:type="dxa"/>
            <w:shd w:val="clear" w:color="auto" w:fill="FFFFFF" w:themeFill="background1"/>
          </w:tcPr>
          <w:p w14:paraId="0A8248EC" w14:textId="77777777" w:rsidR="00517797" w:rsidRPr="0029428D" w:rsidRDefault="00517797" w:rsidP="00417F46">
            <w:pPr>
              <w:pStyle w:val="TableHeader"/>
            </w:pPr>
            <w:r w:rsidRPr="0029428D">
              <w:t>2020–21</w:t>
            </w:r>
          </w:p>
        </w:tc>
      </w:tr>
      <w:tr w:rsidR="00517797" w:rsidRPr="0029428D" w14:paraId="153548D9" w14:textId="77777777" w:rsidTr="00517797">
        <w:tc>
          <w:tcPr>
            <w:tcW w:w="5812" w:type="dxa"/>
            <w:gridSpan w:val="2"/>
            <w:vMerge/>
            <w:shd w:val="clear" w:color="auto" w:fill="FFFFFF" w:themeFill="background1"/>
          </w:tcPr>
          <w:p w14:paraId="45781ECE" w14:textId="77777777" w:rsidR="00517797" w:rsidRPr="0029428D" w:rsidRDefault="00517797" w:rsidP="00417F46">
            <w:pPr>
              <w:keepNext/>
              <w:shd w:val="clear" w:color="auto" w:fill="FFFFFF" w:themeFill="background1"/>
              <w:spacing w:before="40" w:after="40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shd w:val="clear" w:color="auto" w:fill="FFFFFF" w:themeFill="background1"/>
          </w:tcPr>
          <w:p w14:paraId="2C42AEB6" w14:textId="77777777" w:rsidR="00517797" w:rsidRPr="0029428D" w:rsidRDefault="00517797" w:rsidP="00417F46">
            <w:pPr>
              <w:pStyle w:val="TableHeader"/>
            </w:pPr>
            <w:r w:rsidRPr="0029428D">
              <w:t>(%)</w:t>
            </w:r>
          </w:p>
        </w:tc>
      </w:tr>
      <w:tr w:rsidR="00517797" w:rsidRPr="0029428D" w14:paraId="4E7AB831" w14:textId="77777777" w:rsidTr="00517797">
        <w:tc>
          <w:tcPr>
            <w:tcW w:w="5812" w:type="dxa"/>
            <w:gridSpan w:val="2"/>
            <w:shd w:val="clear" w:color="auto" w:fill="FFFFFF" w:themeFill="background1"/>
          </w:tcPr>
          <w:p w14:paraId="3838604F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Value created from department procurement activity</w:t>
            </w:r>
          </w:p>
        </w:tc>
        <w:tc>
          <w:tcPr>
            <w:tcW w:w="1134" w:type="dxa"/>
            <w:shd w:val="clear" w:color="auto" w:fill="FFFFFF" w:themeFill="background1"/>
          </w:tcPr>
          <w:p w14:paraId="65D3885E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4.2</w:t>
            </w:r>
          </w:p>
        </w:tc>
        <w:tc>
          <w:tcPr>
            <w:tcW w:w="1134" w:type="dxa"/>
            <w:shd w:val="clear" w:color="auto" w:fill="FFFFFF" w:themeFill="background1"/>
          </w:tcPr>
          <w:p w14:paraId="7F237DE6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8.9</w:t>
            </w:r>
          </w:p>
        </w:tc>
        <w:tc>
          <w:tcPr>
            <w:tcW w:w="1134" w:type="dxa"/>
            <w:shd w:val="clear" w:color="auto" w:fill="FFFFFF" w:themeFill="background1"/>
          </w:tcPr>
          <w:p w14:paraId="0FA1D525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14.1</w:t>
            </w:r>
          </w:p>
        </w:tc>
      </w:tr>
      <w:tr w:rsidR="00517797" w:rsidRPr="0029428D" w14:paraId="749F9FF5" w14:textId="77777777" w:rsidTr="00517797">
        <w:trPr>
          <w:trHeight w:val="725"/>
        </w:trPr>
        <w:tc>
          <w:tcPr>
            <w:tcW w:w="9214" w:type="dxa"/>
            <w:gridSpan w:val="5"/>
            <w:shd w:val="clear" w:color="auto" w:fill="FFFFFF" w:themeFill="background1"/>
          </w:tcPr>
          <w:p w14:paraId="54F92224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</w:pPr>
            <w:r w:rsidRPr="0029428D">
              <w:t>DET’s Procurement Division has continued to drive savings through structured negotiations to deliver value-for-money outcomes. A continued awareness of budget pressures and normalisation of best and final offer/negotiation in the procurement process continues to deliver improvements.</w:t>
            </w:r>
          </w:p>
        </w:tc>
      </w:tr>
      <w:tr w:rsidR="00517797" w:rsidRPr="0029428D" w14:paraId="39AFABC5" w14:textId="77777777" w:rsidTr="00517797">
        <w:tc>
          <w:tcPr>
            <w:tcW w:w="5812" w:type="dxa"/>
            <w:gridSpan w:val="2"/>
            <w:shd w:val="clear" w:color="auto" w:fill="FFFFFF" w:themeFill="background1"/>
          </w:tcPr>
          <w:p w14:paraId="2AC874E3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Managed spend</w:t>
            </w:r>
          </w:p>
        </w:tc>
        <w:tc>
          <w:tcPr>
            <w:tcW w:w="1134" w:type="dxa"/>
            <w:shd w:val="clear" w:color="auto" w:fill="FFFFFF" w:themeFill="background1"/>
          </w:tcPr>
          <w:p w14:paraId="6738FE1B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n/a</w:t>
            </w:r>
          </w:p>
        </w:tc>
        <w:tc>
          <w:tcPr>
            <w:tcW w:w="1134" w:type="dxa"/>
            <w:shd w:val="clear" w:color="auto" w:fill="FFFFFF" w:themeFill="background1"/>
          </w:tcPr>
          <w:p w14:paraId="10794341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49.7</w:t>
            </w:r>
          </w:p>
        </w:tc>
        <w:tc>
          <w:tcPr>
            <w:tcW w:w="1134" w:type="dxa"/>
            <w:shd w:val="clear" w:color="auto" w:fill="FFFFFF" w:themeFill="background1"/>
          </w:tcPr>
          <w:p w14:paraId="1715C83E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45.6</w:t>
            </w:r>
          </w:p>
        </w:tc>
      </w:tr>
      <w:tr w:rsidR="00517797" w:rsidRPr="0029428D" w14:paraId="5379BC74" w14:textId="77777777" w:rsidTr="00517797">
        <w:tc>
          <w:tcPr>
            <w:tcW w:w="9214" w:type="dxa"/>
            <w:gridSpan w:val="5"/>
            <w:shd w:val="clear" w:color="auto" w:fill="FFFFFF" w:themeFill="background1"/>
          </w:tcPr>
          <w:p w14:paraId="235D75B7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</w:pPr>
            <w:r w:rsidRPr="0029428D">
              <w:t xml:space="preserve">The Procurement Division managed about half of DET’s spend, which aligns with DET’s centre-led procurement model. </w:t>
            </w:r>
          </w:p>
        </w:tc>
      </w:tr>
      <w:tr w:rsidR="00517797" w:rsidRPr="0029428D" w14:paraId="5F71B5A7" w14:textId="77777777" w:rsidTr="00517797">
        <w:tc>
          <w:tcPr>
            <w:tcW w:w="5812" w:type="dxa"/>
            <w:gridSpan w:val="2"/>
            <w:shd w:val="clear" w:color="auto" w:fill="FFFFFF" w:themeFill="background1"/>
          </w:tcPr>
          <w:p w14:paraId="003F9938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Increase in procurement capability</w:t>
            </w:r>
          </w:p>
        </w:tc>
        <w:tc>
          <w:tcPr>
            <w:tcW w:w="1134" w:type="dxa"/>
            <w:shd w:val="clear" w:color="auto" w:fill="FFFFFF" w:themeFill="background1"/>
          </w:tcPr>
          <w:p w14:paraId="22E59C1D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1.5</w:t>
            </w:r>
          </w:p>
        </w:tc>
        <w:tc>
          <w:tcPr>
            <w:tcW w:w="1134" w:type="dxa"/>
            <w:shd w:val="clear" w:color="auto" w:fill="FFFFFF" w:themeFill="background1"/>
          </w:tcPr>
          <w:p w14:paraId="5DA2C2CD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2.3</w:t>
            </w:r>
          </w:p>
        </w:tc>
        <w:tc>
          <w:tcPr>
            <w:tcW w:w="1134" w:type="dxa"/>
            <w:shd w:val="clear" w:color="auto" w:fill="FFFFFF" w:themeFill="background1"/>
          </w:tcPr>
          <w:p w14:paraId="48181886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0.7</w:t>
            </w:r>
          </w:p>
        </w:tc>
      </w:tr>
      <w:tr w:rsidR="00517797" w:rsidRPr="0029428D" w14:paraId="07CB0A38" w14:textId="77777777" w:rsidTr="00517797">
        <w:tc>
          <w:tcPr>
            <w:tcW w:w="9214" w:type="dxa"/>
            <w:gridSpan w:val="5"/>
            <w:shd w:val="clear" w:color="auto" w:fill="FFFFFF" w:themeFill="background1"/>
          </w:tcPr>
          <w:p w14:paraId="2852B3DE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</w:pPr>
            <w:r w:rsidRPr="0029428D">
              <w:t>There has been greater focus on risk management in active contracts, driven by concerns of potential impact of COVID-19 on delivery capacity and timelines. Work is under way to give more structure to capability development activities, which will likely support improvements to staff capability.</w:t>
            </w:r>
          </w:p>
        </w:tc>
      </w:tr>
      <w:tr w:rsidR="00517797" w:rsidRPr="0029428D" w14:paraId="118F0962" w14:textId="77777777" w:rsidTr="00517797">
        <w:tc>
          <w:tcPr>
            <w:tcW w:w="3119" w:type="dxa"/>
            <w:vMerge w:val="restart"/>
            <w:shd w:val="clear" w:color="auto" w:fill="FFFFFF" w:themeFill="background1"/>
          </w:tcPr>
          <w:p w14:paraId="1353AD29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Supplier satisfaction assessment</w:t>
            </w:r>
          </w:p>
        </w:tc>
        <w:tc>
          <w:tcPr>
            <w:tcW w:w="2693" w:type="dxa"/>
            <w:shd w:val="clear" w:color="auto" w:fill="FFFFFF" w:themeFill="background1"/>
          </w:tcPr>
          <w:p w14:paraId="0C26B4D2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Successful satisfied</w:t>
            </w:r>
          </w:p>
        </w:tc>
        <w:tc>
          <w:tcPr>
            <w:tcW w:w="1134" w:type="dxa"/>
            <w:shd w:val="clear" w:color="auto" w:fill="FFFFFF" w:themeFill="background1"/>
          </w:tcPr>
          <w:p w14:paraId="43F3953C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80</w:t>
            </w:r>
          </w:p>
        </w:tc>
        <w:tc>
          <w:tcPr>
            <w:tcW w:w="1134" w:type="dxa"/>
            <w:shd w:val="clear" w:color="auto" w:fill="FFFFFF" w:themeFill="background1"/>
          </w:tcPr>
          <w:p w14:paraId="72B0FA6E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79</w:t>
            </w:r>
          </w:p>
        </w:tc>
        <w:tc>
          <w:tcPr>
            <w:tcW w:w="1134" w:type="dxa"/>
            <w:shd w:val="clear" w:color="auto" w:fill="FFFFFF" w:themeFill="background1"/>
          </w:tcPr>
          <w:p w14:paraId="0A8453C9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89</w:t>
            </w:r>
          </w:p>
        </w:tc>
      </w:tr>
      <w:tr w:rsidR="00517797" w:rsidRPr="0029428D" w14:paraId="4DAAB664" w14:textId="77777777" w:rsidTr="00517797">
        <w:tc>
          <w:tcPr>
            <w:tcW w:w="3119" w:type="dxa"/>
            <w:vMerge/>
            <w:shd w:val="clear" w:color="auto" w:fill="FFFFFF" w:themeFill="background1"/>
          </w:tcPr>
          <w:p w14:paraId="3767B364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059E569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Unsuccessful satisfied</w:t>
            </w:r>
          </w:p>
        </w:tc>
        <w:tc>
          <w:tcPr>
            <w:tcW w:w="1134" w:type="dxa"/>
            <w:shd w:val="clear" w:color="auto" w:fill="FFFFFF" w:themeFill="background1"/>
          </w:tcPr>
          <w:p w14:paraId="33C2BE11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</w:tcPr>
          <w:p w14:paraId="5102729C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52</w:t>
            </w:r>
          </w:p>
        </w:tc>
        <w:tc>
          <w:tcPr>
            <w:tcW w:w="1134" w:type="dxa"/>
            <w:shd w:val="clear" w:color="auto" w:fill="FFFFFF" w:themeFill="background1"/>
          </w:tcPr>
          <w:p w14:paraId="65F39BBE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38</w:t>
            </w:r>
          </w:p>
        </w:tc>
      </w:tr>
      <w:tr w:rsidR="00517797" w:rsidRPr="0029428D" w14:paraId="75CBE479" w14:textId="77777777" w:rsidTr="00517797">
        <w:tc>
          <w:tcPr>
            <w:tcW w:w="9214" w:type="dxa"/>
            <w:gridSpan w:val="5"/>
            <w:shd w:val="clear" w:color="auto" w:fill="FFFFFF" w:themeFill="background1"/>
          </w:tcPr>
          <w:p w14:paraId="29240986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</w:pPr>
            <w:r w:rsidRPr="0029428D">
              <w:t>DET issued a high number of surveys, but had a low response rate, possibly due to DET re-approaching key suppliers in high-use categories. Response rates may benefit from more timely contact with bidders once the outcome is notified. The current system does not enable this, but a future eProcurement solution may.</w:t>
            </w:r>
          </w:p>
          <w:p w14:paraId="668E226F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</w:pPr>
            <w:r w:rsidRPr="0029428D">
              <w:t xml:space="preserve">An identified action for 2021–22 is to review how DET ensures timely and accurate communication with bidders during market approach. </w:t>
            </w:r>
          </w:p>
        </w:tc>
      </w:tr>
      <w:tr w:rsidR="00517797" w:rsidRPr="0029428D" w14:paraId="5E7C4D38" w14:textId="77777777" w:rsidTr="00517797">
        <w:tc>
          <w:tcPr>
            <w:tcW w:w="5812" w:type="dxa"/>
            <w:gridSpan w:val="2"/>
            <w:shd w:val="clear" w:color="auto" w:fill="FFFFFF" w:themeFill="background1"/>
          </w:tcPr>
          <w:p w14:paraId="2A08E23B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Planned procurement activity as a % of actual procurement activity</w:t>
            </w:r>
          </w:p>
        </w:tc>
        <w:tc>
          <w:tcPr>
            <w:tcW w:w="1134" w:type="dxa"/>
            <w:shd w:val="clear" w:color="auto" w:fill="FFFFFF" w:themeFill="background1"/>
          </w:tcPr>
          <w:p w14:paraId="31DBB70B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51.9</w:t>
            </w:r>
          </w:p>
        </w:tc>
        <w:tc>
          <w:tcPr>
            <w:tcW w:w="1134" w:type="dxa"/>
            <w:shd w:val="clear" w:color="auto" w:fill="FFFFFF" w:themeFill="background1"/>
          </w:tcPr>
          <w:p w14:paraId="5509F105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46.7</w:t>
            </w:r>
          </w:p>
        </w:tc>
        <w:tc>
          <w:tcPr>
            <w:tcW w:w="1134" w:type="dxa"/>
            <w:shd w:val="clear" w:color="auto" w:fill="FFFFFF" w:themeFill="background1"/>
          </w:tcPr>
          <w:p w14:paraId="7970265A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  <w:rPr>
                <w:rStyle w:val="Strong"/>
              </w:rPr>
            </w:pPr>
            <w:r w:rsidRPr="0029428D">
              <w:rPr>
                <w:rStyle w:val="Strong"/>
              </w:rPr>
              <w:t>8.5</w:t>
            </w:r>
          </w:p>
        </w:tc>
      </w:tr>
      <w:tr w:rsidR="00517797" w:rsidRPr="0029428D" w14:paraId="02DDBBD1" w14:textId="77777777" w:rsidTr="00517797">
        <w:tc>
          <w:tcPr>
            <w:tcW w:w="9214" w:type="dxa"/>
            <w:gridSpan w:val="5"/>
          </w:tcPr>
          <w:p w14:paraId="61AB475E" w14:textId="77777777" w:rsidR="00517797" w:rsidRPr="0029428D" w:rsidRDefault="00517797" w:rsidP="00417F46">
            <w:pPr>
              <w:pStyle w:val="TableText"/>
              <w:shd w:val="clear" w:color="auto" w:fill="FFFFFF" w:themeFill="background1"/>
            </w:pPr>
            <w:r w:rsidRPr="0029428D">
              <w:t>The delayed state budget (November 2020) combined with the need for a quick response to many consequences of COVID-19 made forward planning very difficult. This is reflected in this year’s score.</w:t>
            </w:r>
          </w:p>
        </w:tc>
      </w:tr>
    </w:tbl>
    <w:p w14:paraId="06A8F67E" w14:textId="77777777" w:rsidR="00517797" w:rsidRPr="0029428D" w:rsidRDefault="00517797" w:rsidP="00517797">
      <w:pPr>
        <w:pStyle w:val="Tablenotes"/>
      </w:pPr>
      <w:r w:rsidRPr="0029428D">
        <w:t xml:space="preserve">Refer to </w:t>
      </w:r>
      <w:r w:rsidRPr="0029428D">
        <w:rPr>
          <w:i/>
          <w:iCs/>
        </w:rPr>
        <w:fldChar w:fldCharType="begin"/>
      </w:r>
      <w:r w:rsidRPr="0029428D">
        <w:rPr>
          <w:i/>
          <w:iCs/>
        </w:rPr>
        <w:instrText xml:space="preserve"> REF _Ref80607952 \h  \* MERGEFORMAT </w:instrText>
      </w:r>
      <w:r w:rsidRPr="0029428D">
        <w:rPr>
          <w:i/>
          <w:iCs/>
        </w:rPr>
      </w:r>
      <w:r w:rsidRPr="0029428D">
        <w:rPr>
          <w:i/>
          <w:iCs/>
        </w:rPr>
        <w:fldChar w:fldCharType="separate"/>
      </w:r>
      <w:r w:rsidRPr="0029428D">
        <w:rPr>
          <w:i/>
          <w:iCs/>
        </w:rPr>
        <w:t xml:space="preserve">Table </w:t>
      </w:r>
      <w:r w:rsidRPr="0029428D">
        <w:rPr>
          <w:i/>
          <w:iCs/>
          <w:noProof/>
        </w:rPr>
        <w:t>11</w:t>
      </w:r>
      <w:r w:rsidRPr="0029428D">
        <w:rPr>
          <w:i/>
          <w:iCs/>
        </w:rPr>
        <w:t>: Performance measure methodology</w:t>
      </w:r>
      <w:r w:rsidRPr="0029428D">
        <w:rPr>
          <w:i/>
          <w:iCs/>
        </w:rPr>
        <w:fldChar w:fldCharType="end"/>
      </w:r>
      <w:r w:rsidRPr="0029428D">
        <w:t xml:space="preserve"> in the compliance section for a definition of performance measures.   </w:t>
      </w:r>
    </w:p>
    <w:p w14:paraId="27E7FD0A" w14:textId="77777777" w:rsidR="000C1A89" w:rsidRDefault="00517797"/>
    <w:sectPr w:rsidR="000C1A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61DC6" w14:textId="77777777" w:rsidR="00F72578" w:rsidRDefault="00F72578" w:rsidP="00F72578">
      <w:r>
        <w:separator/>
      </w:r>
    </w:p>
  </w:endnote>
  <w:endnote w:type="continuationSeparator" w:id="0">
    <w:p w14:paraId="36CE43D4" w14:textId="77777777" w:rsidR="00F72578" w:rsidRDefault="00F72578" w:rsidP="00F7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9F24C" w14:textId="537645AE" w:rsidR="00F72578" w:rsidRDefault="00F725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5BF881" wp14:editId="3FFCCF6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08e04dd5889ad7b9d11dab59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47B101" w14:textId="15651AB8" w:rsidR="00F72578" w:rsidRPr="00F72578" w:rsidRDefault="00F72578" w:rsidP="00F72578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F72578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BF881" id="_x0000_t202" coordsize="21600,21600" o:spt="202" path="m,l,21600r21600,l21600,xe">
              <v:stroke joinstyle="miter"/>
              <v:path gradientshapeok="t" o:connecttype="rect"/>
            </v:shapetype>
            <v:shape id="MSIPCM08e04dd5889ad7b9d11dab59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" o:allowincell="f" filled="f" stroked="f" strokeweight=".5pt">
              <v:textbox inset="20pt,0,,0">
                <w:txbxContent>
                  <w:p w14:paraId="6F47B101" w14:textId="15651AB8" w:rsidR="00F72578" w:rsidRPr="00F72578" w:rsidRDefault="00F72578" w:rsidP="00F72578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F72578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41A85" w14:textId="77777777" w:rsidR="00F72578" w:rsidRDefault="00F72578" w:rsidP="00F72578">
      <w:r>
        <w:separator/>
      </w:r>
    </w:p>
  </w:footnote>
  <w:footnote w:type="continuationSeparator" w:id="0">
    <w:p w14:paraId="5E5C785A" w14:textId="77777777" w:rsidR="00F72578" w:rsidRDefault="00F72578" w:rsidP="00F72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C752B"/>
    <w:multiLevelType w:val="multilevel"/>
    <w:tmpl w:val="DA904724"/>
    <w:lvl w:ilvl="0">
      <w:start w:val="1"/>
      <w:numFmt w:val="decimal"/>
      <w:pStyle w:val="Heading1"/>
      <w:lvlText w:val="%1.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 w:val="0"/>
        <w:i w:val="0"/>
        <w:vanish w:val="0"/>
        <w:color w:val="404040"/>
        <w:sz w:val="4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 w:val="0"/>
        <w:i w:val="0"/>
        <w:vanish w:val="0"/>
        <w:color w:val="4D4D4D"/>
        <w:sz w:val="3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ascii="Calibri" w:hAnsi="Calibri" w:hint="default"/>
        <w:b/>
        <w:i w:val="0"/>
        <w:vanish w:val="0"/>
        <w:color w:val="4D4D4D"/>
        <w:sz w:val="26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92"/>
        </w:tabs>
        <w:ind w:left="794" w:hanging="794"/>
      </w:pPr>
      <w:rPr>
        <w:rFonts w:ascii="Calibri" w:hAnsi="Calibri" w:hint="default"/>
        <w:b/>
        <w:i w:val="0"/>
        <w:vanish w:val="0"/>
        <w:color w:val="4D4D4D"/>
        <w:sz w:val="22"/>
      </w:rPr>
    </w:lvl>
    <w:lvl w:ilvl="4">
      <w:start w:val="1"/>
      <w:numFmt w:val="none"/>
      <w:pStyle w:val="Heading5"/>
      <w:suff w:val="nothing"/>
      <w:lvlText w:val="%5"/>
      <w:lvlJc w:val="left"/>
      <w:pPr>
        <w:ind w:left="794" w:firstLine="0"/>
      </w:pPr>
      <w:rPr>
        <w:rFonts w:ascii="Calibri" w:hAnsi="Calibri" w:hint="default"/>
        <w:b w:val="0"/>
        <w:i/>
        <w:vanish w:val="0"/>
        <w:color w:val="404040"/>
        <w:sz w:val="22"/>
      </w:rPr>
    </w:lvl>
    <w:lvl w:ilvl="5">
      <w:start w:val="1"/>
      <w:numFmt w:val="decimal"/>
      <w:pStyle w:val="Heading6"/>
      <w:suff w:val="nothing"/>
      <w:lvlText w:val=""/>
      <w:lvlJc w:val="left"/>
      <w:pPr>
        <w:ind w:left="794" w:firstLine="0"/>
      </w:pPr>
      <w:rPr>
        <w:rFonts w:ascii="Calibri" w:hAnsi="Calibri" w:hint="default"/>
        <w:b w:val="0"/>
        <w:i/>
        <w:vanish w:val="0"/>
        <w:color w:val="404040"/>
        <w:sz w:val="22"/>
      </w:rPr>
    </w:lvl>
    <w:lvl w:ilvl="6">
      <w:start w:val="1"/>
      <w:numFmt w:val="decimal"/>
      <w:pStyle w:val="Heading7"/>
      <w:suff w:val="nothing"/>
      <w:lvlText w:val=""/>
      <w:lvlJc w:val="left"/>
      <w:pPr>
        <w:ind w:left="794" w:firstLine="0"/>
      </w:pPr>
      <w:rPr>
        <w:rFonts w:ascii="Calibri" w:hAnsi="Calibri" w:hint="default"/>
        <w:b w:val="0"/>
        <w:i w:val="0"/>
        <w:vanish w:val="0"/>
        <w:color w:val="404040"/>
        <w:sz w:val="22"/>
      </w:rPr>
    </w:lvl>
    <w:lvl w:ilvl="7">
      <w:start w:val="1"/>
      <w:numFmt w:val="decimal"/>
      <w:pStyle w:val="Heading8"/>
      <w:suff w:val="nothing"/>
      <w:lvlText w:val=""/>
      <w:lvlJc w:val="left"/>
      <w:pPr>
        <w:ind w:left="794" w:firstLine="0"/>
      </w:pPr>
      <w:rPr>
        <w:rFonts w:ascii="Calibri" w:hAnsi="Calibri" w:hint="default"/>
        <w:b/>
        <w:i w:val="0"/>
        <w:vanish w:val="0"/>
        <w:color w:val="404040"/>
        <w:sz w:val="22"/>
      </w:rPr>
    </w:lvl>
    <w:lvl w:ilvl="8">
      <w:start w:val="1"/>
      <w:numFmt w:val="decimal"/>
      <w:pStyle w:val="Heading9"/>
      <w:suff w:val="nothing"/>
      <w:lvlText w:val=""/>
      <w:lvlJc w:val="left"/>
      <w:pPr>
        <w:ind w:left="794" w:firstLine="0"/>
      </w:pPr>
      <w:rPr>
        <w:rFonts w:ascii="Calibri" w:hAnsi="Calibri" w:hint="default"/>
        <w:b/>
        <w:i w:val="0"/>
        <w:vanish w:val="0"/>
        <w:color w:val="40404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78"/>
    <w:rsid w:val="00457876"/>
    <w:rsid w:val="00517797"/>
    <w:rsid w:val="00B4701F"/>
    <w:rsid w:val="00D479BB"/>
    <w:rsid w:val="00DD1248"/>
    <w:rsid w:val="00E744CF"/>
    <w:rsid w:val="00F7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B438E"/>
  <w15:chartTrackingRefBased/>
  <w15:docId w15:val="{48EEB7E1-65BB-4B76-B4C9-6B2315EE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25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797"/>
    <w:pPr>
      <w:keepNext/>
      <w:keepLines/>
      <w:pageBreakBefore/>
      <w:numPr>
        <w:numId w:val="1"/>
      </w:numPr>
      <w:spacing w:after="1120" w:line="216" w:lineRule="auto"/>
      <w:outlineLvl w:val="0"/>
    </w:pPr>
    <w:rPr>
      <w:rFonts w:ascii="Calibri" w:hAnsi="Calibri" w:cs="Calibri"/>
      <w:color w:val="404040"/>
      <w:kern w:val="28"/>
      <w:sz w:val="40"/>
      <w:szCs w:val="2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17797"/>
    <w:pPr>
      <w:pageBreakBefore w:val="0"/>
      <w:widowControl w:val="0"/>
      <w:numPr>
        <w:ilvl w:val="1"/>
      </w:numPr>
      <w:spacing w:before="280" w:after="120"/>
      <w:outlineLvl w:val="1"/>
    </w:pPr>
    <w:rPr>
      <w:color w:val="4D4D4D"/>
      <w:sz w:val="30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517797"/>
    <w:pPr>
      <w:numPr>
        <w:ilvl w:val="2"/>
      </w:numPr>
      <w:spacing w:before="200"/>
      <w:outlineLvl w:val="2"/>
    </w:pPr>
    <w:rPr>
      <w:b/>
      <w:sz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517797"/>
    <w:pPr>
      <w:numPr>
        <w:ilvl w:val="3"/>
      </w:numPr>
      <w:spacing w:before="160" w:line="228" w:lineRule="auto"/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uiPriority w:val="3"/>
    <w:qFormat/>
    <w:rsid w:val="00517797"/>
    <w:pPr>
      <w:numPr>
        <w:ilvl w:val="4"/>
      </w:numPr>
      <w:outlineLvl w:val="4"/>
    </w:pPr>
    <w:rPr>
      <w:bCs/>
      <w:i/>
      <w:color w:val="404040"/>
    </w:rPr>
  </w:style>
  <w:style w:type="paragraph" w:styleId="Heading6">
    <w:name w:val="heading 6"/>
    <w:basedOn w:val="Heading5"/>
    <w:next w:val="Normal"/>
    <w:link w:val="Heading6Char"/>
    <w:uiPriority w:val="3"/>
    <w:qFormat/>
    <w:rsid w:val="00517797"/>
    <w:pPr>
      <w:numPr>
        <w:ilvl w:val="5"/>
      </w:numPr>
      <w:outlineLvl w:val="5"/>
    </w:pPr>
    <w:rPr>
      <w:iCs/>
    </w:rPr>
  </w:style>
  <w:style w:type="paragraph" w:styleId="Heading7">
    <w:name w:val="heading 7"/>
    <w:basedOn w:val="Heading6"/>
    <w:next w:val="Normal"/>
    <w:link w:val="Heading7Char"/>
    <w:uiPriority w:val="3"/>
    <w:qFormat/>
    <w:rsid w:val="00517797"/>
    <w:pPr>
      <w:numPr>
        <w:ilvl w:val="6"/>
      </w:numPr>
      <w:outlineLvl w:val="6"/>
    </w:pPr>
    <w:rPr>
      <w:i w:val="0"/>
    </w:rPr>
  </w:style>
  <w:style w:type="paragraph" w:styleId="Heading8">
    <w:name w:val="heading 8"/>
    <w:basedOn w:val="Heading7"/>
    <w:next w:val="Normal"/>
    <w:link w:val="Heading8Char"/>
    <w:uiPriority w:val="3"/>
    <w:qFormat/>
    <w:rsid w:val="00517797"/>
    <w:pPr>
      <w:numPr>
        <w:ilvl w:val="7"/>
      </w:numPr>
      <w:outlineLvl w:val="7"/>
    </w:pPr>
    <w:rPr>
      <w:b w:val="0"/>
    </w:rPr>
  </w:style>
  <w:style w:type="paragraph" w:styleId="Heading9">
    <w:name w:val="heading 9"/>
    <w:basedOn w:val="Heading8"/>
    <w:next w:val="Normal"/>
    <w:link w:val="Heading9Char"/>
    <w:uiPriority w:val="3"/>
    <w:qFormat/>
    <w:rsid w:val="0051779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F72578"/>
    <w:pPr>
      <w:keepNext/>
      <w:keepLines/>
      <w:tabs>
        <w:tab w:val="left" w:pos="851"/>
      </w:tabs>
      <w:spacing w:before="60" w:after="60" w:line="228" w:lineRule="auto"/>
      <w:ind w:left="794"/>
    </w:pPr>
    <w:rPr>
      <w:rFonts w:ascii="Calibri" w:hAnsi="Calibri" w:cs="Calibri"/>
      <w:b/>
      <w:sz w:val="22"/>
      <w:szCs w:val="22"/>
    </w:rPr>
  </w:style>
  <w:style w:type="character" w:customStyle="1" w:styleId="CaptionChar">
    <w:name w:val="Caption Char"/>
    <w:link w:val="Caption"/>
    <w:rsid w:val="00F72578"/>
    <w:rPr>
      <w:rFonts w:ascii="Calibri" w:eastAsia="Times New Roman" w:hAnsi="Calibri" w:cs="Calibri"/>
      <w:b/>
      <w:lang w:eastAsia="en-AU"/>
    </w:rPr>
  </w:style>
  <w:style w:type="character" w:styleId="Strong">
    <w:name w:val="Strong"/>
    <w:uiPriority w:val="22"/>
    <w:qFormat/>
    <w:rsid w:val="00F72578"/>
    <w:rPr>
      <w:b/>
      <w:bCs/>
    </w:rPr>
  </w:style>
  <w:style w:type="paragraph" w:customStyle="1" w:styleId="TableText">
    <w:name w:val="Table Text"/>
    <w:basedOn w:val="Normal"/>
    <w:link w:val="TableTextChar"/>
    <w:uiPriority w:val="15"/>
    <w:qFormat/>
    <w:rsid w:val="00F72578"/>
    <w:pPr>
      <w:spacing w:before="20" w:after="2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F72578"/>
    <w:rPr>
      <w:rFonts w:ascii="Calibri" w:hAnsi="Calibri" w:cs="Calibri"/>
      <w:sz w:val="20"/>
      <w:szCs w:val="20"/>
      <w:lang w:val="en-US"/>
    </w:rPr>
  </w:style>
  <w:style w:type="paragraph" w:customStyle="1" w:styleId="TableHeader">
    <w:name w:val="Table Header"/>
    <w:basedOn w:val="TableText"/>
    <w:link w:val="TableHeaderChar"/>
    <w:uiPriority w:val="15"/>
    <w:qFormat/>
    <w:rsid w:val="00F72578"/>
    <w:pPr>
      <w:keepNext/>
      <w:spacing w:before="40" w:after="40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7257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erChar">
    <w:name w:val="Table Header Char"/>
    <w:basedOn w:val="TableTextChar"/>
    <w:link w:val="TableHeader"/>
    <w:uiPriority w:val="15"/>
    <w:rsid w:val="00F72578"/>
    <w:rPr>
      <w:rFonts w:ascii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7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25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578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725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578"/>
    <w:rPr>
      <w:rFonts w:ascii="Arial" w:eastAsia="Times New Roman" w:hAnsi="Arial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17797"/>
    <w:rPr>
      <w:rFonts w:ascii="Calibri" w:eastAsia="Times New Roman" w:hAnsi="Calibri" w:cs="Calibri"/>
      <w:color w:val="404040"/>
      <w:kern w:val="28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7797"/>
    <w:rPr>
      <w:rFonts w:ascii="Calibri" w:eastAsia="Times New Roman" w:hAnsi="Calibri" w:cs="Calibri"/>
      <w:color w:val="4D4D4D"/>
      <w:kern w:val="28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rsid w:val="00517797"/>
    <w:rPr>
      <w:rFonts w:ascii="Calibri" w:eastAsia="Times New Roman" w:hAnsi="Calibri" w:cs="Calibri"/>
      <w:b/>
      <w:color w:val="4D4D4D"/>
      <w:kern w:val="28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17797"/>
    <w:rPr>
      <w:rFonts w:ascii="Calibri" w:eastAsia="Times New Roman" w:hAnsi="Calibri" w:cs="Calibri"/>
      <w:b/>
      <w:color w:val="4D4D4D"/>
      <w:kern w:val="28"/>
    </w:rPr>
  </w:style>
  <w:style w:type="character" w:customStyle="1" w:styleId="Heading5Char">
    <w:name w:val="Heading 5 Char"/>
    <w:basedOn w:val="DefaultParagraphFont"/>
    <w:link w:val="Heading5"/>
    <w:uiPriority w:val="3"/>
    <w:rsid w:val="00517797"/>
    <w:rPr>
      <w:rFonts w:ascii="Calibri" w:eastAsia="Times New Roman" w:hAnsi="Calibri" w:cs="Calibri"/>
      <w:b/>
      <w:bCs/>
      <w:i/>
      <w:color w:val="404040"/>
      <w:kern w:val="28"/>
    </w:rPr>
  </w:style>
  <w:style w:type="character" w:customStyle="1" w:styleId="Heading6Char">
    <w:name w:val="Heading 6 Char"/>
    <w:basedOn w:val="DefaultParagraphFont"/>
    <w:link w:val="Heading6"/>
    <w:uiPriority w:val="3"/>
    <w:rsid w:val="00517797"/>
    <w:rPr>
      <w:rFonts w:ascii="Calibri" w:eastAsia="Times New Roman" w:hAnsi="Calibri" w:cs="Calibri"/>
      <w:b/>
      <w:bCs/>
      <w:i/>
      <w:iCs/>
      <w:color w:val="404040"/>
      <w:kern w:val="28"/>
    </w:rPr>
  </w:style>
  <w:style w:type="character" w:customStyle="1" w:styleId="Heading7Char">
    <w:name w:val="Heading 7 Char"/>
    <w:basedOn w:val="DefaultParagraphFont"/>
    <w:link w:val="Heading7"/>
    <w:uiPriority w:val="3"/>
    <w:rsid w:val="00517797"/>
    <w:rPr>
      <w:rFonts w:ascii="Calibri" w:eastAsia="Times New Roman" w:hAnsi="Calibri" w:cs="Calibri"/>
      <w:b/>
      <w:bCs/>
      <w:iCs/>
      <w:color w:val="404040"/>
      <w:kern w:val="28"/>
    </w:rPr>
  </w:style>
  <w:style w:type="character" w:customStyle="1" w:styleId="Heading8Char">
    <w:name w:val="Heading 8 Char"/>
    <w:basedOn w:val="DefaultParagraphFont"/>
    <w:link w:val="Heading8"/>
    <w:uiPriority w:val="3"/>
    <w:rsid w:val="00517797"/>
    <w:rPr>
      <w:rFonts w:ascii="Calibri" w:eastAsia="Times New Roman" w:hAnsi="Calibri" w:cs="Calibri"/>
      <w:bCs/>
      <w:iCs/>
      <w:color w:val="404040"/>
      <w:kern w:val="28"/>
    </w:rPr>
  </w:style>
  <w:style w:type="character" w:customStyle="1" w:styleId="Heading9Char">
    <w:name w:val="Heading 9 Char"/>
    <w:basedOn w:val="DefaultParagraphFont"/>
    <w:link w:val="Heading9"/>
    <w:uiPriority w:val="3"/>
    <w:rsid w:val="00517797"/>
    <w:rPr>
      <w:rFonts w:ascii="Calibri" w:eastAsia="Times New Roman" w:hAnsi="Calibri" w:cs="Calibri"/>
      <w:bCs/>
      <w:iCs/>
      <w:color w:val="404040"/>
      <w:kern w:val="28"/>
    </w:rPr>
  </w:style>
  <w:style w:type="paragraph" w:customStyle="1" w:styleId="Tablenotes">
    <w:name w:val="Table notes"/>
    <w:basedOn w:val="Normal"/>
    <w:link w:val="TablenotesChar"/>
    <w:qFormat/>
    <w:rsid w:val="00517797"/>
    <w:pPr>
      <w:spacing w:before="20"/>
      <w:ind w:left="284"/>
      <w:contextualSpacing/>
    </w:pPr>
    <w:rPr>
      <w:rFonts w:ascii="Calibri" w:eastAsia="Calibri" w:hAnsi="Calibri"/>
      <w:spacing w:val="-2"/>
      <w:sz w:val="18"/>
      <w:szCs w:val="18"/>
      <w:lang w:eastAsia="en-US"/>
    </w:rPr>
  </w:style>
  <w:style w:type="character" w:customStyle="1" w:styleId="TablenotesChar">
    <w:name w:val="Table notes Char"/>
    <w:basedOn w:val="DefaultParagraphFont"/>
    <w:link w:val="Tablenotes"/>
    <w:rsid w:val="00517797"/>
    <w:rPr>
      <w:rFonts w:ascii="Calibri" w:eastAsia="Calibri" w:hAnsi="Calibri" w:cs="Times New Roman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3D837D2-A8F5-40B2-9548-4779D95580C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Coles (DTF)</dc:creator>
  <cp:keywords/>
  <dc:description/>
  <cp:lastModifiedBy>Vanessa Coles (DTF)</cp:lastModifiedBy>
  <cp:revision>2</cp:revision>
  <dcterms:created xsi:type="dcterms:W3CDTF">2021-10-21T04:39:00Z</dcterms:created>
  <dcterms:modified xsi:type="dcterms:W3CDTF">2021-10-21T04:39:00Z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2021-10-21T04:38:54Z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/>
  </property>
  <property fmtid="{D5CDD505-2E9C-101B-9397-08002B2CF9AE}" pid="8" name="MSIP_Label_7158ebbd-6c5e-441f-bfc9-4eb8c11e3978_ContentBits">
    <vt:lpwstr>2</vt:lpwstr>
  </property>
</Properties>
</file>