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01DCB" w14:textId="5110613A" w:rsidR="00FC2612" w:rsidRPr="00341408" w:rsidRDefault="00FC2612" w:rsidP="00341408">
      <w:pPr>
        <w:pStyle w:val="Heading1"/>
        <w:ind w:left="720"/>
        <w:rPr>
          <w:rFonts w:cstheme="majorHAnsi"/>
          <w:b/>
          <w:bCs/>
          <w:color w:val="000000" w:themeColor="text1"/>
          <w:sz w:val="28"/>
          <w:szCs w:val="28"/>
        </w:rPr>
      </w:pPr>
      <w:bookmarkStart w:id="0" w:name="_Ref489542224"/>
      <w:bookmarkStart w:id="1" w:name="_Toc503949263"/>
      <w:bookmarkStart w:id="2" w:name="_Toc12717991"/>
      <w:bookmarkStart w:id="3" w:name="_Toc17130214"/>
      <w:bookmarkStart w:id="4" w:name="_Toc48837160"/>
      <w:bookmarkStart w:id="5" w:name="_Toc49185550"/>
      <w:r w:rsidRPr="00341408">
        <w:rPr>
          <w:rFonts w:cstheme="majorHAnsi"/>
          <w:b/>
          <w:bCs/>
          <w:color w:val="000000" w:themeColor="text1"/>
          <w:sz w:val="28"/>
          <w:szCs w:val="28"/>
        </w:rPr>
        <w:t>Table</w:t>
      </w:r>
      <w:bookmarkEnd w:id="0"/>
      <w:r w:rsidRPr="00341408">
        <w:rPr>
          <w:rFonts w:cstheme="majorHAnsi"/>
          <w:b/>
          <w:bCs/>
          <w:color w:val="000000" w:themeColor="text1"/>
          <w:sz w:val="28"/>
          <w:szCs w:val="28"/>
        </w:rPr>
        <w:t xml:space="preserve"> Department of Environment, Land, Water and Planning performance in </w:t>
      </w:r>
      <w:bookmarkEnd w:id="1"/>
      <w:r w:rsidRPr="00341408">
        <w:rPr>
          <w:rFonts w:cstheme="majorHAnsi"/>
          <w:b/>
          <w:bCs/>
          <w:color w:val="000000" w:themeColor="text1"/>
          <w:sz w:val="28"/>
          <w:szCs w:val="28"/>
        </w:rPr>
        <w:t>20</w:t>
      </w:r>
      <w:bookmarkEnd w:id="2"/>
      <w:bookmarkEnd w:id="3"/>
      <w:bookmarkEnd w:id="4"/>
      <w:bookmarkEnd w:id="5"/>
      <w:r w:rsidR="0041402A">
        <w:rPr>
          <w:rFonts w:cstheme="majorHAnsi"/>
          <w:b/>
          <w:bCs/>
          <w:color w:val="000000" w:themeColor="text1"/>
          <w:sz w:val="28"/>
          <w:szCs w:val="28"/>
        </w:rPr>
        <w:t>20-21</w:t>
      </w:r>
    </w:p>
    <w:p w14:paraId="27BBD2AB" w14:textId="7C842E3B" w:rsidR="00341408" w:rsidRDefault="00341408" w:rsidP="00341408"/>
    <w:p w14:paraId="75EE944D" w14:textId="306BAE0E" w:rsidR="00341408" w:rsidRPr="0041402A" w:rsidRDefault="00341408" w:rsidP="0041402A">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2F268E">
        <w:rPr>
          <w:rFonts w:ascii="Calibri" w:eastAsiaTheme="minorHAnsi" w:hAnsi="Calibri" w:cs="Calibri"/>
          <w:sz w:val="20"/>
          <w:szCs w:val="20"/>
          <w:lang w:val="en-US" w:eastAsia="en-US"/>
        </w:rPr>
        <w:t xml:space="preserve">Annual Report </w:t>
      </w:r>
      <w:r w:rsidRPr="008A4523">
        <w:rPr>
          <w:rFonts w:ascii="Calibri" w:eastAsiaTheme="minorHAnsi" w:hAnsi="Calibri" w:cs="Calibri"/>
          <w:sz w:val="20"/>
          <w:szCs w:val="20"/>
          <w:lang w:val="en-US" w:eastAsia="en-US"/>
        </w:rPr>
        <w:t>20</w:t>
      </w:r>
      <w:r w:rsidR="0041402A">
        <w:rPr>
          <w:rFonts w:ascii="Calibri" w:eastAsiaTheme="minorHAnsi" w:hAnsi="Calibri" w:cs="Calibri"/>
          <w:sz w:val="20"/>
          <w:szCs w:val="20"/>
          <w:lang w:val="en-US" w:eastAsia="en-US"/>
        </w:rPr>
        <w:t>20-21</w:t>
      </w:r>
    </w:p>
    <w:p w14:paraId="333444A2" w14:textId="77777777" w:rsidR="00341408" w:rsidRPr="00341408" w:rsidRDefault="00341408" w:rsidP="00341408"/>
    <w:tbl>
      <w:tblPr>
        <w:tblStyle w:val="TableGrid1"/>
        <w:tblW w:w="9226" w:type="dxa"/>
        <w:tblInd w:w="279" w:type="dxa"/>
        <w:tblLook w:val="04A0" w:firstRow="1" w:lastRow="0" w:firstColumn="1" w:lastColumn="0" w:noHBand="0" w:noVBand="1"/>
      </w:tblPr>
      <w:tblGrid>
        <w:gridCol w:w="2994"/>
        <w:gridCol w:w="2818"/>
        <w:gridCol w:w="1115"/>
        <w:gridCol w:w="1115"/>
        <w:gridCol w:w="1172"/>
        <w:gridCol w:w="12"/>
      </w:tblGrid>
      <w:tr w:rsidR="0041402A" w:rsidRPr="0029428D" w14:paraId="51B2240D" w14:textId="77777777" w:rsidTr="00417F46">
        <w:trPr>
          <w:gridAfter w:val="1"/>
          <w:wAfter w:w="12" w:type="dxa"/>
        </w:trPr>
        <w:tc>
          <w:tcPr>
            <w:tcW w:w="5812" w:type="dxa"/>
            <w:gridSpan w:val="2"/>
            <w:vMerge w:val="restart"/>
            <w:shd w:val="clear" w:color="auto" w:fill="FFFFFF" w:themeFill="background1"/>
          </w:tcPr>
          <w:p w14:paraId="46382F5C" w14:textId="77777777" w:rsidR="0041402A" w:rsidRPr="0029428D" w:rsidRDefault="0041402A" w:rsidP="00417F46">
            <w:pPr>
              <w:pStyle w:val="TableHeader"/>
            </w:pPr>
            <w:r w:rsidRPr="0029428D">
              <w:t>Performance measure</w:t>
            </w:r>
          </w:p>
        </w:tc>
        <w:tc>
          <w:tcPr>
            <w:tcW w:w="1115" w:type="dxa"/>
            <w:shd w:val="clear" w:color="auto" w:fill="FFFFFF" w:themeFill="background1"/>
          </w:tcPr>
          <w:p w14:paraId="747DC877" w14:textId="77777777" w:rsidR="0041402A" w:rsidRPr="0029428D" w:rsidRDefault="0041402A" w:rsidP="00417F46">
            <w:pPr>
              <w:pStyle w:val="TableHeader"/>
            </w:pPr>
            <w:r w:rsidRPr="0029428D">
              <w:t xml:space="preserve">2018–19 </w:t>
            </w:r>
          </w:p>
        </w:tc>
        <w:tc>
          <w:tcPr>
            <w:tcW w:w="1115" w:type="dxa"/>
            <w:shd w:val="clear" w:color="auto" w:fill="FFFFFF" w:themeFill="background1"/>
          </w:tcPr>
          <w:p w14:paraId="18807A97" w14:textId="77777777" w:rsidR="0041402A" w:rsidRPr="0029428D" w:rsidRDefault="0041402A" w:rsidP="00417F46">
            <w:pPr>
              <w:pStyle w:val="TableHeader"/>
            </w:pPr>
            <w:r w:rsidRPr="0029428D">
              <w:t>2019–20</w:t>
            </w:r>
          </w:p>
        </w:tc>
        <w:tc>
          <w:tcPr>
            <w:tcW w:w="1172" w:type="dxa"/>
            <w:shd w:val="clear" w:color="auto" w:fill="FFFFFF" w:themeFill="background1"/>
          </w:tcPr>
          <w:p w14:paraId="13EBA1FD" w14:textId="77777777" w:rsidR="0041402A" w:rsidRPr="0029428D" w:rsidRDefault="0041402A" w:rsidP="00417F46">
            <w:pPr>
              <w:pStyle w:val="TableHeader"/>
            </w:pPr>
            <w:r w:rsidRPr="0029428D">
              <w:t>2020–21</w:t>
            </w:r>
          </w:p>
        </w:tc>
      </w:tr>
      <w:tr w:rsidR="0041402A" w:rsidRPr="0029428D" w14:paraId="205281B1" w14:textId="77777777" w:rsidTr="00417F46">
        <w:trPr>
          <w:gridAfter w:val="1"/>
          <w:wAfter w:w="12" w:type="dxa"/>
        </w:trPr>
        <w:tc>
          <w:tcPr>
            <w:tcW w:w="5812" w:type="dxa"/>
            <w:gridSpan w:val="2"/>
            <w:vMerge/>
            <w:shd w:val="clear" w:color="auto" w:fill="FFFFFF" w:themeFill="background1"/>
          </w:tcPr>
          <w:p w14:paraId="3A1DE8F4" w14:textId="77777777" w:rsidR="0041402A" w:rsidRPr="0029428D" w:rsidRDefault="0041402A" w:rsidP="00417F46">
            <w:pPr>
              <w:pStyle w:val="TableHeader"/>
            </w:pPr>
          </w:p>
        </w:tc>
        <w:tc>
          <w:tcPr>
            <w:tcW w:w="3402" w:type="dxa"/>
            <w:gridSpan w:val="3"/>
            <w:shd w:val="clear" w:color="auto" w:fill="FFFFFF" w:themeFill="background1"/>
          </w:tcPr>
          <w:p w14:paraId="287EB780" w14:textId="77777777" w:rsidR="0041402A" w:rsidRPr="0029428D" w:rsidRDefault="0041402A" w:rsidP="00417F46">
            <w:pPr>
              <w:pStyle w:val="TableHeader"/>
            </w:pPr>
            <w:r w:rsidRPr="0029428D">
              <w:t>(%)</w:t>
            </w:r>
          </w:p>
        </w:tc>
      </w:tr>
      <w:tr w:rsidR="0041402A" w:rsidRPr="0029428D" w14:paraId="058BB0AF" w14:textId="77777777" w:rsidTr="00417F46">
        <w:trPr>
          <w:gridAfter w:val="1"/>
          <w:wAfter w:w="12" w:type="dxa"/>
        </w:trPr>
        <w:tc>
          <w:tcPr>
            <w:tcW w:w="5812" w:type="dxa"/>
            <w:gridSpan w:val="2"/>
            <w:shd w:val="clear" w:color="auto" w:fill="auto"/>
          </w:tcPr>
          <w:p w14:paraId="18463520" w14:textId="77777777" w:rsidR="0041402A" w:rsidRPr="0029428D" w:rsidRDefault="0041402A" w:rsidP="00417F46">
            <w:pPr>
              <w:pStyle w:val="TableText"/>
              <w:rPr>
                <w:rStyle w:val="Strong"/>
              </w:rPr>
            </w:pPr>
            <w:r w:rsidRPr="0029428D">
              <w:rPr>
                <w:rStyle w:val="Strong"/>
              </w:rPr>
              <w:t>Value created from department procurement activity</w:t>
            </w:r>
          </w:p>
        </w:tc>
        <w:tc>
          <w:tcPr>
            <w:tcW w:w="1115" w:type="dxa"/>
            <w:shd w:val="clear" w:color="auto" w:fill="auto"/>
          </w:tcPr>
          <w:p w14:paraId="5870CD96" w14:textId="77777777" w:rsidR="0041402A" w:rsidRPr="0029428D" w:rsidRDefault="0041402A" w:rsidP="00417F46">
            <w:pPr>
              <w:pStyle w:val="TableText"/>
              <w:rPr>
                <w:rStyle w:val="Strong"/>
              </w:rPr>
            </w:pPr>
            <w:r w:rsidRPr="0029428D">
              <w:rPr>
                <w:rStyle w:val="Strong"/>
              </w:rPr>
              <w:t>10.2</w:t>
            </w:r>
          </w:p>
        </w:tc>
        <w:tc>
          <w:tcPr>
            <w:tcW w:w="1115" w:type="dxa"/>
            <w:shd w:val="clear" w:color="auto" w:fill="auto"/>
          </w:tcPr>
          <w:p w14:paraId="7A8BDFD6" w14:textId="77777777" w:rsidR="0041402A" w:rsidRPr="0029428D" w:rsidRDefault="0041402A" w:rsidP="00417F46">
            <w:pPr>
              <w:pStyle w:val="TableText"/>
              <w:rPr>
                <w:rStyle w:val="Strong"/>
              </w:rPr>
            </w:pPr>
            <w:r w:rsidRPr="0029428D">
              <w:rPr>
                <w:rStyle w:val="Strong"/>
              </w:rPr>
              <w:t>5.3</w:t>
            </w:r>
          </w:p>
        </w:tc>
        <w:tc>
          <w:tcPr>
            <w:tcW w:w="1172" w:type="dxa"/>
            <w:shd w:val="clear" w:color="auto" w:fill="auto"/>
          </w:tcPr>
          <w:p w14:paraId="6317079B" w14:textId="77777777" w:rsidR="0041402A" w:rsidRPr="0029428D" w:rsidRDefault="0041402A" w:rsidP="00417F46">
            <w:pPr>
              <w:pStyle w:val="TableText"/>
              <w:rPr>
                <w:rStyle w:val="Strong"/>
              </w:rPr>
            </w:pPr>
            <w:r w:rsidRPr="0029428D">
              <w:rPr>
                <w:rStyle w:val="Strong"/>
              </w:rPr>
              <w:t>8.8</w:t>
            </w:r>
          </w:p>
        </w:tc>
      </w:tr>
      <w:tr w:rsidR="0041402A" w:rsidRPr="0029428D" w14:paraId="0CAA5A21" w14:textId="77777777" w:rsidTr="00417F46">
        <w:tc>
          <w:tcPr>
            <w:tcW w:w="9226" w:type="dxa"/>
            <w:gridSpan w:val="6"/>
            <w:shd w:val="clear" w:color="auto" w:fill="auto"/>
          </w:tcPr>
          <w:p w14:paraId="5B05E837" w14:textId="77777777" w:rsidR="0041402A" w:rsidRPr="0029428D" w:rsidRDefault="0041402A" w:rsidP="00417F46">
            <w:pPr>
              <w:pStyle w:val="TableText"/>
            </w:pPr>
            <w:r w:rsidRPr="0029428D">
              <w:t xml:space="preserve">The central Strategic Sourcing team was expanded in 2020–21 to cater for increased procurement requirements. DELWP's total contract spend was significantly less in 2020–21 than 2019–20, but the department still managed to realise procurement savings of $21 million. Procurement savings are largely a direct result of the output of the central Strategic Sourcing team which leads all procurement greater than $3 million. </w:t>
            </w:r>
          </w:p>
        </w:tc>
      </w:tr>
      <w:tr w:rsidR="0041402A" w:rsidRPr="0029428D" w14:paraId="181E4F4B" w14:textId="77777777" w:rsidTr="00417F46">
        <w:trPr>
          <w:gridAfter w:val="1"/>
          <w:wAfter w:w="12" w:type="dxa"/>
        </w:trPr>
        <w:tc>
          <w:tcPr>
            <w:tcW w:w="5812" w:type="dxa"/>
            <w:gridSpan w:val="2"/>
            <w:shd w:val="clear" w:color="auto" w:fill="auto"/>
          </w:tcPr>
          <w:p w14:paraId="7E5056C9" w14:textId="77777777" w:rsidR="0041402A" w:rsidRPr="0029428D" w:rsidRDefault="0041402A" w:rsidP="00417F46">
            <w:pPr>
              <w:pStyle w:val="TableText"/>
              <w:rPr>
                <w:rStyle w:val="Strong"/>
              </w:rPr>
            </w:pPr>
            <w:r w:rsidRPr="0029428D">
              <w:rPr>
                <w:rStyle w:val="Strong"/>
              </w:rPr>
              <w:t>Managed spend</w:t>
            </w:r>
          </w:p>
        </w:tc>
        <w:tc>
          <w:tcPr>
            <w:tcW w:w="1115" w:type="dxa"/>
            <w:shd w:val="clear" w:color="auto" w:fill="auto"/>
          </w:tcPr>
          <w:p w14:paraId="6B1E6310" w14:textId="77777777" w:rsidR="0041402A" w:rsidRPr="0029428D" w:rsidRDefault="0041402A" w:rsidP="00417F46">
            <w:pPr>
              <w:pStyle w:val="TableText"/>
              <w:rPr>
                <w:rStyle w:val="Strong"/>
              </w:rPr>
            </w:pPr>
            <w:r w:rsidRPr="0029428D">
              <w:rPr>
                <w:rStyle w:val="Strong"/>
              </w:rPr>
              <w:t>n/a</w:t>
            </w:r>
          </w:p>
        </w:tc>
        <w:tc>
          <w:tcPr>
            <w:tcW w:w="1115" w:type="dxa"/>
            <w:shd w:val="clear" w:color="auto" w:fill="auto"/>
          </w:tcPr>
          <w:p w14:paraId="07CB5B5F" w14:textId="77777777" w:rsidR="0041402A" w:rsidRPr="0029428D" w:rsidRDefault="0041402A" w:rsidP="00417F46">
            <w:pPr>
              <w:pStyle w:val="TableText"/>
              <w:rPr>
                <w:rStyle w:val="Strong"/>
              </w:rPr>
            </w:pPr>
            <w:r w:rsidRPr="0029428D">
              <w:rPr>
                <w:rStyle w:val="Strong"/>
              </w:rPr>
              <w:t>26.9</w:t>
            </w:r>
          </w:p>
        </w:tc>
        <w:tc>
          <w:tcPr>
            <w:tcW w:w="1172" w:type="dxa"/>
            <w:shd w:val="clear" w:color="auto" w:fill="auto"/>
          </w:tcPr>
          <w:p w14:paraId="1F7CF70C" w14:textId="77777777" w:rsidR="0041402A" w:rsidRPr="0029428D" w:rsidRDefault="0041402A" w:rsidP="00417F46">
            <w:pPr>
              <w:pStyle w:val="TableText"/>
              <w:rPr>
                <w:rStyle w:val="Strong"/>
              </w:rPr>
            </w:pPr>
            <w:r w:rsidRPr="0029428D">
              <w:rPr>
                <w:rStyle w:val="Strong"/>
              </w:rPr>
              <w:t>67.8</w:t>
            </w:r>
          </w:p>
        </w:tc>
      </w:tr>
      <w:tr w:rsidR="0041402A" w:rsidRPr="0029428D" w14:paraId="43C1A90C" w14:textId="77777777" w:rsidTr="00417F46">
        <w:tc>
          <w:tcPr>
            <w:tcW w:w="9226" w:type="dxa"/>
            <w:gridSpan w:val="6"/>
            <w:shd w:val="clear" w:color="auto" w:fill="auto"/>
          </w:tcPr>
          <w:p w14:paraId="5DD4B21B" w14:textId="77777777" w:rsidR="0041402A" w:rsidRPr="0029428D" w:rsidRDefault="0041402A" w:rsidP="00417F46">
            <w:pPr>
              <w:pStyle w:val="TableText"/>
            </w:pPr>
            <w:r w:rsidRPr="0029428D">
              <w:t>In 2020–21, the procurement governance unit reviewed all procurements with a value greater than $150 000 up to November 2020, and procurements greater than $200 000 from December 2020 onwards, as well as all professional services engagements. The team reviewed fewer submissions in 2020–21. This is partly attributed to the higher CPO approval threshold of $200 000 implemented in December 2020. However, DELWP's smaller total contract spend meant that the proportion of spend reviewed by the team more than doubled during 2020–21.</w:t>
            </w:r>
          </w:p>
        </w:tc>
      </w:tr>
      <w:tr w:rsidR="0041402A" w:rsidRPr="0029428D" w14:paraId="654A731E" w14:textId="77777777" w:rsidTr="00417F46">
        <w:trPr>
          <w:gridAfter w:val="1"/>
          <w:wAfter w:w="12" w:type="dxa"/>
        </w:trPr>
        <w:tc>
          <w:tcPr>
            <w:tcW w:w="5812" w:type="dxa"/>
            <w:gridSpan w:val="2"/>
            <w:shd w:val="clear" w:color="auto" w:fill="auto"/>
          </w:tcPr>
          <w:p w14:paraId="777F1922" w14:textId="77777777" w:rsidR="0041402A" w:rsidRPr="0029428D" w:rsidRDefault="0041402A" w:rsidP="00417F46">
            <w:pPr>
              <w:pStyle w:val="TableText"/>
              <w:rPr>
                <w:rStyle w:val="Strong"/>
              </w:rPr>
            </w:pPr>
            <w:r w:rsidRPr="0029428D">
              <w:rPr>
                <w:rStyle w:val="Strong"/>
              </w:rPr>
              <w:t>Increase in procurement capability</w:t>
            </w:r>
          </w:p>
        </w:tc>
        <w:tc>
          <w:tcPr>
            <w:tcW w:w="1115" w:type="dxa"/>
            <w:shd w:val="clear" w:color="auto" w:fill="auto"/>
          </w:tcPr>
          <w:p w14:paraId="61F41D25" w14:textId="77777777" w:rsidR="0041402A" w:rsidRPr="0029428D" w:rsidRDefault="0041402A" w:rsidP="00417F46">
            <w:pPr>
              <w:pStyle w:val="TableText"/>
              <w:rPr>
                <w:rStyle w:val="Strong"/>
              </w:rPr>
            </w:pPr>
            <w:r w:rsidRPr="0029428D">
              <w:rPr>
                <w:rStyle w:val="Strong"/>
              </w:rPr>
              <w:t>11.6</w:t>
            </w:r>
          </w:p>
        </w:tc>
        <w:tc>
          <w:tcPr>
            <w:tcW w:w="1115" w:type="dxa"/>
            <w:shd w:val="clear" w:color="auto" w:fill="auto"/>
          </w:tcPr>
          <w:p w14:paraId="6D0EEE94" w14:textId="77777777" w:rsidR="0041402A" w:rsidRPr="0029428D" w:rsidRDefault="0041402A" w:rsidP="00417F46">
            <w:pPr>
              <w:pStyle w:val="TableText"/>
              <w:rPr>
                <w:rStyle w:val="Strong"/>
              </w:rPr>
            </w:pPr>
            <w:r w:rsidRPr="0029428D">
              <w:rPr>
                <w:rStyle w:val="Strong"/>
              </w:rPr>
              <w:t>6.3</w:t>
            </w:r>
          </w:p>
        </w:tc>
        <w:tc>
          <w:tcPr>
            <w:tcW w:w="1172" w:type="dxa"/>
            <w:shd w:val="clear" w:color="auto" w:fill="auto"/>
          </w:tcPr>
          <w:p w14:paraId="70E3914F" w14:textId="77777777" w:rsidR="0041402A" w:rsidRPr="0029428D" w:rsidRDefault="0041402A" w:rsidP="00417F46">
            <w:pPr>
              <w:pStyle w:val="TableText"/>
              <w:rPr>
                <w:rStyle w:val="Strong"/>
              </w:rPr>
            </w:pPr>
            <w:r w:rsidRPr="0029428D">
              <w:rPr>
                <w:rStyle w:val="Strong"/>
              </w:rPr>
              <w:t>2.9</w:t>
            </w:r>
          </w:p>
        </w:tc>
      </w:tr>
      <w:tr w:rsidR="0041402A" w:rsidRPr="0029428D" w14:paraId="4F76E09B" w14:textId="77777777" w:rsidTr="00417F46">
        <w:tc>
          <w:tcPr>
            <w:tcW w:w="9226" w:type="dxa"/>
            <w:gridSpan w:val="6"/>
            <w:shd w:val="clear" w:color="auto" w:fill="auto"/>
          </w:tcPr>
          <w:p w14:paraId="742F23A2" w14:textId="77777777" w:rsidR="0041402A" w:rsidRPr="0029428D" w:rsidRDefault="0041402A" w:rsidP="00417F46">
            <w:pPr>
              <w:pStyle w:val="TableText"/>
            </w:pPr>
            <w:r w:rsidRPr="0029428D">
              <w:t>Procurement capability has increased across DELWP with the implementation of the department's new cloud-based BusinessHub systems (Oracle and Zycus), which included the development of new teams (Sourcing Support and Purchasing Support) and a specialist role (Sourcing Community Engagement Manager) in the central procurement branch (the Hub) to support the model. This is in addition to the previously established and operational Strategic Sourcing team. There are dedicated procurement teams embedded into each group, including sourcing specialists and purchasing officers (the Spokes) to support procurement needs.</w:t>
            </w:r>
          </w:p>
        </w:tc>
      </w:tr>
      <w:tr w:rsidR="0041402A" w:rsidRPr="0029428D" w14:paraId="6014C0B9" w14:textId="77777777" w:rsidTr="00417F46">
        <w:trPr>
          <w:gridAfter w:val="1"/>
          <w:wAfter w:w="12" w:type="dxa"/>
        </w:trPr>
        <w:tc>
          <w:tcPr>
            <w:tcW w:w="2994" w:type="dxa"/>
            <w:vMerge w:val="restart"/>
            <w:shd w:val="clear" w:color="auto" w:fill="auto"/>
          </w:tcPr>
          <w:p w14:paraId="1E9383BC" w14:textId="77777777" w:rsidR="0041402A" w:rsidRPr="0029428D" w:rsidRDefault="0041402A" w:rsidP="00417F46">
            <w:pPr>
              <w:pStyle w:val="TableText"/>
              <w:rPr>
                <w:rStyle w:val="Strong"/>
              </w:rPr>
            </w:pPr>
            <w:r w:rsidRPr="0029428D">
              <w:rPr>
                <w:rStyle w:val="Strong"/>
              </w:rPr>
              <w:t>Supplier satisfaction assessment</w:t>
            </w:r>
          </w:p>
        </w:tc>
        <w:tc>
          <w:tcPr>
            <w:tcW w:w="2818" w:type="dxa"/>
            <w:shd w:val="clear" w:color="auto" w:fill="auto"/>
          </w:tcPr>
          <w:p w14:paraId="1C318C94" w14:textId="77777777" w:rsidR="0041402A" w:rsidRPr="0029428D" w:rsidRDefault="0041402A" w:rsidP="00417F46">
            <w:pPr>
              <w:pStyle w:val="TableText"/>
              <w:rPr>
                <w:rStyle w:val="Strong"/>
              </w:rPr>
            </w:pPr>
            <w:r w:rsidRPr="0029428D">
              <w:rPr>
                <w:rStyle w:val="Strong"/>
              </w:rPr>
              <w:t>Successful satisfied</w:t>
            </w:r>
          </w:p>
        </w:tc>
        <w:tc>
          <w:tcPr>
            <w:tcW w:w="1115" w:type="dxa"/>
            <w:shd w:val="clear" w:color="auto" w:fill="auto"/>
          </w:tcPr>
          <w:p w14:paraId="33EAD5F8" w14:textId="77777777" w:rsidR="0041402A" w:rsidRPr="0029428D" w:rsidRDefault="0041402A" w:rsidP="00417F46">
            <w:pPr>
              <w:pStyle w:val="TableText"/>
              <w:rPr>
                <w:rStyle w:val="Strong"/>
              </w:rPr>
            </w:pPr>
            <w:r w:rsidRPr="0029428D">
              <w:rPr>
                <w:rStyle w:val="Strong"/>
              </w:rPr>
              <w:t>90</w:t>
            </w:r>
          </w:p>
        </w:tc>
        <w:tc>
          <w:tcPr>
            <w:tcW w:w="1115" w:type="dxa"/>
            <w:shd w:val="clear" w:color="auto" w:fill="auto"/>
          </w:tcPr>
          <w:p w14:paraId="531F5A84" w14:textId="77777777" w:rsidR="0041402A" w:rsidRPr="0029428D" w:rsidRDefault="0041402A" w:rsidP="00417F46">
            <w:pPr>
              <w:pStyle w:val="TableText"/>
              <w:rPr>
                <w:rStyle w:val="Strong"/>
              </w:rPr>
            </w:pPr>
            <w:r w:rsidRPr="0029428D">
              <w:rPr>
                <w:rStyle w:val="Strong"/>
              </w:rPr>
              <w:t>60</w:t>
            </w:r>
          </w:p>
        </w:tc>
        <w:tc>
          <w:tcPr>
            <w:tcW w:w="1172" w:type="dxa"/>
            <w:shd w:val="clear" w:color="auto" w:fill="auto"/>
          </w:tcPr>
          <w:p w14:paraId="74E06878" w14:textId="77777777" w:rsidR="0041402A" w:rsidRPr="0029428D" w:rsidRDefault="0041402A" w:rsidP="00417F46">
            <w:pPr>
              <w:pStyle w:val="TableText"/>
              <w:rPr>
                <w:rStyle w:val="Strong"/>
              </w:rPr>
            </w:pPr>
            <w:r w:rsidRPr="0029428D">
              <w:rPr>
                <w:rStyle w:val="Strong"/>
              </w:rPr>
              <w:t>85</w:t>
            </w:r>
          </w:p>
        </w:tc>
      </w:tr>
      <w:tr w:rsidR="0041402A" w:rsidRPr="0029428D" w14:paraId="13D81EF3" w14:textId="77777777" w:rsidTr="00417F46">
        <w:trPr>
          <w:gridAfter w:val="1"/>
          <w:wAfter w:w="12" w:type="dxa"/>
        </w:trPr>
        <w:tc>
          <w:tcPr>
            <w:tcW w:w="2994" w:type="dxa"/>
            <w:vMerge/>
            <w:shd w:val="clear" w:color="auto" w:fill="auto"/>
          </w:tcPr>
          <w:p w14:paraId="1732603C" w14:textId="77777777" w:rsidR="0041402A" w:rsidRPr="0029428D" w:rsidRDefault="0041402A" w:rsidP="00417F46">
            <w:pPr>
              <w:pStyle w:val="TableText"/>
              <w:rPr>
                <w:rStyle w:val="Strong"/>
              </w:rPr>
            </w:pPr>
          </w:p>
        </w:tc>
        <w:tc>
          <w:tcPr>
            <w:tcW w:w="2818" w:type="dxa"/>
            <w:shd w:val="clear" w:color="auto" w:fill="auto"/>
          </w:tcPr>
          <w:p w14:paraId="02A2AE46" w14:textId="77777777" w:rsidR="0041402A" w:rsidRPr="0029428D" w:rsidRDefault="0041402A" w:rsidP="00417F46">
            <w:pPr>
              <w:pStyle w:val="TableText"/>
              <w:rPr>
                <w:rStyle w:val="Strong"/>
              </w:rPr>
            </w:pPr>
            <w:r w:rsidRPr="0029428D">
              <w:rPr>
                <w:rStyle w:val="Strong"/>
              </w:rPr>
              <w:t>Unsuccessful satisfied</w:t>
            </w:r>
          </w:p>
        </w:tc>
        <w:tc>
          <w:tcPr>
            <w:tcW w:w="1115" w:type="dxa"/>
            <w:shd w:val="clear" w:color="auto" w:fill="auto"/>
          </w:tcPr>
          <w:p w14:paraId="36046A0E" w14:textId="77777777" w:rsidR="0041402A" w:rsidRPr="0029428D" w:rsidRDefault="0041402A" w:rsidP="00417F46">
            <w:pPr>
              <w:pStyle w:val="TableText"/>
              <w:rPr>
                <w:rStyle w:val="Strong"/>
              </w:rPr>
            </w:pPr>
            <w:r w:rsidRPr="0029428D">
              <w:rPr>
                <w:rStyle w:val="Strong"/>
              </w:rPr>
              <w:t>36</w:t>
            </w:r>
          </w:p>
        </w:tc>
        <w:tc>
          <w:tcPr>
            <w:tcW w:w="1115" w:type="dxa"/>
            <w:shd w:val="clear" w:color="auto" w:fill="auto"/>
          </w:tcPr>
          <w:p w14:paraId="62655E86" w14:textId="77777777" w:rsidR="0041402A" w:rsidRPr="0029428D" w:rsidRDefault="0041402A" w:rsidP="00417F46">
            <w:pPr>
              <w:pStyle w:val="TableText"/>
              <w:rPr>
                <w:rStyle w:val="Strong"/>
              </w:rPr>
            </w:pPr>
            <w:r w:rsidRPr="0029428D">
              <w:rPr>
                <w:rStyle w:val="Strong"/>
              </w:rPr>
              <w:t>32</w:t>
            </w:r>
          </w:p>
        </w:tc>
        <w:tc>
          <w:tcPr>
            <w:tcW w:w="1172" w:type="dxa"/>
            <w:shd w:val="clear" w:color="auto" w:fill="auto"/>
          </w:tcPr>
          <w:p w14:paraId="65E81770" w14:textId="77777777" w:rsidR="0041402A" w:rsidRPr="0029428D" w:rsidRDefault="0041402A" w:rsidP="00417F46">
            <w:pPr>
              <w:pStyle w:val="TableText"/>
              <w:rPr>
                <w:rStyle w:val="Strong"/>
              </w:rPr>
            </w:pPr>
            <w:r w:rsidRPr="0029428D">
              <w:rPr>
                <w:rStyle w:val="Strong"/>
              </w:rPr>
              <w:t>57</w:t>
            </w:r>
          </w:p>
        </w:tc>
      </w:tr>
      <w:tr w:rsidR="0041402A" w:rsidRPr="0029428D" w14:paraId="49FCC21B" w14:textId="77777777" w:rsidTr="00417F46">
        <w:tc>
          <w:tcPr>
            <w:tcW w:w="9226" w:type="dxa"/>
            <w:gridSpan w:val="6"/>
            <w:shd w:val="clear" w:color="auto" w:fill="auto"/>
          </w:tcPr>
          <w:p w14:paraId="6527FC09" w14:textId="77777777" w:rsidR="0041402A" w:rsidRPr="0029428D" w:rsidRDefault="0041402A" w:rsidP="00417F46">
            <w:pPr>
              <w:pStyle w:val="TableText"/>
            </w:pPr>
            <w:r w:rsidRPr="0029428D">
              <w:t>The sample size increased in 2020–21 to 27% of the total supplier population, compared with 12% in 2019–20. Supplier satisfaction increased among both successful and unsuccessful suppliers compared with last year. This is attributed to the provision of clear information to suppliers, openness and responsiveness to questions, and a simple straightforward procurement process. Areas for improvement are the timeliness of procurement processes and helpfulness of feedback for unsuccessful suppliers.</w:t>
            </w:r>
          </w:p>
        </w:tc>
      </w:tr>
      <w:tr w:rsidR="0041402A" w:rsidRPr="0029428D" w14:paraId="4B6BB266" w14:textId="77777777" w:rsidTr="00417F46">
        <w:trPr>
          <w:gridAfter w:val="1"/>
          <w:wAfter w:w="12" w:type="dxa"/>
        </w:trPr>
        <w:tc>
          <w:tcPr>
            <w:tcW w:w="5812" w:type="dxa"/>
            <w:gridSpan w:val="2"/>
            <w:shd w:val="clear" w:color="auto" w:fill="auto"/>
          </w:tcPr>
          <w:p w14:paraId="00AF61AD" w14:textId="77777777" w:rsidR="0041402A" w:rsidRPr="0029428D" w:rsidRDefault="0041402A" w:rsidP="00417F46">
            <w:pPr>
              <w:pStyle w:val="TableText"/>
              <w:rPr>
                <w:rStyle w:val="Strong"/>
              </w:rPr>
            </w:pPr>
            <w:r w:rsidRPr="0029428D">
              <w:rPr>
                <w:rStyle w:val="Strong"/>
              </w:rPr>
              <w:t>Planned procurement activity as a % of actual procurement activity</w:t>
            </w:r>
          </w:p>
        </w:tc>
        <w:tc>
          <w:tcPr>
            <w:tcW w:w="1115" w:type="dxa"/>
            <w:shd w:val="clear" w:color="auto" w:fill="auto"/>
          </w:tcPr>
          <w:p w14:paraId="6342D17C" w14:textId="77777777" w:rsidR="0041402A" w:rsidRPr="0029428D" w:rsidRDefault="0041402A" w:rsidP="00417F46">
            <w:pPr>
              <w:pStyle w:val="TableText"/>
              <w:rPr>
                <w:rStyle w:val="Strong"/>
              </w:rPr>
            </w:pPr>
            <w:r w:rsidRPr="0029428D">
              <w:rPr>
                <w:rStyle w:val="Strong"/>
              </w:rPr>
              <w:t>17.8</w:t>
            </w:r>
          </w:p>
        </w:tc>
        <w:tc>
          <w:tcPr>
            <w:tcW w:w="1115" w:type="dxa"/>
            <w:shd w:val="clear" w:color="auto" w:fill="auto"/>
          </w:tcPr>
          <w:p w14:paraId="156B5F43" w14:textId="77777777" w:rsidR="0041402A" w:rsidRPr="0029428D" w:rsidRDefault="0041402A" w:rsidP="00417F46">
            <w:pPr>
              <w:pStyle w:val="TableText"/>
              <w:rPr>
                <w:rStyle w:val="Strong"/>
              </w:rPr>
            </w:pPr>
            <w:r w:rsidRPr="0029428D">
              <w:rPr>
                <w:rStyle w:val="Strong"/>
              </w:rPr>
              <w:t>71.7</w:t>
            </w:r>
          </w:p>
        </w:tc>
        <w:tc>
          <w:tcPr>
            <w:tcW w:w="1172" w:type="dxa"/>
            <w:shd w:val="clear" w:color="auto" w:fill="auto"/>
          </w:tcPr>
          <w:p w14:paraId="53324AC8" w14:textId="77777777" w:rsidR="0041402A" w:rsidRPr="0029428D" w:rsidRDefault="0041402A" w:rsidP="00417F46">
            <w:pPr>
              <w:pStyle w:val="TableText"/>
              <w:rPr>
                <w:rStyle w:val="Strong"/>
              </w:rPr>
            </w:pPr>
            <w:r w:rsidRPr="0029428D">
              <w:rPr>
                <w:rStyle w:val="Strong"/>
              </w:rPr>
              <w:t>55.6</w:t>
            </w:r>
          </w:p>
        </w:tc>
      </w:tr>
      <w:tr w:rsidR="0041402A" w:rsidRPr="0029428D" w14:paraId="27B472A7" w14:textId="77777777" w:rsidTr="00417F46">
        <w:trPr>
          <w:trHeight w:val="671"/>
        </w:trPr>
        <w:tc>
          <w:tcPr>
            <w:tcW w:w="9226" w:type="dxa"/>
            <w:gridSpan w:val="6"/>
          </w:tcPr>
          <w:p w14:paraId="7DA7C16D" w14:textId="77777777" w:rsidR="0041402A" w:rsidRPr="0029428D" w:rsidRDefault="0041402A" w:rsidP="00417F46">
            <w:pPr>
              <w:pStyle w:val="TableText"/>
            </w:pPr>
            <w:r w:rsidRPr="0029428D">
              <w:t xml:space="preserve">DELWP publishes a procurement activity plan for all planned procurement greater than $500 000. In 2020–21, 72 procurements over $500 000 were conducted, including 22 procurements from an SPC. Forty planned procurements were published in the procurement activity plan. The other significant procurements were not published in the activity plan as they were either not captured by the business or were unplanned at the start of the year due to policy and budget issues. </w:t>
            </w:r>
          </w:p>
        </w:tc>
      </w:tr>
    </w:tbl>
    <w:p w14:paraId="13012487" w14:textId="77777777" w:rsidR="0041402A" w:rsidRPr="0029428D" w:rsidRDefault="0041402A" w:rsidP="0041402A">
      <w:pPr>
        <w:pStyle w:val="Tablenotes"/>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7D40A063" w14:textId="77777777" w:rsidR="000C1A89" w:rsidRDefault="0041402A"/>
    <w:sectPr w:rsidR="000C1A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B727" w14:textId="77777777" w:rsidR="00FC2612" w:rsidRDefault="00FC2612" w:rsidP="00FC2612">
      <w:r>
        <w:separator/>
      </w:r>
    </w:p>
  </w:endnote>
  <w:endnote w:type="continuationSeparator" w:id="0">
    <w:p w14:paraId="78522BD0" w14:textId="77777777" w:rsidR="00FC2612" w:rsidRDefault="00FC2612" w:rsidP="00FC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0B0B" w14:textId="77777777" w:rsidR="00FC2612" w:rsidRDefault="00FC2612">
    <w:pPr>
      <w:pStyle w:val="Footer"/>
    </w:pPr>
    <w:r>
      <w:rPr>
        <w:noProof/>
      </w:rPr>
      <mc:AlternateContent>
        <mc:Choice Requires="wps">
          <w:drawing>
            <wp:anchor distT="0" distB="0" distL="114300" distR="114300" simplePos="0" relativeHeight="251659264" behindDoc="0" locked="0" layoutInCell="0" allowOverlap="1" wp14:anchorId="088E3CB4" wp14:editId="53BB695B">
              <wp:simplePos x="0" y="0"/>
              <wp:positionH relativeFrom="page">
                <wp:posOffset>0</wp:posOffset>
              </wp:positionH>
              <wp:positionV relativeFrom="page">
                <wp:posOffset>10234930</wp:posOffset>
              </wp:positionV>
              <wp:extent cx="7560310" cy="266700"/>
              <wp:effectExtent l="0" t="0" r="0" b="0"/>
              <wp:wrapNone/>
              <wp:docPr id="1" name="MSIPCMb0424d1ea060e5200d50f20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5A917" w14:textId="77777777" w:rsidR="00FC2612" w:rsidRPr="00FC2612" w:rsidRDefault="00FC2612" w:rsidP="00FC2612">
                          <w:pPr>
                            <w:rPr>
                              <w:rFonts w:ascii="Calibri" w:hAnsi="Calibri" w:cs="Calibri"/>
                              <w:color w:val="000000"/>
                              <w:sz w:val="22"/>
                            </w:rPr>
                          </w:pPr>
                          <w:r w:rsidRPr="00FC261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8E3CB4" id="_x0000_t202" coordsize="21600,21600" o:spt="202" path="m,l,21600r21600,l21600,xe">
              <v:stroke joinstyle="miter"/>
              <v:path gradientshapeok="t" o:connecttype="rect"/>
            </v:shapetype>
            <v:shape id="MSIPCMb0424d1ea060e5200d50f20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4sQIAAEgFAAAOAAAAZHJzL2Uyb0RvYy54bWysVEtvEzEQviPxHywfOEF3k+bRhm6qkKpQ&#10;KW0jpahnx+vNrrRru7bTbED8dz57nRQKJ8TFnpfn8c2MLy7bpibPwthKyYz2TlJKhOQqr+Qmo18f&#10;rj+cUWIdkzmrlRQZ3QtLL6dv31zs9ET0VanqXBgCJ9JOdjqjpXN6kiSWl6Jh9kRpIaEslGmYA2s2&#10;SW7YDt6bOumn6SjZKZNro7iwFtKrTkmnwX9RCO7ui8IKR+qMIjcXThPOtT+T6QWbbAzTZcVjGuwf&#10;smhYJRH06OqKOUa2pvrDVVNxo6wq3AlXTaKKouIi1IBqeumralYl0yLUAnCsPsJk/59bfve8NKTK&#10;0TtKJGvQotvVzXJ+u04H/UHeEywdpWIIqPNhWvTTMSW5sBwIfn/3tFXu4xdmy7nKRcdNPvT6o/Eo&#10;PR2mp++jgag2pYvqswFGJCoeq9yVUT48Hx7ly5px0Qh5eNOZXCvlhOno6OBG5qKNDrpraaqGmf1v&#10;VivMAIYz2vXi2weloyQ9Bl6I4hATwh9+NnbaTgDRSgMk135Srccpyi2EvuVtYRp/o5kEekzZ/jhZ&#10;onWEQzgeApMeVBy6/mg0TsPoJS+vtbHus1AN8URGDbIOA8WeF9YhIkwPJj6YVNdVXYfprSXZZXQE&#10;yMODowYvaomHvoYuV0+5dt3GAtYq36Muo7qtsJpfVwi+YNYtmcEaIF+strvHUdQKQVSkKCmV+fY3&#10;ubfHdEJLyQ5rlVH7tGVGUFLfSMxtfzhIUTtxgQNhAnHeGwzArA9SuW3mCiuLoURagfS2rj6QhVHN&#10;I1Z/5sNBxSRH0IyuD+TcgYMCXwcXs1mgsXKauYVcae5dexw9pg/tIzM6Au/Qsjt12Dw2eYV/Z9t1&#10;YLZ1qqhCczyyHZwRcKxr6Fn8Wvx/8CsfrF4+wO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4OJ3ixAgAASAUAAA4A&#10;AAAAAAAAAAAAAAAALgIAAGRycy9lMm9Eb2MueG1sUEsBAi0AFAAGAAgAAAAhAGARxibeAAAACwEA&#10;AA8AAAAAAAAAAAAAAAAACwUAAGRycy9kb3ducmV2LnhtbFBLBQYAAAAABAAEAPMAAAAWBgAAAAA=&#10;" o:allowincell="f" filled="f" stroked="f" strokeweight=".5pt">
              <v:textbox inset="20pt,0,,0">
                <w:txbxContent>
                  <w:p w14:paraId="57C5A917" w14:textId="77777777" w:rsidR="00FC2612" w:rsidRPr="00FC2612" w:rsidRDefault="00FC2612" w:rsidP="00FC2612">
                    <w:pPr>
                      <w:rPr>
                        <w:rFonts w:ascii="Calibri" w:hAnsi="Calibri" w:cs="Calibri"/>
                        <w:color w:val="000000"/>
                        <w:sz w:val="22"/>
                      </w:rPr>
                    </w:pPr>
                    <w:r w:rsidRPr="00FC2612">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5F319" w14:textId="77777777" w:rsidR="00FC2612" w:rsidRDefault="00FC2612" w:rsidP="00FC2612">
      <w:r>
        <w:separator/>
      </w:r>
    </w:p>
  </w:footnote>
  <w:footnote w:type="continuationSeparator" w:id="0">
    <w:p w14:paraId="72E45DDB" w14:textId="77777777" w:rsidR="00FC2612" w:rsidRDefault="00FC2612" w:rsidP="00FC2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12"/>
    <w:rsid w:val="002F268E"/>
    <w:rsid w:val="00341408"/>
    <w:rsid w:val="0041402A"/>
    <w:rsid w:val="00521739"/>
    <w:rsid w:val="00B4701F"/>
    <w:rsid w:val="00E744CF"/>
    <w:rsid w:val="00FC2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8E6"/>
  <w15:chartTrackingRefBased/>
  <w15:docId w15:val="{2DFB3DB8-20D5-409E-B620-D3994D7C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2612"/>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3414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FC2612"/>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FC2612"/>
    <w:rPr>
      <w:rFonts w:ascii="Calibri" w:eastAsia="Times New Roman" w:hAnsi="Calibri" w:cs="Calibri"/>
      <w:b/>
      <w:lang w:eastAsia="en-AU"/>
    </w:rPr>
  </w:style>
  <w:style w:type="character" w:styleId="Strong">
    <w:name w:val="Strong"/>
    <w:uiPriority w:val="22"/>
    <w:qFormat/>
    <w:rsid w:val="00FC2612"/>
    <w:rPr>
      <w:b/>
      <w:bCs/>
    </w:rPr>
  </w:style>
  <w:style w:type="paragraph" w:customStyle="1" w:styleId="TableText">
    <w:name w:val="Table Text"/>
    <w:basedOn w:val="Normal"/>
    <w:link w:val="TableTextChar"/>
    <w:uiPriority w:val="15"/>
    <w:qFormat/>
    <w:rsid w:val="00FC2612"/>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FC2612"/>
    <w:rPr>
      <w:rFonts w:ascii="Calibri" w:hAnsi="Calibri" w:cs="Calibri"/>
      <w:sz w:val="20"/>
      <w:szCs w:val="20"/>
      <w:lang w:val="en-US"/>
    </w:rPr>
  </w:style>
  <w:style w:type="paragraph" w:customStyle="1" w:styleId="TableHeader">
    <w:name w:val="Table Header"/>
    <w:basedOn w:val="TableText"/>
    <w:link w:val="TableHeaderChar"/>
    <w:uiPriority w:val="15"/>
    <w:qFormat/>
    <w:rsid w:val="00FC2612"/>
    <w:pPr>
      <w:keepNext/>
      <w:spacing w:before="40" w:after="40"/>
    </w:pPr>
    <w:rPr>
      <w:sz w:val="24"/>
      <w:szCs w:val="24"/>
    </w:rPr>
  </w:style>
  <w:style w:type="table" w:customStyle="1" w:styleId="TableGrid1">
    <w:name w:val="Table Grid1"/>
    <w:basedOn w:val="TableNormal"/>
    <w:next w:val="TableGrid"/>
    <w:uiPriority w:val="39"/>
    <w:rsid w:val="00FC26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FC2612"/>
    <w:rPr>
      <w:rFonts w:ascii="Calibri" w:hAnsi="Calibri" w:cs="Calibri"/>
      <w:sz w:val="24"/>
      <w:szCs w:val="24"/>
      <w:lang w:val="en-US"/>
    </w:rPr>
  </w:style>
  <w:style w:type="table" w:styleId="TableGrid">
    <w:name w:val="Table Grid"/>
    <w:basedOn w:val="TableNormal"/>
    <w:uiPriority w:val="39"/>
    <w:rsid w:val="00FC2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612"/>
    <w:pPr>
      <w:tabs>
        <w:tab w:val="center" w:pos="4513"/>
        <w:tab w:val="right" w:pos="9026"/>
      </w:tabs>
    </w:pPr>
  </w:style>
  <w:style w:type="character" w:customStyle="1" w:styleId="HeaderChar">
    <w:name w:val="Header Char"/>
    <w:basedOn w:val="DefaultParagraphFont"/>
    <w:link w:val="Header"/>
    <w:uiPriority w:val="99"/>
    <w:rsid w:val="00FC261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FC2612"/>
    <w:pPr>
      <w:tabs>
        <w:tab w:val="center" w:pos="4513"/>
        <w:tab w:val="right" w:pos="9026"/>
      </w:tabs>
    </w:pPr>
  </w:style>
  <w:style w:type="character" w:customStyle="1" w:styleId="FooterChar">
    <w:name w:val="Footer Char"/>
    <w:basedOn w:val="DefaultParagraphFont"/>
    <w:link w:val="Footer"/>
    <w:uiPriority w:val="99"/>
    <w:rsid w:val="00FC2612"/>
    <w:rPr>
      <w:rFonts w:ascii="Arial" w:eastAsia="Times New Roman" w:hAnsi="Arial" w:cs="Times New Roman"/>
      <w:sz w:val="24"/>
      <w:szCs w:val="24"/>
      <w:lang w:eastAsia="en-AU"/>
    </w:rPr>
  </w:style>
  <w:style w:type="character" w:customStyle="1" w:styleId="Heading1Char">
    <w:name w:val="Heading 1 Char"/>
    <w:basedOn w:val="DefaultParagraphFont"/>
    <w:link w:val="Heading1"/>
    <w:uiPriority w:val="9"/>
    <w:rsid w:val="00341408"/>
    <w:rPr>
      <w:rFonts w:asciiTheme="majorHAnsi" w:eastAsiaTheme="majorEastAsia" w:hAnsiTheme="majorHAnsi" w:cstheme="majorBidi"/>
      <w:color w:val="2F5496" w:themeColor="accent1" w:themeShade="BF"/>
      <w:sz w:val="32"/>
      <w:szCs w:val="32"/>
      <w:lang w:eastAsia="en-AU"/>
    </w:rPr>
  </w:style>
  <w:style w:type="paragraph" w:customStyle="1" w:styleId="Tablenotes">
    <w:name w:val="Table notes"/>
    <w:basedOn w:val="Normal"/>
    <w:link w:val="TablenotesChar"/>
    <w:qFormat/>
    <w:rsid w:val="0041402A"/>
    <w:pPr>
      <w:spacing w:before="20"/>
      <w:ind w:left="284"/>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41402A"/>
    <w:rPr>
      <w:rFonts w:ascii="Calibri" w:eastAsia="Calibri" w:hAnsi="Calibri"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18A1353-616C-4CEB-B709-3B9A76E4E2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2021-10-21T05:18:00Z</dcterms:created>
  <dcterms:modified xsi:type="dcterms:W3CDTF">2021-10-21T05:18:00Z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2021-10-21T05:17:13Z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