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09321" w14:textId="4D387FE6" w:rsidR="00A85587" w:rsidRPr="00CE0862" w:rsidRDefault="00A85587" w:rsidP="00CE0862">
      <w:pPr>
        <w:pStyle w:val="Heading1"/>
        <w:ind w:left="720"/>
        <w:rPr>
          <w:rFonts w:cstheme="majorHAnsi"/>
          <w:b/>
          <w:bCs/>
          <w:color w:val="000000" w:themeColor="text1"/>
          <w:sz w:val="28"/>
          <w:szCs w:val="28"/>
        </w:rPr>
      </w:pPr>
      <w:bookmarkStart w:id="0" w:name="_Ref17123217"/>
      <w:bookmarkStart w:id="1" w:name="_Toc17130215"/>
      <w:bookmarkStart w:id="2" w:name="_Toc48837161"/>
      <w:bookmarkStart w:id="3" w:name="_Toc49185551"/>
      <w:bookmarkStart w:id="4" w:name="_Ref51160161"/>
      <w:r w:rsidRPr="00CE0862">
        <w:rPr>
          <w:rFonts w:cstheme="majorHAnsi"/>
          <w:b/>
          <w:bCs/>
          <w:color w:val="000000" w:themeColor="text1"/>
          <w:sz w:val="28"/>
          <w:szCs w:val="28"/>
        </w:rPr>
        <w:t xml:space="preserve">Table </w:t>
      </w:r>
      <w:bookmarkEnd w:id="0"/>
      <w:r w:rsidRPr="00CE0862">
        <w:rPr>
          <w:rFonts w:cstheme="majorHAnsi"/>
          <w:b/>
          <w:bCs/>
          <w:color w:val="000000" w:themeColor="text1"/>
          <w:sz w:val="28"/>
          <w:szCs w:val="28"/>
        </w:rPr>
        <w:t xml:space="preserve">Department of Health and Human Services performance in </w:t>
      </w:r>
      <w:r w:rsidR="00CE0862">
        <w:rPr>
          <w:rFonts w:cstheme="majorHAnsi"/>
          <w:b/>
          <w:bCs/>
          <w:color w:val="000000" w:themeColor="text1"/>
          <w:sz w:val="28"/>
          <w:szCs w:val="28"/>
        </w:rPr>
        <w:br/>
      </w:r>
      <w:r w:rsidRPr="00CE0862">
        <w:rPr>
          <w:rFonts w:cstheme="majorHAnsi"/>
          <w:b/>
          <w:bCs/>
          <w:color w:val="000000" w:themeColor="text1"/>
          <w:sz w:val="28"/>
          <w:szCs w:val="28"/>
        </w:rPr>
        <w:t>20</w:t>
      </w:r>
      <w:bookmarkEnd w:id="1"/>
      <w:bookmarkEnd w:id="2"/>
      <w:bookmarkEnd w:id="3"/>
      <w:bookmarkEnd w:id="4"/>
      <w:r w:rsidR="003E714E">
        <w:rPr>
          <w:rFonts w:cstheme="majorHAnsi"/>
          <w:b/>
          <w:bCs/>
          <w:color w:val="000000" w:themeColor="text1"/>
          <w:sz w:val="28"/>
          <w:szCs w:val="28"/>
        </w:rPr>
        <w:t>20-21</w:t>
      </w:r>
    </w:p>
    <w:p w14:paraId="4DDDFAD3" w14:textId="1FEBC221" w:rsidR="00CE0862" w:rsidRDefault="00CE0862" w:rsidP="00CE0862">
      <w:pPr>
        <w:rPr>
          <w:lang w:val="en-US"/>
        </w:rPr>
      </w:pPr>
    </w:p>
    <w:p w14:paraId="6C915BEF" w14:textId="2C8639AE" w:rsidR="00CE0862" w:rsidRPr="008A4523" w:rsidRDefault="00CE0862" w:rsidP="00CE0862">
      <w:pPr>
        <w:ind w:firstLine="720"/>
        <w:rPr>
          <w:rFonts w:ascii="Calibri" w:eastAsiaTheme="minorHAnsi" w:hAnsi="Calibri" w:cs="Calibri"/>
          <w:sz w:val="20"/>
          <w:szCs w:val="20"/>
          <w:lang w:val="en-US" w:eastAsia="en-US"/>
        </w:rPr>
      </w:pPr>
      <w:r w:rsidRPr="008A4523">
        <w:rPr>
          <w:rFonts w:ascii="Calibri" w:eastAsiaTheme="minorHAnsi" w:hAnsi="Calibri" w:cs="Calibri"/>
          <w:sz w:val="20"/>
          <w:szCs w:val="20"/>
          <w:lang w:val="en-US" w:eastAsia="en-US"/>
        </w:rPr>
        <w:t xml:space="preserve">Extract from Victorian Government Purchasing Board </w:t>
      </w:r>
      <w:r w:rsidR="00544E19">
        <w:rPr>
          <w:rFonts w:ascii="Calibri" w:eastAsiaTheme="minorHAnsi" w:hAnsi="Calibri" w:cs="Calibri"/>
          <w:sz w:val="20"/>
          <w:szCs w:val="20"/>
          <w:lang w:val="en-US" w:eastAsia="en-US"/>
        </w:rPr>
        <w:t xml:space="preserve">Annual Report </w:t>
      </w:r>
      <w:r w:rsidRPr="008A4523">
        <w:rPr>
          <w:rFonts w:ascii="Calibri" w:eastAsiaTheme="minorHAnsi" w:hAnsi="Calibri" w:cs="Calibri"/>
          <w:sz w:val="20"/>
          <w:szCs w:val="20"/>
          <w:lang w:val="en-US" w:eastAsia="en-US"/>
        </w:rPr>
        <w:t>20</w:t>
      </w:r>
      <w:r w:rsidR="003E714E">
        <w:rPr>
          <w:rFonts w:ascii="Calibri" w:eastAsiaTheme="minorHAnsi" w:hAnsi="Calibri" w:cs="Calibri"/>
          <w:sz w:val="20"/>
          <w:szCs w:val="20"/>
          <w:lang w:val="en-US" w:eastAsia="en-US"/>
        </w:rPr>
        <w:t>20-21</w:t>
      </w:r>
    </w:p>
    <w:p w14:paraId="20D57FB9" w14:textId="77777777" w:rsidR="00CE0862" w:rsidRPr="00CE0862" w:rsidRDefault="00CE0862" w:rsidP="00CE0862">
      <w:pPr>
        <w:rPr>
          <w:lang w:val="en-US"/>
        </w:rPr>
      </w:pPr>
    </w:p>
    <w:tbl>
      <w:tblPr>
        <w:tblStyle w:val="TableGrid1"/>
        <w:tblW w:w="9084" w:type="dxa"/>
        <w:tblInd w:w="279" w:type="dxa"/>
        <w:tblLook w:val="04A0" w:firstRow="1" w:lastRow="0" w:firstColumn="1" w:lastColumn="0" w:noHBand="0" w:noVBand="1"/>
      </w:tblPr>
      <w:tblGrid>
        <w:gridCol w:w="2980"/>
        <w:gridCol w:w="2548"/>
        <w:gridCol w:w="1105"/>
        <w:gridCol w:w="1163"/>
        <w:gridCol w:w="1276"/>
        <w:gridCol w:w="12"/>
      </w:tblGrid>
      <w:tr w:rsidR="003E714E" w:rsidRPr="0029428D" w14:paraId="4F39C4A2" w14:textId="77777777" w:rsidTr="00417F46">
        <w:trPr>
          <w:gridAfter w:val="1"/>
          <w:wAfter w:w="12" w:type="dxa"/>
        </w:trPr>
        <w:tc>
          <w:tcPr>
            <w:tcW w:w="5528" w:type="dxa"/>
            <w:gridSpan w:val="2"/>
            <w:vMerge w:val="restart"/>
          </w:tcPr>
          <w:p w14:paraId="141D97B6" w14:textId="77777777" w:rsidR="003E714E" w:rsidRPr="0029428D" w:rsidRDefault="003E714E" w:rsidP="00417F46">
            <w:pPr>
              <w:pStyle w:val="TableHeader"/>
            </w:pPr>
            <w:r w:rsidRPr="0029428D">
              <w:t>Performance measure</w:t>
            </w:r>
          </w:p>
        </w:tc>
        <w:tc>
          <w:tcPr>
            <w:tcW w:w="1105" w:type="dxa"/>
          </w:tcPr>
          <w:p w14:paraId="4E51E12E" w14:textId="77777777" w:rsidR="003E714E" w:rsidRPr="0029428D" w:rsidRDefault="003E714E" w:rsidP="00417F46">
            <w:pPr>
              <w:pStyle w:val="TableHeader"/>
            </w:pPr>
            <w:r w:rsidRPr="0029428D">
              <w:t xml:space="preserve">2018–19 </w:t>
            </w:r>
          </w:p>
        </w:tc>
        <w:tc>
          <w:tcPr>
            <w:tcW w:w="1163" w:type="dxa"/>
          </w:tcPr>
          <w:p w14:paraId="3638872A" w14:textId="77777777" w:rsidR="003E714E" w:rsidRPr="0029428D" w:rsidRDefault="003E714E" w:rsidP="00417F46">
            <w:pPr>
              <w:pStyle w:val="TableHeader"/>
            </w:pPr>
            <w:r w:rsidRPr="0029428D">
              <w:t>2019–20</w:t>
            </w:r>
          </w:p>
        </w:tc>
        <w:tc>
          <w:tcPr>
            <w:tcW w:w="1276" w:type="dxa"/>
          </w:tcPr>
          <w:p w14:paraId="31A62DDA" w14:textId="77777777" w:rsidR="003E714E" w:rsidRPr="0029428D" w:rsidRDefault="003E714E" w:rsidP="00417F46">
            <w:pPr>
              <w:pStyle w:val="TableHeader"/>
            </w:pPr>
            <w:r w:rsidRPr="0029428D">
              <w:t>2020–21</w:t>
            </w:r>
          </w:p>
        </w:tc>
      </w:tr>
      <w:tr w:rsidR="003E714E" w:rsidRPr="0029428D" w14:paraId="27226531" w14:textId="77777777" w:rsidTr="00417F46">
        <w:trPr>
          <w:gridAfter w:val="1"/>
          <w:wAfter w:w="12" w:type="dxa"/>
        </w:trPr>
        <w:tc>
          <w:tcPr>
            <w:tcW w:w="5528" w:type="dxa"/>
            <w:gridSpan w:val="2"/>
            <w:vMerge/>
          </w:tcPr>
          <w:p w14:paraId="76395CC8" w14:textId="77777777" w:rsidR="003E714E" w:rsidRPr="0029428D" w:rsidRDefault="003E714E" w:rsidP="00417F46">
            <w:pPr>
              <w:pStyle w:val="TableHeader"/>
            </w:pPr>
          </w:p>
        </w:tc>
        <w:tc>
          <w:tcPr>
            <w:tcW w:w="3544" w:type="dxa"/>
            <w:gridSpan w:val="3"/>
          </w:tcPr>
          <w:p w14:paraId="11A94E02" w14:textId="77777777" w:rsidR="003E714E" w:rsidRPr="0029428D" w:rsidRDefault="003E714E" w:rsidP="00417F46">
            <w:pPr>
              <w:pStyle w:val="TableHeader"/>
            </w:pPr>
            <w:r w:rsidRPr="0029428D">
              <w:t>(%)</w:t>
            </w:r>
          </w:p>
        </w:tc>
      </w:tr>
      <w:tr w:rsidR="003E714E" w:rsidRPr="0029428D" w14:paraId="18F6A254" w14:textId="77777777" w:rsidTr="00417F46">
        <w:trPr>
          <w:gridAfter w:val="1"/>
          <w:wAfter w:w="12" w:type="dxa"/>
        </w:trPr>
        <w:tc>
          <w:tcPr>
            <w:tcW w:w="5528" w:type="dxa"/>
            <w:gridSpan w:val="2"/>
          </w:tcPr>
          <w:p w14:paraId="6D90C0B2" w14:textId="77777777" w:rsidR="003E714E" w:rsidRPr="0029428D" w:rsidRDefault="003E714E" w:rsidP="00417F46">
            <w:pPr>
              <w:pStyle w:val="TableText"/>
              <w:rPr>
                <w:rStyle w:val="Strong"/>
              </w:rPr>
            </w:pPr>
            <w:r w:rsidRPr="0029428D">
              <w:rPr>
                <w:rStyle w:val="Strong"/>
              </w:rPr>
              <w:t>Value created from department procurement activity</w:t>
            </w:r>
          </w:p>
        </w:tc>
        <w:tc>
          <w:tcPr>
            <w:tcW w:w="1105" w:type="dxa"/>
          </w:tcPr>
          <w:p w14:paraId="653D59D5" w14:textId="77777777" w:rsidR="003E714E" w:rsidRPr="0029428D" w:rsidRDefault="003E714E" w:rsidP="00417F46">
            <w:pPr>
              <w:pStyle w:val="TableText"/>
              <w:rPr>
                <w:rStyle w:val="Strong"/>
              </w:rPr>
            </w:pPr>
            <w:r w:rsidRPr="0029428D">
              <w:rPr>
                <w:rStyle w:val="Strong"/>
              </w:rPr>
              <w:t>2.0</w:t>
            </w:r>
          </w:p>
        </w:tc>
        <w:tc>
          <w:tcPr>
            <w:tcW w:w="1163" w:type="dxa"/>
          </w:tcPr>
          <w:p w14:paraId="7DAC333E" w14:textId="77777777" w:rsidR="003E714E" w:rsidRPr="0029428D" w:rsidRDefault="003E714E" w:rsidP="00417F46">
            <w:pPr>
              <w:pStyle w:val="TableText"/>
              <w:rPr>
                <w:rStyle w:val="Strong"/>
              </w:rPr>
            </w:pPr>
            <w:r w:rsidRPr="0029428D">
              <w:rPr>
                <w:rStyle w:val="Strong"/>
              </w:rPr>
              <w:t>4.1</w:t>
            </w:r>
          </w:p>
        </w:tc>
        <w:tc>
          <w:tcPr>
            <w:tcW w:w="1276" w:type="dxa"/>
          </w:tcPr>
          <w:p w14:paraId="5236BCD2" w14:textId="77777777" w:rsidR="003E714E" w:rsidRPr="0029428D" w:rsidRDefault="003E714E" w:rsidP="00417F46">
            <w:pPr>
              <w:pStyle w:val="TableText"/>
              <w:rPr>
                <w:rStyle w:val="Strong"/>
              </w:rPr>
            </w:pPr>
            <w:r w:rsidRPr="0029428D">
              <w:rPr>
                <w:rStyle w:val="Strong"/>
              </w:rPr>
              <w:t>2.8</w:t>
            </w:r>
          </w:p>
        </w:tc>
      </w:tr>
      <w:tr w:rsidR="003E714E" w:rsidRPr="0029428D" w14:paraId="413B3BA9" w14:textId="77777777" w:rsidTr="00417F46">
        <w:trPr>
          <w:trHeight w:val="343"/>
        </w:trPr>
        <w:tc>
          <w:tcPr>
            <w:tcW w:w="9084" w:type="dxa"/>
            <w:gridSpan w:val="6"/>
          </w:tcPr>
          <w:p w14:paraId="48BE226B" w14:textId="77777777" w:rsidR="003E714E" w:rsidRPr="0029428D" w:rsidRDefault="003E714E" w:rsidP="00417F46">
            <w:pPr>
              <w:pStyle w:val="TableText"/>
            </w:pPr>
            <w:r w:rsidRPr="0029428D">
              <w:rPr>
                <w:lang w:val="en-AU"/>
              </w:rPr>
              <w:t xml:space="preserve">Value created </w:t>
            </w:r>
            <w:r w:rsidRPr="0029428D">
              <w:t>decreased from last year but was still seen as a good performance considering the large amount of contracted spend. The departments’ focus has been to target procurement support on high-value projects where savings can be significant. This approach will continue with procurement planning to help target key projects.</w:t>
            </w:r>
          </w:p>
        </w:tc>
      </w:tr>
      <w:tr w:rsidR="003E714E" w:rsidRPr="0029428D" w14:paraId="45E528CE" w14:textId="77777777" w:rsidTr="00417F46">
        <w:trPr>
          <w:gridAfter w:val="1"/>
          <w:wAfter w:w="12" w:type="dxa"/>
        </w:trPr>
        <w:tc>
          <w:tcPr>
            <w:tcW w:w="5528" w:type="dxa"/>
            <w:gridSpan w:val="2"/>
          </w:tcPr>
          <w:p w14:paraId="186CA59A" w14:textId="77777777" w:rsidR="003E714E" w:rsidRPr="0029428D" w:rsidRDefault="003E714E" w:rsidP="00417F46">
            <w:pPr>
              <w:pStyle w:val="TableText"/>
              <w:rPr>
                <w:rStyle w:val="Strong"/>
              </w:rPr>
            </w:pPr>
            <w:r w:rsidRPr="0029428D">
              <w:rPr>
                <w:rStyle w:val="Strong"/>
              </w:rPr>
              <w:t>Managed spend</w:t>
            </w:r>
          </w:p>
        </w:tc>
        <w:tc>
          <w:tcPr>
            <w:tcW w:w="1105" w:type="dxa"/>
            <w:shd w:val="clear" w:color="auto" w:fill="FFFFFF" w:themeFill="background1"/>
          </w:tcPr>
          <w:p w14:paraId="1B19CB4E" w14:textId="77777777" w:rsidR="003E714E" w:rsidRPr="0029428D" w:rsidRDefault="003E714E" w:rsidP="00417F46">
            <w:pPr>
              <w:pStyle w:val="TableText"/>
              <w:rPr>
                <w:rStyle w:val="Strong"/>
              </w:rPr>
            </w:pPr>
            <w:r w:rsidRPr="0029428D">
              <w:rPr>
                <w:rStyle w:val="Strong"/>
              </w:rPr>
              <w:t>n/a</w:t>
            </w:r>
          </w:p>
        </w:tc>
        <w:tc>
          <w:tcPr>
            <w:tcW w:w="1163" w:type="dxa"/>
            <w:shd w:val="clear" w:color="auto" w:fill="FFFFFF" w:themeFill="background1"/>
          </w:tcPr>
          <w:p w14:paraId="47993851" w14:textId="77777777" w:rsidR="003E714E" w:rsidRPr="0029428D" w:rsidRDefault="003E714E" w:rsidP="00417F46">
            <w:pPr>
              <w:pStyle w:val="TableText"/>
              <w:rPr>
                <w:rStyle w:val="Strong"/>
              </w:rPr>
            </w:pPr>
            <w:r w:rsidRPr="0029428D">
              <w:rPr>
                <w:rStyle w:val="Strong"/>
              </w:rPr>
              <w:t>93.0</w:t>
            </w:r>
          </w:p>
        </w:tc>
        <w:tc>
          <w:tcPr>
            <w:tcW w:w="1276" w:type="dxa"/>
          </w:tcPr>
          <w:p w14:paraId="5C12521E" w14:textId="77777777" w:rsidR="003E714E" w:rsidRPr="0029428D" w:rsidRDefault="003E714E" w:rsidP="00417F46">
            <w:pPr>
              <w:pStyle w:val="TableText"/>
              <w:rPr>
                <w:rStyle w:val="Strong"/>
              </w:rPr>
            </w:pPr>
            <w:r w:rsidRPr="0029428D">
              <w:rPr>
                <w:rStyle w:val="Strong"/>
              </w:rPr>
              <w:t>66.3</w:t>
            </w:r>
          </w:p>
        </w:tc>
      </w:tr>
      <w:tr w:rsidR="003E714E" w:rsidRPr="0029428D" w14:paraId="61ACDD69" w14:textId="77777777" w:rsidTr="00417F46">
        <w:tc>
          <w:tcPr>
            <w:tcW w:w="9084" w:type="dxa"/>
            <w:gridSpan w:val="6"/>
          </w:tcPr>
          <w:p w14:paraId="035B53DC" w14:textId="77777777" w:rsidR="003E714E" w:rsidRPr="0029428D" w:rsidRDefault="003E714E" w:rsidP="00417F46">
            <w:pPr>
              <w:pStyle w:val="TableText"/>
            </w:pPr>
            <w:r w:rsidRPr="0029428D">
              <w:t xml:space="preserve">Managed spend decreased this year due to the significant increase in expenditure related to DH’s role as the lead agency in the response to the COVID-19 pandemic. Responding to the urgent needs of the pandemic meant that central procurement could not always be involved. </w:t>
            </w:r>
          </w:p>
        </w:tc>
      </w:tr>
      <w:tr w:rsidR="003E714E" w:rsidRPr="0029428D" w14:paraId="2EEA10AF" w14:textId="77777777" w:rsidTr="00417F46">
        <w:trPr>
          <w:gridAfter w:val="1"/>
          <w:wAfter w:w="12" w:type="dxa"/>
        </w:trPr>
        <w:tc>
          <w:tcPr>
            <w:tcW w:w="5528" w:type="dxa"/>
            <w:gridSpan w:val="2"/>
          </w:tcPr>
          <w:p w14:paraId="3FB6F1B7" w14:textId="77777777" w:rsidR="003E714E" w:rsidRPr="0029428D" w:rsidRDefault="003E714E" w:rsidP="00417F46">
            <w:pPr>
              <w:pStyle w:val="TableText"/>
              <w:rPr>
                <w:rStyle w:val="Strong"/>
              </w:rPr>
            </w:pPr>
            <w:r w:rsidRPr="0029428D">
              <w:rPr>
                <w:rStyle w:val="Strong"/>
              </w:rPr>
              <w:t>Increase in procurement capability</w:t>
            </w:r>
          </w:p>
        </w:tc>
        <w:tc>
          <w:tcPr>
            <w:tcW w:w="1105" w:type="dxa"/>
          </w:tcPr>
          <w:p w14:paraId="6863DAE3" w14:textId="77777777" w:rsidR="003E714E" w:rsidRPr="0029428D" w:rsidRDefault="003E714E" w:rsidP="00417F46">
            <w:pPr>
              <w:pStyle w:val="TableText"/>
              <w:rPr>
                <w:rStyle w:val="Strong"/>
              </w:rPr>
            </w:pPr>
            <w:r w:rsidRPr="0029428D">
              <w:rPr>
                <w:rStyle w:val="Strong"/>
              </w:rPr>
              <w:t>−4.0</w:t>
            </w:r>
          </w:p>
        </w:tc>
        <w:tc>
          <w:tcPr>
            <w:tcW w:w="1163" w:type="dxa"/>
          </w:tcPr>
          <w:p w14:paraId="59D11566" w14:textId="77777777" w:rsidR="003E714E" w:rsidRPr="0029428D" w:rsidRDefault="003E714E" w:rsidP="00417F46">
            <w:pPr>
              <w:pStyle w:val="TableText"/>
              <w:rPr>
                <w:rStyle w:val="Strong"/>
              </w:rPr>
            </w:pPr>
            <w:r w:rsidRPr="0029428D">
              <w:rPr>
                <w:rStyle w:val="Strong"/>
              </w:rPr>
              <w:t>2.8</w:t>
            </w:r>
          </w:p>
        </w:tc>
        <w:tc>
          <w:tcPr>
            <w:tcW w:w="1276" w:type="dxa"/>
          </w:tcPr>
          <w:p w14:paraId="452EC937" w14:textId="77777777" w:rsidR="003E714E" w:rsidRPr="0029428D" w:rsidRDefault="003E714E" w:rsidP="00417F46">
            <w:pPr>
              <w:pStyle w:val="TableText"/>
              <w:rPr>
                <w:rStyle w:val="Strong"/>
              </w:rPr>
            </w:pPr>
            <w:r w:rsidRPr="0029428D">
              <w:rPr>
                <w:rStyle w:val="Strong"/>
              </w:rPr>
              <w:t>0.0</w:t>
            </w:r>
          </w:p>
        </w:tc>
      </w:tr>
      <w:tr w:rsidR="003E714E" w:rsidRPr="0029428D" w14:paraId="550B3578" w14:textId="77777777" w:rsidTr="00417F46">
        <w:tc>
          <w:tcPr>
            <w:tcW w:w="9084" w:type="dxa"/>
            <w:gridSpan w:val="6"/>
          </w:tcPr>
          <w:p w14:paraId="648ECAE9" w14:textId="77777777" w:rsidR="003E714E" w:rsidRPr="0029428D" w:rsidRDefault="003E714E" w:rsidP="00417F46">
            <w:pPr>
              <w:pStyle w:val="TableText"/>
            </w:pPr>
            <w:r w:rsidRPr="0029428D">
              <w:t>DH/DFFH maintained its strong commitment to capability scoring almost full marks for the second year in a row (148 out of 150). The department has a strong focus on continuous improvement and professional development and has now included the newly released VGPB capability development framework as part of the standard professional development process for procurement officers.</w:t>
            </w:r>
          </w:p>
        </w:tc>
      </w:tr>
      <w:tr w:rsidR="003E714E" w:rsidRPr="0029428D" w14:paraId="7FD0A93E" w14:textId="77777777" w:rsidTr="00417F46">
        <w:trPr>
          <w:gridAfter w:val="1"/>
          <w:wAfter w:w="12" w:type="dxa"/>
        </w:trPr>
        <w:tc>
          <w:tcPr>
            <w:tcW w:w="2980" w:type="dxa"/>
            <w:vMerge w:val="restart"/>
          </w:tcPr>
          <w:p w14:paraId="2A0F1ADB" w14:textId="77777777" w:rsidR="003E714E" w:rsidRPr="0029428D" w:rsidRDefault="003E714E" w:rsidP="00417F46">
            <w:pPr>
              <w:pStyle w:val="TableText"/>
              <w:rPr>
                <w:rStyle w:val="Strong"/>
              </w:rPr>
            </w:pPr>
            <w:r w:rsidRPr="0029428D">
              <w:rPr>
                <w:rStyle w:val="Strong"/>
              </w:rPr>
              <w:t>Supplier satisfaction assessment</w:t>
            </w:r>
          </w:p>
        </w:tc>
        <w:tc>
          <w:tcPr>
            <w:tcW w:w="2548" w:type="dxa"/>
          </w:tcPr>
          <w:p w14:paraId="20860A5E" w14:textId="77777777" w:rsidR="003E714E" w:rsidRPr="0029428D" w:rsidRDefault="003E714E" w:rsidP="00417F46">
            <w:pPr>
              <w:pStyle w:val="TableText"/>
              <w:rPr>
                <w:rStyle w:val="Strong"/>
              </w:rPr>
            </w:pPr>
            <w:r w:rsidRPr="0029428D">
              <w:rPr>
                <w:rStyle w:val="Strong"/>
              </w:rPr>
              <w:t>Successful satisfied</w:t>
            </w:r>
          </w:p>
        </w:tc>
        <w:tc>
          <w:tcPr>
            <w:tcW w:w="1105" w:type="dxa"/>
          </w:tcPr>
          <w:p w14:paraId="51488493" w14:textId="77777777" w:rsidR="003E714E" w:rsidRPr="0029428D" w:rsidRDefault="003E714E" w:rsidP="00417F46">
            <w:pPr>
              <w:pStyle w:val="TableText"/>
              <w:rPr>
                <w:rStyle w:val="Strong"/>
              </w:rPr>
            </w:pPr>
            <w:r w:rsidRPr="0029428D">
              <w:rPr>
                <w:rStyle w:val="Strong"/>
              </w:rPr>
              <w:t>74</w:t>
            </w:r>
          </w:p>
        </w:tc>
        <w:tc>
          <w:tcPr>
            <w:tcW w:w="1163" w:type="dxa"/>
          </w:tcPr>
          <w:p w14:paraId="6612DFBB" w14:textId="77777777" w:rsidR="003E714E" w:rsidRPr="0029428D" w:rsidRDefault="003E714E" w:rsidP="00417F46">
            <w:pPr>
              <w:pStyle w:val="TableText"/>
              <w:rPr>
                <w:rStyle w:val="Strong"/>
              </w:rPr>
            </w:pPr>
            <w:r w:rsidRPr="0029428D">
              <w:rPr>
                <w:rStyle w:val="Strong"/>
              </w:rPr>
              <w:t>83</w:t>
            </w:r>
          </w:p>
        </w:tc>
        <w:tc>
          <w:tcPr>
            <w:tcW w:w="1276" w:type="dxa"/>
          </w:tcPr>
          <w:p w14:paraId="7D1DEB16" w14:textId="77777777" w:rsidR="003E714E" w:rsidRPr="0029428D" w:rsidRDefault="003E714E" w:rsidP="00417F46">
            <w:pPr>
              <w:pStyle w:val="TableText"/>
              <w:rPr>
                <w:rStyle w:val="Strong"/>
              </w:rPr>
            </w:pPr>
            <w:r w:rsidRPr="0029428D">
              <w:rPr>
                <w:rStyle w:val="Strong"/>
              </w:rPr>
              <w:t>90</w:t>
            </w:r>
          </w:p>
        </w:tc>
      </w:tr>
      <w:tr w:rsidR="003E714E" w:rsidRPr="0029428D" w14:paraId="08A2F2D3" w14:textId="77777777" w:rsidTr="00417F46">
        <w:trPr>
          <w:gridAfter w:val="1"/>
          <w:wAfter w:w="12" w:type="dxa"/>
        </w:trPr>
        <w:tc>
          <w:tcPr>
            <w:tcW w:w="2980" w:type="dxa"/>
            <w:vMerge/>
          </w:tcPr>
          <w:p w14:paraId="02F9B247" w14:textId="77777777" w:rsidR="003E714E" w:rsidRPr="0029428D" w:rsidRDefault="003E714E" w:rsidP="00417F46">
            <w:pPr>
              <w:pStyle w:val="TableText"/>
              <w:rPr>
                <w:rStyle w:val="Strong"/>
              </w:rPr>
            </w:pPr>
          </w:p>
        </w:tc>
        <w:tc>
          <w:tcPr>
            <w:tcW w:w="2548" w:type="dxa"/>
          </w:tcPr>
          <w:p w14:paraId="4038FFEC" w14:textId="77777777" w:rsidR="003E714E" w:rsidRPr="0029428D" w:rsidRDefault="003E714E" w:rsidP="00417F46">
            <w:pPr>
              <w:pStyle w:val="TableText"/>
              <w:rPr>
                <w:rStyle w:val="Strong"/>
              </w:rPr>
            </w:pPr>
            <w:r w:rsidRPr="0029428D">
              <w:rPr>
                <w:rStyle w:val="Strong"/>
              </w:rPr>
              <w:t>Unsuccessful satisfied</w:t>
            </w:r>
          </w:p>
        </w:tc>
        <w:tc>
          <w:tcPr>
            <w:tcW w:w="1105" w:type="dxa"/>
          </w:tcPr>
          <w:p w14:paraId="65BEC811" w14:textId="77777777" w:rsidR="003E714E" w:rsidRPr="0029428D" w:rsidRDefault="003E714E" w:rsidP="00417F46">
            <w:pPr>
              <w:pStyle w:val="TableText"/>
              <w:rPr>
                <w:rStyle w:val="Strong"/>
              </w:rPr>
            </w:pPr>
            <w:r w:rsidRPr="0029428D">
              <w:rPr>
                <w:rStyle w:val="Strong"/>
              </w:rPr>
              <w:t>73</w:t>
            </w:r>
          </w:p>
        </w:tc>
        <w:tc>
          <w:tcPr>
            <w:tcW w:w="1163" w:type="dxa"/>
          </w:tcPr>
          <w:p w14:paraId="630E2205" w14:textId="77777777" w:rsidR="003E714E" w:rsidRPr="0029428D" w:rsidRDefault="003E714E" w:rsidP="00417F46">
            <w:pPr>
              <w:pStyle w:val="TableText"/>
              <w:rPr>
                <w:rStyle w:val="Strong"/>
              </w:rPr>
            </w:pPr>
            <w:r w:rsidRPr="0029428D">
              <w:rPr>
                <w:rStyle w:val="Strong"/>
              </w:rPr>
              <w:t>38</w:t>
            </w:r>
          </w:p>
        </w:tc>
        <w:tc>
          <w:tcPr>
            <w:tcW w:w="1276" w:type="dxa"/>
          </w:tcPr>
          <w:p w14:paraId="303BFE99" w14:textId="77777777" w:rsidR="003E714E" w:rsidRPr="0029428D" w:rsidRDefault="003E714E" w:rsidP="00417F46">
            <w:pPr>
              <w:pStyle w:val="TableText"/>
              <w:rPr>
                <w:rStyle w:val="Strong"/>
              </w:rPr>
            </w:pPr>
            <w:r w:rsidRPr="0029428D">
              <w:rPr>
                <w:rStyle w:val="Strong"/>
              </w:rPr>
              <w:t>33</w:t>
            </w:r>
          </w:p>
        </w:tc>
      </w:tr>
      <w:tr w:rsidR="003E714E" w:rsidRPr="0029428D" w14:paraId="32B1FB7D" w14:textId="77777777" w:rsidTr="00417F46">
        <w:tc>
          <w:tcPr>
            <w:tcW w:w="9084" w:type="dxa"/>
            <w:gridSpan w:val="6"/>
          </w:tcPr>
          <w:p w14:paraId="6E4A47D0" w14:textId="77777777" w:rsidR="003E714E" w:rsidRPr="0029428D" w:rsidRDefault="003E714E" w:rsidP="00417F46">
            <w:pPr>
              <w:pStyle w:val="TableText"/>
            </w:pPr>
            <w:r w:rsidRPr="0029428D">
              <w:t xml:space="preserve">The department sends the survey to all suppliers at the end of the procurement process but had a low response rate this year. This could be because suppliers were busy responding to the department’s extensive and numerous requirements. DH will monitor the response rate in 2021–22 and review if further action is needed to increase the response rate. </w:t>
            </w:r>
          </w:p>
        </w:tc>
      </w:tr>
      <w:tr w:rsidR="003E714E" w:rsidRPr="0029428D" w14:paraId="35865215" w14:textId="77777777" w:rsidTr="00417F46">
        <w:trPr>
          <w:gridAfter w:val="1"/>
          <w:wAfter w:w="12" w:type="dxa"/>
        </w:trPr>
        <w:tc>
          <w:tcPr>
            <w:tcW w:w="5528" w:type="dxa"/>
            <w:gridSpan w:val="2"/>
          </w:tcPr>
          <w:p w14:paraId="7109A6E0" w14:textId="77777777" w:rsidR="003E714E" w:rsidRPr="0029428D" w:rsidRDefault="003E714E" w:rsidP="00417F46">
            <w:pPr>
              <w:pStyle w:val="TableText"/>
              <w:rPr>
                <w:rStyle w:val="Strong"/>
              </w:rPr>
            </w:pPr>
            <w:r w:rsidRPr="0029428D">
              <w:rPr>
                <w:rStyle w:val="Strong"/>
              </w:rPr>
              <w:t>Planned procurement activity as a % of actual procurement activity</w:t>
            </w:r>
          </w:p>
        </w:tc>
        <w:tc>
          <w:tcPr>
            <w:tcW w:w="1105" w:type="dxa"/>
          </w:tcPr>
          <w:p w14:paraId="1A53CF9F" w14:textId="77777777" w:rsidR="003E714E" w:rsidRPr="0029428D" w:rsidRDefault="003E714E" w:rsidP="00417F46">
            <w:pPr>
              <w:pStyle w:val="TableText"/>
              <w:rPr>
                <w:rStyle w:val="Strong"/>
              </w:rPr>
            </w:pPr>
            <w:r w:rsidRPr="0029428D">
              <w:rPr>
                <w:rStyle w:val="Strong"/>
              </w:rPr>
              <w:t>11.6</w:t>
            </w:r>
          </w:p>
        </w:tc>
        <w:tc>
          <w:tcPr>
            <w:tcW w:w="1163" w:type="dxa"/>
          </w:tcPr>
          <w:p w14:paraId="1C50BE23" w14:textId="77777777" w:rsidR="003E714E" w:rsidRPr="0029428D" w:rsidRDefault="003E714E" w:rsidP="00417F46">
            <w:pPr>
              <w:pStyle w:val="TableText"/>
              <w:rPr>
                <w:rStyle w:val="Strong"/>
              </w:rPr>
            </w:pPr>
            <w:r w:rsidRPr="0029428D">
              <w:rPr>
                <w:rStyle w:val="Strong"/>
              </w:rPr>
              <w:t>22.4</w:t>
            </w:r>
          </w:p>
        </w:tc>
        <w:tc>
          <w:tcPr>
            <w:tcW w:w="1276" w:type="dxa"/>
          </w:tcPr>
          <w:p w14:paraId="609B011B" w14:textId="77777777" w:rsidR="003E714E" w:rsidRPr="0029428D" w:rsidRDefault="003E714E" w:rsidP="00417F46">
            <w:pPr>
              <w:pStyle w:val="TableText"/>
              <w:rPr>
                <w:rStyle w:val="Strong"/>
              </w:rPr>
            </w:pPr>
            <w:r w:rsidRPr="0029428D">
              <w:rPr>
                <w:rStyle w:val="Strong"/>
              </w:rPr>
              <w:t>24.5</w:t>
            </w:r>
          </w:p>
        </w:tc>
      </w:tr>
      <w:tr w:rsidR="003E714E" w:rsidRPr="0029428D" w14:paraId="2FF6A4B0" w14:textId="77777777" w:rsidTr="00417F46">
        <w:tc>
          <w:tcPr>
            <w:tcW w:w="9084" w:type="dxa"/>
            <w:gridSpan w:val="6"/>
          </w:tcPr>
          <w:p w14:paraId="7D07D155" w14:textId="77777777" w:rsidR="003E714E" w:rsidRPr="0029428D" w:rsidRDefault="003E714E" w:rsidP="00417F46">
            <w:pPr>
              <w:pStyle w:val="TableText"/>
            </w:pPr>
            <w:r w:rsidRPr="0029428D">
              <w:t xml:space="preserve">DH/DFFH continues to improve its Relationship Management Model, strengthening the relationship between the central procurement team and business partners and increasing its ability to forward plan procurement activity. This is reflected in the year-on-year improvement in this performance measure. </w:t>
            </w:r>
          </w:p>
        </w:tc>
      </w:tr>
    </w:tbl>
    <w:p w14:paraId="72535A7A" w14:textId="77777777" w:rsidR="003E714E" w:rsidRPr="0029428D" w:rsidRDefault="003E714E" w:rsidP="003E714E">
      <w:pPr>
        <w:pStyle w:val="Tablenotes"/>
      </w:pPr>
      <w:r w:rsidRPr="0029428D">
        <w:t xml:space="preserve">Refer to </w:t>
      </w:r>
      <w:r w:rsidRPr="0029428D">
        <w:rPr>
          <w:i/>
          <w:iCs/>
        </w:rPr>
        <w:fldChar w:fldCharType="begin"/>
      </w:r>
      <w:r w:rsidRPr="0029428D">
        <w:rPr>
          <w:i/>
          <w:iCs/>
        </w:rPr>
        <w:instrText xml:space="preserve"> REF _Ref80607952 \h  \* MERGEFORMAT </w:instrText>
      </w:r>
      <w:r w:rsidRPr="0029428D">
        <w:rPr>
          <w:i/>
          <w:iCs/>
        </w:rPr>
      </w:r>
      <w:r w:rsidRPr="0029428D">
        <w:rPr>
          <w:i/>
          <w:iCs/>
        </w:rPr>
        <w:fldChar w:fldCharType="separate"/>
      </w:r>
      <w:r w:rsidRPr="0029428D">
        <w:rPr>
          <w:i/>
          <w:iCs/>
        </w:rPr>
        <w:t xml:space="preserve">Table </w:t>
      </w:r>
      <w:r w:rsidRPr="0029428D">
        <w:rPr>
          <w:i/>
          <w:iCs/>
          <w:noProof/>
        </w:rPr>
        <w:t>11</w:t>
      </w:r>
      <w:r w:rsidRPr="0029428D">
        <w:rPr>
          <w:i/>
          <w:iCs/>
        </w:rPr>
        <w:t>: Performance measure methodology</w:t>
      </w:r>
      <w:r w:rsidRPr="0029428D">
        <w:rPr>
          <w:i/>
          <w:iCs/>
        </w:rPr>
        <w:fldChar w:fldCharType="end"/>
      </w:r>
      <w:r w:rsidRPr="0029428D">
        <w:t xml:space="preserve"> in the compliance section for a definition of performance measures.   </w:t>
      </w:r>
    </w:p>
    <w:p w14:paraId="574AC1BD" w14:textId="77777777" w:rsidR="000C1A89" w:rsidRDefault="003E714E"/>
    <w:sectPr w:rsidR="000C1A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3F826" w14:textId="77777777" w:rsidR="00A85587" w:rsidRDefault="00A85587" w:rsidP="00A85587">
      <w:r>
        <w:separator/>
      </w:r>
    </w:p>
  </w:endnote>
  <w:endnote w:type="continuationSeparator" w:id="0">
    <w:p w14:paraId="23D4C591" w14:textId="77777777" w:rsidR="00A85587" w:rsidRDefault="00A85587" w:rsidP="00A8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94FB1" w14:textId="5BAD2B26" w:rsidR="00A85587" w:rsidRDefault="00A85587">
    <w:pPr>
      <w:pStyle w:val="Footer"/>
    </w:pPr>
    <w:r>
      <w:rPr>
        <w:noProof/>
      </w:rPr>
      <mc:AlternateContent>
        <mc:Choice Requires="wps">
          <w:drawing>
            <wp:anchor distT="0" distB="0" distL="114300" distR="114300" simplePos="0" relativeHeight="251659264" behindDoc="0" locked="0" layoutInCell="0" allowOverlap="1" wp14:anchorId="1D5D3BBB" wp14:editId="3668FF72">
              <wp:simplePos x="0" y="0"/>
              <wp:positionH relativeFrom="page">
                <wp:posOffset>0</wp:posOffset>
              </wp:positionH>
              <wp:positionV relativeFrom="page">
                <wp:posOffset>10234930</wp:posOffset>
              </wp:positionV>
              <wp:extent cx="7560310" cy="266700"/>
              <wp:effectExtent l="0" t="0" r="0" b="0"/>
              <wp:wrapNone/>
              <wp:docPr id="1" name="MSIPCM6d084113a59e76263b03ccb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C528A" w14:textId="0607ACEB" w:rsidR="00A85587" w:rsidRPr="00A85587" w:rsidRDefault="00A85587" w:rsidP="00A85587">
                          <w:pPr>
                            <w:rPr>
                              <w:rFonts w:ascii="Calibri" w:hAnsi="Calibri" w:cs="Calibri"/>
                              <w:color w:val="000000"/>
                              <w:sz w:val="22"/>
                            </w:rPr>
                          </w:pPr>
                          <w:r w:rsidRPr="00A85587">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5D3BBB" id="_x0000_t202" coordsize="21600,21600" o:spt="202" path="m,l,21600r21600,l21600,xe">
              <v:stroke joinstyle="miter"/>
              <v:path gradientshapeok="t" o:connecttype="rect"/>
            </v:shapetype>
            <v:shape id="MSIPCM6d084113a59e76263b03ccbb"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sm4hxLMCAABIBQAA&#10;DgAAAAAAAAAAAAAAAAAuAgAAZHJzL2Uyb0RvYy54bWxQSwECLQAUAAYACAAAACEAYBHGJt4AAAAL&#10;AQAADwAAAAAAAAAAAAAAAAANBQAAZHJzL2Rvd25yZXYueG1sUEsFBgAAAAAEAAQA8wAAABgGAAAA&#10;AA==&#10;" o:allowincell="f" filled="f" stroked="f" strokeweight=".5pt">
              <v:textbox inset="20pt,0,,0">
                <w:txbxContent>
                  <w:p w14:paraId="1BEC528A" w14:textId="0607ACEB" w:rsidR="00A85587" w:rsidRPr="00A85587" w:rsidRDefault="00A85587" w:rsidP="00A85587">
                    <w:pPr>
                      <w:rPr>
                        <w:rFonts w:ascii="Calibri" w:hAnsi="Calibri" w:cs="Calibri"/>
                        <w:color w:val="000000"/>
                        <w:sz w:val="22"/>
                      </w:rPr>
                    </w:pPr>
                    <w:r w:rsidRPr="00A85587">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C92BA" w14:textId="77777777" w:rsidR="00A85587" w:rsidRDefault="00A85587" w:rsidP="00A85587">
      <w:r>
        <w:separator/>
      </w:r>
    </w:p>
  </w:footnote>
  <w:footnote w:type="continuationSeparator" w:id="0">
    <w:p w14:paraId="131AFA1C" w14:textId="77777777" w:rsidR="00A85587" w:rsidRDefault="00A85587" w:rsidP="00A85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87"/>
    <w:rsid w:val="003E714E"/>
    <w:rsid w:val="00544E19"/>
    <w:rsid w:val="00A85587"/>
    <w:rsid w:val="00B4701F"/>
    <w:rsid w:val="00CE0862"/>
    <w:rsid w:val="00E65237"/>
    <w:rsid w:val="00E74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5490D"/>
  <w15:chartTrackingRefBased/>
  <w15:docId w15:val="{1031DB19-920E-454B-8055-FDBC49AD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5587"/>
    <w:pPr>
      <w:spacing w:after="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uiPriority w:val="9"/>
    <w:qFormat/>
    <w:rsid w:val="00CE086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A85587"/>
    <w:pPr>
      <w:keepNext/>
      <w:keepLines/>
      <w:tabs>
        <w:tab w:val="left" w:pos="851"/>
      </w:tabs>
      <w:spacing w:before="60" w:after="60" w:line="228" w:lineRule="auto"/>
      <w:ind w:left="794"/>
    </w:pPr>
    <w:rPr>
      <w:rFonts w:ascii="Calibri" w:hAnsi="Calibri" w:cs="Calibri"/>
      <w:b/>
      <w:sz w:val="22"/>
      <w:szCs w:val="22"/>
    </w:rPr>
  </w:style>
  <w:style w:type="character" w:customStyle="1" w:styleId="CaptionChar">
    <w:name w:val="Caption Char"/>
    <w:link w:val="Caption"/>
    <w:rsid w:val="00A85587"/>
    <w:rPr>
      <w:rFonts w:ascii="Calibri" w:eastAsia="Times New Roman" w:hAnsi="Calibri" w:cs="Calibri"/>
      <w:b/>
      <w:lang w:eastAsia="en-AU"/>
    </w:rPr>
  </w:style>
  <w:style w:type="character" w:styleId="Strong">
    <w:name w:val="Strong"/>
    <w:uiPriority w:val="22"/>
    <w:qFormat/>
    <w:rsid w:val="00A85587"/>
    <w:rPr>
      <w:b/>
      <w:bCs/>
    </w:rPr>
  </w:style>
  <w:style w:type="paragraph" w:customStyle="1" w:styleId="TableText">
    <w:name w:val="Table Text"/>
    <w:basedOn w:val="Normal"/>
    <w:link w:val="TableTextChar"/>
    <w:uiPriority w:val="15"/>
    <w:qFormat/>
    <w:rsid w:val="00A85587"/>
    <w:pPr>
      <w:spacing w:before="20" w:after="20"/>
    </w:pPr>
    <w:rPr>
      <w:rFonts w:ascii="Calibri" w:eastAsiaTheme="minorHAnsi" w:hAnsi="Calibri" w:cs="Calibri"/>
      <w:sz w:val="20"/>
      <w:szCs w:val="20"/>
      <w:lang w:val="en-US" w:eastAsia="en-US"/>
    </w:rPr>
  </w:style>
  <w:style w:type="character" w:customStyle="1" w:styleId="TableTextChar">
    <w:name w:val="Table Text Char"/>
    <w:basedOn w:val="DefaultParagraphFont"/>
    <w:link w:val="TableText"/>
    <w:uiPriority w:val="15"/>
    <w:rsid w:val="00A85587"/>
    <w:rPr>
      <w:rFonts w:ascii="Calibri" w:hAnsi="Calibri" w:cs="Calibri"/>
      <w:sz w:val="20"/>
      <w:szCs w:val="20"/>
      <w:lang w:val="en-US"/>
    </w:rPr>
  </w:style>
  <w:style w:type="paragraph" w:customStyle="1" w:styleId="TableHeader">
    <w:name w:val="Table Header"/>
    <w:basedOn w:val="TableText"/>
    <w:link w:val="TableHeaderChar"/>
    <w:uiPriority w:val="15"/>
    <w:qFormat/>
    <w:rsid w:val="00A85587"/>
    <w:pPr>
      <w:keepNext/>
      <w:spacing w:before="40" w:after="40"/>
    </w:pPr>
    <w:rPr>
      <w:sz w:val="24"/>
      <w:szCs w:val="24"/>
    </w:rPr>
  </w:style>
  <w:style w:type="table" w:customStyle="1" w:styleId="TableGrid1">
    <w:name w:val="Table Grid1"/>
    <w:basedOn w:val="TableNormal"/>
    <w:next w:val="TableGrid"/>
    <w:uiPriority w:val="39"/>
    <w:rsid w:val="00A855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TableTextChar"/>
    <w:link w:val="TableHeader"/>
    <w:uiPriority w:val="15"/>
    <w:rsid w:val="00A85587"/>
    <w:rPr>
      <w:rFonts w:ascii="Calibri" w:hAnsi="Calibri" w:cs="Calibri"/>
      <w:sz w:val="24"/>
      <w:szCs w:val="24"/>
      <w:lang w:val="en-US"/>
    </w:rPr>
  </w:style>
  <w:style w:type="table" w:styleId="TableGrid">
    <w:name w:val="Table Grid"/>
    <w:basedOn w:val="TableNormal"/>
    <w:uiPriority w:val="39"/>
    <w:rsid w:val="00A8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587"/>
    <w:pPr>
      <w:tabs>
        <w:tab w:val="center" w:pos="4513"/>
        <w:tab w:val="right" w:pos="9026"/>
      </w:tabs>
    </w:pPr>
  </w:style>
  <w:style w:type="character" w:customStyle="1" w:styleId="HeaderChar">
    <w:name w:val="Header Char"/>
    <w:basedOn w:val="DefaultParagraphFont"/>
    <w:link w:val="Header"/>
    <w:uiPriority w:val="99"/>
    <w:rsid w:val="00A85587"/>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A85587"/>
    <w:pPr>
      <w:tabs>
        <w:tab w:val="center" w:pos="4513"/>
        <w:tab w:val="right" w:pos="9026"/>
      </w:tabs>
    </w:pPr>
  </w:style>
  <w:style w:type="character" w:customStyle="1" w:styleId="FooterChar">
    <w:name w:val="Footer Char"/>
    <w:basedOn w:val="DefaultParagraphFont"/>
    <w:link w:val="Footer"/>
    <w:uiPriority w:val="99"/>
    <w:rsid w:val="00A85587"/>
    <w:rPr>
      <w:rFonts w:ascii="Arial" w:eastAsia="Times New Roman" w:hAnsi="Arial" w:cs="Times New Roman"/>
      <w:sz w:val="24"/>
      <w:szCs w:val="24"/>
      <w:lang w:eastAsia="en-AU"/>
    </w:rPr>
  </w:style>
  <w:style w:type="character" w:customStyle="1" w:styleId="Heading1Char">
    <w:name w:val="Heading 1 Char"/>
    <w:basedOn w:val="DefaultParagraphFont"/>
    <w:link w:val="Heading1"/>
    <w:uiPriority w:val="9"/>
    <w:rsid w:val="00CE0862"/>
    <w:rPr>
      <w:rFonts w:asciiTheme="majorHAnsi" w:eastAsiaTheme="majorEastAsia" w:hAnsiTheme="majorHAnsi" w:cstheme="majorBidi"/>
      <w:color w:val="2F5496" w:themeColor="accent1" w:themeShade="BF"/>
      <w:sz w:val="32"/>
      <w:szCs w:val="32"/>
      <w:lang w:eastAsia="en-AU"/>
    </w:rPr>
  </w:style>
  <w:style w:type="paragraph" w:customStyle="1" w:styleId="Tablenotes">
    <w:name w:val="Table notes"/>
    <w:basedOn w:val="Normal"/>
    <w:link w:val="TablenotesChar"/>
    <w:qFormat/>
    <w:rsid w:val="003E714E"/>
    <w:pPr>
      <w:spacing w:before="20"/>
      <w:ind w:left="284"/>
      <w:contextualSpacing/>
    </w:pPr>
    <w:rPr>
      <w:rFonts w:ascii="Calibri" w:eastAsia="Calibri" w:hAnsi="Calibri"/>
      <w:spacing w:val="-2"/>
      <w:sz w:val="18"/>
      <w:szCs w:val="18"/>
      <w:lang w:eastAsia="en-US"/>
    </w:rPr>
  </w:style>
  <w:style w:type="character" w:customStyle="1" w:styleId="TablenotesChar">
    <w:name w:val="Table notes Char"/>
    <w:basedOn w:val="DefaultParagraphFont"/>
    <w:link w:val="Tablenotes"/>
    <w:rsid w:val="003E714E"/>
    <w:rPr>
      <w:rFonts w:ascii="Calibri" w:eastAsia="Calibri" w:hAnsi="Calibri"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9A34596-39F7-4A7F-BE05-A64365E1D03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Coles (DTF)</dc:creator>
  <cp:keywords/>
  <dc:description/>
  <cp:lastModifiedBy>Vanessa Coles (DTF)</cp:lastModifiedBy>
  <cp:revision>2</cp:revision>
  <dcterms:created xsi:type="dcterms:W3CDTF">2021-10-21T05:21:00Z</dcterms:created>
  <dcterms:modified xsi:type="dcterms:W3CDTF">2021-10-21T05:21:00Z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2021-10-21T05:20:56Z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
  </property>
  <property fmtid="{D5CDD505-2E9C-101B-9397-08002B2CF9AE}" pid="8" name="MSIP_Label_7158ebbd-6c5e-441f-bfc9-4eb8c11e3978_ContentBits">
    <vt:lpwstr>2</vt:lpwstr>
  </property>
</Properties>
</file>