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2655" w14:textId="2A818B1E" w:rsidR="007E5B31" w:rsidRPr="00CB65CC" w:rsidRDefault="007E5B31" w:rsidP="007E5B31">
      <w:pPr>
        <w:pStyle w:val="Caption"/>
        <w:rPr>
          <w:rFonts w:asciiTheme="majorHAnsi" w:eastAsiaTheme="majorEastAsia" w:hAnsiTheme="majorHAnsi" w:cstheme="majorHAnsi"/>
          <w:bCs/>
          <w:color w:val="000000" w:themeColor="text1"/>
          <w:sz w:val="28"/>
          <w:szCs w:val="28"/>
        </w:rPr>
      </w:pPr>
      <w:bookmarkStart w:id="0" w:name="_Ref51160252"/>
      <w:bookmarkStart w:id="1" w:name="_Toc48837162"/>
      <w:bookmarkStart w:id="2" w:name="_Toc49185552"/>
      <w:r w:rsidRPr="00CB65CC">
        <w:rPr>
          <w:rFonts w:asciiTheme="majorHAnsi" w:eastAsiaTheme="majorEastAsia" w:hAnsiTheme="majorHAnsi" w:cstheme="majorHAnsi"/>
          <w:bCs/>
          <w:color w:val="000000" w:themeColor="text1"/>
          <w:sz w:val="28"/>
          <w:szCs w:val="28"/>
        </w:rPr>
        <w:t xml:space="preserve">Table </w:t>
      </w:r>
      <w:bookmarkEnd w:id="0"/>
      <w:r w:rsidRPr="00CB65CC">
        <w:rPr>
          <w:rFonts w:asciiTheme="majorHAnsi" w:eastAsiaTheme="majorEastAsia" w:hAnsiTheme="majorHAnsi" w:cstheme="majorHAnsi"/>
          <w:bCs/>
          <w:color w:val="000000" w:themeColor="text1"/>
          <w:sz w:val="28"/>
          <w:szCs w:val="28"/>
        </w:rPr>
        <w:t xml:space="preserve">Department of Jobs, Precincts and Regions performance in </w:t>
      </w:r>
      <w:r w:rsidR="00CB65CC">
        <w:rPr>
          <w:rFonts w:asciiTheme="majorHAnsi" w:eastAsiaTheme="majorEastAsia" w:hAnsiTheme="majorHAnsi" w:cstheme="majorHAnsi"/>
          <w:bCs/>
          <w:color w:val="000000" w:themeColor="text1"/>
          <w:sz w:val="28"/>
          <w:szCs w:val="28"/>
        </w:rPr>
        <w:br/>
      </w:r>
      <w:r w:rsidRPr="00CB65CC">
        <w:rPr>
          <w:rFonts w:asciiTheme="majorHAnsi" w:eastAsiaTheme="majorEastAsia" w:hAnsiTheme="majorHAnsi" w:cstheme="majorHAnsi"/>
          <w:bCs/>
          <w:color w:val="000000" w:themeColor="text1"/>
          <w:sz w:val="28"/>
          <w:szCs w:val="28"/>
        </w:rPr>
        <w:t>20</w:t>
      </w:r>
      <w:bookmarkEnd w:id="1"/>
      <w:bookmarkEnd w:id="2"/>
      <w:r w:rsidR="00BE06C7">
        <w:rPr>
          <w:rFonts w:asciiTheme="majorHAnsi" w:eastAsiaTheme="majorEastAsia" w:hAnsiTheme="majorHAnsi" w:cstheme="majorHAnsi"/>
          <w:bCs/>
          <w:color w:val="000000" w:themeColor="text1"/>
          <w:sz w:val="28"/>
          <w:szCs w:val="28"/>
        </w:rPr>
        <w:t>20-21</w:t>
      </w:r>
    </w:p>
    <w:p w14:paraId="538CFC66" w14:textId="77777777" w:rsidR="00CB65CC" w:rsidRDefault="00CB65CC" w:rsidP="00CB65CC">
      <w:pPr>
        <w:ind w:firstLine="720"/>
        <w:rPr>
          <w:rFonts w:ascii="Calibri" w:eastAsiaTheme="minorHAnsi" w:hAnsi="Calibri" w:cs="Calibri"/>
          <w:sz w:val="20"/>
          <w:szCs w:val="20"/>
          <w:lang w:val="en-US" w:eastAsia="en-US"/>
        </w:rPr>
      </w:pPr>
    </w:p>
    <w:p w14:paraId="3268D67A" w14:textId="624F3664" w:rsidR="00CB65CC" w:rsidRPr="008A4523" w:rsidRDefault="00CB65CC" w:rsidP="00CB65CC">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5601E9">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w:t>
      </w:r>
      <w:r w:rsidR="00BE06C7">
        <w:rPr>
          <w:rFonts w:ascii="Calibri" w:eastAsiaTheme="minorHAnsi" w:hAnsi="Calibri" w:cs="Calibri"/>
          <w:sz w:val="20"/>
          <w:szCs w:val="20"/>
          <w:lang w:val="en-US" w:eastAsia="en-US"/>
        </w:rPr>
        <w:t>20-21</w:t>
      </w:r>
    </w:p>
    <w:p w14:paraId="29B361D9" w14:textId="3DA319DA" w:rsidR="00CB65CC" w:rsidRDefault="00CB65CC" w:rsidP="00CB65CC"/>
    <w:tbl>
      <w:tblPr>
        <w:tblStyle w:val="TableGrid1"/>
        <w:tblW w:w="9086" w:type="dxa"/>
        <w:tblInd w:w="279" w:type="dxa"/>
        <w:tblLook w:val="04A0" w:firstRow="1" w:lastRow="0" w:firstColumn="1" w:lastColumn="0" w:noHBand="0" w:noVBand="1"/>
      </w:tblPr>
      <w:tblGrid>
        <w:gridCol w:w="2595"/>
        <w:gridCol w:w="3358"/>
        <w:gridCol w:w="1560"/>
        <w:gridCol w:w="1562"/>
        <w:gridCol w:w="11"/>
      </w:tblGrid>
      <w:tr w:rsidR="00BE06C7" w:rsidRPr="0029428D" w14:paraId="443442DF" w14:textId="77777777" w:rsidTr="00417F46">
        <w:trPr>
          <w:gridAfter w:val="1"/>
          <w:wAfter w:w="11" w:type="dxa"/>
        </w:trPr>
        <w:tc>
          <w:tcPr>
            <w:tcW w:w="5953" w:type="dxa"/>
            <w:gridSpan w:val="2"/>
            <w:vMerge w:val="restart"/>
          </w:tcPr>
          <w:p w14:paraId="014010FE" w14:textId="77777777" w:rsidR="00BE06C7" w:rsidRPr="0029428D" w:rsidRDefault="00BE06C7" w:rsidP="00417F46">
            <w:pPr>
              <w:pStyle w:val="TableHeader"/>
            </w:pPr>
            <w:r w:rsidRPr="0029428D">
              <w:t>Performance measure</w:t>
            </w:r>
          </w:p>
        </w:tc>
        <w:tc>
          <w:tcPr>
            <w:tcW w:w="1560" w:type="dxa"/>
          </w:tcPr>
          <w:p w14:paraId="11D88DC2" w14:textId="77777777" w:rsidR="00BE06C7" w:rsidRPr="0029428D" w:rsidRDefault="00BE06C7" w:rsidP="00417F46">
            <w:pPr>
              <w:pStyle w:val="TableHeader"/>
            </w:pPr>
            <w:r w:rsidRPr="0029428D">
              <w:t>2019–20</w:t>
            </w:r>
          </w:p>
        </w:tc>
        <w:tc>
          <w:tcPr>
            <w:tcW w:w="1562" w:type="dxa"/>
          </w:tcPr>
          <w:p w14:paraId="3BC308C5" w14:textId="77777777" w:rsidR="00BE06C7" w:rsidRPr="0029428D" w:rsidRDefault="00BE06C7" w:rsidP="00417F46">
            <w:pPr>
              <w:pStyle w:val="TableHeader"/>
            </w:pPr>
            <w:r w:rsidRPr="0029428D">
              <w:t>2020–21</w:t>
            </w:r>
          </w:p>
        </w:tc>
      </w:tr>
      <w:tr w:rsidR="00BE06C7" w:rsidRPr="0029428D" w14:paraId="6960B4E1" w14:textId="77777777" w:rsidTr="00417F46">
        <w:trPr>
          <w:gridAfter w:val="1"/>
          <w:wAfter w:w="11" w:type="dxa"/>
        </w:trPr>
        <w:tc>
          <w:tcPr>
            <w:tcW w:w="5953" w:type="dxa"/>
            <w:gridSpan w:val="2"/>
            <w:vMerge/>
          </w:tcPr>
          <w:p w14:paraId="23F64A51" w14:textId="77777777" w:rsidR="00BE06C7" w:rsidRPr="0029428D" w:rsidRDefault="00BE06C7" w:rsidP="00417F46">
            <w:pPr>
              <w:pStyle w:val="TableHeader"/>
            </w:pPr>
          </w:p>
        </w:tc>
        <w:tc>
          <w:tcPr>
            <w:tcW w:w="1560" w:type="dxa"/>
          </w:tcPr>
          <w:p w14:paraId="3A8DCF15" w14:textId="77777777" w:rsidR="00BE06C7" w:rsidRPr="0029428D" w:rsidRDefault="00BE06C7" w:rsidP="00417F46">
            <w:pPr>
              <w:pStyle w:val="TableHeader"/>
            </w:pPr>
            <w:r w:rsidRPr="0029428D">
              <w:t>(%)</w:t>
            </w:r>
          </w:p>
        </w:tc>
        <w:tc>
          <w:tcPr>
            <w:tcW w:w="1562" w:type="dxa"/>
          </w:tcPr>
          <w:p w14:paraId="6D4E214F" w14:textId="77777777" w:rsidR="00BE06C7" w:rsidRPr="0029428D" w:rsidRDefault="00BE06C7" w:rsidP="00417F46">
            <w:pPr>
              <w:pStyle w:val="TableHeader"/>
            </w:pPr>
          </w:p>
        </w:tc>
      </w:tr>
      <w:tr w:rsidR="00BE06C7" w:rsidRPr="0029428D" w14:paraId="013344BB" w14:textId="77777777" w:rsidTr="00417F46">
        <w:trPr>
          <w:gridAfter w:val="1"/>
          <w:wAfter w:w="11" w:type="dxa"/>
        </w:trPr>
        <w:tc>
          <w:tcPr>
            <w:tcW w:w="5953" w:type="dxa"/>
            <w:gridSpan w:val="2"/>
          </w:tcPr>
          <w:p w14:paraId="3E080C35" w14:textId="77777777" w:rsidR="00BE06C7" w:rsidRPr="0029428D" w:rsidRDefault="00BE06C7" w:rsidP="00417F46">
            <w:pPr>
              <w:pStyle w:val="TableText"/>
              <w:rPr>
                <w:rStyle w:val="Strong"/>
              </w:rPr>
            </w:pPr>
            <w:r w:rsidRPr="0029428D">
              <w:rPr>
                <w:rStyle w:val="Strong"/>
              </w:rPr>
              <w:t>Value created from department procurement activity</w:t>
            </w:r>
          </w:p>
        </w:tc>
        <w:tc>
          <w:tcPr>
            <w:tcW w:w="1560" w:type="dxa"/>
          </w:tcPr>
          <w:p w14:paraId="55C91961" w14:textId="77777777" w:rsidR="00BE06C7" w:rsidRPr="0029428D" w:rsidRDefault="00BE06C7" w:rsidP="00417F46">
            <w:pPr>
              <w:pStyle w:val="TableText"/>
              <w:rPr>
                <w:rStyle w:val="Strong"/>
              </w:rPr>
            </w:pPr>
            <w:r w:rsidRPr="0029428D">
              <w:rPr>
                <w:rStyle w:val="Strong"/>
              </w:rPr>
              <w:t xml:space="preserve"> 0.2</w:t>
            </w:r>
          </w:p>
        </w:tc>
        <w:tc>
          <w:tcPr>
            <w:tcW w:w="1562" w:type="dxa"/>
          </w:tcPr>
          <w:p w14:paraId="1EDF8D0F" w14:textId="77777777" w:rsidR="00BE06C7" w:rsidRPr="0029428D" w:rsidRDefault="00BE06C7" w:rsidP="00417F46">
            <w:pPr>
              <w:pStyle w:val="TableText"/>
              <w:rPr>
                <w:rStyle w:val="Strong"/>
              </w:rPr>
            </w:pPr>
            <w:r w:rsidRPr="0029428D">
              <w:rPr>
                <w:rStyle w:val="Strong"/>
              </w:rPr>
              <w:t>1.8</w:t>
            </w:r>
          </w:p>
        </w:tc>
      </w:tr>
      <w:tr w:rsidR="00BE06C7" w:rsidRPr="0029428D" w14:paraId="0A4DECC5" w14:textId="77777777" w:rsidTr="00417F46">
        <w:tc>
          <w:tcPr>
            <w:tcW w:w="9086" w:type="dxa"/>
            <w:gridSpan w:val="5"/>
          </w:tcPr>
          <w:p w14:paraId="26E069F7" w14:textId="77777777" w:rsidR="00BE06C7" w:rsidRPr="0029428D" w:rsidRDefault="00BE06C7" w:rsidP="00417F46">
            <w:pPr>
              <w:pStyle w:val="TableText"/>
            </w:pPr>
            <w:r w:rsidRPr="0029428D">
              <w:t xml:space="preserve">DJPR moved to a centre-led procurement operating model and invested significantly in procurement capability to enable spend efficiency and continuous compliance improvement. Since its inception, the expanded centralised procurement function has delivered $1.2 million in cost savings and $2.9 million in cost avoidance. </w:t>
            </w:r>
          </w:p>
        </w:tc>
      </w:tr>
      <w:tr w:rsidR="00BE06C7" w:rsidRPr="0029428D" w14:paraId="69B8FCDA" w14:textId="77777777" w:rsidTr="00417F46">
        <w:trPr>
          <w:gridAfter w:val="1"/>
          <w:wAfter w:w="11" w:type="dxa"/>
        </w:trPr>
        <w:tc>
          <w:tcPr>
            <w:tcW w:w="5953" w:type="dxa"/>
            <w:gridSpan w:val="2"/>
          </w:tcPr>
          <w:p w14:paraId="6A80FDD8" w14:textId="77777777" w:rsidR="00BE06C7" w:rsidRPr="0029428D" w:rsidRDefault="00BE06C7" w:rsidP="00417F46">
            <w:pPr>
              <w:pStyle w:val="TableText"/>
              <w:rPr>
                <w:rStyle w:val="Strong"/>
              </w:rPr>
            </w:pPr>
            <w:r w:rsidRPr="0029428D">
              <w:rPr>
                <w:rStyle w:val="Strong"/>
              </w:rPr>
              <w:t>Managed spend</w:t>
            </w:r>
          </w:p>
        </w:tc>
        <w:tc>
          <w:tcPr>
            <w:tcW w:w="1560" w:type="dxa"/>
          </w:tcPr>
          <w:p w14:paraId="71973978" w14:textId="77777777" w:rsidR="00BE06C7" w:rsidRPr="0029428D" w:rsidRDefault="00BE06C7" w:rsidP="00417F46">
            <w:pPr>
              <w:pStyle w:val="TableText"/>
              <w:rPr>
                <w:rStyle w:val="Strong"/>
              </w:rPr>
            </w:pPr>
            <w:r w:rsidRPr="0029428D">
              <w:rPr>
                <w:rStyle w:val="Strong"/>
              </w:rPr>
              <w:t>8.2</w:t>
            </w:r>
          </w:p>
        </w:tc>
        <w:tc>
          <w:tcPr>
            <w:tcW w:w="1562" w:type="dxa"/>
          </w:tcPr>
          <w:p w14:paraId="5184ABA0" w14:textId="77777777" w:rsidR="00BE06C7" w:rsidRPr="0029428D" w:rsidRDefault="00BE06C7" w:rsidP="00417F46">
            <w:pPr>
              <w:pStyle w:val="TableText"/>
              <w:rPr>
                <w:rStyle w:val="Strong"/>
              </w:rPr>
            </w:pPr>
            <w:r w:rsidRPr="0029428D">
              <w:rPr>
                <w:rStyle w:val="Strong"/>
              </w:rPr>
              <w:t>54.4</w:t>
            </w:r>
          </w:p>
        </w:tc>
      </w:tr>
      <w:tr w:rsidR="00BE06C7" w:rsidRPr="0029428D" w14:paraId="59034560" w14:textId="77777777" w:rsidTr="00417F46">
        <w:tc>
          <w:tcPr>
            <w:tcW w:w="9086" w:type="dxa"/>
            <w:gridSpan w:val="5"/>
          </w:tcPr>
          <w:p w14:paraId="78C92E54" w14:textId="77777777" w:rsidR="00BE06C7" w:rsidRPr="0029428D" w:rsidRDefault="00BE06C7" w:rsidP="00417F46">
            <w:pPr>
              <w:pStyle w:val="TableText"/>
            </w:pPr>
            <w:r w:rsidRPr="0029428D">
              <w:rPr>
                <w:sz w:val="18"/>
                <w:szCs w:val="18"/>
              </w:rPr>
              <w:t xml:space="preserve">A large increase in managed spend was achieved by the centre-led procurement model. </w:t>
            </w:r>
          </w:p>
        </w:tc>
      </w:tr>
      <w:tr w:rsidR="00BE06C7" w:rsidRPr="0029428D" w14:paraId="4C9DD6F5" w14:textId="77777777" w:rsidTr="00417F46">
        <w:trPr>
          <w:gridAfter w:val="1"/>
          <w:wAfter w:w="11" w:type="dxa"/>
        </w:trPr>
        <w:tc>
          <w:tcPr>
            <w:tcW w:w="5953" w:type="dxa"/>
            <w:gridSpan w:val="2"/>
          </w:tcPr>
          <w:p w14:paraId="6D894D43" w14:textId="77777777" w:rsidR="00BE06C7" w:rsidRPr="0029428D" w:rsidRDefault="00BE06C7" w:rsidP="00417F46">
            <w:pPr>
              <w:pStyle w:val="TableText"/>
              <w:rPr>
                <w:rStyle w:val="Strong"/>
              </w:rPr>
            </w:pPr>
            <w:r w:rsidRPr="0029428D">
              <w:rPr>
                <w:rStyle w:val="Strong"/>
              </w:rPr>
              <w:t>Increase in procurement capability</w:t>
            </w:r>
          </w:p>
        </w:tc>
        <w:tc>
          <w:tcPr>
            <w:tcW w:w="1560" w:type="dxa"/>
          </w:tcPr>
          <w:p w14:paraId="4765F7EE" w14:textId="77777777" w:rsidR="00BE06C7" w:rsidRPr="0029428D" w:rsidRDefault="00BE06C7" w:rsidP="00417F46">
            <w:pPr>
              <w:pStyle w:val="TableText"/>
              <w:rPr>
                <w:rStyle w:val="Strong"/>
              </w:rPr>
            </w:pPr>
            <w:r w:rsidRPr="0029428D">
              <w:rPr>
                <w:rStyle w:val="Strong"/>
              </w:rPr>
              <w:t>10.6</w:t>
            </w:r>
          </w:p>
        </w:tc>
        <w:tc>
          <w:tcPr>
            <w:tcW w:w="1562" w:type="dxa"/>
          </w:tcPr>
          <w:p w14:paraId="2DE53137" w14:textId="77777777" w:rsidR="00BE06C7" w:rsidRPr="0029428D" w:rsidRDefault="00BE06C7" w:rsidP="00417F46">
            <w:pPr>
              <w:pStyle w:val="TableText"/>
              <w:rPr>
                <w:rStyle w:val="Strong"/>
              </w:rPr>
            </w:pPr>
            <w:r w:rsidRPr="0029428D">
              <w:rPr>
                <w:rStyle w:val="Strong"/>
              </w:rPr>
              <w:t>25.2</w:t>
            </w:r>
          </w:p>
        </w:tc>
      </w:tr>
      <w:tr w:rsidR="00BE06C7" w:rsidRPr="0029428D" w14:paraId="3187B9FC" w14:textId="77777777" w:rsidTr="00417F46">
        <w:tc>
          <w:tcPr>
            <w:tcW w:w="9086" w:type="dxa"/>
            <w:gridSpan w:val="5"/>
          </w:tcPr>
          <w:p w14:paraId="5E4C55E2" w14:textId="77777777" w:rsidR="00BE06C7" w:rsidRPr="0029428D" w:rsidRDefault="00BE06C7" w:rsidP="00417F46">
            <w:pPr>
              <w:pStyle w:val="TableText"/>
            </w:pPr>
            <w:r w:rsidRPr="0029428D">
              <w:t xml:space="preserve">DJPR invested significantly in strategic sourcing, category management, governance, systems, reporting and procurement advisory business partnering resulting in a large increase in capability, from 115 to 144 out of 150. </w:t>
            </w:r>
          </w:p>
        </w:tc>
      </w:tr>
      <w:tr w:rsidR="00BE06C7" w:rsidRPr="0029428D" w14:paraId="292CC9DC" w14:textId="77777777" w:rsidTr="00417F46">
        <w:trPr>
          <w:gridAfter w:val="1"/>
          <w:wAfter w:w="11" w:type="dxa"/>
        </w:trPr>
        <w:tc>
          <w:tcPr>
            <w:tcW w:w="2595" w:type="dxa"/>
            <w:vMerge w:val="restart"/>
          </w:tcPr>
          <w:p w14:paraId="3EF6CE31" w14:textId="77777777" w:rsidR="00BE06C7" w:rsidRPr="0029428D" w:rsidRDefault="00BE06C7" w:rsidP="00417F46">
            <w:pPr>
              <w:pStyle w:val="TableText"/>
              <w:rPr>
                <w:rStyle w:val="Strong"/>
                <w:b w:val="0"/>
                <w:bCs w:val="0"/>
              </w:rPr>
            </w:pPr>
            <w:r w:rsidRPr="0029428D">
              <w:rPr>
                <w:rStyle w:val="Strong"/>
                <w:b w:val="0"/>
                <w:bCs w:val="0"/>
              </w:rPr>
              <w:t>Supplier satisfaction assessment</w:t>
            </w:r>
          </w:p>
        </w:tc>
        <w:tc>
          <w:tcPr>
            <w:tcW w:w="3358" w:type="dxa"/>
          </w:tcPr>
          <w:p w14:paraId="1D50F8E2" w14:textId="77777777" w:rsidR="00BE06C7" w:rsidRPr="0029428D" w:rsidRDefault="00BE06C7" w:rsidP="00417F46">
            <w:pPr>
              <w:pStyle w:val="TableText"/>
              <w:rPr>
                <w:rStyle w:val="Strong"/>
                <w:b w:val="0"/>
                <w:bCs w:val="0"/>
              </w:rPr>
            </w:pPr>
            <w:r w:rsidRPr="0029428D">
              <w:rPr>
                <w:rStyle w:val="Strong"/>
                <w:b w:val="0"/>
                <w:bCs w:val="0"/>
              </w:rPr>
              <w:t>Successful satisfied</w:t>
            </w:r>
          </w:p>
        </w:tc>
        <w:tc>
          <w:tcPr>
            <w:tcW w:w="1560" w:type="dxa"/>
          </w:tcPr>
          <w:p w14:paraId="4668A9BA" w14:textId="77777777" w:rsidR="00BE06C7" w:rsidRPr="0029428D" w:rsidRDefault="00BE06C7" w:rsidP="00417F46">
            <w:pPr>
              <w:pStyle w:val="TableText"/>
              <w:rPr>
                <w:rStyle w:val="Strong"/>
                <w:b w:val="0"/>
                <w:bCs w:val="0"/>
              </w:rPr>
            </w:pPr>
            <w:r w:rsidRPr="0029428D">
              <w:rPr>
                <w:rStyle w:val="Strong"/>
                <w:b w:val="0"/>
                <w:bCs w:val="0"/>
              </w:rPr>
              <w:t>86</w:t>
            </w:r>
          </w:p>
        </w:tc>
        <w:tc>
          <w:tcPr>
            <w:tcW w:w="1562" w:type="dxa"/>
          </w:tcPr>
          <w:p w14:paraId="3844242E" w14:textId="77777777" w:rsidR="00BE06C7" w:rsidRPr="0029428D" w:rsidRDefault="00BE06C7" w:rsidP="00417F46">
            <w:pPr>
              <w:pStyle w:val="TableText"/>
              <w:rPr>
                <w:rStyle w:val="Strong"/>
                <w:b w:val="0"/>
                <w:bCs w:val="0"/>
              </w:rPr>
            </w:pPr>
            <w:r w:rsidRPr="0029428D">
              <w:rPr>
                <w:rStyle w:val="Strong"/>
                <w:b w:val="0"/>
                <w:bCs w:val="0"/>
              </w:rPr>
              <w:t>89</w:t>
            </w:r>
          </w:p>
        </w:tc>
      </w:tr>
      <w:tr w:rsidR="00BE06C7" w:rsidRPr="0029428D" w14:paraId="00FA1C66" w14:textId="77777777" w:rsidTr="00417F46">
        <w:trPr>
          <w:gridAfter w:val="1"/>
          <w:wAfter w:w="11" w:type="dxa"/>
        </w:trPr>
        <w:tc>
          <w:tcPr>
            <w:tcW w:w="2595" w:type="dxa"/>
            <w:vMerge/>
          </w:tcPr>
          <w:p w14:paraId="3648CBE6" w14:textId="77777777" w:rsidR="00BE06C7" w:rsidRPr="0029428D" w:rsidRDefault="00BE06C7" w:rsidP="00417F46">
            <w:pPr>
              <w:pStyle w:val="TableText"/>
              <w:rPr>
                <w:rStyle w:val="Strong"/>
                <w:b w:val="0"/>
                <w:bCs w:val="0"/>
              </w:rPr>
            </w:pPr>
          </w:p>
        </w:tc>
        <w:tc>
          <w:tcPr>
            <w:tcW w:w="3358" w:type="dxa"/>
          </w:tcPr>
          <w:p w14:paraId="21C2FB44" w14:textId="77777777" w:rsidR="00BE06C7" w:rsidRPr="0029428D" w:rsidRDefault="00BE06C7" w:rsidP="00417F46">
            <w:pPr>
              <w:pStyle w:val="TableText"/>
              <w:rPr>
                <w:rStyle w:val="Strong"/>
                <w:b w:val="0"/>
                <w:bCs w:val="0"/>
              </w:rPr>
            </w:pPr>
            <w:r w:rsidRPr="0029428D">
              <w:rPr>
                <w:rStyle w:val="Strong"/>
                <w:b w:val="0"/>
                <w:bCs w:val="0"/>
              </w:rPr>
              <w:t>Unsuccessful satisfied</w:t>
            </w:r>
          </w:p>
        </w:tc>
        <w:tc>
          <w:tcPr>
            <w:tcW w:w="1560" w:type="dxa"/>
          </w:tcPr>
          <w:p w14:paraId="502E28D5" w14:textId="77777777" w:rsidR="00BE06C7" w:rsidRPr="0029428D" w:rsidRDefault="00BE06C7" w:rsidP="00417F46">
            <w:pPr>
              <w:pStyle w:val="TableText"/>
              <w:rPr>
                <w:rStyle w:val="Strong"/>
                <w:b w:val="0"/>
                <w:bCs w:val="0"/>
              </w:rPr>
            </w:pPr>
            <w:r w:rsidRPr="0029428D">
              <w:rPr>
                <w:rStyle w:val="Strong"/>
                <w:b w:val="0"/>
                <w:bCs w:val="0"/>
              </w:rPr>
              <w:t>57</w:t>
            </w:r>
          </w:p>
        </w:tc>
        <w:tc>
          <w:tcPr>
            <w:tcW w:w="1562" w:type="dxa"/>
          </w:tcPr>
          <w:p w14:paraId="15E15803" w14:textId="77777777" w:rsidR="00BE06C7" w:rsidRPr="0029428D" w:rsidRDefault="00BE06C7" w:rsidP="00417F46">
            <w:pPr>
              <w:pStyle w:val="TableText"/>
              <w:rPr>
                <w:rStyle w:val="Strong"/>
                <w:b w:val="0"/>
                <w:bCs w:val="0"/>
              </w:rPr>
            </w:pPr>
            <w:r w:rsidRPr="0029428D">
              <w:rPr>
                <w:rStyle w:val="Strong"/>
                <w:b w:val="0"/>
                <w:bCs w:val="0"/>
              </w:rPr>
              <w:t>42</w:t>
            </w:r>
          </w:p>
        </w:tc>
      </w:tr>
      <w:tr w:rsidR="00BE06C7" w:rsidRPr="0029428D" w14:paraId="67FC9AE4" w14:textId="77777777" w:rsidTr="00417F46">
        <w:tc>
          <w:tcPr>
            <w:tcW w:w="9086" w:type="dxa"/>
            <w:gridSpan w:val="5"/>
          </w:tcPr>
          <w:p w14:paraId="1620161A" w14:textId="77777777" w:rsidR="00BE06C7" w:rsidRPr="0029428D" w:rsidRDefault="00BE06C7" w:rsidP="00417F46">
            <w:pPr>
              <w:pStyle w:val="TableText"/>
            </w:pPr>
            <w:r w:rsidRPr="0029428D">
              <w:t>DJPR performed well overall, including an increase in the percentage of satisfied successful suppliers, but has identified areas for improvement, particularly for unsuccessful suppliers.</w:t>
            </w:r>
          </w:p>
        </w:tc>
      </w:tr>
      <w:tr w:rsidR="00BE06C7" w:rsidRPr="0029428D" w14:paraId="6A765BFF" w14:textId="77777777" w:rsidTr="00417F46">
        <w:trPr>
          <w:gridAfter w:val="1"/>
          <w:wAfter w:w="11" w:type="dxa"/>
        </w:trPr>
        <w:tc>
          <w:tcPr>
            <w:tcW w:w="5953" w:type="dxa"/>
            <w:gridSpan w:val="2"/>
          </w:tcPr>
          <w:p w14:paraId="60CF120D" w14:textId="77777777" w:rsidR="00BE06C7" w:rsidRPr="0029428D" w:rsidRDefault="00BE06C7" w:rsidP="00417F46">
            <w:pPr>
              <w:pStyle w:val="TableText"/>
              <w:rPr>
                <w:rStyle w:val="Strong"/>
              </w:rPr>
            </w:pPr>
            <w:r w:rsidRPr="0029428D">
              <w:rPr>
                <w:rStyle w:val="Strong"/>
              </w:rPr>
              <w:t>Planned procurement activity as a % of actual procurement activity</w:t>
            </w:r>
          </w:p>
        </w:tc>
        <w:tc>
          <w:tcPr>
            <w:tcW w:w="1560" w:type="dxa"/>
          </w:tcPr>
          <w:p w14:paraId="02F47091" w14:textId="77777777" w:rsidR="00BE06C7" w:rsidRPr="0029428D" w:rsidRDefault="00BE06C7" w:rsidP="00417F46">
            <w:pPr>
              <w:pStyle w:val="TableText"/>
              <w:rPr>
                <w:rStyle w:val="Strong"/>
              </w:rPr>
            </w:pPr>
            <w:r w:rsidRPr="0029428D">
              <w:rPr>
                <w:rStyle w:val="Strong"/>
              </w:rPr>
              <w:t>38.5</w:t>
            </w:r>
          </w:p>
        </w:tc>
        <w:tc>
          <w:tcPr>
            <w:tcW w:w="1562" w:type="dxa"/>
          </w:tcPr>
          <w:p w14:paraId="768F171B" w14:textId="77777777" w:rsidR="00BE06C7" w:rsidRPr="0029428D" w:rsidRDefault="00BE06C7" w:rsidP="00417F46">
            <w:pPr>
              <w:pStyle w:val="TableText"/>
              <w:rPr>
                <w:rStyle w:val="Strong"/>
              </w:rPr>
            </w:pPr>
            <w:r w:rsidRPr="0029428D">
              <w:rPr>
                <w:rStyle w:val="Strong"/>
              </w:rPr>
              <w:t>54.0</w:t>
            </w:r>
          </w:p>
        </w:tc>
      </w:tr>
      <w:tr w:rsidR="00BE06C7" w:rsidRPr="0029428D" w14:paraId="3E55EF2D" w14:textId="77777777" w:rsidTr="00417F46">
        <w:tc>
          <w:tcPr>
            <w:tcW w:w="9086" w:type="dxa"/>
            <w:gridSpan w:val="5"/>
          </w:tcPr>
          <w:p w14:paraId="59B439D9" w14:textId="77777777" w:rsidR="00BE06C7" w:rsidRPr="0029428D" w:rsidRDefault="00BE06C7" w:rsidP="00417F46">
            <w:pPr>
              <w:pStyle w:val="TableText"/>
            </w:pPr>
            <w:r w:rsidRPr="0029428D">
              <w:t>Last year's result was heavily impacted by both the COVID-19 and bushfire emergencies. Procurement is engaging with stakeholders in the DJPR business areas to understand future procurement needs. This will be identified through prior ‘on hold’ procurements, expiring contracts in this financial year and/or future planned and potential unplanned business needs driving new procurement activity.</w:t>
            </w:r>
          </w:p>
          <w:p w14:paraId="721C2F77" w14:textId="77777777" w:rsidR="00BE06C7" w:rsidRPr="0029428D" w:rsidRDefault="00BE06C7" w:rsidP="00417F46">
            <w:pPr>
              <w:pStyle w:val="TableText"/>
            </w:pPr>
            <w:r w:rsidRPr="0029428D">
              <w:t>While there has also been significant unplanned procurement with regard to COVID-19 and Avian Influenza in 2020–21, there has been an improved focus on procurement planning and increased resources to perform this function.</w:t>
            </w:r>
          </w:p>
        </w:tc>
      </w:tr>
    </w:tbl>
    <w:p w14:paraId="3E2C8651" w14:textId="1A33D8BD" w:rsidR="007E5B31" w:rsidRDefault="00BE06C7" w:rsidP="00BE06C7">
      <w:pPr>
        <w:pStyle w:val="Normal1"/>
        <w:ind w:left="0"/>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4D29A9EA" w14:textId="77777777" w:rsidR="007E5B31" w:rsidRPr="008B7338" w:rsidRDefault="007E5B31" w:rsidP="007E5B31">
      <w:pPr>
        <w:pStyle w:val="Normal1"/>
        <w:rPr>
          <w:highlight w:val="yellow"/>
        </w:rPr>
      </w:pPr>
    </w:p>
    <w:p w14:paraId="526863B4" w14:textId="77777777" w:rsidR="000C1A89" w:rsidRDefault="00BE06C7"/>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7F1C" w14:textId="77777777" w:rsidR="007E5B31" w:rsidRDefault="007E5B31" w:rsidP="007E5B31">
      <w:r>
        <w:separator/>
      </w:r>
    </w:p>
  </w:endnote>
  <w:endnote w:type="continuationSeparator" w:id="0">
    <w:p w14:paraId="2DDF91B3" w14:textId="77777777" w:rsidR="007E5B31" w:rsidRDefault="007E5B31" w:rsidP="007E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3C28" w14:textId="77777777" w:rsidR="007E5B31" w:rsidRDefault="007E5B31">
    <w:pPr>
      <w:pStyle w:val="Footer"/>
    </w:pPr>
    <w:r>
      <w:rPr>
        <w:noProof/>
      </w:rPr>
      <mc:AlternateContent>
        <mc:Choice Requires="wps">
          <w:drawing>
            <wp:anchor distT="0" distB="0" distL="114300" distR="114300" simplePos="0" relativeHeight="251659264" behindDoc="0" locked="0" layoutInCell="0" allowOverlap="1" wp14:anchorId="1DFEA380" wp14:editId="4CD32F87">
              <wp:simplePos x="0" y="0"/>
              <wp:positionH relativeFrom="page">
                <wp:posOffset>0</wp:posOffset>
              </wp:positionH>
              <wp:positionV relativeFrom="page">
                <wp:posOffset>10234930</wp:posOffset>
              </wp:positionV>
              <wp:extent cx="7560310" cy="266700"/>
              <wp:effectExtent l="0" t="0" r="0" b="0"/>
              <wp:wrapNone/>
              <wp:docPr id="1" name="MSIPCM59ed4c418acc9adf4b7f07c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33990" w14:textId="77777777" w:rsidR="007E5B31" w:rsidRPr="007E5B31" w:rsidRDefault="007E5B31" w:rsidP="007E5B31">
                          <w:pPr>
                            <w:rPr>
                              <w:rFonts w:ascii="Calibri" w:hAnsi="Calibri" w:cs="Calibri"/>
                              <w:color w:val="000000"/>
                              <w:sz w:val="22"/>
                            </w:rPr>
                          </w:pPr>
                          <w:r w:rsidRPr="007E5B3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FEA380" id="_x0000_t202" coordsize="21600,21600" o:spt="202" path="m,l,21600r21600,l21600,xe">
              <v:stroke joinstyle="miter"/>
              <v:path gradientshapeok="t" o:connecttype="rect"/>
            </v:shapetype>
            <v:shape id="MSIPCM59ed4c418acc9adf4b7f07c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04swIAAEgFAAAOAAAAZHJzL2Uyb0RvYy54bWysVEtv2zAMvg/YfxB02GmrnTSPJqtTZCmy&#10;FUjbAOnQsyJLsQFbVCWldjbsv4+SlXTrdhp2sSmS4uPjR11etXVFnoWxJaiM9s5SSoTikJdql9Gv&#10;D8sPF5RYx1TOKlAiowdh6dXs7ZvLRk9FHwqocmEIBlF22uiMFs7paZJYXoia2TPQQqFRgqmZw6PZ&#10;JblhDUavq6SfpqOkAZNrA1xYi9rrzkhnIb6Ugrt7Ka1wpMoo1ubC14Tv1n+T2SWb7gzTRcljGewf&#10;qqhZqTDpKdQ1c4zsTflHqLrkBixId8ahTkDKkovQA3bTS191symYFqEXBMfqE0z2/4Xld89rQ8oc&#10;Z0eJYjWO6HZzs17cDiciH/BB74JxPmG5HGzHMh3zLSW5sBwR/P7uaQ/u4xdmiwXkojtNP/T6o/Eo&#10;PR+m5++jgyh3hYvmiwFSJBoey9wVUT+cDE/6dcW4qIU63ulclgBOmE6OAW5ULtoYoPutTVkzc/jN&#10;a4McQHJGv168+wA6atJT4pWQx5yo/OG50Wg7RYg2GkFy7SdoPU5Rb1HpR95KU/s/DpOgHVl2ODFL&#10;tI5wVI6HiEkPTRxt/dFonAbqJS+3tbHus4CaeCGjBqsOhGLPK+swI7oeXXwyBcuyqgJ7K0WajI4Q&#10;8nDhZMEblcKLvoeuVi+5dtvGBraQH7AvA91WWM2XJSZfMevWzOAaYL242u4eP7ICTAJRoqQA8+1v&#10;eu+P7EQrJQ2uVUbt054ZQUl1o5C3/eEgxd6JCycUTBAmvcEAD9ujVu3rBeDKIimxrCB6X1cdRWmg&#10;fsTVn/t0aGKKY9KMIj87ceHwhAZ8OriYz4OMK6eZW6mN5j60x9Fj+tA+MqMj8A5HdgfHzWPTV/h3&#10;vt0E5nsHsgzD8ch2cEbAcV3DzOLT4t+DX8/B6+UBnP0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VQkdOLMCAABIBQAA&#10;DgAAAAAAAAAAAAAAAAAuAgAAZHJzL2Uyb0RvYy54bWxQSwECLQAUAAYACAAAACEAYBHGJt4AAAAL&#10;AQAADwAAAAAAAAAAAAAAAAANBQAAZHJzL2Rvd25yZXYueG1sUEsFBgAAAAAEAAQA8wAAABgGAAAA&#10;AA==&#10;" o:allowincell="f" filled="f" stroked="f" strokeweight=".5pt">
              <v:textbox inset="20pt,0,,0">
                <w:txbxContent>
                  <w:p w14:paraId="5CD33990" w14:textId="77777777" w:rsidR="007E5B31" w:rsidRPr="007E5B31" w:rsidRDefault="007E5B31" w:rsidP="007E5B31">
                    <w:pPr>
                      <w:rPr>
                        <w:rFonts w:ascii="Calibri" w:hAnsi="Calibri" w:cs="Calibri"/>
                        <w:color w:val="000000"/>
                        <w:sz w:val="22"/>
                      </w:rPr>
                    </w:pPr>
                    <w:r w:rsidRPr="007E5B31">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C73C" w14:textId="77777777" w:rsidR="007E5B31" w:rsidRDefault="007E5B31" w:rsidP="007E5B31">
      <w:r>
        <w:separator/>
      </w:r>
    </w:p>
  </w:footnote>
  <w:footnote w:type="continuationSeparator" w:id="0">
    <w:p w14:paraId="56725892" w14:textId="77777777" w:rsidR="007E5B31" w:rsidRDefault="007E5B31" w:rsidP="007E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31"/>
    <w:rsid w:val="00030F4A"/>
    <w:rsid w:val="005601E9"/>
    <w:rsid w:val="007E5B31"/>
    <w:rsid w:val="00B4701F"/>
    <w:rsid w:val="00BE06C7"/>
    <w:rsid w:val="00CB65CC"/>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574B"/>
  <w15:chartTrackingRefBased/>
  <w15:docId w15:val="{FD779E63-BB87-472A-9B07-263D730F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5B31"/>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E5B31"/>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7E5B31"/>
    <w:rPr>
      <w:rFonts w:ascii="Calibri" w:eastAsia="Times New Roman" w:hAnsi="Calibri" w:cs="Calibri"/>
      <w:b/>
      <w:lang w:eastAsia="en-AU"/>
    </w:rPr>
  </w:style>
  <w:style w:type="character" w:styleId="Strong">
    <w:name w:val="Strong"/>
    <w:uiPriority w:val="22"/>
    <w:qFormat/>
    <w:rsid w:val="007E5B31"/>
    <w:rPr>
      <w:b/>
      <w:bCs/>
    </w:rPr>
  </w:style>
  <w:style w:type="paragraph" w:customStyle="1" w:styleId="TableText">
    <w:name w:val="Table Text"/>
    <w:basedOn w:val="Normal"/>
    <w:link w:val="TableTextChar"/>
    <w:uiPriority w:val="15"/>
    <w:qFormat/>
    <w:rsid w:val="007E5B31"/>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7E5B31"/>
    <w:rPr>
      <w:rFonts w:ascii="Calibri" w:hAnsi="Calibri" w:cs="Calibri"/>
      <w:sz w:val="20"/>
      <w:szCs w:val="20"/>
      <w:lang w:val="en-US"/>
    </w:rPr>
  </w:style>
  <w:style w:type="paragraph" w:customStyle="1" w:styleId="TableHeader">
    <w:name w:val="Table Header"/>
    <w:basedOn w:val="TableText"/>
    <w:link w:val="TableHeaderChar"/>
    <w:uiPriority w:val="15"/>
    <w:qFormat/>
    <w:rsid w:val="007E5B31"/>
    <w:pPr>
      <w:keepNext/>
      <w:spacing w:before="40" w:after="40"/>
    </w:pPr>
    <w:rPr>
      <w:sz w:val="24"/>
      <w:szCs w:val="24"/>
    </w:rPr>
  </w:style>
  <w:style w:type="paragraph" w:customStyle="1" w:styleId="Normal1">
    <w:name w:val="Normal1"/>
    <w:basedOn w:val="Normal"/>
    <w:link w:val="NormalChar"/>
    <w:qFormat/>
    <w:rsid w:val="007E5B31"/>
    <w:pPr>
      <w:spacing w:before="100" w:after="100"/>
      <w:ind w:left="794"/>
    </w:pPr>
    <w:rPr>
      <w:rFonts w:ascii="Calibri" w:hAnsi="Calibri" w:cs="Calibri"/>
      <w:sz w:val="22"/>
      <w:szCs w:val="22"/>
    </w:rPr>
  </w:style>
  <w:style w:type="character" w:customStyle="1" w:styleId="NormalChar">
    <w:name w:val="Normal Char"/>
    <w:basedOn w:val="DefaultParagraphFont"/>
    <w:link w:val="Normal1"/>
    <w:rsid w:val="007E5B31"/>
    <w:rPr>
      <w:rFonts w:ascii="Calibri" w:eastAsia="Times New Roman" w:hAnsi="Calibri" w:cs="Calibri"/>
      <w:lang w:eastAsia="en-AU"/>
    </w:rPr>
  </w:style>
  <w:style w:type="table" w:customStyle="1" w:styleId="TableGrid1">
    <w:name w:val="Table Grid1"/>
    <w:basedOn w:val="TableNormal"/>
    <w:next w:val="TableGrid"/>
    <w:uiPriority w:val="39"/>
    <w:rsid w:val="007E5B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7E5B31"/>
    <w:rPr>
      <w:rFonts w:ascii="Calibri" w:hAnsi="Calibri" w:cs="Calibri"/>
      <w:sz w:val="24"/>
      <w:szCs w:val="24"/>
      <w:lang w:val="en-US"/>
    </w:rPr>
  </w:style>
  <w:style w:type="table" w:styleId="TableGrid">
    <w:name w:val="Table Grid"/>
    <w:basedOn w:val="TableNormal"/>
    <w:uiPriority w:val="39"/>
    <w:rsid w:val="007E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B31"/>
    <w:pPr>
      <w:tabs>
        <w:tab w:val="center" w:pos="4513"/>
        <w:tab w:val="right" w:pos="9026"/>
      </w:tabs>
    </w:pPr>
  </w:style>
  <w:style w:type="character" w:customStyle="1" w:styleId="HeaderChar">
    <w:name w:val="Header Char"/>
    <w:basedOn w:val="DefaultParagraphFont"/>
    <w:link w:val="Header"/>
    <w:uiPriority w:val="99"/>
    <w:rsid w:val="007E5B31"/>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7E5B31"/>
    <w:pPr>
      <w:tabs>
        <w:tab w:val="center" w:pos="4513"/>
        <w:tab w:val="right" w:pos="9026"/>
      </w:tabs>
    </w:pPr>
  </w:style>
  <w:style w:type="character" w:customStyle="1" w:styleId="FooterChar">
    <w:name w:val="Footer Char"/>
    <w:basedOn w:val="DefaultParagraphFont"/>
    <w:link w:val="Footer"/>
    <w:uiPriority w:val="99"/>
    <w:rsid w:val="007E5B31"/>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B309002-2121-4767-93A3-B3D72C570B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2021-10-21T05:28:00Z</dcterms:created>
  <dcterms:modified xsi:type="dcterms:W3CDTF">2021-10-21T05:28:00Z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2021-10-21T05:28:01Z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