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E72DC" w14:textId="351494C6" w:rsidR="007A7F79" w:rsidRPr="00775451" w:rsidRDefault="001B77EB" w:rsidP="007A7F79">
      <w:pPr>
        <w:pStyle w:val="Caption"/>
        <w:rPr>
          <w:rFonts w:asciiTheme="majorHAnsi" w:eastAsiaTheme="majorEastAsia" w:hAnsiTheme="majorHAnsi" w:cstheme="majorHAnsi"/>
          <w:bCs/>
          <w:color w:val="000000" w:themeColor="text1"/>
          <w:sz w:val="28"/>
          <w:szCs w:val="28"/>
        </w:rPr>
      </w:pPr>
      <w:r w:rsidRPr="00775451">
        <w:rPr>
          <w:rFonts w:asciiTheme="majorHAnsi" w:eastAsiaTheme="majorEastAsia" w:hAnsiTheme="majorHAnsi" w:cstheme="majorHAnsi"/>
          <w:bCs/>
          <w:color w:val="000000" w:themeColor="text1"/>
          <w:sz w:val="28"/>
          <w:szCs w:val="28"/>
        </w:rPr>
        <w:t>Table Department of Justice and Community Safety performance in 20</w:t>
      </w:r>
      <w:r w:rsidR="0028746E">
        <w:rPr>
          <w:rFonts w:asciiTheme="majorHAnsi" w:eastAsiaTheme="majorEastAsia" w:hAnsiTheme="majorHAnsi" w:cstheme="majorHAnsi"/>
          <w:bCs/>
          <w:color w:val="000000" w:themeColor="text1"/>
          <w:sz w:val="28"/>
          <w:szCs w:val="28"/>
        </w:rPr>
        <w:t>20-21</w:t>
      </w:r>
    </w:p>
    <w:p w14:paraId="1E5DB744" w14:textId="0C4C809A" w:rsidR="00775451" w:rsidRDefault="00775451" w:rsidP="00775451"/>
    <w:p w14:paraId="17E4C203" w14:textId="7F8FD8D2" w:rsidR="00775451" w:rsidRPr="008A4523" w:rsidRDefault="00775451" w:rsidP="00775451">
      <w:pPr>
        <w:ind w:firstLine="720"/>
        <w:rPr>
          <w:rFonts w:ascii="Calibri" w:eastAsiaTheme="minorHAnsi" w:hAnsi="Calibri" w:cs="Calibri"/>
          <w:sz w:val="20"/>
          <w:szCs w:val="20"/>
          <w:lang w:val="en-US" w:eastAsia="en-US"/>
        </w:rPr>
      </w:pPr>
      <w:r w:rsidRPr="008A4523">
        <w:rPr>
          <w:rFonts w:ascii="Calibri" w:eastAsiaTheme="minorHAnsi" w:hAnsi="Calibri" w:cs="Calibri"/>
          <w:sz w:val="20"/>
          <w:szCs w:val="20"/>
          <w:lang w:val="en-US" w:eastAsia="en-US"/>
        </w:rPr>
        <w:t xml:space="preserve">Extract from Victorian Government Purchasing Board </w:t>
      </w:r>
      <w:r w:rsidR="006D3426">
        <w:rPr>
          <w:rFonts w:ascii="Calibri" w:eastAsiaTheme="minorHAnsi" w:hAnsi="Calibri" w:cs="Calibri"/>
          <w:sz w:val="20"/>
          <w:szCs w:val="20"/>
          <w:lang w:val="en-US" w:eastAsia="en-US"/>
        </w:rPr>
        <w:t xml:space="preserve">Annual Report </w:t>
      </w:r>
      <w:r w:rsidRPr="008A4523">
        <w:rPr>
          <w:rFonts w:ascii="Calibri" w:eastAsiaTheme="minorHAnsi" w:hAnsi="Calibri" w:cs="Calibri"/>
          <w:sz w:val="20"/>
          <w:szCs w:val="20"/>
          <w:lang w:val="en-US" w:eastAsia="en-US"/>
        </w:rPr>
        <w:t>20</w:t>
      </w:r>
      <w:r w:rsidR="0028746E">
        <w:rPr>
          <w:rFonts w:ascii="Calibri" w:eastAsiaTheme="minorHAnsi" w:hAnsi="Calibri" w:cs="Calibri"/>
          <w:sz w:val="20"/>
          <w:szCs w:val="20"/>
          <w:lang w:val="en-US" w:eastAsia="en-US"/>
        </w:rPr>
        <w:t>20-21</w:t>
      </w:r>
    </w:p>
    <w:p w14:paraId="6DEE3FB3" w14:textId="77777777" w:rsidR="00775451" w:rsidRPr="00775451" w:rsidRDefault="00775451" w:rsidP="00775451"/>
    <w:tbl>
      <w:tblPr>
        <w:tblStyle w:val="TableGrid1"/>
        <w:tblW w:w="8789" w:type="dxa"/>
        <w:tblInd w:w="392" w:type="dxa"/>
        <w:tblLook w:val="04A0" w:firstRow="1" w:lastRow="0" w:firstColumn="1" w:lastColumn="0" w:noHBand="0" w:noVBand="1"/>
      </w:tblPr>
      <w:tblGrid>
        <w:gridCol w:w="3063"/>
        <w:gridCol w:w="2324"/>
        <w:gridCol w:w="1125"/>
        <w:gridCol w:w="1125"/>
        <w:gridCol w:w="1152"/>
      </w:tblGrid>
      <w:tr w:rsidR="0028746E" w:rsidRPr="0029428D" w14:paraId="6D8DDD37" w14:textId="77777777" w:rsidTr="00417F46">
        <w:tc>
          <w:tcPr>
            <w:tcW w:w="5387" w:type="dxa"/>
            <w:gridSpan w:val="2"/>
            <w:vMerge w:val="restart"/>
          </w:tcPr>
          <w:p w14:paraId="3015B8C2" w14:textId="77777777" w:rsidR="0028746E" w:rsidRPr="0029428D" w:rsidRDefault="0028746E" w:rsidP="00417F46">
            <w:pPr>
              <w:pStyle w:val="TableHeader"/>
            </w:pPr>
            <w:r w:rsidRPr="0029428D">
              <w:t>Performance measure</w:t>
            </w:r>
          </w:p>
        </w:tc>
        <w:tc>
          <w:tcPr>
            <w:tcW w:w="1125" w:type="dxa"/>
          </w:tcPr>
          <w:p w14:paraId="4C5DBFE5" w14:textId="77777777" w:rsidR="0028746E" w:rsidRPr="0029428D" w:rsidRDefault="0028746E" w:rsidP="00417F46">
            <w:pPr>
              <w:pStyle w:val="TableHeader"/>
            </w:pPr>
            <w:r w:rsidRPr="0029428D">
              <w:t>2018–19</w:t>
            </w:r>
          </w:p>
        </w:tc>
        <w:tc>
          <w:tcPr>
            <w:tcW w:w="1125" w:type="dxa"/>
          </w:tcPr>
          <w:p w14:paraId="439790BA" w14:textId="77777777" w:rsidR="0028746E" w:rsidRPr="0029428D" w:rsidRDefault="0028746E" w:rsidP="00417F46">
            <w:pPr>
              <w:pStyle w:val="TableHeader"/>
            </w:pPr>
            <w:r w:rsidRPr="0029428D">
              <w:t>2019–20</w:t>
            </w:r>
          </w:p>
        </w:tc>
        <w:tc>
          <w:tcPr>
            <w:tcW w:w="1152" w:type="dxa"/>
          </w:tcPr>
          <w:p w14:paraId="289815ED" w14:textId="77777777" w:rsidR="0028746E" w:rsidRPr="0029428D" w:rsidRDefault="0028746E" w:rsidP="00417F46">
            <w:pPr>
              <w:pStyle w:val="TableHeader"/>
            </w:pPr>
            <w:r w:rsidRPr="0029428D">
              <w:t>2020–21</w:t>
            </w:r>
          </w:p>
        </w:tc>
      </w:tr>
      <w:tr w:rsidR="0028746E" w:rsidRPr="0029428D" w14:paraId="7CC9BB1D" w14:textId="77777777" w:rsidTr="00417F46">
        <w:tc>
          <w:tcPr>
            <w:tcW w:w="5387" w:type="dxa"/>
            <w:gridSpan w:val="2"/>
            <w:vMerge/>
          </w:tcPr>
          <w:p w14:paraId="766C890E" w14:textId="77777777" w:rsidR="0028746E" w:rsidRPr="0029428D" w:rsidRDefault="0028746E" w:rsidP="00417F46">
            <w:pPr>
              <w:pStyle w:val="TableHeader"/>
            </w:pPr>
          </w:p>
        </w:tc>
        <w:tc>
          <w:tcPr>
            <w:tcW w:w="3402" w:type="dxa"/>
            <w:gridSpan w:val="3"/>
          </w:tcPr>
          <w:p w14:paraId="3CD2C483" w14:textId="77777777" w:rsidR="0028746E" w:rsidRPr="0029428D" w:rsidRDefault="0028746E" w:rsidP="00417F46">
            <w:pPr>
              <w:pStyle w:val="TableHeader"/>
            </w:pPr>
            <w:r w:rsidRPr="0029428D">
              <w:t>(%)</w:t>
            </w:r>
          </w:p>
        </w:tc>
      </w:tr>
      <w:tr w:rsidR="0028746E" w:rsidRPr="0029428D" w14:paraId="509B4B64" w14:textId="77777777" w:rsidTr="00417F46">
        <w:tc>
          <w:tcPr>
            <w:tcW w:w="5387" w:type="dxa"/>
            <w:gridSpan w:val="2"/>
          </w:tcPr>
          <w:p w14:paraId="621C4C75" w14:textId="77777777" w:rsidR="0028746E" w:rsidRPr="0029428D" w:rsidRDefault="0028746E" w:rsidP="00417F46">
            <w:pPr>
              <w:pStyle w:val="TableText"/>
              <w:rPr>
                <w:rStyle w:val="Strong"/>
              </w:rPr>
            </w:pPr>
            <w:r w:rsidRPr="0029428D">
              <w:rPr>
                <w:rStyle w:val="Strong"/>
              </w:rPr>
              <w:t>Value created from department procurement activity</w:t>
            </w:r>
          </w:p>
        </w:tc>
        <w:tc>
          <w:tcPr>
            <w:tcW w:w="1125" w:type="dxa"/>
          </w:tcPr>
          <w:p w14:paraId="72AE0755" w14:textId="77777777" w:rsidR="0028746E" w:rsidRPr="0029428D" w:rsidRDefault="0028746E" w:rsidP="00417F46">
            <w:pPr>
              <w:pStyle w:val="TableText"/>
              <w:rPr>
                <w:rStyle w:val="Strong"/>
              </w:rPr>
            </w:pPr>
            <w:r w:rsidRPr="0029428D">
              <w:rPr>
                <w:rStyle w:val="Strong"/>
              </w:rPr>
              <w:t>17.3</w:t>
            </w:r>
          </w:p>
        </w:tc>
        <w:tc>
          <w:tcPr>
            <w:tcW w:w="1125" w:type="dxa"/>
          </w:tcPr>
          <w:p w14:paraId="195C3820" w14:textId="77777777" w:rsidR="0028746E" w:rsidRPr="0029428D" w:rsidRDefault="0028746E" w:rsidP="00417F46">
            <w:pPr>
              <w:pStyle w:val="TableText"/>
              <w:rPr>
                <w:rStyle w:val="Strong"/>
              </w:rPr>
            </w:pPr>
            <w:r w:rsidRPr="0029428D">
              <w:rPr>
                <w:rStyle w:val="Strong"/>
              </w:rPr>
              <w:t>10.0</w:t>
            </w:r>
          </w:p>
        </w:tc>
        <w:tc>
          <w:tcPr>
            <w:tcW w:w="1152" w:type="dxa"/>
          </w:tcPr>
          <w:p w14:paraId="01E1DB00" w14:textId="77777777" w:rsidR="0028746E" w:rsidRPr="0029428D" w:rsidRDefault="0028746E" w:rsidP="00417F46">
            <w:pPr>
              <w:pStyle w:val="TableText"/>
              <w:rPr>
                <w:rStyle w:val="Strong"/>
              </w:rPr>
            </w:pPr>
            <w:r w:rsidRPr="0029428D">
              <w:rPr>
                <w:rStyle w:val="Strong"/>
              </w:rPr>
              <w:t>4.7</w:t>
            </w:r>
          </w:p>
        </w:tc>
      </w:tr>
      <w:tr w:rsidR="0028746E" w:rsidRPr="0029428D" w14:paraId="7D9120A7" w14:textId="77777777" w:rsidTr="00417F46">
        <w:trPr>
          <w:trHeight w:val="511"/>
        </w:trPr>
        <w:tc>
          <w:tcPr>
            <w:tcW w:w="8789" w:type="dxa"/>
            <w:gridSpan w:val="5"/>
          </w:tcPr>
          <w:p w14:paraId="70A8249A" w14:textId="77777777" w:rsidR="0028746E" w:rsidRPr="0029428D" w:rsidRDefault="0028746E" w:rsidP="00417F46">
            <w:pPr>
              <w:pStyle w:val="TableText"/>
            </w:pPr>
            <w:r w:rsidRPr="0029428D">
              <w:t>DJCS recorded an increase in savings of $20 million compared with 2019–20, but total spend increased in 2020–21, which is reflected in this lower percentage.</w:t>
            </w:r>
          </w:p>
        </w:tc>
      </w:tr>
      <w:tr w:rsidR="0028746E" w:rsidRPr="0029428D" w14:paraId="68090D1C" w14:textId="77777777" w:rsidTr="00417F46">
        <w:tc>
          <w:tcPr>
            <w:tcW w:w="5387" w:type="dxa"/>
            <w:gridSpan w:val="2"/>
          </w:tcPr>
          <w:p w14:paraId="439E987C" w14:textId="77777777" w:rsidR="0028746E" w:rsidRPr="0029428D" w:rsidRDefault="0028746E" w:rsidP="00417F46">
            <w:pPr>
              <w:pStyle w:val="TableText"/>
              <w:rPr>
                <w:rStyle w:val="Strong"/>
              </w:rPr>
            </w:pPr>
            <w:r w:rsidRPr="0029428D">
              <w:rPr>
                <w:rStyle w:val="Strong"/>
              </w:rPr>
              <w:t>Managed spend</w:t>
            </w:r>
          </w:p>
        </w:tc>
        <w:tc>
          <w:tcPr>
            <w:tcW w:w="1125" w:type="dxa"/>
            <w:shd w:val="clear" w:color="auto" w:fill="FFFFFF" w:themeFill="background1"/>
          </w:tcPr>
          <w:p w14:paraId="364CA397" w14:textId="77777777" w:rsidR="0028746E" w:rsidRPr="0029428D" w:rsidRDefault="0028746E" w:rsidP="00417F46">
            <w:pPr>
              <w:pStyle w:val="TableText"/>
              <w:rPr>
                <w:rStyle w:val="Strong"/>
              </w:rPr>
            </w:pPr>
            <w:r w:rsidRPr="0029428D">
              <w:rPr>
                <w:rStyle w:val="Strong"/>
              </w:rPr>
              <w:t>n/a</w:t>
            </w:r>
          </w:p>
        </w:tc>
        <w:tc>
          <w:tcPr>
            <w:tcW w:w="1125" w:type="dxa"/>
            <w:shd w:val="clear" w:color="auto" w:fill="FFFFFF" w:themeFill="background1"/>
          </w:tcPr>
          <w:p w14:paraId="352CA9D4" w14:textId="77777777" w:rsidR="0028746E" w:rsidRPr="0029428D" w:rsidRDefault="0028746E" w:rsidP="00417F46">
            <w:pPr>
              <w:pStyle w:val="TableText"/>
              <w:rPr>
                <w:rStyle w:val="Strong"/>
              </w:rPr>
            </w:pPr>
            <w:r w:rsidRPr="0029428D">
              <w:rPr>
                <w:rStyle w:val="Strong"/>
              </w:rPr>
              <w:t>–</w:t>
            </w:r>
          </w:p>
        </w:tc>
        <w:tc>
          <w:tcPr>
            <w:tcW w:w="1152" w:type="dxa"/>
            <w:shd w:val="clear" w:color="auto" w:fill="FFFFFF" w:themeFill="background1"/>
          </w:tcPr>
          <w:p w14:paraId="0D7BF8EB" w14:textId="77777777" w:rsidR="0028746E" w:rsidRPr="0029428D" w:rsidRDefault="0028746E" w:rsidP="00417F46">
            <w:pPr>
              <w:pStyle w:val="TableText"/>
              <w:rPr>
                <w:rStyle w:val="Strong"/>
              </w:rPr>
            </w:pPr>
            <w:r w:rsidRPr="0029428D">
              <w:rPr>
                <w:rStyle w:val="Strong"/>
              </w:rPr>
              <w:t>76.0</w:t>
            </w:r>
          </w:p>
        </w:tc>
      </w:tr>
      <w:tr w:rsidR="0028746E" w:rsidRPr="0029428D" w14:paraId="0C97A947" w14:textId="77777777" w:rsidTr="00417F46">
        <w:tc>
          <w:tcPr>
            <w:tcW w:w="8789" w:type="dxa"/>
            <w:gridSpan w:val="5"/>
          </w:tcPr>
          <w:p w14:paraId="3E48DEC9" w14:textId="77777777" w:rsidR="0028746E" w:rsidRPr="0029428D" w:rsidRDefault="0028746E" w:rsidP="00417F46">
            <w:pPr>
              <w:pStyle w:val="TableText"/>
            </w:pPr>
            <w:r w:rsidRPr="0029428D">
              <w:t>The re-organisation of the procurement function and the work to establish a category management operating model has influenced the rate of managed spend reported in 2020–21. New system tools have enabled Procurement Services to review the department's spend and inform its procurement strategy and direction.</w:t>
            </w:r>
          </w:p>
        </w:tc>
      </w:tr>
      <w:tr w:rsidR="0028746E" w:rsidRPr="0029428D" w14:paraId="0371EAAD" w14:textId="77777777" w:rsidTr="00417F46">
        <w:tc>
          <w:tcPr>
            <w:tcW w:w="5387" w:type="dxa"/>
            <w:gridSpan w:val="2"/>
          </w:tcPr>
          <w:p w14:paraId="3145BD9E" w14:textId="77777777" w:rsidR="0028746E" w:rsidRPr="0029428D" w:rsidRDefault="0028746E" w:rsidP="00417F46">
            <w:pPr>
              <w:pStyle w:val="TableText"/>
              <w:rPr>
                <w:rStyle w:val="Strong"/>
              </w:rPr>
            </w:pPr>
            <w:r w:rsidRPr="0029428D">
              <w:rPr>
                <w:rStyle w:val="Strong"/>
              </w:rPr>
              <w:t>Increase in procurement capability*</w:t>
            </w:r>
          </w:p>
        </w:tc>
        <w:tc>
          <w:tcPr>
            <w:tcW w:w="1125" w:type="dxa"/>
          </w:tcPr>
          <w:p w14:paraId="5B883269" w14:textId="77777777" w:rsidR="0028746E" w:rsidRPr="0029428D" w:rsidRDefault="0028746E" w:rsidP="00417F46">
            <w:pPr>
              <w:pStyle w:val="TableText"/>
              <w:rPr>
                <w:rStyle w:val="Strong"/>
              </w:rPr>
            </w:pPr>
            <w:r w:rsidRPr="0029428D">
              <w:rPr>
                <w:rStyle w:val="Strong"/>
              </w:rPr>
              <w:t>−1.7</w:t>
            </w:r>
          </w:p>
        </w:tc>
        <w:tc>
          <w:tcPr>
            <w:tcW w:w="1125" w:type="dxa"/>
          </w:tcPr>
          <w:p w14:paraId="1302C216" w14:textId="77777777" w:rsidR="0028746E" w:rsidRPr="0029428D" w:rsidRDefault="0028746E" w:rsidP="00417F46">
            <w:pPr>
              <w:pStyle w:val="TableText"/>
              <w:rPr>
                <w:rStyle w:val="Strong"/>
              </w:rPr>
            </w:pPr>
            <w:r w:rsidRPr="0029428D">
              <w:rPr>
                <w:rStyle w:val="Strong"/>
              </w:rPr>
              <w:t>2.6</w:t>
            </w:r>
          </w:p>
        </w:tc>
        <w:tc>
          <w:tcPr>
            <w:tcW w:w="1152" w:type="dxa"/>
          </w:tcPr>
          <w:p w14:paraId="6BDC7498" w14:textId="77777777" w:rsidR="0028746E" w:rsidRPr="0029428D" w:rsidRDefault="0028746E" w:rsidP="00417F46">
            <w:pPr>
              <w:pStyle w:val="TableText"/>
              <w:rPr>
                <w:rStyle w:val="Strong"/>
              </w:rPr>
            </w:pPr>
            <w:r w:rsidRPr="0029428D">
              <w:rPr>
                <w:rStyle w:val="Strong"/>
              </w:rPr>
              <w:t>5.9</w:t>
            </w:r>
          </w:p>
        </w:tc>
      </w:tr>
      <w:tr w:rsidR="0028746E" w:rsidRPr="0029428D" w14:paraId="17EBDDA3" w14:textId="77777777" w:rsidTr="00417F46">
        <w:tc>
          <w:tcPr>
            <w:tcW w:w="8789" w:type="dxa"/>
            <w:gridSpan w:val="5"/>
          </w:tcPr>
          <w:p w14:paraId="4444A146" w14:textId="77777777" w:rsidR="0028746E" w:rsidRPr="0029428D" w:rsidRDefault="0028746E" w:rsidP="00417F46">
            <w:pPr>
              <w:pStyle w:val="TableText"/>
            </w:pPr>
            <w:r w:rsidRPr="0029428D">
              <w:t xml:space="preserve">Procurement Services capability improved this year with noted improvements in the areas of risk identification and management, alignment of skills needed by staff with procurement objectives, accuracy of expenditure reporting and tracking, active management of supplier relationships throughout the procurement process, and performance management of the procurement function. </w:t>
            </w:r>
          </w:p>
        </w:tc>
      </w:tr>
      <w:tr w:rsidR="0028746E" w:rsidRPr="0029428D" w14:paraId="7B4DA64A" w14:textId="77777777" w:rsidTr="00417F46">
        <w:tc>
          <w:tcPr>
            <w:tcW w:w="3063" w:type="dxa"/>
            <w:vMerge w:val="restart"/>
          </w:tcPr>
          <w:p w14:paraId="4EA27C92" w14:textId="77777777" w:rsidR="0028746E" w:rsidRPr="0029428D" w:rsidRDefault="0028746E" w:rsidP="00417F46">
            <w:pPr>
              <w:pStyle w:val="TableText"/>
              <w:rPr>
                <w:rStyle w:val="Strong"/>
              </w:rPr>
            </w:pPr>
            <w:r w:rsidRPr="0029428D">
              <w:rPr>
                <w:rStyle w:val="Strong"/>
              </w:rPr>
              <w:t>Supplier satisfaction assessment</w:t>
            </w:r>
          </w:p>
        </w:tc>
        <w:tc>
          <w:tcPr>
            <w:tcW w:w="2324" w:type="dxa"/>
          </w:tcPr>
          <w:p w14:paraId="4A91DC62" w14:textId="77777777" w:rsidR="0028746E" w:rsidRPr="0029428D" w:rsidRDefault="0028746E" w:rsidP="00417F46">
            <w:pPr>
              <w:pStyle w:val="TableText"/>
              <w:rPr>
                <w:rStyle w:val="Strong"/>
              </w:rPr>
            </w:pPr>
            <w:r w:rsidRPr="0029428D">
              <w:rPr>
                <w:rStyle w:val="Strong"/>
              </w:rPr>
              <w:t>Successful satisfied</w:t>
            </w:r>
          </w:p>
        </w:tc>
        <w:tc>
          <w:tcPr>
            <w:tcW w:w="1125" w:type="dxa"/>
          </w:tcPr>
          <w:p w14:paraId="58C0724B" w14:textId="77777777" w:rsidR="0028746E" w:rsidRPr="0029428D" w:rsidRDefault="0028746E" w:rsidP="00417F46">
            <w:pPr>
              <w:pStyle w:val="TableText"/>
              <w:rPr>
                <w:rStyle w:val="Strong"/>
              </w:rPr>
            </w:pPr>
            <w:r w:rsidRPr="0029428D">
              <w:rPr>
                <w:rStyle w:val="Strong"/>
              </w:rPr>
              <w:t>100</w:t>
            </w:r>
          </w:p>
        </w:tc>
        <w:tc>
          <w:tcPr>
            <w:tcW w:w="1125" w:type="dxa"/>
          </w:tcPr>
          <w:p w14:paraId="69ED8727" w14:textId="77777777" w:rsidR="0028746E" w:rsidRPr="0029428D" w:rsidRDefault="0028746E" w:rsidP="00417F46">
            <w:pPr>
              <w:pStyle w:val="TableText"/>
              <w:rPr>
                <w:rStyle w:val="Strong"/>
              </w:rPr>
            </w:pPr>
            <w:r w:rsidRPr="0029428D">
              <w:rPr>
                <w:rStyle w:val="Strong"/>
              </w:rPr>
              <w:t>69</w:t>
            </w:r>
          </w:p>
        </w:tc>
        <w:tc>
          <w:tcPr>
            <w:tcW w:w="1152" w:type="dxa"/>
          </w:tcPr>
          <w:p w14:paraId="5866D030" w14:textId="77777777" w:rsidR="0028746E" w:rsidRPr="0029428D" w:rsidRDefault="0028746E" w:rsidP="00417F46">
            <w:pPr>
              <w:pStyle w:val="TableText"/>
              <w:rPr>
                <w:rStyle w:val="Strong"/>
              </w:rPr>
            </w:pPr>
            <w:r w:rsidRPr="0029428D">
              <w:rPr>
                <w:rStyle w:val="Strong"/>
              </w:rPr>
              <w:t>90</w:t>
            </w:r>
          </w:p>
        </w:tc>
      </w:tr>
      <w:tr w:rsidR="0028746E" w:rsidRPr="0029428D" w14:paraId="3D049CB8" w14:textId="77777777" w:rsidTr="00417F46">
        <w:tc>
          <w:tcPr>
            <w:tcW w:w="3063" w:type="dxa"/>
            <w:vMerge/>
          </w:tcPr>
          <w:p w14:paraId="6CF15174" w14:textId="77777777" w:rsidR="0028746E" w:rsidRPr="0029428D" w:rsidRDefault="0028746E" w:rsidP="00417F46">
            <w:pPr>
              <w:pStyle w:val="TableText"/>
              <w:rPr>
                <w:rStyle w:val="Strong"/>
              </w:rPr>
            </w:pPr>
          </w:p>
        </w:tc>
        <w:tc>
          <w:tcPr>
            <w:tcW w:w="2324" w:type="dxa"/>
          </w:tcPr>
          <w:p w14:paraId="00CEB0A0" w14:textId="77777777" w:rsidR="0028746E" w:rsidRPr="0029428D" w:rsidRDefault="0028746E" w:rsidP="00417F46">
            <w:pPr>
              <w:pStyle w:val="TableText"/>
              <w:rPr>
                <w:rStyle w:val="Strong"/>
              </w:rPr>
            </w:pPr>
            <w:r w:rsidRPr="0029428D">
              <w:rPr>
                <w:rStyle w:val="Strong"/>
              </w:rPr>
              <w:t>Unsuccessful satisfied</w:t>
            </w:r>
          </w:p>
        </w:tc>
        <w:tc>
          <w:tcPr>
            <w:tcW w:w="1125" w:type="dxa"/>
          </w:tcPr>
          <w:p w14:paraId="145AA9BE" w14:textId="77777777" w:rsidR="0028746E" w:rsidRPr="0029428D" w:rsidRDefault="0028746E" w:rsidP="00417F46">
            <w:pPr>
              <w:pStyle w:val="TableText"/>
              <w:rPr>
                <w:rStyle w:val="Strong"/>
              </w:rPr>
            </w:pPr>
            <w:r w:rsidRPr="0029428D">
              <w:rPr>
                <w:rStyle w:val="Strong"/>
              </w:rPr>
              <w:t>0</w:t>
            </w:r>
          </w:p>
        </w:tc>
        <w:tc>
          <w:tcPr>
            <w:tcW w:w="1125" w:type="dxa"/>
          </w:tcPr>
          <w:p w14:paraId="752E99AA" w14:textId="77777777" w:rsidR="0028746E" w:rsidRPr="0029428D" w:rsidRDefault="0028746E" w:rsidP="00417F46">
            <w:pPr>
              <w:pStyle w:val="TableText"/>
              <w:rPr>
                <w:rStyle w:val="Strong"/>
              </w:rPr>
            </w:pPr>
            <w:r w:rsidRPr="0029428D">
              <w:rPr>
                <w:rStyle w:val="Strong"/>
              </w:rPr>
              <w:t>33</w:t>
            </w:r>
          </w:p>
        </w:tc>
        <w:tc>
          <w:tcPr>
            <w:tcW w:w="1152" w:type="dxa"/>
          </w:tcPr>
          <w:p w14:paraId="17CA0A94" w14:textId="77777777" w:rsidR="0028746E" w:rsidRPr="0029428D" w:rsidRDefault="0028746E" w:rsidP="00417F46">
            <w:pPr>
              <w:pStyle w:val="TableText"/>
              <w:rPr>
                <w:rStyle w:val="Strong"/>
              </w:rPr>
            </w:pPr>
            <w:r w:rsidRPr="0029428D">
              <w:rPr>
                <w:rStyle w:val="Strong"/>
              </w:rPr>
              <w:t>50</w:t>
            </w:r>
          </w:p>
        </w:tc>
      </w:tr>
      <w:tr w:rsidR="0028746E" w:rsidRPr="0029428D" w14:paraId="2A0B0161" w14:textId="77777777" w:rsidTr="00417F46">
        <w:tc>
          <w:tcPr>
            <w:tcW w:w="8789" w:type="dxa"/>
            <w:gridSpan w:val="5"/>
          </w:tcPr>
          <w:p w14:paraId="74FD0739" w14:textId="77777777" w:rsidR="0028746E" w:rsidRPr="0029428D" w:rsidRDefault="0028746E" w:rsidP="00417F46">
            <w:pPr>
              <w:pStyle w:val="TableText"/>
            </w:pPr>
            <w:r w:rsidRPr="0029428D">
              <w:t>To improve performance in this area, DJCS continued to centrally coordinate and distribute survey invitations soon after the end of the procurement process. DJCS’s overall communication and engagement with suppliers improved, along with the overall number and response rate of suppliers participating in the 2020–21 satisfaction survey. DJCS will continue to ensure it provides clear information and communicates regularly with suppliers throughout next year.</w:t>
            </w:r>
            <w:r w:rsidRPr="0029428D">
              <w:tab/>
            </w:r>
            <w:r w:rsidRPr="0029428D">
              <w:tab/>
            </w:r>
          </w:p>
        </w:tc>
      </w:tr>
      <w:tr w:rsidR="0028746E" w:rsidRPr="0029428D" w14:paraId="07B40D04" w14:textId="77777777" w:rsidTr="00417F46">
        <w:tc>
          <w:tcPr>
            <w:tcW w:w="5387" w:type="dxa"/>
            <w:gridSpan w:val="2"/>
          </w:tcPr>
          <w:p w14:paraId="0340C0D5" w14:textId="77777777" w:rsidR="0028746E" w:rsidRPr="0029428D" w:rsidRDefault="0028746E" w:rsidP="00417F46">
            <w:pPr>
              <w:pStyle w:val="TableText"/>
              <w:rPr>
                <w:rStyle w:val="Strong"/>
              </w:rPr>
            </w:pPr>
            <w:r w:rsidRPr="0029428D">
              <w:rPr>
                <w:rStyle w:val="Strong"/>
              </w:rPr>
              <w:t>Planned procurement activity as a % of actual procurement activity</w:t>
            </w:r>
          </w:p>
        </w:tc>
        <w:tc>
          <w:tcPr>
            <w:tcW w:w="1125" w:type="dxa"/>
          </w:tcPr>
          <w:p w14:paraId="66324FA4" w14:textId="77777777" w:rsidR="0028746E" w:rsidRPr="0029428D" w:rsidRDefault="0028746E" w:rsidP="00417F46">
            <w:pPr>
              <w:pStyle w:val="TableText"/>
              <w:rPr>
                <w:rStyle w:val="Strong"/>
              </w:rPr>
            </w:pPr>
            <w:r w:rsidRPr="0029428D">
              <w:rPr>
                <w:rStyle w:val="Strong"/>
              </w:rPr>
              <w:t>24.0</w:t>
            </w:r>
          </w:p>
        </w:tc>
        <w:tc>
          <w:tcPr>
            <w:tcW w:w="1125" w:type="dxa"/>
          </w:tcPr>
          <w:p w14:paraId="3326437D" w14:textId="77777777" w:rsidR="0028746E" w:rsidRPr="0029428D" w:rsidRDefault="0028746E" w:rsidP="00417F46">
            <w:pPr>
              <w:pStyle w:val="TableText"/>
              <w:rPr>
                <w:rStyle w:val="Strong"/>
              </w:rPr>
            </w:pPr>
            <w:r w:rsidRPr="0029428D">
              <w:rPr>
                <w:rStyle w:val="Strong"/>
              </w:rPr>
              <w:t>24.9</w:t>
            </w:r>
          </w:p>
        </w:tc>
        <w:tc>
          <w:tcPr>
            <w:tcW w:w="1152" w:type="dxa"/>
          </w:tcPr>
          <w:p w14:paraId="5DF7D505" w14:textId="77777777" w:rsidR="0028746E" w:rsidRPr="0029428D" w:rsidRDefault="0028746E" w:rsidP="00417F46">
            <w:pPr>
              <w:pStyle w:val="TableText"/>
              <w:rPr>
                <w:rStyle w:val="Strong"/>
              </w:rPr>
            </w:pPr>
            <w:r w:rsidRPr="0029428D">
              <w:rPr>
                <w:rStyle w:val="Strong"/>
              </w:rPr>
              <w:t>17.6</w:t>
            </w:r>
          </w:p>
        </w:tc>
      </w:tr>
      <w:tr w:rsidR="0028746E" w:rsidRPr="0029428D" w14:paraId="16EDB9FF" w14:textId="77777777" w:rsidTr="00417F46">
        <w:tc>
          <w:tcPr>
            <w:tcW w:w="8789" w:type="dxa"/>
            <w:gridSpan w:val="5"/>
          </w:tcPr>
          <w:p w14:paraId="21641105" w14:textId="77777777" w:rsidR="0028746E" w:rsidRPr="0029428D" w:rsidRDefault="0028746E" w:rsidP="00417F46">
            <w:pPr>
              <w:pStyle w:val="TableText"/>
            </w:pPr>
            <w:r w:rsidRPr="0029428D">
              <w:t>DJCS needed to reprioritise activities under the State of Emergency, leading to a decrease in this performance measure. Greater adoption of Jira by Procurement Services staff and the introduction of work pipeline reporting as a standing item in senior leadership meetings enabled issues to be tracked and drove more strategic management of procurement activities overall. Under the new category management operating model, DJCS will have more oversight of new and larger value procurement activities.</w:t>
            </w:r>
          </w:p>
        </w:tc>
      </w:tr>
    </w:tbl>
    <w:p w14:paraId="26F2FCF7" w14:textId="77777777" w:rsidR="0028746E" w:rsidRPr="0029428D" w:rsidRDefault="0028746E" w:rsidP="0028746E">
      <w:pPr>
        <w:pStyle w:val="Tablenotes"/>
      </w:pPr>
      <w:r w:rsidRPr="0029428D">
        <w:t xml:space="preserve">* Procurement capability scores were reported incorrectly in 2018–19 and 2019–20. These scores have been revised. </w:t>
      </w:r>
    </w:p>
    <w:p w14:paraId="52DF60BA" w14:textId="77777777" w:rsidR="0028746E" w:rsidRPr="0029428D" w:rsidRDefault="0028746E" w:rsidP="0028746E">
      <w:pPr>
        <w:pStyle w:val="Tablenotes"/>
      </w:pPr>
      <w:r w:rsidRPr="0029428D">
        <w:t xml:space="preserve">Refer to </w:t>
      </w:r>
      <w:r w:rsidRPr="0029428D">
        <w:rPr>
          <w:i/>
          <w:iCs/>
        </w:rPr>
        <w:fldChar w:fldCharType="begin"/>
      </w:r>
      <w:r w:rsidRPr="0029428D">
        <w:rPr>
          <w:i/>
          <w:iCs/>
        </w:rPr>
        <w:instrText xml:space="preserve"> REF _Ref80607952 \h  \* MERGEFORMAT </w:instrText>
      </w:r>
      <w:r w:rsidRPr="0029428D">
        <w:rPr>
          <w:i/>
          <w:iCs/>
        </w:rPr>
      </w:r>
      <w:r w:rsidRPr="0029428D">
        <w:rPr>
          <w:i/>
          <w:iCs/>
        </w:rPr>
        <w:fldChar w:fldCharType="separate"/>
      </w:r>
      <w:r w:rsidRPr="0029428D">
        <w:rPr>
          <w:i/>
          <w:iCs/>
        </w:rPr>
        <w:t xml:space="preserve">Table </w:t>
      </w:r>
      <w:r w:rsidRPr="0029428D">
        <w:rPr>
          <w:i/>
          <w:iCs/>
          <w:noProof/>
        </w:rPr>
        <w:t>11</w:t>
      </w:r>
      <w:r w:rsidRPr="0029428D">
        <w:rPr>
          <w:i/>
          <w:iCs/>
        </w:rPr>
        <w:t>: Performance measure methodology</w:t>
      </w:r>
      <w:r w:rsidRPr="0029428D">
        <w:rPr>
          <w:i/>
          <w:iCs/>
        </w:rPr>
        <w:fldChar w:fldCharType="end"/>
      </w:r>
      <w:r w:rsidRPr="0029428D">
        <w:t xml:space="preserve"> in the compliance section for a definition of performance measures.   </w:t>
      </w:r>
    </w:p>
    <w:p w14:paraId="22A03FA5" w14:textId="77777777" w:rsidR="000C1A89" w:rsidRDefault="0028746E"/>
    <w:sectPr w:rsidR="000C1A8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CC83D" w14:textId="77777777" w:rsidR="007A7F79" w:rsidRDefault="007A7F79" w:rsidP="007A7F79">
      <w:r>
        <w:separator/>
      </w:r>
    </w:p>
  </w:endnote>
  <w:endnote w:type="continuationSeparator" w:id="0">
    <w:p w14:paraId="7123686E" w14:textId="77777777" w:rsidR="007A7F79" w:rsidRDefault="007A7F79" w:rsidP="007A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9DA36" w14:textId="422C6279" w:rsidR="007A7F79" w:rsidRDefault="007A7F79">
    <w:pPr>
      <w:pStyle w:val="Footer"/>
    </w:pPr>
    <w:r>
      <w:rPr>
        <w:noProof/>
      </w:rPr>
      <mc:AlternateContent>
        <mc:Choice Requires="wps">
          <w:drawing>
            <wp:anchor distT="0" distB="0" distL="114300" distR="114300" simplePos="0" relativeHeight="251659264" behindDoc="0" locked="0" layoutInCell="0" allowOverlap="1" wp14:anchorId="3BCAA588" wp14:editId="57588921">
              <wp:simplePos x="0" y="0"/>
              <wp:positionH relativeFrom="page">
                <wp:posOffset>0</wp:posOffset>
              </wp:positionH>
              <wp:positionV relativeFrom="page">
                <wp:posOffset>10234930</wp:posOffset>
              </wp:positionV>
              <wp:extent cx="7560310" cy="266700"/>
              <wp:effectExtent l="0" t="0" r="0" b="0"/>
              <wp:wrapNone/>
              <wp:docPr id="1" name="MSIPCMc6e14b6ca1932f3164596968"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6E59BC" w14:textId="03EE9353" w:rsidR="007A7F79" w:rsidRPr="007A7F79" w:rsidRDefault="007A7F79" w:rsidP="007A7F79">
                          <w:pPr>
                            <w:rPr>
                              <w:rFonts w:ascii="Calibri" w:hAnsi="Calibri" w:cs="Calibri"/>
                              <w:color w:val="000000"/>
                              <w:sz w:val="22"/>
                            </w:rPr>
                          </w:pPr>
                          <w:r w:rsidRPr="007A7F79">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BCAA588" id="_x0000_t202" coordsize="21600,21600" o:spt="202" path="m,l,21600r21600,l21600,xe">
              <v:stroke joinstyle="miter"/>
              <v:path gradientshapeok="t" o:connecttype="rect"/>
            </v:shapetype>
            <v:shape id="MSIPCMc6e14b6ca1932f3164596968"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rNgkOsgIAAEgFAAAO&#10;AAAAAAAAAAAAAAAAAC4CAABkcnMvZTJvRG9jLnhtbFBLAQItABQABgAIAAAAIQBgEcYm3gAAAAsB&#10;AAAPAAAAAAAAAAAAAAAAAAwFAABkcnMvZG93bnJldi54bWxQSwUGAAAAAAQABADzAAAAFwYAAAAA&#10;" o:allowincell="f" filled="f" stroked="f" strokeweight=".5pt">
              <v:textbox inset="20pt,0,,0">
                <w:txbxContent>
                  <w:p w14:paraId="226E59BC" w14:textId="03EE9353" w:rsidR="007A7F79" w:rsidRPr="007A7F79" w:rsidRDefault="007A7F79" w:rsidP="007A7F79">
                    <w:pPr>
                      <w:rPr>
                        <w:rFonts w:ascii="Calibri" w:hAnsi="Calibri" w:cs="Calibri"/>
                        <w:color w:val="000000"/>
                        <w:sz w:val="22"/>
                      </w:rPr>
                    </w:pPr>
                    <w:r w:rsidRPr="007A7F79">
                      <w:rPr>
                        <w:rFonts w:ascii="Calibri" w:hAnsi="Calibri" w:cs="Calibri"/>
                        <w:color w:val="000000"/>
                        <w:sz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103BF" w14:textId="77777777" w:rsidR="007A7F79" w:rsidRDefault="007A7F79" w:rsidP="007A7F79">
      <w:r>
        <w:separator/>
      </w:r>
    </w:p>
  </w:footnote>
  <w:footnote w:type="continuationSeparator" w:id="0">
    <w:p w14:paraId="1D7BD42B" w14:textId="77777777" w:rsidR="007A7F79" w:rsidRDefault="007A7F79" w:rsidP="007A7F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F79"/>
    <w:rsid w:val="001B77EB"/>
    <w:rsid w:val="0028746E"/>
    <w:rsid w:val="006D3426"/>
    <w:rsid w:val="00775451"/>
    <w:rsid w:val="007A7F79"/>
    <w:rsid w:val="00B4701F"/>
    <w:rsid w:val="00E744CF"/>
    <w:rsid w:val="00FD63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83544"/>
  <w15:chartTrackingRefBased/>
  <w15:docId w15:val="{7566A098-4BB9-4C31-9E89-CE6D3671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7F79"/>
    <w:pPr>
      <w:spacing w:after="0" w:line="240" w:lineRule="auto"/>
    </w:pPr>
    <w:rPr>
      <w:rFonts w:ascii="Arial" w:eastAsia="Times New Roman" w:hAnsi="Arial"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sid w:val="007A7F79"/>
    <w:pPr>
      <w:keepNext/>
      <w:keepLines/>
      <w:tabs>
        <w:tab w:val="left" w:pos="851"/>
      </w:tabs>
      <w:spacing w:before="60" w:after="60" w:line="228" w:lineRule="auto"/>
      <w:ind w:left="794"/>
    </w:pPr>
    <w:rPr>
      <w:rFonts w:ascii="Calibri" w:hAnsi="Calibri" w:cs="Calibri"/>
      <w:b/>
      <w:sz w:val="22"/>
      <w:szCs w:val="22"/>
    </w:rPr>
  </w:style>
  <w:style w:type="character" w:customStyle="1" w:styleId="CaptionChar">
    <w:name w:val="Caption Char"/>
    <w:link w:val="Caption"/>
    <w:rsid w:val="007A7F79"/>
    <w:rPr>
      <w:rFonts w:ascii="Calibri" w:eastAsia="Times New Roman" w:hAnsi="Calibri" w:cs="Calibri"/>
      <w:b/>
      <w:lang w:eastAsia="en-AU"/>
    </w:rPr>
  </w:style>
  <w:style w:type="character" w:styleId="Strong">
    <w:name w:val="Strong"/>
    <w:uiPriority w:val="22"/>
    <w:qFormat/>
    <w:rsid w:val="007A7F79"/>
    <w:rPr>
      <w:b/>
      <w:bCs/>
    </w:rPr>
  </w:style>
  <w:style w:type="paragraph" w:customStyle="1" w:styleId="TableText">
    <w:name w:val="Table Text"/>
    <w:basedOn w:val="Normal"/>
    <w:link w:val="TableTextChar"/>
    <w:uiPriority w:val="15"/>
    <w:qFormat/>
    <w:rsid w:val="007A7F79"/>
    <w:pPr>
      <w:spacing w:before="20" w:after="20"/>
    </w:pPr>
    <w:rPr>
      <w:rFonts w:ascii="Calibri" w:eastAsiaTheme="minorHAnsi" w:hAnsi="Calibri" w:cs="Calibri"/>
      <w:sz w:val="20"/>
      <w:szCs w:val="20"/>
      <w:lang w:val="en-US" w:eastAsia="en-US"/>
    </w:rPr>
  </w:style>
  <w:style w:type="character" w:customStyle="1" w:styleId="TableTextChar">
    <w:name w:val="Table Text Char"/>
    <w:basedOn w:val="DefaultParagraphFont"/>
    <w:link w:val="TableText"/>
    <w:uiPriority w:val="15"/>
    <w:rsid w:val="007A7F79"/>
    <w:rPr>
      <w:rFonts w:ascii="Calibri" w:hAnsi="Calibri" w:cs="Calibri"/>
      <w:sz w:val="20"/>
      <w:szCs w:val="20"/>
      <w:lang w:val="en-US"/>
    </w:rPr>
  </w:style>
  <w:style w:type="paragraph" w:customStyle="1" w:styleId="TableHeader">
    <w:name w:val="Table Header"/>
    <w:basedOn w:val="TableText"/>
    <w:link w:val="TableHeaderChar"/>
    <w:uiPriority w:val="15"/>
    <w:qFormat/>
    <w:rsid w:val="007A7F79"/>
    <w:pPr>
      <w:keepNext/>
      <w:spacing w:before="40" w:after="40"/>
    </w:pPr>
    <w:rPr>
      <w:sz w:val="24"/>
      <w:szCs w:val="24"/>
    </w:rPr>
  </w:style>
  <w:style w:type="table" w:customStyle="1" w:styleId="TableGrid1">
    <w:name w:val="Table Grid1"/>
    <w:basedOn w:val="TableNormal"/>
    <w:next w:val="TableGrid"/>
    <w:uiPriority w:val="39"/>
    <w:rsid w:val="007A7F7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erChar">
    <w:name w:val="Table Header Char"/>
    <w:basedOn w:val="TableTextChar"/>
    <w:link w:val="TableHeader"/>
    <w:uiPriority w:val="15"/>
    <w:rsid w:val="007A7F79"/>
    <w:rPr>
      <w:rFonts w:ascii="Calibri" w:hAnsi="Calibri" w:cs="Calibri"/>
      <w:sz w:val="24"/>
      <w:szCs w:val="24"/>
      <w:lang w:val="en-US"/>
    </w:rPr>
  </w:style>
  <w:style w:type="table" w:styleId="TableGrid">
    <w:name w:val="Table Grid"/>
    <w:basedOn w:val="TableNormal"/>
    <w:uiPriority w:val="39"/>
    <w:rsid w:val="007A7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7F79"/>
    <w:pPr>
      <w:tabs>
        <w:tab w:val="center" w:pos="4513"/>
        <w:tab w:val="right" w:pos="9026"/>
      </w:tabs>
    </w:pPr>
  </w:style>
  <w:style w:type="character" w:customStyle="1" w:styleId="HeaderChar">
    <w:name w:val="Header Char"/>
    <w:basedOn w:val="DefaultParagraphFont"/>
    <w:link w:val="Header"/>
    <w:uiPriority w:val="99"/>
    <w:rsid w:val="007A7F79"/>
    <w:rPr>
      <w:rFonts w:ascii="Arial" w:eastAsia="Times New Roman" w:hAnsi="Arial" w:cs="Times New Roman"/>
      <w:sz w:val="24"/>
      <w:szCs w:val="24"/>
      <w:lang w:eastAsia="en-AU"/>
    </w:rPr>
  </w:style>
  <w:style w:type="paragraph" w:styleId="Footer">
    <w:name w:val="footer"/>
    <w:basedOn w:val="Normal"/>
    <w:link w:val="FooterChar"/>
    <w:uiPriority w:val="99"/>
    <w:unhideWhenUsed/>
    <w:rsid w:val="007A7F79"/>
    <w:pPr>
      <w:tabs>
        <w:tab w:val="center" w:pos="4513"/>
        <w:tab w:val="right" w:pos="9026"/>
      </w:tabs>
    </w:pPr>
  </w:style>
  <w:style w:type="character" w:customStyle="1" w:styleId="FooterChar">
    <w:name w:val="Footer Char"/>
    <w:basedOn w:val="DefaultParagraphFont"/>
    <w:link w:val="Footer"/>
    <w:uiPriority w:val="99"/>
    <w:rsid w:val="007A7F79"/>
    <w:rPr>
      <w:rFonts w:ascii="Arial" w:eastAsia="Times New Roman" w:hAnsi="Arial" w:cs="Times New Roman"/>
      <w:sz w:val="24"/>
      <w:szCs w:val="24"/>
      <w:lang w:eastAsia="en-AU"/>
    </w:rPr>
  </w:style>
  <w:style w:type="paragraph" w:customStyle="1" w:styleId="Tablenotes">
    <w:name w:val="Table notes"/>
    <w:basedOn w:val="Normal"/>
    <w:link w:val="TablenotesChar"/>
    <w:qFormat/>
    <w:rsid w:val="0028746E"/>
    <w:pPr>
      <w:spacing w:before="20"/>
      <w:ind w:left="284"/>
      <w:contextualSpacing/>
    </w:pPr>
    <w:rPr>
      <w:rFonts w:ascii="Calibri" w:eastAsia="Calibri" w:hAnsi="Calibri"/>
      <w:spacing w:val="-2"/>
      <w:sz w:val="18"/>
      <w:szCs w:val="18"/>
      <w:lang w:eastAsia="en-US"/>
    </w:rPr>
  </w:style>
  <w:style w:type="character" w:customStyle="1" w:styleId="TablenotesChar">
    <w:name w:val="Table notes Char"/>
    <w:basedOn w:val="DefaultParagraphFont"/>
    <w:link w:val="Tablenotes"/>
    <w:rsid w:val="0028746E"/>
    <w:rPr>
      <w:rFonts w:ascii="Calibri" w:eastAsia="Calibri" w:hAnsi="Calibri" w:cs="Times New Roman"/>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3E8D813-9A0E-43B0-83EF-D553AAB1D11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Coles (DTF)</dc:creator>
  <cp:keywords/>
  <dc:description/>
  <cp:lastModifiedBy>Vanessa Coles (DTF)</cp:lastModifiedBy>
  <cp:revision>2</cp:revision>
  <dcterms:created xsi:type="dcterms:W3CDTF">2021-10-21T05:30:00Z</dcterms:created>
  <dcterms:modified xsi:type="dcterms:W3CDTF">2021-10-21T05:30:00Z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2021-10-21T05:29:45Z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
  </property>
  <property fmtid="{D5CDD505-2E9C-101B-9397-08002B2CF9AE}" pid="8" name="MSIP_Label_7158ebbd-6c5e-441f-bfc9-4eb8c11e3978_ContentBits">
    <vt:lpwstr>2</vt:lpwstr>
  </property>
</Properties>
</file>