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3B29F" w14:textId="0B9107F2" w:rsidR="00180F02" w:rsidRPr="00451F22" w:rsidRDefault="00180F02" w:rsidP="00180F02">
      <w:pPr>
        <w:pStyle w:val="Caption"/>
        <w:tabs>
          <w:tab w:val="clear" w:pos="851"/>
        </w:tabs>
        <w:ind w:left="0"/>
        <w:rPr>
          <w:rFonts w:asciiTheme="majorHAnsi" w:eastAsiaTheme="majorEastAsia" w:hAnsiTheme="majorHAnsi" w:cstheme="majorHAnsi"/>
          <w:bCs/>
          <w:color w:val="000000" w:themeColor="text1"/>
          <w:sz w:val="28"/>
          <w:szCs w:val="28"/>
        </w:rPr>
      </w:pPr>
      <w:bookmarkStart w:id="0" w:name="_Ref49183362"/>
      <w:bookmarkStart w:id="1" w:name="_Toc49185554"/>
      <w:r w:rsidRPr="00451F22">
        <w:rPr>
          <w:rFonts w:asciiTheme="majorHAnsi" w:eastAsiaTheme="majorEastAsia" w:hAnsiTheme="majorHAnsi" w:cstheme="majorHAnsi"/>
          <w:bCs/>
          <w:color w:val="000000" w:themeColor="text1"/>
          <w:sz w:val="28"/>
          <w:szCs w:val="28"/>
        </w:rPr>
        <w:t>Table</w:t>
      </w:r>
      <w:bookmarkEnd w:id="0"/>
      <w:r w:rsidRPr="00451F22">
        <w:rPr>
          <w:rFonts w:asciiTheme="majorHAnsi" w:eastAsiaTheme="majorEastAsia" w:hAnsiTheme="majorHAnsi" w:cstheme="majorHAnsi"/>
          <w:bCs/>
          <w:color w:val="000000" w:themeColor="text1"/>
          <w:sz w:val="28"/>
          <w:szCs w:val="28"/>
        </w:rPr>
        <w:t xml:space="preserve"> Department of Premier and Cabinet performance in 20</w:t>
      </w:r>
      <w:bookmarkEnd w:id="1"/>
      <w:r w:rsidR="00A77ECE">
        <w:rPr>
          <w:rFonts w:asciiTheme="majorHAnsi" w:eastAsiaTheme="majorEastAsia" w:hAnsiTheme="majorHAnsi" w:cstheme="majorHAnsi"/>
          <w:bCs/>
          <w:color w:val="000000" w:themeColor="text1"/>
          <w:sz w:val="28"/>
          <w:szCs w:val="28"/>
        </w:rPr>
        <w:t>20-21</w:t>
      </w:r>
    </w:p>
    <w:p w14:paraId="2BB19A2B" w14:textId="57741C57" w:rsidR="00451F22" w:rsidRDefault="00451F22" w:rsidP="00451F22"/>
    <w:p w14:paraId="0E07D30A" w14:textId="5C5CA139" w:rsidR="00451F22" w:rsidRPr="00451F22" w:rsidRDefault="00451F22" w:rsidP="00451F22">
      <w:pPr>
        <w:rPr>
          <w:rFonts w:ascii="Calibri" w:eastAsiaTheme="minorHAnsi" w:hAnsi="Calibri" w:cs="Calibri"/>
          <w:sz w:val="20"/>
          <w:szCs w:val="20"/>
          <w:lang w:val="en-US" w:eastAsia="en-US"/>
        </w:rPr>
      </w:pPr>
      <w:r w:rsidRPr="00451F22">
        <w:rPr>
          <w:rFonts w:ascii="Calibri" w:eastAsiaTheme="minorHAnsi" w:hAnsi="Calibri" w:cs="Calibri"/>
          <w:sz w:val="20"/>
          <w:szCs w:val="20"/>
          <w:lang w:val="en-US" w:eastAsia="en-US"/>
        </w:rPr>
        <w:t xml:space="preserve">Extract from Victorian Government Purchasing Board </w:t>
      </w:r>
      <w:r w:rsidR="00CF2989">
        <w:rPr>
          <w:rFonts w:ascii="Calibri" w:eastAsiaTheme="minorHAnsi" w:hAnsi="Calibri" w:cs="Calibri"/>
          <w:sz w:val="20"/>
          <w:szCs w:val="20"/>
          <w:lang w:val="en-US" w:eastAsia="en-US"/>
        </w:rPr>
        <w:t xml:space="preserve">Annual Report </w:t>
      </w:r>
      <w:r w:rsidRPr="00451F22">
        <w:rPr>
          <w:rFonts w:ascii="Calibri" w:eastAsiaTheme="minorHAnsi" w:hAnsi="Calibri" w:cs="Calibri"/>
          <w:sz w:val="20"/>
          <w:szCs w:val="20"/>
          <w:lang w:val="en-US" w:eastAsia="en-US"/>
        </w:rPr>
        <w:t>20</w:t>
      </w:r>
      <w:r w:rsidR="00A77ECE">
        <w:rPr>
          <w:rFonts w:ascii="Calibri" w:eastAsiaTheme="minorHAnsi" w:hAnsi="Calibri" w:cs="Calibri"/>
          <w:sz w:val="20"/>
          <w:szCs w:val="20"/>
          <w:lang w:val="en-US" w:eastAsia="en-US"/>
        </w:rPr>
        <w:t>20-21</w:t>
      </w:r>
    </w:p>
    <w:p w14:paraId="59F62548" w14:textId="77777777" w:rsidR="00451F22" w:rsidRPr="00451F22" w:rsidRDefault="00451F22" w:rsidP="00451F22"/>
    <w:tbl>
      <w:tblPr>
        <w:tblStyle w:val="TableGrid1"/>
        <w:tblW w:w="9214" w:type="dxa"/>
        <w:tblInd w:w="392" w:type="dxa"/>
        <w:tblLook w:val="04A0" w:firstRow="1" w:lastRow="0" w:firstColumn="1" w:lastColumn="0" w:noHBand="0" w:noVBand="1"/>
      </w:tblPr>
      <w:tblGrid>
        <w:gridCol w:w="3119"/>
        <w:gridCol w:w="2693"/>
        <w:gridCol w:w="1134"/>
        <w:gridCol w:w="1134"/>
        <w:gridCol w:w="1134"/>
      </w:tblGrid>
      <w:tr w:rsidR="00A77ECE" w:rsidRPr="0029428D" w14:paraId="03D8A03D" w14:textId="77777777" w:rsidTr="00417F46">
        <w:tc>
          <w:tcPr>
            <w:tcW w:w="5812" w:type="dxa"/>
            <w:gridSpan w:val="2"/>
            <w:vMerge w:val="restart"/>
          </w:tcPr>
          <w:p w14:paraId="1B50732A" w14:textId="77777777" w:rsidR="00A77ECE" w:rsidRPr="0029428D" w:rsidRDefault="00A77ECE" w:rsidP="00417F46">
            <w:pPr>
              <w:pStyle w:val="TableHeader"/>
            </w:pPr>
            <w:r w:rsidRPr="0029428D">
              <w:t>Performance measure</w:t>
            </w:r>
          </w:p>
        </w:tc>
        <w:tc>
          <w:tcPr>
            <w:tcW w:w="1134" w:type="dxa"/>
          </w:tcPr>
          <w:p w14:paraId="785EC2CF" w14:textId="77777777" w:rsidR="00A77ECE" w:rsidRPr="0029428D" w:rsidRDefault="00A77ECE" w:rsidP="00417F46">
            <w:pPr>
              <w:pStyle w:val="TableHeader"/>
            </w:pPr>
            <w:r w:rsidRPr="0029428D">
              <w:t>2018–19</w:t>
            </w:r>
          </w:p>
        </w:tc>
        <w:tc>
          <w:tcPr>
            <w:tcW w:w="1134" w:type="dxa"/>
          </w:tcPr>
          <w:p w14:paraId="66647403" w14:textId="77777777" w:rsidR="00A77ECE" w:rsidRPr="0029428D" w:rsidRDefault="00A77ECE" w:rsidP="00417F46">
            <w:pPr>
              <w:pStyle w:val="TableHeader"/>
            </w:pPr>
            <w:r w:rsidRPr="0029428D">
              <w:t>2019–20</w:t>
            </w:r>
          </w:p>
        </w:tc>
        <w:tc>
          <w:tcPr>
            <w:tcW w:w="1134" w:type="dxa"/>
          </w:tcPr>
          <w:p w14:paraId="36C377D3" w14:textId="77777777" w:rsidR="00A77ECE" w:rsidRPr="0029428D" w:rsidRDefault="00A77ECE" w:rsidP="00417F46">
            <w:pPr>
              <w:pStyle w:val="TableHeader"/>
            </w:pPr>
            <w:r w:rsidRPr="0029428D">
              <w:t>2020–21</w:t>
            </w:r>
          </w:p>
        </w:tc>
      </w:tr>
      <w:tr w:rsidR="00A77ECE" w:rsidRPr="0029428D" w14:paraId="3EE0A8F3" w14:textId="77777777" w:rsidTr="00417F46">
        <w:tc>
          <w:tcPr>
            <w:tcW w:w="5812" w:type="dxa"/>
            <w:gridSpan w:val="2"/>
            <w:vMerge/>
          </w:tcPr>
          <w:p w14:paraId="2887FBAF" w14:textId="77777777" w:rsidR="00A77ECE" w:rsidRPr="0029428D" w:rsidRDefault="00A77ECE" w:rsidP="00417F46">
            <w:pPr>
              <w:pStyle w:val="TableHeader"/>
            </w:pPr>
          </w:p>
        </w:tc>
        <w:tc>
          <w:tcPr>
            <w:tcW w:w="3402" w:type="dxa"/>
            <w:gridSpan w:val="3"/>
          </w:tcPr>
          <w:p w14:paraId="03CF32E8" w14:textId="77777777" w:rsidR="00A77ECE" w:rsidRPr="0029428D" w:rsidRDefault="00A77ECE" w:rsidP="00417F46">
            <w:pPr>
              <w:pStyle w:val="TableHeader"/>
            </w:pPr>
            <w:r w:rsidRPr="0029428D">
              <w:t>(%)</w:t>
            </w:r>
          </w:p>
        </w:tc>
      </w:tr>
      <w:tr w:rsidR="00A77ECE" w:rsidRPr="0029428D" w14:paraId="6451449F" w14:textId="77777777" w:rsidTr="00417F46">
        <w:tc>
          <w:tcPr>
            <w:tcW w:w="5812" w:type="dxa"/>
            <w:gridSpan w:val="2"/>
          </w:tcPr>
          <w:p w14:paraId="4BBE54BC" w14:textId="77777777" w:rsidR="00A77ECE" w:rsidRPr="0029428D" w:rsidRDefault="00A77ECE" w:rsidP="00417F46">
            <w:pPr>
              <w:pStyle w:val="TableText"/>
              <w:rPr>
                <w:rStyle w:val="Strong"/>
              </w:rPr>
            </w:pPr>
            <w:r w:rsidRPr="0029428D">
              <w:rPr>
                <w:rStyle w:val="Strong"/>
              </w:rPr>
              <w:t>Value created from department procurement activity</w:t>
            </w:r>
          </w:p>
        </w:tc>
        <w:tc>
          <w:tcPr>
            <w:tcW w:w="1134" w:type="dxa"/>
          </w:tcPr>
          <w:p w14:paraId="5FC57DB2" w14:textId="77777777" w:rsidR="00A77ECE" w:rsidRPr="0029428D" w:rsidRDefault="00A77ECE" w:rsidP="00417F46">
            <w:pPr>
              <w:pStyle w:val="TableText"/>
              <w:rPr>
                <w:rStyle w:val="Strong"/>
              </w:rPr>
            </w:pPr>
            <w:r w:rsidRPr="0029428D">
              <w:rPr>
                <w:rStyle w:val="Strong"/>
              </w:rPr>
              <w:t>0.3</w:t>
            </w:r>
          </w:p>
        </w:tc>
        <w:tc>
          <w:tcPr>
            <w:tcW w:w="1134" w:type="dxa"/>
          </w:tcPr>
          <w:p w14:paraId="367407DB" w14:textId="77777777" w:rsidR="00A77ECE" w:rsidRPr="0029428D" w:rsidRDefault="00A77ECE" w:rsidP="00417F46">
            <w:pPr>
              <w:pStyle w:val="TableText"/>
              <w:rPr>
                <w:rStyle w:val="Strong"/>
              </w:rPr>
            </w:pPr>
            <w:r w:rsidRPr="0029428D">
              <w:rPr>
                <w:rStyle w:val="Strong"/>
              </w:rPr>
              <w:t>1.9</w:t>
            </w:r>
          </w:p>
        </w:tc>
        <w:tc>
          <w:tcPr>
            <w:tcW w:w="1134" w:type="dxa"/>
          </w:tcPr>
          <w:p w14:paraId="1C5E2F82" w14:textId="77777777" w:rsidR="00A77ECE" w:rsidRPr="0029428D" w:rsidRDefault="00A77ECE" w:rsidP="00417F46">
            <w:pPr>
              <w:pStyle w:val="TableText"/>
              <w:rPr>
                <w:rStyle w:val="Strong"/>
              </w:rPr>
            </w:pPr>
            <w:r w:rsidRPr="0029428D">
              <w:rPr>
                <w:rStyle w:val="Strong"/>
              </w:rPr>
              <w:t>5.3</w:t>
            </w:r>
          </w:p>
        </w:tc>
      </w:tr>
      <w:tr w:rsidR="00A77ECE" w:rsidRPr="0029428D" w14:paraId="6D2928EF" w14:textId="77777777" w:rsidTr="00417F46">
        <w:tc>
          <w:tcPr>
            <w:tcW w:w="9214" w:type="dxa"/>
            <w:gridSpan w:val="5"/>
          </w:tcPr>
          <w:p w14:paraId="1CC28305" w14:textId="77777777" w:rsidR="00A77ECE" w:rsidRPr="0029428D" w:rsidRDefault="00A77ECE" w:rsidP="00417F46">
            <w:pPr>
              <w:pStyle w:val="TableText"/>
            </w:pPr>
            <w:r w:rsidRPr="0029428D">
              <w:t>The increase in value created reflects improved procurement processes and governance across DPC. DPC’s business areas were encouraged to include best and final offer processes in their negotiations. Better manual reporting processes were implemented this year, resulting in better capture of savings in the procurement register and via procurement documentation. DPC is planning to transition to a new procurement application as part of the Common Corporate Platforms Program that will improve savings reporting, cost avoidance and benefits tracking. Implementation was originally planned for 2020–21 but was postponed to enable a smooth transition to a WoVG single instance procurement system.</w:t>
            </w:r>
          </w:p>
        </w:tc>
      </w:tr>
      <w:tr w:rsidR="00A77ECE" w:rsidRPr="0029428D" w14:paraId="4890C560" w14:textId="77777777" w:rsidTr="00417F46">
        <w:tc>
          <w:tcPr>
            <w:tcW w:w="5812" w:type="dxa"/>
            <w:gridSpan w:val="2"/>
          </w:tcPr>
          <w:p w14:paraId="5F145C06" w14:textId="77777777" w:rsidR="00A77ECE" w:rsidRPr="0029428D" w:rsidRDefault="00A77ECE" w:rsidP="00417F46">
            <w:pPr>
              <w:pStyle w:val="TableText"/>
              <w:rPr>
                <w:rStyle w:val="Strong"/>
              </w:rPr>
            </w:pPr>
            <w:r w:rsidRPr="0029428D">
              <w:rPr>
                <w:rStyle w:val="Strong"/>
              </w:rPr>
              <w:t>Managed spend</w:t>
            </w:r>
          </w:p>
        </w:tc>
        <w:tc>
          <w:tcPr>
            <w:tcW w:w="1134" w:type="dxa"/>
            <w:shd w:val="clear" w:color="auto" w:fill="FFFFFF" w:themeFill="background1"/>
          </w:tcPr>
          <w:p w14:paraId="2B1B2E1E" w14:textId="77777777" w:rsidR="00A77ECE" w:rsidRPr="0029428D" w:rsidRDefault="00A77ECE" w:rsidP="00417F46">
            <w:pPr>
              <w:pStyle w:val="TableText"/>
              <w:rPr>
                <w:rStyle w:val="Strong"/>
              </w:rPr>
            </w:pPr>
            <w:bookmarkStart w:id="2" w:name="_Hlk80871414"/>
            <w:r w:rsidRPr="0029428D">
              <w:rPr>
                <w:rStyle w:val="Strong"/>
              </w:rPr>
              <w:t>n/a</w:t>
            </w:r>
            <w:bookmarkEnd w:id="2"/>
          </w:p>
        </w:tc>
        <w:tc>
          <w:tcPr>
            <w:tcW w:w="1134" w:type="dxa"/>
            <w:shd w:val="clear" w:color="auto" w:fill="FFFFFF" w:themeFill="background1"/>
          </w:tcPr>
          <w:p w14:paraId="4CC509DE" w14:textId="77777777" w:rsidR="00A77ECE" w:rsidRPr="0029428D" w:rsidRDefault="00A77ECE" w:rsidP="00417F46">
            <w:pPr>
              <w:pStyle w:val="TableText"/>
              <w:rPr>
                <w:rStyle w:val="Strong"/>
              </w:rPr>
            </w:pPr>
            <w:r w:rsidRPr="0029428D">
              <w:rPr>
                <w:rStyle w:val="Strong"/>
              </w:rPr>
              <w:t>29.3</w:t>
            </w:r>
          </w:p>
        </w:tc>
        <w:tc>
          <w:tcPr>
            <w:tcW w:w="1134" w:type="dxa"/>
          </w:tcPr>
          <w:p w14:paraId="3E1862BD" w14:textId="77777777" w:rsidR="00A77ECE" w:rsidRPr="0029428D" w:rsidRDefault="00A77ECE" w:rsidP="00417F46">
            <w:pPr>
              <w:pStyle w:val="TableText"/>
              <w:rPr>
                <w:rStyle w:val="Strong"/>
              </w:rPr>
            </w:pPr>
            <w:r w:rsidRPr="0029428D">
              <w:rPr>
                <w:rStyle w:val="Strong"/>
              </w:rPr>
              <w:t>29.8</w:t>
            </w:r>
          </w:p>
        </w:tc>
      </w:tr>
      <w:tr w:rsidR="00A77ECE" w:rsidRPr="0029428D" w14:paraId="556CB303" w14:textId="77777777" w:rsidTr="00417F46">
        <w:tc>
          <w:tcPr>
            <w:tcW w:w="9214" w:type="dxa"/>
            <w:gridSpan w:val="5"/>
          </w:tcPr>
          <w:p w14:paraId="74F0D01C" w14:textId="77777777" w:rsidR="00A77ECE" w:rsidRPr="0029428D" w:rsidRDefault="00A77ECE" w:rsidP="00417F46">
            <w:pPr>
              <w:pStyle w:val="TableText"/>
            </w:pPr>
            <w:r w:rsidRPr="0029428D">
              <w:t xml:space="preserve">Continued impacts of COVID-19 affected improvements to managed spend. </w:t>
            </w:r>
          </w:p>
        </w:tc>
      </w:tr>
      <w:tr w:rsidR="00A77ECE" w:rsidRPr="0029428D" w14:paraId="626882CC" w14:textId="77777777" w:rsidTr="00417F46">
        <w:tc>
          <w:tcPr>
            <w:tcW w:w="5812" w:type="dxa"/>
            <w:gridSpan w:val="2"/>
          </w:tcPr>
          <w:p w14:paraId="461C6935" w14:textId="77777777" w:rsidR="00A77ECE" w:rsidRPr="0029428D" w:rsidRDefault="00A77ECE" w:rsidP="00417F46">
            <w:pPr>
              <w:pStyle w:val="TableText"/>
              <w:rPr>
                <w:rStyle w:val="Strong"/>
              </w:rPr>
            </w:pPr>
            <w:r w:rsidRPr="0029428D">
              <w:rPr>
                <w:rStyle w:val="Strong"/>
              </w:rPr>
              <w:t>Increase in procurement capability</w:t>
            </w:r>
          </w:p>
        </w:tc>
        <w:tc>
          <w:tcPr>
            <w:tcW w:w="1134" w:type="dxa"/>
          </w:tcPr>
          <w:p w14:paraId="4AFCFE67" w14:textId="77777777" w:rsidR="00A77ECE" w:rsidRPr="0029428D" w:rsidRDefault="00A77ECE" w:rsidP="00417F46">
            <w:pPr>
              <w:pStyle w:val="TableText"/>
              <w:rPr>
                <w:rStyle w:val="Strong"/>
              </w:rPr>
            </w:pPr>
            <w:r w:rsidRPr="0029428D">
              <w:rPr>
                <w:rStyle w:val="Strong"/>
              </w:rPr>
              <w:t>10.0</w:t>
            </w:r>
          </w:p>
        </w:tc>
        <w:tc>
          <w:tcPr>
            <w:tcW w:w="1134" w:type="dxa"/>
          </w:tcPr>
          <w:p w14:paraId="66B8A1B0" w14:textId="77777777" w:rsidR="00A77ECE" w:rsidRPr="0029428D" w:rsidRDefault="00A77ECE" w:rsidP="00417F46">
            <w:pPr>
              <w:pStyle w:val="TableText"/>
              <w:rPr>
                <w:rStyle w:val="Strong"/>
              </w:rPr>
            </w:pPr>
            <w:r w:rsidRPr="0029428D">
              <w:rPr>
                <w:rStyle w:val="Strong"/>
              </w:rPr>
              <w:t>11.8*</w:t>
            </w:r>
          </w:p>
        </w:tc>
        <w:tc>
          <w:tcPr>
            <w:tcW w:w="1134" w:type="dxa"/>
          </w:tcPr>
          <w:p w14:paraId="541FC8D5" w14:textId="77777777" w:rsidR="00A77ECE" w:rsidRPr="0029428D" w:rsidRDefault="00A77ECE" w:rsidP="00417F46">
            <w:pPr>
              <w:pStyle w:val="TableText"/>
              <w:rPr>
                <w:rStyle w:val="Strong"/>
              </w:rPr>
            </w:pPr>
            <w:r w:rsidRPr="0029428D">
              <w:rPr>
                <w:rStyle w:val="Strong"/>
              </w:rPr>
              <w:t>7.4</w:t>
            </w:r>
          </w:p>
        </w:tc>
      </w:tr>
      <w:tr w:rsidR="00A77ECE" w:rsidRPr="0029428D" w14:paraId="5673C65A" w14:textId="77777777" w:rsidTr="00417F46">
        <w:tc>
          <w:tcPr>
            <w:tcW w:w="9214" w:type="dxa"/>
            <w:gridSpan w:val="5"/>
          </w:tcPr>
          <w:p w14:paraId="5E6EA9C5" w14:textId="77777777" w:rsidR="00A77ECE" w:rsidRPr="0029428D" w:rsidRDefault="00A77ECE" w:rsidP="00417F46">
            <w:pPr>
              <w:pStyle w:val="TableText"/>
            </w:pPr>
            <w:r w:rsidRPr="0029428D">
              <w:t xml:space="preserve">Procurement capability increased mainly due to improvements in contract management processes. Specialised training in contract management was created and presented to several business areas. Uplift in procurement capability is being addressed through improved communication and governance information. </w:t>
            </w:r>
          </w:p>
        </w:tc>
      </w:tr>
      <w:tr w:rsidR="00A77ECE" w:rsidRPr="0029428D" w14:paraId="73660E59" w14:textId="77777777" w:rsidTr="00417F46">
        <w:tc>
          <w:tcPr>
            <w:tcW w:w="3119" w:type="dxa"/>
            <w:vMerge w:val="restart"/>
          </w:tcPr>
          <w:p w14:paraId="328D5817" w14:textId="77777777" w:rsidR="00A77ECE" w:rsidRPr="0029428D" w:rsidRDefault="00A77ECE" w:rsidP="00417F46">
            <w:pPr>
              <w:pStyle w:val="TableText"/>
              <w:rPr>
                <w:rStyle w:val="Strong"/>
              </w:rPr>
            </w:pPr>
            <w:r w:rsidRPr="0029428D">
              <w:rPr>
                <w:rStyle w:val="Strong"/>
              </w:rPr>
              <w:t>Supplier satisfaction assessment</w:t>
            </w:r>
          </w:p>
        </w:tc>
        <w:tc>
          <w:tcPr>
            <w:tcW w:w="2693" w:type="dxa"/>
          </w:tcPr>
          <w:p w14:paraId="73794BAF" w14:textId="77777777" w:rsidR="00A77ECE" w:rsidRPr="0029428D" w:rsidRDefault="00A77ECE" w:rsidP="00417F46">
            <w:pPr>
              <w:pStyle w:val="TableText"/>
              <w:rPr>
                <w:rStyle w:val="Strong"/>
              </w:rPr>
            </w:pPr>
            <w:r w:rsidRPr="0029428D">
              <w:rPr>
                <w:rStyle w:val="Strong"/>
              </w:rPr>
              <w:t>Successful satisfied</w:t>
            </w:r>
          </w:p>
        </w:tc>
        <w:tc>
          <w:tcPr>
            <w:tcW w:w="1134" w:type="dxa"/>
          </w:tcPr>
          <w:p w14:paraId="0F5976E8" w14:textId="77777777" w:rsidR="00A77ECE" w:rsidRPr="0029428D" w:rsidRDefault="00A77ECE" w:rsidP="00417F46">
            <w:pPr>
              <w:pStyle w:val="TableText"/>
              <w:rPr>
                <w:rStyle w:val="Strong"/>
              </w:rPr>
            </w:pPr>
            <w:r w:rsidRPr="0029428D">
              <w:rPr>
                <w:rStyle w:val="Strong"/>
              </w:rPr>
              <w:t>84</w:t>
            </w:r>
          </w:p>
        </w:tc>
        <w:tc>
          <w:tcPr>
            <w:tcW w:w="1134" w:type="dxa"/>
          </w:tcPr>
          <w:p w14:paraId="76335F58" w14:textId="77777777" w:rsidR="00A77ECE" w:rsidRPr="0029428D" w:rsidRDefault="00A77ECE" w:rsidP="00417F46">
            <w:pPr>
              <w:pStyle w:val="TableText"/>
              <w:rPr>
                <w:rStyle w:val="Strong"/>
              </w:rPr>
            </w:pPr>
            <w:r w:rsidRPr="0029428D">
              <w:rPr>
                <w:rStyle w:val="Strong"/>
              </w:rPr>
              <w:t>100</w:t>
            </w:r>
          </w:p>
        </w:tc>
        <w:tc>
          <w:tcPr>
            <w:tcW w:w="1134" w:type="dxa"/>
          </w:tcPr>
          <w:p w14:paraId="2BDDB499" w14:textId="77777777" w:rsidR="00A77ECE" w:rsidRPr="0029428D" w:rsidRDefault="00A77ECE" w:rsidP="00417F46">
            <w:pPr>
              <w:pStyle w:val="TableText"/>
              <w:rPr>
                <w:rStyle w:val="Strong"/>
              </w:rPr>
            </w:pPr>
            <w:r w:rsidRPr="0029428D">
              <w:rPr>
                <w:rStyle w:val="Strong"/>
              </w:rPr>
              <w:t>73</w:t>
            </w:r>
          </w:p>
        </w:tc>
      </w:tr>
      <w:tr w:rsidR="00A77ECE" w:rsidRPr="0029428D" w14:paraId="14FF789B" w14:textId="77777777" w:rsidTr="00417F46">
        <w:tc>
          <w:tcPr>
            <w:tcW w:w="3119" w:type="dxa"/>
            <w:vMerge/>
          </w:tcPr>
          <w:p w14:paraId="2D415216" w14:textId="77777777" w:rsidR="00A77ECE" w:rsidRPr="0029428D" w:rsidRDefault="00A77ECE" w:rsidP="00417F46">
            <w:pPr>
              <w:pStyle w:val="TableText"/>
              <w:rPr>
                <w:rStyle w:val="Strong"/>
              </w:rPr>
            </w:pPr>
          </w:p>
        </w:tc>
        <w:tc>
          <w:tcPr>
            <w:tcW w:w="2693" w:type="dxa"/>
          </w:tcPr>
          <w:p w14:paraId="3DF6E33E" w14:textId="77777777" w:rsidR="00A77ECE" w:rsidRPr="0029428D" w:rsidRDefault="00A77ECE" w:rsidP="00417F46">
            <w:pPr>
              <w:pStyle w:val="TableText"/>
              <w:rPr>
                <w:rStyle w:val="Strong"/>
              </w:rPr>
            </w:pPr>
            <w:r w:rsidRPr="0029428D">
              <w:rPr>
                <w:rStyle w:val="Strong"/>
              </w:rPr>
              <w:t>Unsuccessful satisfied</w:t>
            </w:r>
          </w:p>
        </w:tc>
        <w:tc>
          <w:tcPr>
            <w:tcW w:w="1134" w:type="dxa"/>
          </w:tcPr>
          <w:p w14:paraId="4378A5C7" w14:textId="77777777" w:rsidR="00A77ECE" w:rsidRPr="0029428D" w:rsidRDefault="00A77ECE" w:rsidP="00417F46">
            <w:pPr>
              <w:pStyle w:val="TableText"/>
              <w:rPr>
                <w:rStyle w:val="Strong"/>
              </w:rPr>
            </w:pPr>
            <w:r w:rsidRPr="0029428D">
              <w:rPr>
                <w:rStyle w:val="Strong"/>
              </w:rPr>
              <w:t>66</w:t>
            </w:r>
          </w:p>
        </w:tc>
        <w:tc>
          <w:tcPr>
            <w:tcW w:w="1134" w:type="dxa"/>
          </w:tcPr>
          <w:p w14:paraId="067C9E7C" w14:textId="77777777" w:rsidR="00A77ECE" w:rsidRPr="0029428D" w:rsidRDefault="00A77ECE" w:rsidP="00417F46">
            <w:pPr>
              <w:pStyle w:val="TableText"/>
              <w:rPr>
                <w:rStyle w:val="Strong"/>
              </w:rPr>
            </w:pPr>
            <w:r w:rsidRPr="0029428D">
              <w:rPr>
                <w:rStyle w:val="Strong"/>
              </w:rPr>
              <w:t>75</w:t>
            </w:r>
          </w:p>
        </w:tc>
        <w:tc>
          <w:tcPr>
            <w:tcW w:w="1134" w:type="dxa"/>
          </w:tcPr>
          <w:p w14:paraId="75D8B0B1" w14:textId="77777777" w:rsidR="00A77ECE" w:rsidRPr="0029428D" w:rsidRDefault="00A77ECE" w:rsidP="00417F46">
            <w:pPr>
              <w:pStyle w:val="TableText"/>
              <w:rPr>
                <w:rStyle w:val="Strong"/>
              </w:rPr>
            </w:pPr>
            <w:r w:rsidRPr="0029428D">
              <w:rPr>
                <w:rStyle w:val="Strong"/>
              </w:rPr>
              <w:t>64</w:t>
            </w:r>
          </w:p>
        </w:tc>
      </w:tr>
      <w:tr w:rsidR="00A77ECE" w:rsidRPr="0029428D" w14:paraId="27646F0D" w14:textId="77777777" w:rsidTr="00417F46">
        <w:tc>
          <w:tcPr>
            <w:tcW w:w="9214" w:type="dxa"/>
            <w:gridSpan w:val="5"/>
          </w:tcPr>
          <w:p w14:paraId="27C280FE" w14:textId="77777777" w:rsidR="00A77ECE" w:rsidRPr="0029428D" w:rsidRDefault="00A77ECE" w:rsidP="00417F46">
            <w:pPr>
              <w:pStyle w:val="TableText"/>
            </w:pPr>
            <w:r w:rsidRPr="0029428D">
              <w:t>DPC experienced a drop in satisfaction from successful and unsuccessful suppliers. Suppliers reported dissatisfaction with:</w:t>
            </w:r>
          </w:p>
          <w:p w14:paraId="6BDB49F7" w14:textId="77777777" w:rsidR="00A77ECE" w:rsidRPr="0029428D" w:rsidRDefault="00A77ECE" w:rsidP="00417F46">
            <w:pPr>
              <w:pStyle w:val="TableText"/>
            </w:pPr>
            <w:r w:rsidRPr="0029428D">
              <w:t>•</w:t>
            </w:r>
            <w:r w:rsidRPr="0029428D">
              <w:tab/>
              <w:t xml:space="preserve">timeliness of the process (evaluation and advice)  </w:t>
            </w:r>
          </w:p>
          <w:p w14:paraId="56B183B0" w14:textId="77777777" w:rsidR="00A77ECE" w:rsidRPr="0029428D" w:rsidRDefault="00A77ECE" w:rsidP="00417F46">
            <w:pPr>
              <w:pStyle w:val="TableText"/>
            </w:pPr>
            <w:r w:rsidRPr="0029428D">
              <w:t>•</w:t>
            </w:r>
            <w:r w:rsidRPr="0029428D">
              <w:tab/>
              <w:t>lack of clarity of the information provided.</w:t>
            </w:r>
          </w:p>
          <w:p w14:paraId="7315D39F" w14:textId="77777777" w:rsidR="00A77ECE" w:rsidRPr="0029428D" w:rsidRDefault="00A77ECE" w:rsidP="00417F46">
            <w:pPr>
              <w:pStyle w:val="TableText"/>
            </w:pPr>
            <w:r w:rsidRPr="0029428D">
              <w:t>This is most likely attributed to DPC’s critical response to COVID-19 which resulted in short turnaround times, project delays, moving priorities and evaluation timeliness. Procurement requirements were untested and urgent in several markets and may have led to suppliers reporting on lack of information clarity.</w:t>
            </w:r>
          </w:p>
        </w:tc>
      </w:tr>
      <w:tr w:rsidR="00A77ECE" w:rsidRPr="0029428D" w14:paraId="730DA18C" w14:textId="77777777" w:rsidTr="00417F46">
        <w:tc>
          <w:tcPr>
            <w:tcW w:w="5812" w:type="dxa"/>
            <w:gridSpan w:val="2"/>
          </w:tcPr>
          <w:p w14:paraId="53051BF7" w14:textId="77777777" w:rsidR="00A77ECE" w:rsidRPr="0029428D" w:rsidRDefault="00A77ECE" w:rsidP="00417F46">
            <w:pPr>
              <w:pStyle w:val="TableText"/>
              <w:rPr>
                <w:rStyle w:val="Strong"/>
              </w:rPr>
            </w:pPr>
            <w:r w:rsidRPr="0029428D">
              <w:rPr>
                <w:rStyle w:val="Strong"/>
              </w:rPr>
              <w:t>Planned procurement activity as a % of actual procurement activity</w:t>
            </w:r>
          </w:p>
        </w:tc>
        <w:tc>
          <w:tcPr>
            <w:tcW w:w="1134" w:type="dxa"/>
          </w:tcPr>
          <w:p w14:paraId="060EAF32" w14:textId="77777777" w:rsidR="00A77ECE" w:rsidRPr="0029428D" w:rsidRDefault="00A77ECE" w:rsidP="00417F46">
            <w:pPr>
              <w:pStyle w:val="TableText"/>
              <w:rPr>
                <w:rStyle w:val="Strong"/>
              </w:rPr>
            </w:pPr>
            <w:r w:rsidRPr="0029428D">
              <w:rPr>
                <w:rStyle w:val="Strong"/>
              </w:rPr>
              <w:t>30.1</w:t>
            </w:r>
          </w:p>
        </w:tc>
        <w:tc>
          <w:tcPr>
            <w:tcW w:w="1134" w:type="dxa"/>
          </w:tcPr>
          <w:p w14:paraId="7C63CA2E" w14:textId="77777777" w:rsidR="00A77ECE" w:rsidRPr="0029428D" w:rsidRDefault="00A77ECE" w:rsidP="00417F46">
            <w:pPr>
              <w:pStyle w:val="TableText"/>
              <w:rPr>
                <w:rStyle w:val="Strong"/>
              </w:rPr>
            </w:pPr>
            <w:r w:rsidRPr="0029428D">
              <w:rPr>
                <w:rStyle w:val="Strong"/>
              </w:rPr>
              <w:t>50.0</w:t>
            </w:r>
          </w:p>
        </w:tc>
        <w:tc>
          <w:tcPr>
            <w:tcW w:w="1134" w:type="dxa"/>
          </w:tcPr>
          <w:p w14:paraId="1B504FAF" w14:textId="77777777" w:rsidR="00A77ECE" w:rsidRPr="0029428D" w:rsidRDefault="00A77ECE" w:rsidP="00417F46">
            <w:pPr>
              <w:pStyle w:val="TableText"/>
              <w:rPr>
                <w:rStyle w:val="Strong"/>
              </w:rPr>
            </w:pPr>
            <w:r w:rsidRPr="0029428D">
              <w:rPr>
                <w:rStyle w:val="Strong"/>
              </w:rPr>
              <w:t>45.0</w:t>
            </w:r>
          </w:p>
        </w:tc>
      </w:tr>
      <w:tr w:rsidR="00A77ECE" w:rsidRPr="0029428D" w14:paraId="02E4160C" w14:textId="77777777" w:rsidTr="00417F46">
        <w:tc>
          <w:tcPr>
            <w:tcW w:w="9214" w:type="dxa"/>
            <w:gridSpan w:val="5"/>
          </w:tcPr>
          <w:p w14:paraId="6CFB61CE" w14:textId="77777777" w:rsidR="00A77ECE" w:rsidRPr="0029428D" w:rsidRDefault="00A77ECE" w:rsidP="00417F46">
            <w:pPr>
              <w:pStyle w:val="TableText"/>
            </w:pPr>
            <w:r w:rsidRPr="0029428D">
              <w:t xml:space="preserve">DPC implemented improvements to actively work with business areas in maintaining currency of the forward procurement activity plan. Branch budgets were delayed until November 2020 which meant a low response at the time the forward plan was put together. Several planned activities were cancelled due to re-prioritisation of projects due to COVID-19. </w:t>
            </w:r>
          </w:p>
        </w:tc>
      </w:tr>
    </w:tbl>
    <w:p w14:paraId="2A563051" w14:textId="77777777" w:rsidR="00A77ECE" w:rsidRPr="0029428D" w:rsidRDefault="00A77ECE" w:rsidP="00A77ECE">
      <w:pPr>
        <w:pStyle w:val="Tablenotes"/>
      </w:pPr>
      <w:r w:rsidRPr="0029428D">
        <w:t>* The procurement capability score was reported incorrectly in 2019–20. This score has been revised.</w:t>
      </w:r>
    </w:p>
    <w:p w14:paraId="47886386" w14:textId="77777777" w:rsidR="00A77ECE" w:rsidRPr="0029428D" w:rsidRDefault="00A77ECE" w:rsidP="00A77ECE">
      <w:pPr>
        <w:pStyle w:val="Tablenotes"/>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018CC735" w14:textId="77777777" w:rsidR="00180F02" w:rsidRDefault="00180F02" w:rsidP="00180F02"/>
    <w:p w14:paraId="10C2DA74" w14:textId="77777777" w:rsidR="00180F02" w:rsidRPr="004E7CDE" w:rsidRDefault="00180F02" w:rsidP="00180F02"/>
    <w:p w14:paraId="1E434F56" w14:textId="77777777" w:rsidR="00180F02" w:rsidRDefault="00180F02" w:rsidP="00180F02"/>
    <w:p w14:paraId="04198B8A" w14:textId="77777777" w:rsidR="000C1A89" w:rsidRDefault="00B61C6D"/>
    <w:sectPr w:rsidR="000C1A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3739E" w14:textId="77777777" w:rsidR="00180F02" w:rsidRDefault="00180F02" w:rsidP="00180F02">
      <w:r>
        <w:separator/>
      </w:r>
    </w:p>
  </w:endnote>
  <w:endnote w:type="continuationSeparator" w:id="0">
    <w:p w14:paraId="78574F40" w14:textId="77777777" w:rsidR="00180F02" w:rsidRDefault="00180F02" w:rsidP="001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F2640" w14:textId="2885E57E" w:rsidR="00180F02" w:rsidRDefault="00180F02">
    <w:pPr>
      <w:pStyle w:val="Footer"/>
    </w:pPr>
    <w:r>
      <w:rPr>
        <w:noProof/>
      </w:rPr>
      <mc:AlternateContent>
        <mc:Choice Requires="wps">
          <w:drawing>
            <wp:anchor distT="0" distB="0" distL="114300" distR="114300" simplePos="0" relativeHeight="251659264" behindDoc="0" locked="0" layoutInCell="0" allowOverlap="1" wp14:anchorId="33C1DB61" wp14:editId="60418B14">
              <wp:simplePos x="0" y="0"/>
              <wp:positionH relativeFrom="page">
                <wp:posOffset>0</wp:posOffset>
              </wp:positionH>
              <wp:positionV relativeFrom="page">
                <wp:posOffset>10234930</wp:posOffset>
              </wp:positionV>
              <wp:extent cx="7560310" cy="266700"/>
              <wp:effectExtent l="0" t="0" r="0" b="0"/>
              <wp:wrapNone/>
              <wp:docPr id="1" name="MSIPCM772e49d0a588f20a3351120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82702" w14:textId="2ADF46C4" w:rsidR="00180F02" w:rsidRPr="00180F02" w:rsidRDefault="00180F02" w:rsidP="00180F02">
                          <w:pPr>
                            <w:rPr>
                              <w:rFonts w:ascii="Calibri" w:hAnsi="Calibri" w:cs="Calibri"/>
                              <w:color w:val="000000"/>
                              <w:sz w:val="22"/>
                            </w:rPr>
                          </w:pPr>
                          <w:r w:rsidRPr="00180F0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C1DB61" id="_x0000_t202" coordsize="21600,21600" o:spt="202" path="m,l,21600r21600,l21600,xe">
              <v:stroke joinstyle="miter"/>
              <v:path gradientshapeok="t" o:connecttype="rect"/>
            </v:shapetype>
            <v:shape id="MSIPCM772e49d0a588f20a3351120d"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M0jkqmxAgAASAUAAA4A&#10;AAAAAAAAAAAAAAAALgIAAGRycy9lMm9Eb2MueG1sUEsBAi0AFAAGAAgAAAAhAGARxibeAAAACwEA&#10;AA8AAAAAAAAAAAAAAAAACwUAAGRycy9kb3ducmV2LnhtbFBLBQYAAAAABAAEAPMAAAAWBgAAAAA=&#10;" o:allowincell="f" filled="f" stroked="f" strokeweight=".5pt">
              <v:textbox inset="20pt,0,,0">
                <w:txbxContent>
                  <w:p w14:paraId="0D782702" w14:textId="2ADF46C4" w:rsidR="00180F02" w:rsidRPr="00180F02" w:rsidRDefault="00180F02" w:rsidP="00180F02">
                    <w:pPr>
                      <w:rPr>
                        <w:rFonts w:ascii="Calibri" w:hAnsi="Calibri" w:cs="Calibri"/>
                        <w:color w:val="000000"/>
                        <w:sz w:val="22"/>
                      </w:rPr>
                    </w:pPr>
                    <w:r w:rsidRPr="00180F02">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1C81A" w14:textId="77777777" w:rsidR="00180F02" w:rsidRDefault="00180F02" w:rsidP="00180F02">
      <w:r>
        <w:separator/>
      </w:r>
    </w:p>
  </w:footnote>
  <w:footnote w:type="continuationSeparator" w:id="0">
    <w:p w14:paraId="473DC1A5" w14:textId="77777777" w:rsidR="00180F02" w:rsidRDefault="00180F02" w:rsidP="0018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02"/>
    <w:rsid w:val="00180F02"/>
    <w:rsid w:val="00451F22"/>
    <w:rsid w:val="008419A4"/>
    <w:rsid w:val="00A03CE3"/>
    <w:rsid w:val="00A77ECE"/>
    <w:rsid w:val="00B4701F"/>
    <w:rsid w:val="00B61C6D"/>
    <w:rsid w:val="00CF2989"/>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0138"/>
  <w15:chartTrackingRefBased/>
  <w15:docId w15:val="{CDE0E1B3-1F30-46E4-8625-92BF00D4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F02"/>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180F02"/>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180F02"/>
    <w:rPr>
      <w:rFonts w:ascii="Calibri" w:eastAsia="Times New Roman" w:hAnsi="Calibri" w:cs="Calibri"/>
      <w:b/>
      <w:lang w:eastAsia="en-AU"/>
    </w:rPr>
  </w:style>
  <w:style w:type="character" w:styleId="Strong">
    <w:name w:val="Strong"/>
    <w:uiPriority w:val="22"/>
    <w:qFormat/>
    <w:rsid w:val="00180F02"/>
    <w:rPr>
      <w:b/>
      <w:bCs/>
    </w:rPr>
  </w:style>
  <w:style w:type="paragraph" w:customStyle="1" w:styleId="TableText">
    <w:name w:val="Table Text"/>
    <w:basedOn w:val="Normal"/>
    <w:link w:val="TableTextChar"/>
    <w:uiPriority w:val="15"/>
    <w:qFormat/>
    <w:rsid w:val="00180F02"/>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180F02"/>
    <w:rPr>
      <w:rFonts w:ascii="Calibri" w:hAnsi="Calibri" w:cs="Calibri"/>
      <w:sz w:val="20"/>
      <w:szCs w:val="20"/>
      <w:lang w:val="en-US"/>
    </w:rPr>
  </w:style>
  <w:style w:type="paragraph" w:customStyle="1" w:styleId="TableHeader">
    <w:name w:val="Table Header"/>
    <w:basedOn w:val="TableText"/>
    <w:link w:val="TableHeaderChar"/>
    <w:uiPriority w:val="15"/>
    <w:qFormat/>
    <w:rsid w:val="00180F02"/>
    <w:pPr>
      <w:keepNext/>
      <w:spacing w:before="40" w:after="40"/>
    </w:pPr>
    <w:rPr>
      <w:sz w:val="24"/>
      <w:szCs w:val="24"/>
    </w:rPr>
  </w:style>
  <w:style w:type="table" w:customStyle="1" w:styleId="TableGrid1">
    <w:name w:val="Table Grid1"/>
    <w:basedOn w:val="TableNormal"/>
    <w:next w:val="TableGrid"/>
    <w:uiPriority w:val="39"/>
    <w:rsid w:val="00180F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180F02"/>
    <w:rPr>
      <w:rFonts w:ascii="Calibri" w:hAnsi="Calibri" w:cs="Calibri"/>
      <w:sz w:val="24"/>
      <w:szCs w:val="24"/>
      <w:lang w:val="en-US"/>
    </w:rPr>
  </w:style>
  <w:style w:type="table" w:styleId="TableGrid">
    <w:name w:val="Table Grid"/>
    <w:basedOn w:val="TableNormal"/>
    <w:uiPriority w:val="39"/>
    <w:rsid w:val="0018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F02"/>
    <w:pPr>
      <w:tabs>
        <w:tab w:val="center" w:pos="4513"/>
        <w:tab w:val="right" w:pos="9026"/>
      </w:tabs>
    </w:pPr>
  </w:style>
  <w:style w:type="character" w:customStyle="1" w:styleId="HeaderChar">
    <w:name w:val="Header Char"/>
    <w:basedOn w:val="DefaultParagraphFont"/>
    <w:link w:val="Header"/>
    <w:uiPriority w:val="99"/>
    <w:rsid w:val="00180F0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180F02"/>
    <w:pPr>
      <w:tabs>
        <w:tab w:val="center" w:pos="4513"/>
        <w:tab w:val="right" w:pos="9026"/>
      </w:tabs>
    </w:pPr>
  </w:style>
  <w:style w:type="character" w:customStyle="1" w:styleId="FooterChar">
    <w:name w:val="Footer Char"/>
    <w:basedOn w:val="DefaultParagraphFont"/>
    <w:link w:val="Footer"/>
    <w:uiPriority w:val="99"/>
    <w:rsid w:val="00180F02"/>
    <w:rPr>
      <w:rFonts w:ascii="Arial" w:eastAsia="Times New Roman" w:hAnsi="Arial" w:cs="Times New Roman"/>
      <w:sz w:val="24"/>
      <w:szCs w:val="24"/>
      <w:lang w:eastAsia="en-AU"/>
    </w:rPr>
  </w:style>
  <w:style w:type="paragraph" w:customStyle="1" w:styleId="Tablenotes">
    <w:name w:val="Table notes"/>
    <w:basedOn w:val="Normal"/>
    <w:link w:val="TablenotesChar"/>
    <w:qFormat/>
    <w:rsid w:val="00A77ECE"/>
    <w:pPr>
      <w:spacing w:before="20"/>
      <w:ind w:left="284"/>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A77ECE"/>
    <w:rPr>
      <w:rFonts w:ascii="Calibri" w:eastAsia="Calibri" w:hAnsi="Calibri"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2811859-E6F5-4516-A349-AAFBCBB04782}">
  <ds:schemaRefs>
    <ds:schemaRef ds:uri="http://schemas.openxmlformats.org/officeDocument/2006/bibliography"/>
  </ds:schemaRefs>
</ds:datastoreItem>
</file>

<file path=customXml/itemProps2.xml><?xml version="1.0" encoding="utf-8"?>
<ds:datastoreItem xmlns:ds="http://schemas.openxmlformats.org/officeDocument/2006/customXml" ds:itemID="{0B6E18C0-FF53-450A-951A-BE2A02A8A5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2021-10-21T05:37:00Z</dcterms:created>
  <dcterms:modified xsi:type="dcterms:W3CDTF">2021-10-21T05:37:00Z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2021-10-21T05:37:05Z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