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57954" w14:textId="77F69E6F" w:rsidR="00514C04" w:rsidRDefault="00512F34" w:rsidP="00512F34">
      <w:pPr>
        <w:pStyle w:val="Caption"/>
        <w:ind w:left="0"/>
        <w:rPr>
          <w:rFonts w:asciiTheme="majorHAnsi" w:eastAsiaTheme="majorEastAsia" w:hAnsiTheme="majorHAnsi" w:cstheme="majorHAnsi"/>
          <w:bCs/>
          <w:color w:val="000000" w:themeColor="text1"/>
          <w:sz w:val="28"/>
          <w:szCs w:val="28"/>
        </w:rPr>
      </w:pPr>
      <w:bookmarkStart w:id="0" w:name="_Ref15553484"/>
      <w:bookmarkStart w:id="1" w:name="_Toc12717996"/>
      <w:bookmarkStart w:id="2" w:name="_Toc17130218"/>
      <w:bookmarkStart w:id="3" w:name="_Toc48837165"/>
      <w:bookmarkStart w:id="4" w:name="_Toc49185555"/>
      <w:r>
        <w:rPr>
          <w:rFonts w:asciiTheme="majorHAnsi" w:eastAsiaTheme="majorEastAsia" w:hAnsiTheme="majorHAnsi" w:cstheme="majorHAnsi"/>
          <w:bCs/>
          <w:color w:val="000000" w:themeColor="text1"/>
          <w:sz w:val="28"/>
          <w:szCs w:val="28"/>
        </w:rPr>
        <w:tab/>
      </w:r>
      <w:r w:rsidR="00514C04" w:rsidRPr="00512F34">
        <w:rPr>
          <w:rFonts w:asciiTheme="majorHAnsi" w:eastAsiaTheme="majorEastAsia" w:hAnsiTheme="majorHAnsi" w:cstheme="majorHAnsi"/>
          <w:bCs/>
          <w:color w:val="000000" w:themeColor="text1"/>
          <w:sz w:val="28"/>
          <w:szCs w:val="28"/>
        </w:rPr>
        <w:t>Table</w:t>
      </w:r>
      <w:bookmarkEnd w:id="0"/>
      <w:r w:rsidR="00514C04" w:rsidRPr="00512F34">
        <w:rPr>
          <w:rFonts w:asciiTheme="majorHAnsi" w:eastAsiaTheme="majorEastAsia" w:hAnsiTheme="majorHAnsi" w:cstheme="majorHAnsi"/>
          <w:bCs/>
          <w:color w:val="000000" w:themeColor="text1"/>
          <w:sz w:val="28"/>
          <w:szCs w:val="28"/>
        </w:rPr>
        <w:t xml:space="preserve"> Department of Transport performance in 20</w:t>
      </w:r>
      <w:bookmarkEnd w:id="1"/>
      <w:bookmarkEnd w:id="2"/>
      <w:bookmarkEnd w:id="3"/>
      <w:bookmarkEnd w:id="4"/>
      <w:r w:rsidR="00AA5B86">
        <w:rPr>
          <w:rFonts w:asciiTheme="majorHAnsi" w:eastAsiaTheme="majorEastAsia" w:hAnsiTheme="majorHAnsi" w:cstheme="majorHAnsi"/>
          <w:bCs/>
          <w:color w:val="000000" w:themeColor="text1"/>
          <w:sz w:val="28"/>
          <w:szCs w:val="28"/>
        </w:rPr>
        <w:t>20-21</w:t>
      </w:r>
    </w:p>
    <w:p w14:paraId="109E76A8" w14:textId="77777777" w:rsidR="00512F34" w:rsidRDefault="00512F34" w:rsidP="00512F34">
      <w:pPr>
        <w:ind w:firstLine="720"/>
        <w:rPr>
          <w:rFonts w:ascii="Calibri" w:eastAsiaTheme="minorHAnsi" w:hAnsi="Calibri" w:cs="Calibri"/>
          <w:sz w:val="20"/>
          <w:szCs w:val="20"/>
          <w:lang w:val="en-US" w:eastAsia="en-US"/>
        </w:rPr>
      </w:pPr>
    </w:p>
    <w:p w14:paraId="6FB1CF42" w14:textId="78C2C8FB" w:rsidR="00512F34" w:rsidRPr="00AA5B86" w:rsidRDefault="00512F34" w:rsidP="00AA5B86">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C46121">
        <w:rPr>
          <w:rFonts w:ascii="Calibri" w:eastAsiaTheme="minorHAnsi" w:hAnsi="Calibri" w:cs="Calibri"/>
          <w:sz w:val="20"/>
          <w:szCs w:val="20"/>
          <w:lang w:val="en-US" w:eastAsia="en-US"/>
        </w:rPr>
        <w:t xml:space="preserve">Annual Report </w:t>
      </w:r>
      <w:r w:rsidRPr="008A4523">
        <w:rPr>
          <w:rFonts w:ascii="Calibri" w:eastAsiaTheme="minorHAnsi" w:hAnsi="Calibri" w:cs="Calibri"/>
          <w:sz w:val="20"/>
          <w:szCs w:val="20"/>
          <w:lang w:val="en-US" w:eastAsia="en-US"/>
        </w:rPr>
        <w:t>20</w:t>
      </w:r>
      <w:r w:rsidR="00AA5B86">
        <w:rPr>
          <w:rFonts w:ascii="Calibri" w:eastAsiaTheme="minorHAnsi" w:hAnsi="Calibri" w:cs="Calibri"/>
          <w:sz w:val="20"/>
          <w:szCs w:val="20"/>
          <w:lang w:val="en-US" w:eastAsia="en-US"/>
        </w:rPr>
        <w:t>20-21</w:t>
      </w:r>
    </w:p>
    <w:p w14:paraId="1519E202" w14:textId="77777777" w:rsidR="00512F34" w:rsidRPr="00512F34" w:rsidRDefault="00512F34" w:rsidP="00512F34"/>
    <w:tbl>
      <w:tblPr>
        <w:tblStyle w:val="TableGrid1"/>
        <w:tblW w:w="9214" w:type="dxa"/>
        <w:tblInd w:w="279" w:type="dxa"/>
        <w:tblLook w:val="04A0" w:firstRow="1" w:lastRow="0" w:firstColumn="1" w:lastColumn="0" w:noHBand="0" w:noVBand="1"/>
      </w:tblPr>
      <w:tblGrid>
        <w:gridCol w:w="3119"/>
        <w:gridCol w:w="2693"/>
        <w:gridCol w:w="1134"/>
        <w:gridCol w:w="1134"/>
        <w:gridCol w:w="1134"/>
      </w:tblGrid>
      <w:tr w:rsidR="00AA5B86" w:rsidRPr="0029428D" w14:paraId="2CEC507D" w14:textId="77777777" w:rsidTr="00417F46">
        <w:tc>
          <w:tcPr>
            <w:tcW w:w="5812" w:type="dxa"/>
            <w:gridSpan w:val="2"/>
            <w:vMerge w:val="restart"/>
          </w:tcPr>
          <w:p w14:paraId="38FC40CC" w14:textId="77777777" w:rsidR="00AA5B86" w:rsidRPr="0029428D" w:rsidRDefault="00AA5B86" w:rsidP="00417F46">
            <w:pPr>
              <w:pStyle w:val="TableHeader"/>
            </w:pPr>
            <w:r w:rsidRPr="0029428D">
              <w:t>Performance measure</w:t>
            </w:r>
          </w:p>
        </w:tc>
        <w:tc>
          <w:tcPr>
            <w:tcW w:w="1134" w:type="dxa"/>
          </w:tcPr>
          <w:p w14:paraId="404E94B9" w14:textId="77777777" w:rsidR="00AA5B86" w:rsidRPr="0029428D" w:rsidRDefault="00AA5B86" w:rsidP="00417F46">
            <w:pPr>
              <w:pStyle w:val="TableHeader"/>
            </w:pPr>
            <w:r w:rsidRPr="0029428D">
              <w:t>2018–19</w:t>
            </w:r>
          </w:p>
        </w:tc>
        <w:tc>
          <w:tcPr>
            <w:tcW w:w="1134" w:type="dxa"/>
          </w:tcPr>
          <w:p w14:paraId="21AC430B" w14:textId="77777777" w:rsidR="00AA5B86" w:rsidRPr="0029428D" w:rsidRDefault="00AA5B86" w:rsidP="00417F46">
            <w:pPr>
              <w:pStyle w:val="TableHeader"/>
            </w:pPr>
            <w:r w:rsidRPr="0029428D">
              <w:t>2019–20</w:t>
            </w:r>
          </w:p>
        </w:tc>
        <w:tc>
          <w:tcPr>
            <w:tcW w:w="1134" w:type="dxa"/>
          </w:tcPr>
          <w:p w14:paraId="6894BB8F" w14:textId="77777777" w:rsidR="00AA5B86" w:rsidRPr="0029428D" w:rsidRDefault="00AA5B86" w:rsidP="00417F46">
            <w:pPr>
              <w:pStyle w:val="TableHeader"/>
            </w:pPr>
            <w:r w:rsidRPr="0029428D">
              <w:t>2020–21</w:t>
            </w:r>
          </w:p>
        </w:tc>
      </w:tr>
      <w:tr w:rsidR="00AA5B86" w:rsidRPr="0029428D" w14:paraId="4D559318" w14:textId="77777777" w:rsidTr="00417F46">
        <w:tc>
          <w:tcPr>
            <w:tcW w:w="5812" w:type="dxa"/>
            <w:gridSpan w:val="2"/>
            <w:vMerge/>
          </w:tcPr>
          <w:p w14:paraId="00D8A8B3" w14:textId="77777777" w:rsidR="00AA5B86" w:rsidRPr="0029428D" w:rsidRDefault="00AA5B86" w:rsidP="00417F46">
            <w:pPr>
              <w:pStyle w:val="TableHeader"/>
            </w:pPr>
          </w:p>
        </w:tc>
        <w:tc>
          <w:tcPr>
            <w:tcW w:w="3402" w:type="dxa"/>
            <w:gridSpan w:val="3"/>
          </w:tcPr>
          <w:p w14:paraId="12CC93FA" w14:textId="77777777" w:rsidR="00AA5B86" w:rsidRPr="0029428D" w:rsidRDefault="00AA5B86" w:rsidP="00417F46">
            <w:pPr>
              <w:pStyle w:val="TableHeader"/>
            </w:pPr>
            <w:r w:rsidRPr="0029428D">
              <w:t>(%)</w:t>
            </w:r>
          </w:p>
        </w:tc>
      </w:tr>
      <w:tr w:rsidR="00AA5B86" w:rsidRPr="0029428D" w14:paraId="5B53691A" w14:textId="77777777" w:rsidTr="00417F46">
        <w:tc>
          <w:tcPr>
            <w:tcW w:w="5812" w:type="dxa"/>
            <w:gridSpan w:val="2"/>
            <w:shd w:val="clear" w:color="auto" w:fill="FFFFFF" w:themeFill="background1"/>
          </w:tcPr>
          <w:p w14:paraId="66F8EAAD" w14:textId="77777777" w:rsidR="00AA5B86" w:rsidRPr="0029428D" w:rsidRDefault="00AA5B86" w:rsidP="00417F46">
            <w:pPr>
              <w:pStyle w:val="TableText"/>
              <w:rPr>
                <w:rStyle w:val="Strong"/>
              </w:rPr>
            </w:pPr>
            <w:r w:rsidRPr="0029428D">
              <w:rPr>
                <w:rStyle w:val="Strong"/>
              </w:rPr>
              <w:t>Value created from department procurement activity</w:t>
            </w:r>
          </w:p>
        </w:tc>
        <w:tc>
          <w:tcPr>
            <w:tcW w:w="1134" w:type="dxa"/>
            <w:shd w:val="clear" w:color="auto" w:fill="FFFFFF" w:themeFill="background1"/>
          </w:tcPr>
          <w:p w14:paraId="764FE708" w14:textId="77777777" w:rsidR="00AA5B86" w:rsidRPr="0029428D" w:rsidRDefault="00AA5B86" w:rsidP="00417F46">
            <w:pPr>
              <w:pStyle w:val="TableText"/>
              <w:rPr>
                <w:rStyle w:val="Strong"/>
              </w:rPr>
            </w:pPr>
            <w:r w:rsidRPr="0029428D">
              <w:rPr>
                <w:rStyle w:val="Strong"/>
              </w:rPr>
              <w:t>4.8</w:t>
            </w:r>
          </w:p>
        </w:tc>
        <w:tc>
          <w:tcPr>
            <w:tcW w:w="1134" w:type="dxa"/>
            <w:shd w:val="clear" w:color="auto" w:fill="FFFFFF" w:themeFill="background1"/>
          </w:tcPr>
          <w:p w14:paraId="725F053B" w14:textId="77777777" w:rsidR="00AA5B86" w:rsidRPr="0029428D" w:rsidRDefault="00AA5B86" w:rsidP="00417F46">
            <w:pPr>
              <w:pStyle w:val="TableText"/>
              <w:rPr>
                <w:rStyle w:val="Strong"/>
              </w:rPr>
            </w:pPr>
            <w:r w:rsidRPr="0029428D">
              <w:rPr>
                <w:rStyle w:val="Strong"/>
              </w:rPr>
              <w:t>2.2</w:t>
            </w:r>
          </w:p>
        </w:tc>
        <w:tc>
          <w:tcPr>
            <w:tcW w:w="1134" w:type="dxa"/>
            <w:shd w:val="clear" w:color="auto" w:fill="FFFFFF" w:themeFill="background1"/>
          </w:tcPr>
          <w:p w14:paraId="425894DB" w14:textId="77777777" w:rsidR="00AA5B86" w:rsidRPr="0029428D" w:rsidRDefault="00AA5B86" w:rsidP="00417F46">
            <w:pPr>
              <w:pStyle w:val="TableText"/>
              <w:rPr>
                <w:rStyle w:val="Strong"/>
              </w:rPr>
            </w:pPr>
            <w:r w:rsidRPr="0029428D">
              <w:rPr>
                <w:rStyle w:val="Strong"/>
              </w:rPr>
              <w:t>4.5</w:t>
            </w:r>
          </w:p>
        </w:tc>
      </w:tr>
      <w:tr w:rsidR="00AA5B86" w:rsidRPr="0029428D" w14:paraId="0F949326" w14:textId="77777777" w:rsidTr="00417F46">
        <w:tc>
          <w:tcPr>
            <w:tcW w:w="9214" w:type="dxa"/>
            <w:gridSpan w:val="5"/>
            <w:shd w:val="clear" w:color="auto" w:fill="FFFFFF" w:themeFill="background1"/>
          </w:tcPr>
          <w:p w14:paraId="29F3F897" w14:textId="77777777" w:rsidR="00AA5B86" w:rsidRPr="0029428D" w:rsidRDefault="00AA5B86" w:rsidP="00417F46">
            <w:pPr>
              <w:pStyle w:val="TableText"/>
              <w:rPr>
                <w:rFonts w:eastAsia="Times New Roman"/>
                <w:lang w:eastAsia="en-AU"/>
              </w:rPr>
            </w:pPr>
            <w:r w:rsidRPr="0029428D">
              <w:rPr>
                <w:rFonts w:eastAsia="Times New Roman"/>
                <w:lang w:eastAsia="en-AU"/>
              </w:rPr>
              <w:t xml:space="preserve">DoT increased procurement involvement at the start of the procurement process ensuring DoT Procurement is involved in commercial decisions and negotiations. A savings register has been created and is regularly populated by procurement managers. A DoT Efficiency and Refinement Committee has been established to identify saving opportunities. </w:t>
            </w:r>
          </w:p>
        </w:tc>
      </w:tr>
      <w:tr w:rsidR="00AA5B86" w:rsidRPr="0029428D" w14:paraId="7F040D3B" w14:textId="77777777" w:rsidTr="00417F46">
        <w:tc>
          <w:tcPr>
            <w:tcW w:w="5812" w:type="dxa"/>
            <w:gridSpan w:val="2"/>
            <w:shd w:val="clear" w:color="auto" w:fill="FFFFFF" w:themeFill="background1"/>
          </w:tcPr>
          <w:p w14:paraId="51DDC78F" w14:textId="77777777" w:rsidR="00AA5B86" w:rsidRPr="0029428D" w:rsidRDefault="00AA5B86" w:rsidP="00417F46">
            <w:pPr>
              <w:pStyle w:val="TableText"/>
              <w:rPr>
                <w:rStyle w:val="Strong"/>
              </w:rPr>
            </w:pPr>
            <w:r w:rsidRPr="0029428D">
              <w:rPr>
                <w:rStyle w:val="Strong"/>
              </w:rPr>
              <w:t>Managed spend</w:t>
            </w:r>
          </w:p>
        </w:tc>
        <w:tc>
          <w:tcPr>
            <w:tcW w:w="1134" w:type="dxa"/>
            <w:shd w:val="clear" w:color="auto" w:fill="FFFFFF" w:themeFill="background1"/>
          </w:tcPr>
          <w:p w14:paraId="443D9FFA" w14:textId="77777777" w:rsidR="00AA5B86" w:rsidRPr="0029428D" w:rsidRDefault="00AA5B86" w:rsidP="00417F46">
            <w:pPr>
              <w:pStyle w:val="TableText"/>
              <w:rPr>
                <w:rStyle w:val="Strong"/>
              </w:rPr>
            </w:pPr>
            <w:r w:rsidRPr="0029428D">
              <w:rPr>
                <w:rStyle w:val="Strong"/>
              </w:rPr>
              <w:t>n/a</w:t>
            </w:r>
          </w:p>
        </w:tc>
        <w:tc>
          <w:tcPr>
            <w:tcW w:w="1134" w:type="dxa"/>
            <w:shd w:val="clear" w:color="auto" w:fill="FFFFFF" w:themeFill="background1"/>
          </w:tcPr>
          <w:p w14:paraId="0B2F0A4C" w14:textId="77777777" w:rsidR="00AA5B86" w:rsidRPr="0029428D" w:rsidRDefault="00AA5B86" w:rsidP="00417F46">
            <w:pPr>
              <w:pStyle w:val="TableText"/>
              <w:rPr>
                <w:rStyle w:val="Strong"/>
              </w:rPr>
            </w:pPr>
            <w:r w:rsidRPr="0029428D">
              <w:rPr>
                <w:rStyle w:val="Strong"/>
              </w:rPr>
              <w:t>79.8</w:t>
            </w:r>
          </w:p>
        </w:tc>
        <w:tc>
          <w:tcPr>
            <w:tcW w:w="1134" w:type="dxa"/>
            <w:shd w:val="clear" w:color="auto" w:fill="FFFFFF" w:themeFill="background1"/>
          </w:tcPr>
          <w:p w14:paraId="26AABC3C" w14:textId="77777777" w:rsidR="00AA5B86" w:rsidRPr="0029428D" w:rsidRDefault="00AA5B86" w:rsidP="00417F46">
            <w:pPr>
              <w:pStyle w:val="TableText"/>
              <w:rPr>
                <w:rStyle w:val="Strong"/>
              </w:rPr>
            </w:pPr>
            <w:r w:rsidRPr="0029428D">
              <w:rPr>
                <w:rStyle w:val="Strong"/>
              </w:rPr>
              <w:t>78.8</w:t>
            </w:r>
          </w:p>
        </w:tc>
      </w:tr>
      <w:tr w:rsidR="00AA5B86" w:rsidRPr="0029428D" w14:paraId="17C331A0" w14:textId="77777777" w:rsidTr="00417F46">
        <w:tc>
          <w:tcPr>
            <w:tcW w:w="9214" w:type="dxa"/>
            <w:gridSpan w:val="5"/>
            <w:shd w:val="clear" w:color="auto" w:fill="FFFFFF" w:themeFill="background1"/>
          </w:tcPr>
          <w:p w14:paraId="597C7C8E" w14:textId="77777777" w:rsidR="00AA5B86" w:rsidRPr="0029428D" w:rsidRDefault="00AA5B86" w:rsidP="00417F46">
            <w:pPr>
              <w:pStyle w:val="TableText"/>
              <w:rPr>
                <w:rFonts w:eastAsia="Times New Roman"/>
                <w:lang w:eastAsia="en-AU"/>
              </w:rPr>
            </w:pPr>
            <w:r w:rsidRPr="0029428D">
              <w:rPr>
                <w:rFonts w:eastAsia="Times New Roman"/>
                <w:lang w:eastAsia="en-AU"/>
              </w:rPr>
              <w:t>DoT Procurement continued to perform well, managing about 79% of the department's spend. For strategic projects, DoT Procurement will be embedding resources to ensure that Procurement is involved in commercial decisions and negotiations.</w:t>
            </w:r>
          </w:p>
        </w:tc>
      </w:tr>
      <w:tr w:rsidR="00AA5B86" w:rsidRPr="0029428D" w14:paraId="15DDB1AE" w14:textId="77777777" w:rsidTr="00417F46">
        <w:tc>
          <w:tcPr>
            <w:tcW w:w="5812" w:type="dxa"/>
            <w:gridSpan w:val="2"/>
            <w:shd w:val="clear" w:color="auto" w:fill="FFFFFF" w:themeFill="background1"/>
          </w:tcPr>
          <w:p w14:paraId="36537907" w14:textId="77777777" w:rsidR="00AA5B86" w:rsidRPr="0029428D" w:rsidRDefault="00AA5B86" w:rsidP="00417F46">
            <w:pPr>
              <w:pStyle w:val="TableText"/>
              <w:rPr>
                <w:rStyle w:val="Strong"/>
              </w:rPr>
            </w:pPr>
            <w:r w:rsidRPr="0029428D">
              <w:rPr>
                <w:rStyle w:val="Strong"/>
              </w:rPr>
              <w:t>Increase in procurement capability</w:t>
            </w:r>
          </w:p>
        </w:tc>
        <w:tc>
          <w:tcPr>
            <w:tcW w:w="1134" w:type="dxa"/>
            <w:shd w:val="clear" w:color="auto" w:fill="FFFFFF" w:themeFill="background1"/>
          </w:tcPr>
          <w:p w14:paraId="3B56DA55" w14:textId="77777777" w:rsidR="00AA5B86" w:rsidRPr="0029428D" w:rsidRDefault="00AA5B86" w:rsidP="00417F46">
            <w:pPr>
              <w:pStyle w:val="TableText"/>
              <w:rPr>
                <w:rStyle w:val="Strong"/>
              </w:rPr>
            </w:pPr>
            <w:r w:rsidRPr="0029428D">
              <w:rPr>
                <w:rStyle w:val="Strong"/>
              </w:rPr>
              <w:t>5.8</w:t>
            </w:r>
          </w:p>
        </w:tc>
        <w:tc>
          <w:tcPr>
            <w:tcW w:w="1134" w:type="dxa"/>
            <w:shd w:val="clear" w:color="auto" w:fill="FFFFFF" w:themeFill="background1"/>
          </w:tcPr>
          <w:p w14:paraId="0E02D216" w14:textId="77777777" w:rsidR="00AA5B86" w:rsidRPr="0029428D" w:rsidRDefault="00AA5B86" w:rsidP="00417F46">
            <w:pPr>
              <w:pStyle w:val="TableText"/>
              <w:rPr>
                <w:rStyle w:val="Strong"/>
              </w:rPr>
            </w:pPr>
            <w:r w:rsidRPr="0029428D">
              <w:rPr>
                <w:rStyle w:val="Strong"/>
              </w:rPr>
              <w:t>18.7</w:t>
            </w:r>
          </w:p>
        </w:tc>
        <w:tc>
          <w:tcPr>
            <w:tcW w:w="1134" w:type="dxa"/>
            <w:shd w:val="clear" w:color="auto" w:fill="FFFFFF" w:themeFill="background1"/>
          </w:tcPr>
          <w:p w14:paraId="1D425C5A" w14:textId="77777777" w:rsidR="00AA5B86" w:rsidRPr="0029428D" w:rsidRDefault="00AA5B86" w:rsidP="00417F46">
            <w:pPr>
              <w:pStyle w:val="TableText"/>
              <w:rPr>
                <w:rStyle w:val="Strong"/>
              </w:rPr>
            </w:pPr>
            <w:r w:rsidRPr="0029428D">
              <w:rPr>
                <w:rStyle w:val="Strong"/>
              </w:rPr>
              <w:t>1.4</w:t>
            </w:r>
          </w:p>
        </w:tc>
      </w:tr>
      <w:tr w:rsidR="00AA5B86" w:rsidRPr="0029428D" w14:paraId="1EE55E0B" w14:textId="77777777" w:rsidTr="00417F46">
        <w:tc>
          <w:tcPr>
            <w:tcW w:w="9214" w:type="dxa"/>
            <w:gridSpan w:val="5"/>
            <w:shd w:val="clear" w:color="auto" w:fill="FFFFFF" w:themeFill="background1"/>
          </w:tcPr>
          <w:p w14:paraId="74F61089" w14:textId="77777777" w:rsidR="00AA5B86" w:rsidRPr="0029428D" w:rsidRDefault="00AA5B86" w:rsidP="00417F46">
            <w:pPr>
              <w:pStyle w:val="TableText"/>
              <w:rPr>
                <w:rFonts w:eastAsia="Times New Roman"/>
                <w:lang w:eastAsia="en-AU"/>
              </w:rPr>
            </w:pPr>
            <w:r w:rsidRPr="0029428D">
              <w:rPr>
                <w:rFonts w:eastAsia="Times New Roman"/>
                <w:lang w:eastAsia="en-AU"/>
              </w:rPr>
              <w:t>DoT has seen a year-on-year increase in procurement capability. This year, DoT was focused on implementing its eProcurement system, Zycus, which will help with tracking and managing savings. Procurement training is mandatory for financial delegates and will be implemented in 2021–22. DoT Procurement also rolled out a full suite of procurement, probity and procurement legal training across the business and internally within the Procurement Division.</w:t>
            </w:r>
          </w:p>
        </w:tc>
      </w:tr>
      <w:tr w:rsidR="00AA5B86" w:rsidRPr="0029428D" w14:paraId="19A0BC13" w14:textId="77777777" w:rsidTr="00417F46">
        <w:tc>
          <w:tcPr>
            <w:tcW w:w="3119" w:type="dxa"/>
            <w:vMerge w:val="restart"/>
            <w:shd w:val="clear" w:color="auto" w:fill="FFFFFF" w:themeFill="background1"/>
          </w:tcPr>
          <w:p w14:paraId="605592A7" w14:textId="77777777" w:rsidR="00AA5B86" w:rsidRPr="0029428D" w:rsidRDefault="00AA5B86" w:rsidP="00417F46">
            <w:pPr>
              <w:pStyle w:val="TableText"/>
              <w:rPr>
                <w:rStyle w:val="Strong"/>
              </w:rPr>
            </w:pPr>
            <w:r w:rsidRPr="0029428D">
              <w:rPr>
                <w:rStyle w:val="Strong"/>
              </w:rPr>
              <w:t>Supplier satisfaction assessment</w:t>
            </w:r>
          </w:p>
        </w:tc>
        <w:tc>
          <w:tcPr>
            <w:tcW w:w="2693" w:type="dxa"/>
            <w:shd w:val="clear" w:color="auto" w:fill="FFFFFF" w:themeFill="background1"/>
          </w:tcPr>
          <w:p w14:paraId="4DE7F585" w14:textId="77777777" w:rsidR="00AA5B86" w:rsidRPr="0029428D" w:rsidRDefault="00AA5B86" w:rsidP="00417F46">
            <w:pPr>
              <w:pStyle w:val="TableText"/>
              <w:rPr>
                <w:rStyle w:val="Strong"/>
              </w:rPr>
            </w:pPr>
            <w:r w:rsidRPr="0029428D">
              <w:rPr>
                <w:rStyle w:val="Strong"/>
              </w:rPr>
              <w:t>Successful satisfied</w:t>
            </w:r>
          </w:p>
        </w:tc>
        <w:tc>
          <w:tcPr>
            <w:tcW w:w="1134" w:type="dxa"/>
            <w:shd w:val="clear" w:color="auto" w:fill="FFFFFF" w:themeFill="background1"/>
          </w:tcPr>
          <w:p w14:paraId="56C2DBE3" w14:textId="77777777" w:rsidR="00AA5B86" w:rsidRPr="0029428D" w:rsidRDefault="00AA5B86" w:rsidP="00417F46">
            <w:pPr>
              <w:pStyle w:val="TableText"/>
              <w:rPr>
                <w:rStyle w:val="Strong"/>
              </w:rPr>
            </w:pPr>
            <w:r w:rsidRPr="0029428D">
              <w:rPr>
                <w:rStyle w:val="Strong"/>
              </w:rPr>
              <w:t>96</w:t>
            </w:r>
          </w:p>
        </w:tc>
        <w:tc>
          <w:tcPr>
            <w:tcW w:w="1134" w:type="dxa"/>
            <w:shd w:val="clear" w:color="auto" w:fill="FFFFFF" w:themeFill="background1"/>
          </w:tcPr>
          <w:p w14:paraId="0C7A74E0" w14:textId="77777777" w:rsidR="00AA5B86" w:rsidRPr="0029428D" w:rsidRDefault="00AA5B86" w:rsidP="00417F46">
            <w:pPr>
              <w:pStyle w:val="TableText"/>
              <w:rPr>
                <w:rStyle w:val="Strong"/>
              </w:rPr>
            </w:pPr>
            <w:r w:rsidRPr="0029428D">
              <w:rPr>
                <w:rStyle w:val="Strong"/>
              </w:rPr>
              <w:t>69</w:t>
            </w:r>
          </w:p>
        </w:tc>
        <w:tc>
          <w:tcPr>
            <w:tcW w:w="1134" w:type="dxa"/>
            <w:shd w:val="clear" w:color="auto" w:fill="FFFFFF" w:themeFill="background1"/>
          </w:tcPr>
          <w:p w14:paraId="50E26DF2" w14:textId="77777777" w:rsidR="00AA5B86" w:rsidRPr="0029428D" w:rsidRDefault="00AA5B86" w:rsidP="00417F46">
            <w:pPr>
              <w:pStyle w:val="TableText"/>
              <w:rPr>
                <w:rStyle w:val="Strong"/>
              </w:rPr>
            </w:pPr>
            <w:r w:rsidRPr="0029428D">
              <w:rPr>
                <w:rStyle w:val="Strong"/>
              </w:rPr>
              <w:t>82</w:t>
            </w:r>
          </w:p>
        </w:tc>
      </w:tr>
      <w:tr w:rsidR="00AA5B86" w:rsidRPr="0029428D" w14:paraId="220DBBCE" w14:textId="77777777" w:rsidTr="00417F46">
        <w:tc>
          <w:tcPr>
            <w:tcW w:w="3119" w:type="dxa"/>
            <w:vMerge/>
            <w:shd w:val="clear" w:color="auto" w:fill="FFFFFF" w:themeFill="background1"/>
          </w:tcPr>
          <w:p w14:paraId="465BF29A" w14:textId="77777777" w:rsidR="00AA5B86" w:rsidRPr="0029428D" w:rsidRDefault="00AA5B86" w:rsidP="00417F46">
            <w:pPr>
              <w:pStyle w:val="TableText"/>
              <w:rPr>
                <w:rStyle w:val="Strong"/>
              </w:rPr>
            </w:pPr>
          </w:p>
        </w:tc>
        <w:tc>
          <w:tcPr>
            <w:tcW w:w="2693" w:type="dxa"/>
            <w:shd w:val="clear" w:color="auto" w:fill="FFFFFF" w:themeFill="background1"/>
          </w:tcPr>
          <w:p w14:paraId="5076E5A5" w14:textId="77777777" w:rsidR="00AA5B86" w:rsidRPr="0029428D" w:rsidRDefault="00AA5B86" w:rsidP="00417F46">
            <w:pPr>
              <w:pStyle w:val="TableText"/>
              <w:rPr>
                <w:rStyle w:val="Strong"/>
              </w:rPr>
            </w:pPr>
            <w:r w:rsidRPr="0029428D">
              <w:rPr>
                <w:rStyle w:val="Strong"/>
              </w:rPr>
              <w:t>Unsuccessful satisfied</w:t>
            </w:r>
          </w:p>
        </w:tc>
        <w:tc>
          <w:tcPr>
            <w:tcW w:w="1134" w:type="dxa"/>
            <w:shd w:val="clear" w:color="auto" w:fill="FFFFFF" w:themeFill="background1"/>
          </w:tcPr>
          <w:p w14:paraId="7C54D3C3" w14:textId="77777777" w:rsidR="00AA5B86" w:rsidRPr="0029428D" w:rsidRDefault="00AA5B86" w:rsidP="00417F46">
            <w:pPr>
              <w:pStyle w:val="TableText"/>
              <w:rPr>
                <w:rStyle w:val="Strong"/>
              </w:rPr>
            </w:pPr>
            <w:r w:rsidRPr="0029428D">
              <w:rPr>
                <w:rStyle w:val="Strong"/>
              </w:rPr>
              <w:t>24</w:t>
            </w:r>
          </w:p>
        </w:tc>
        <w:tc>
          <w:tcPr>
            <w:tcW w:w="1134" w:type="dxa"/>
            <w:shd w:val="clear" w:color="auto" w:fill="FFFFFF" w:themeFill="background1"/>
          </w:tcPr>
          <w:p w14:paraId="5D4CE476" w14:textId="77777777" w:rsidR="00AA5B86" w:rsidRPr="0029428D" w:rsidRDefault="00AA5B86" w:rsidP="00417F46">
            <w:pPr>
              <w:pStyle w:val="TableText"/>
              <w:rPr>
                <w:rStyle w:val="Strong"/>
              </w:rPr>
            </w:pPr>
            <w:r w:rsidRPr="0029428D">
              <w:rPr>
                <w:rStyle w:val="Strong"/>
              </w:rPr>
              <w:t>26</w:t>
            </w:r>
          </w:p>
        </w:tc>
        <w:tc>
          <w:tcPr>
            <w:tcW w:w="1134" w:type="dxa"/>
            <w:shd w:val="clear" w:color="auto" w:fill="FFFFFF" w:themeFill="background1"/>
          </w:tcPr>
          <w:p w14:paraId="69E5702F" w14:textId="77777777" w:rsidR="00AA5B86" w:rsidRPr="0029428D" w:rsidRDefault="00AA5B86" w:rsidP="00417F46">
            <w:pPr>
              <w:pStyle w:val="TableText"/>
              <w:rPr>
                <w:rStyle w:val="Strong"/>
              </w:rPr>
            </w:pPr>
            <w:r w:rsidRPr="0029428D">
              <w:rPr>
                <w:rStyle w:val="Strong"/>
              </w:rPr>
              <w:t>22</w:t>
            </w:r>
          </w:p>
        </w:tc>
      </w:tr>
      <w:tr w:rsidR="00AA5B86" w:rsidRPr="0029428D" w14:paraId="015C8D69" w14:textId="77777777" w:rsidTr="00417F46">
        <w:tc>
          <w:tcPr>
            <w:tcW w:w="9214" w:type="dxa"/>
            <w:gridSpan w:val="5"/>
            <w:shd w:val="clear" w:color="auto" w:fill="FFFFFF" w:themeFill="background1"/>
          </w:tcPr>
          <w:p w14:paraId="03EA8390" w14:textId="77777777" w:rsidR="00AA5B86" w:rsidRPr="0029428D" w:rsidRDefault="00AA5B86" w:rsidP="00417F46">
            <w:pPr>
              <w:pStyle w:val="TableText"/>
              <w:rPr>
                <w:rFonts w:eastAsia="Times New Roman"/>
                <w:lang w:eastAsia="en-AU"/>
              </w:rPr>
            </w:pPr>
            <w:r w:rsidRPr="0029428D">
              <w:rPr>
                <w:rFonts w:eastAsia="Times New Roman"/>
                <w:lang w:eastAsia="en-AU"/>
              </w:rPr>
              <w:t>DoT improved communication with suppliers and facilitated industry briefing sessions and tender debriefs.</w:t>
            </w:r>
          </w:p>
          <w:p w14:paraId="56C5E7DA" w14:textId="77777777" w:rsidR="00AA5B86" w:rsidRPr="0029428D" w:rsidRDefault="00AA5B86" w:rsidP="00417F46">
            <w:pPr>
              <w:pStyle w:val="TableText"/>
              <w:rPr>
                <w:rFonts w:eastAsia="Times New Roman"/>
                <w:lang w:eastAsia="en-AU"/>
              </w:rPr>
            </w:pPr>
            <w:r w:rsidRPr="0029428D">
              <w:rPr>
                <w:rFonts w:eastAsia="Times New Roman"/>
                <w:lang w:eastAsia="en-AU"/>
              </w:rPr>
              <w:t>These results are based on a low survey response rate from suppliers with surveys sent at the end of the year. Next year, surveys will be sent to suppliers on a quarterly basis to increase response rates.</w:t>
            </w:r>
          </w:p>
        </w:tc>
      </w:tr>
      <w:tr w:rsidR="00AA5B86" w:rsidRPr="0029428D" w14:paraId="360005EF" w14:textId="77777777" w:rsidTr="00417F46">
        <w:tc>
          <w:tcPr>
            <w:tcW w:w="5812" w:type="dxa"/>
            <w:gridSpan w:val="2"/>
            <w:shd w:val="clear" w:color="auto" w:fill="FFFFFF" w:themeFill="background1"/>
          </w:tcPr>
          <w:p w14:paraId="56A9A83F" w14:textId="77777777" w:rsidR="00AA5B86" w:rsidRPr="0029428D" w:rsidRDefault="00AA5B86" w:rsidP="00417F46">
            <w:pPr>
              <w:pStyle w:val="TableText"/>
              <w:rPr>
                <w:rStyle w:val="Strong"/>
              </w:rPr>
            </w:pPr>
            <w:r w:rsidRPr="0029428D">
              <w:rPr>
                <w:rStyle w:val="Strong"/>
              </w:rPr>
              <w:t>Planned procurement activity as a % of actual procurement activity</w:t>
            </w:r>
          </w:p>
        </w:tc>
        <w:tc>
          <w:tcPr>
            <w:tcW w:w="1134" w:type="dxa"/>
            <w:shd w:val="clear" w:color="auto" w:fill="FFFFFF" w:themeFill="background1"/>
          </w:tcPr>
          <w:p w14:paraId="45A84E15" w14:textId="77777777" w:rsidR="00AA5B86" w:rsidRPr="0029428D" w:rsidRDefault="00AA5B86" w:rsidP="00417F46">
            <w:pPr>
              <w:pStyle w:val="TableText"/>
              <w:rPr>
                <w:rStyle w:val="Strong"/>
              </w:rPr>
            </w:pPr>
            <w:r w:rsidRPr="0029428D">
              <w:rPr>
                <w:rStyle w:val="Strong"/>
              </w:rPr>
              <w:t>66.7</w:t>
            </w:r>
          </w:p>
        </w:tc>
        <w:tc>
          <w:tcPr>
            <w:tcW w:w="1134" w:type="dxa"/>
            <w:shd w:val="clear" w:color="auto" w:fill="FFFFFF" w:themeFill="background1"/>
          </w:tcPr>
          <w:p w14:paraId="64C84EB9" w14:textId="77777777" w:rsidR="00AA5B86" w:rsidRPr="0029428D" w:rsidRDefault="00AA5B86" w:rsidP="00417F46">
            <w:pPr>
              <w:pStyle w:val="TableText"/>
              <w:rPr>
                <w:rStyle w:val="Strong"/>
              </w:rPr>
            </w:pPr>
            <w:r w:rsidRPr="0029428D">
              <w:rPr>
                <w:rStyle w:val="Strong"/>
              </w:rPr>
              <w:t>10.5</w:t>
            </w:r>
          </w:p>
        </w:tc>
        <w:tc>
          <w:tcPr>
            <w:tcW w:w="1134" w:type="dxa"/>
            <w:shd w:val="clear" w:color="auto" w:fill="FFFFFF" w:themeFill="background1"/>
          </w:tcPr>
          <w:p w14:paraId="7380F9E7" w14:textId="77777777" w:rsidR="00AA5B86" w:rsidRPr="0029428D" w:rsidRDefault="00AA5B86" w:rsidP="00417F46">
            <w:pPr>
              <w:pStyle w:val="TableText"/>
              <w:rPr>
                <w:rStyle w:val="Strong"/>
              </w:rPr>
            </w:pPr>
            <w:r w:rsidRPr="0029428D">
              <w:rPr>
                <w:rStyle w:val="Strong"/>
              </w:rPr>
              <w:t>11.6</w:t>
            </w:r>
          </w:p>
        </w:tc>
      </w:tr>
      <w:tr w:rsidR="00AA5B86" w:rsidRPr="0029428D" w14:paraId="58BC8654" w14:textId="77777777" w:rsidTr="00417F46">
        <w:tc>
          <w:tcPr>
            <w:tcW w:w="9214" w:type="dxa"/>
            <w:gridSpan w:val="5"/>
          </w:tcPr>
          <w:p w14:paraId="39F074C5" w14:textId="77777777" w:rsidR="00AA5B86" w:rsidRPr="0029428D" w:rsidRDefault="00AA5B86" w:rsidP="00417F46">
            <w:pPr>
              <w:pStyle w:val="TableText"/>
              <w:rPr>
                <w:rFonts w:eastAsia="Times New Roman"/>
                <w:lang w:eastAsia="en-AU"/>
              </w:rPr>
            </w:pPr>
            <w:r w:rsidRPr="0029428D">
              <w:rPr>
                <w:rFonts w:eastAsia="Times New Roman"/>
                <w:lang w:eastAsia="en-AU"/>
              </w:rPr>
              <w:t>With COVID-19, many planned procurement activities did not occur, but there was a small improvement due to DoT Procurement facilitating better planning with business areas to develop a more rigorous forward activity plan focused on business needs and expiring contracts. DoT is focused on achieving more savings next year, with pre-planning required to drive value.</w:t>
            </w:r>
          </w:p>
        </w:tc>
      </w:tr>
    </w:tbl>
    <w:p w14:paraId="6631A36C" w14:textId="77777777" w:rsidR="00AA5B86" w:rsidRPr="0029428D" w:rsidRDefault="00AA5B86" w:rsidP="00AA5B86">
      <w:pPr>
        <w:pStyle w:val="Tablenotes"/>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41E3F5A7" w14:textId="77777777" w:rsidR="000C1A89" w:rsidRDefault="00AA5B86"/>
    <w:sectPr w:rsidR="000C1A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D7FC4" w14:textId="77777777" w:rsidR="00514C04" w:rsidRDefault="00514C04" w:rsidP="00514C04">
      <w:r>
        <w:separator/>
      </w:r>
    </w:p>
  </w:endnote>
  <w:endnote w:type="continuationSeparator" w:id="0">
    <w:p w14:paraId="67518FC0" w14:textId="77777777" w:rsidR="00514C04" w:rsidRDefault="00514C04" w:rsidP="0051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3927" w14:textId="77777777" w:rsidR="00514C04" w:rsidRDefault="00514C04">
    <w:pPr>
      <w:pStyle w:val="Footer"/>
    </w:pPr>
    <w:r>
      <w:rPr>
        <w:noProof/>
      </w:rPr>
      <mc:AlternateContent>
        <mc:Choice Requires="wps">
          <w:drawing>
            <wp:anchor distT="0" distB="0" distL="114300" distR="114300" simplePos="0" relativeHeight="251659264" behindDoc="0" locked="0" layoutInCell="0" allowOverlap="1" wp14:anchorId="38C1B7B1" wp14:editId="7AB0CDE0">
              <wp:simplePos x="0" y="0"/>
              <wp:positionH relativeFrom="page">
                <wp:posOffset>0</wp:posOffset>
              </wp:positionH>
              <wp:positionV relativeFrom="page">
                <wp:posOffset>10234930</wp:posOffset>
              </wp:positionV>
              <wp:extent cx="7560310" cy="266700"/>
              <wp:effectExtent l="0" t="0" r="0" b="0"/>
              <wp:wrapNone/>
              <wp:docPr id="1" name="MSIPCM46454c4d9805dcdba6c331b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6FCA3" w14:textId="77777777" w:rsidR="00514C04" w:rsidRPr="00514C04" w:rsidRDefault="00514C04" w:rsidP="00514C04">
                          <w:pPr>
                            <w:rPr>
                              <w:rFonts w:ascii="Calibri" w:hAnsi="Calibri" w:cs="Calibri"/>
                              <w:color w:val="000000"/>
                              <w:sz w:val="22"/>
                            </w:rPr>
                          </w:pPr>
                          <w:r w:rsidRPr="00514C0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C1B7B1" id="_x0000_t202" coordsize="21600,21600" o:spt="202" path="m,l,21600r21600,l21600,xe">
              <v:stroke joinstyle="miter"/>
              <v:path gradientshapeok="t" o:connecttype="rect"/>
            </v:shapetype>
            <v:shape id="MSIPCM46454c4d9805dcdba6c331b5"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jznbwsgIAAEgFAAAO&#10;AAAAAAAAAAAAAAAAAC4CAABkcnMvZTJvRG9jLnhtbFBLAQItABQABgAIAAAAIQBgEcYm3gAAAAsB&#10;AAAPAAAAAAAAAAAAAAAAAAwFAABkcnMvZG93bnJldi54bWxQSwUGAAAAAAQABADzAAAAFwYAAAAA&#10;" o:allowincell="f" filled="f" stroked="f" strokeweight=".5pt">
              <v:textbox inset="20pt,0,,0">
                <w:txbxContent>
                  <w:p w14:paraId="6BD6FCA3" w14:textId="77777777" w:rsidR="00514C04" w:rsidRPr="00514C04" w:rsidRDefault="00514C04" w:rsidP="00514C04">
                    <w:pPr>
                      <w:rPr>
                        <w:rFonts w:ascii="Calibri" w:hAnsi="Calibri" w:cs="Calibri"/>
                        <w:color w:val="000000"/>
                        <w:sz w:val="22"/>
                      </w:rPr>
                    </w:pPr>
                    <w:r w:rsidRPr="00514C04">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3EA0C" w14:textId="77777777" w:rsidR="00514C04" w:rsidRDefault="00514C04" w:rsidP="00514C04">
      <w:r>
        <w:separator/>
      </w:r>
    </w:p>
  </w:footnote>
  <w:footnote w:type="continuationSeparator" w:id="0">
    <w:p w14:paraId="1386BD7C" w14:textId="77777777" w:rsidR="00514C04" w:rsidRDefault="00514C04" w:rsidP="0051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4"/>
    <w:rsid w:val="00512F34"/>
    <w:rsid w:val="00514C04"/>
    <w:rsid w:val="007B199F"/>
    <w:rsid w:val="00AA5B86"/>
    <w:rsid w:val="00B4701F"/>
    <w:rsid w:val="00C46121"/>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BBCFC"/>
  <w15:chartTrackingRefBased/>
  <w15:docId w15:val="{F158BA20-6F87-4B0F-8EF3-50CA8E3C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4C04"/>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514C04"/>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514C04"/>
    <w:rPr>
      <w:rFonts w:ascii="Calibri" w:eastAsia="Times New Roman" w:hAnsi="Calibri" w:cs="Calibri"/>
      <w:b/>
      <w:lang w:eastAsia="en-AU"/>
    </w:rPr>
  </w:style>
  <w:style w:type="character" w:styleId="Strong">
    <w:name w:val="Strong"/>
    <w:uiPriority w:val="22"/>
    <w:qFormat/>
    <w:rsid w:val="00514C04"/>
    <w:rPr>
      <w:b/>
      <w:bCs/>
    </w:rPr>
  </w:style>
  <w:style w:type="paragraph" w:customStyle="1" w:styleId="TableText">
    <w:name w:val="Table Text"/>
    <w:basedOn w:val="Normal"/>
    <w:link w:val="TableTextChar"/>
    <w:uiPriority w:val="15"/>
    <w:qFormat/>
    <w:rsid w:val="00514C04"/>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514C04"/>
    <w:rPr>
      <w:rFonts w:ascii="Calibri" w:hAnsi="Calibri" w:cs="Calibri"/>
      <w:sz w:val="20"/>
      <w:szCs w:val="20"/>
      <w:lang w:val="en-US"/>
    </w:rPr>
  </w:style>
  <w:style w:type="paragraph" w:customStyle="1" w:styleId="TableHeader">
    <w:name w:val="Table Header"/>
    <w:basedOn w:val="TableText"/>
    <w:link w:val="TableHeaderChar"/>
    <w:uiPriority w:val="15"/>
    <w:qFormat/>
    <w:rsid w:val="00514C04"/>
    <w:pPr>
      <w:keepNext/>
      <w:spacing w:before="40" w:after="40"/>
    </w:pPr>
    <w:rPr>
      <w:sz w:val="24"/>
      <w:szCs w:val="24"/>
    </w:rPr>
  </w:style>
  <w:style w:type="table" w:customStyle="1" w:styleId="TableGrid1">
    <w:name w:val="Table Grid1"/>
    <w:basedOn w:val="TableNormal"/>
    <w:next w:val="TableGrid"/>
    <w:uiPriority w:val="39"/>
    <w:rsid w:val="00514C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514C04"/>
    <w:rPr>
      <w:rFonts w:ascii="Calibri" w:hAnsi="Calibri" w:cs="Calibri"/>
      <w:sz w:val="24"/>
      <w:szCs w:val="24"/>
      <w:lang w:val="en-US"/>
    </w:rPr>
  </w:style>
  <w:style w:type="table" w:styleId="TableGrid">
    <w:name w:val="Table Grid"/>
    <w:basedOn w:val="TableNormal"/>
    <w:uiPriority w:val="39"/>
    <w:rsid w:val="0051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C04"/>
    <w:pPr>
      <w:tabs>
        <w:tab w:val="center" w:pos="4513"/>
        <w:tab w:val="right" w:pos="9026"/>
      </w:tabs>
    </w:pPr>
  </w:style>
  <w:style w:type="character" w:customStyle="1" w:styleId="HeaderChar">
    <w:name w:val="Header Char"/>
    <w:basedOn w:val="DefaultParagraphFont"/>
    <w:link w:val="Header"/>
    <w:uiPriority w:val="99"/>
    <w:rsid w:val="00514C04"/>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514C04"/>
    <w:pPr>
      <w:tabs>
        <w:tab w:val="center" w:pos="4513"/>
        <w:tab w:val="right" w:pos="9026"/>
      </w:tabs>
    </w:pPr>
  </w:style>
  <w:style w:type="character" w:customStyle="1" w:styleId="FooterChar">
    <w:name w:val="Footer Char"/>
    <w:basedOn w:val="DefaultParagraphFont"/>
    <w:link w:val="Footer"/>
    <w:uiPriority w:val="99"/>
    <w:rsid w:val="00514C04"/>
    <w:rPr>
      <w:rFonts w:ascii="Arial" w:eastAsia="Times New Roman" w:hAnsi="Arial" w:cs="Times New Roman"/>
      <w:sz w:val="24"/>
      <w:szCs w:val="24"/>
      <w:lang w:eastAsia="en-AU"/>
    </w:rPr>
  </w:style>
  <w:style w:type="paragraph" w:customStyle="1" w:styleId="Tablenotes">
    <w:name w:val="Table notes"/>
    <w:basedOn w:val="Normal"/>
    <w:link w:val="TablenotesChar"/>
    <w:qFormat/>
    <w:rsid w:val="00AA5B86"/>
    <w:pPr>
      <w:spacing w:before="20"/>
      <w:ind w:left="284"/>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AA5B86"/>
    <w:rPr>
      <w:rFonts w:ascii="Calibri" w:eastAsia="Calibri" w:hAnsi="Calibri"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8E0F173-F7E4-47C3-A1CF-282726D202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2021-10-21T05:39:00Z</dcterms:created>
  <dcterms:modified xsi:type="dcterms:W3CDTF">2021-10-21T05:39:00Z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2021-10-21T05:39:22Z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