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3D843" w14:textId="5C608476" w:rsidR="00052E21" w:rsidRDefault="005A2504" w:rsidP="00052E21">
      <w:pPr>
        <w:pStyle w:val="Caption"/>
        <w:rPr>
          <w:rFonts w:asciiTheme="majorHAnsi" w:eastAsiaTheme="majorEastAsia" w:hAnsiTheme="majorHAnsi" w:cstheme="majorHAnsi"/>
          <w:bCs/>
          <w:color w:val="000000" w:themeColor="text1"/>
          <w:sz w:val="28"/>
          <w:szCs w:val="28"/>
        </w:rPr>
      </w:pPr>
      <w:bookmarkStart w:id="0" w:name="_Ref489543160"/>
      <w:bookmarkStart w:id="1" w:name="_Toc503949271"/>
      <w:bookmarkStart w:id="2" w:name="_Toc12717997"/>
      <w:bookmarkStart w:id="3" w:name="_Toc17130219"/>
      <w:bookmarkStart w:id="4" w:name="_Toc48837166"/>
      <w:bookmarkStart w:id="5" w:name="_Toc49185556"/>
      <w:r w:rsidRPr="00052E21">
        <w:rPr>
          <w:rFonts w:asciiTheme="majorHAnsi" w:eastAsiaTheme="majorEastAsia" w:hAnsiTheme="majorHAnsi" w:cstheme="majorHAnsi"/>
          <w:bCs/>
          <w:color w:val="000000" w:themeColor="text1"/>
          <w:sz w:val="28"/>
          <w:szCs w:val="28"/>
        </w:rPr>
        <w:t>Table</w:t>
      </w:r>
      <w:bookmarkEnd w:id="0"/>
      <w:r w:rsidRPr="00052E21">
        <w:rPr>
          <w:rFonts w:asciiTheme="majorHAnsi" w:eastAsiaTheme="majorEastAsia" w:hAnsiTheme="majorHAnsi" w:cstheme="majorHAnsi"/>
          <w:bCs/>
          <w:color w:val="000000" w:themeColor="text1"/>
          <w:sz w:val="28"/>
          <w:szCs w:val="28"/>
        </w:rPr>
        <w:t xml:space="preserve"> Department of Treasury and Finance performance in </w:t>
      </w:r>
      <w:bookmarkEnd w:id="1"/>
      <w:r w:rsidRPr="00052E21">
        <w:rPr>
          <w:rFonts w:asciiTheme="majorHAnsi" w:eastAsiaTheme="majorEastAsia" w:hAnsiTheme="majorHAnsi" w:cstheme="majorHAnsi"/>
          <w:bCs/>
          <w:color w:val="000000" w:themeColor="text1"/>
          <w:sz w:val="28"/>
          <w:szCs w:val="28"/>
        </w:rPr>
        <w:t>20</w:t>
      </w:r>
      <w:bookmarkEnd w:id="2"/>
      <w:bookmarkEnd w:id="3"/>
      <w:bookmarkEnd w:id="4"/>
      <w:bookmarkEnd w:id="5"/>
      <w:r w:rsidR="007A4BDB">
        <w:rPr>
          <w:rFonts w:asciiTheme="majorHAnsi" w:eastAsiaTheme="majorEastAsia" w:hAnsiTheme="majorHAnsi" w:cstheme="majorHAnsi"/>
          <w:bCs/>
          <w:color w:val="000000" w:themeColor="text1"/>
          <w:sz w:val="28"/>
          <w:szCs w:val="28"/>
        </w:rPr>
        <w:t>20-21</w:t>
      </w:r>
      <w:r w:rsidR="00052E21">
        <w:rPr>
          <w:rFonts w:asciiTheme="majorHAnsi" w:eastAsiaTheme="majorEastAsia" w:hAnsiTheme="majorHAnsi" w:cstheme="majorHAnsi"/>
          <w:bCs/>
          <w:color w:val="000000" w:themeColor="text1"/>
          <w:sz w:val="28"/>
          <w:szCs w:val="28"/>
        </w:rPr>
        <w:br/>
      </w:r>
    </w:p>
    <w:p w14:paraId="5121028D" w14:textId="1B8B62BD" w:rsidR="00052E21" w:rsidRPr="00052E21" w:rsidRDefault="00052E21" w:rsidP="00052E21">
      <w:pPr>
        <w:pStyle w:val="Caption"/>
        <w:rPr>
          <w:rFonts w:eastAsiaTheme="minorHAnsi"/>
          <w:b w:val="0"/>
          <w:sz w:val="20"/>
          <w:szCs w:val="20"/>
          <w:lang w:val="en-US" w:eastAsia="en-US"/>
        </w:rPr>
      </w:pPr>
      <w:r w:rsidRPr="00052E21">
        <w:rPr>
          <w:rFonts w:eastAsiaTheme="minorHAnsi"/>
          <w:b w:val="0"/>
          <w:sz w:val="20"/>
          <w:szCs w:val="20"/>
          <w:lang w:val="en-US" w:eastAsia="en-US"/>
        </w:rPr>
        <w:t xml:space="preserve">Extract from Victorian Government Purchasing Board </w:t>
      </w:r>
      <w:r w:rsidR="0033726A">
        <w:rPr>
          <w:rFonts w:eastAsiaTheme="minorHAnsi"/>
          <w:b w:val="0"/>
          <w:sz w:val="20"/>
          <w:szCs w:val="20"/>
          <w:lang w:val="en-US" w:eastAsia="en-US"/>
        </w:rPr>
        <w:t xml:space="preserve">Annual Report </w:t>
      </w:r>
      <w:r w:rsidRPr="00052E21">
        <w:rPr>
          <w:rFonts w:eastAsiaTheme="minorHAnsi"/>
          <w:b w:val="0"/>
          <w:sz w:val="20"/>
          <w:szCs w:val="20"/>
          <w:lang w:val="en-US" w:eastAsia="en-US"/>
        </w:rPr>
        <w:t>20</w:t>
      </w:r>
      <w:r w:rsidR="007A4BDB">
        <w:rPr>
          <w:rFonts w:eastAsiaTheme="minorHAnsi"/>
          <w:b w:val="0"/>
          <w:sz w:val="20"/>
          <w:szCs w:val="20"/>
          <w:lang w:val="en-US" w:eastAsia="en-US"/>
        </w:rPr>
        <w:t>20-21</w:t>
      </w:r>
    </w:p>
    <w:p w14:paraId="11C31057" w14:textId="77777777" w:rsidR="00052E21" w:rsidRPr="00052E21" w:rsidRDefault="00052E21" w:rsidP="00052E21"/>
    <w:tbl>
      <w:tblPr>
        <w:tblStyle w:val="TableGrid1"/>
        <w:tblW w:w="9225" w:type="dxa"/>
        <w:tblInd w:w="421" w:type="dxa"/>
        <w:tblLook w:val="04A0" w:firstRow="1" w:lastRow="0" w:firstColumn="1" w:lastColumn="0" w:noHBand="0" w:noVBand="1"/>
      </w:tblPr>
      <w:tblGrid>
        <w:gridCol w:w="3119"/>
        <w:gridCol w:w="2692"/>
        <w:gridCol w:w="1134"/>
        <w:gridCol w:w="1134"/>
        <w:gridCol w:w="1134"/>
        <w:gridCol w:w="12"/>
      </w:tblGrid>
      <w:tr w:rsidR="007A4BDB" w:rsidRPr="0029428D" w14:paraId="27DAF5AE" w14:textId="77777777" w:rsidTr="00417F46">
        <w:trPr>
          <w:gridAfter w:val="1"/>
          <w:wAfter w:w="12" w:type="dxa"/>
        </w:trPr>
        <w:tc>
          <w:tcPr>
            <w:tcW w:w="5811" w:type="dxa"/>
            <w:gridSpan w:val="2"/>
            <w:vMerge w:val="restart"/>
          </w:tcPr>
          <w:p w14:paraId="542A6E37" w14:textId="77777777" w:rsidR="007A4BDB" w:rsidRPr="0029428D" w:rsidRDefault="007A4BDB" w:rsidP="00417F46">
            <w:pPr>
              <w:pStyle w:val="TableHeader"/>
            </w:pPr>
            <w:r w:rsidRPr="0029428D">
              <w:t>Performance measure</w:t>
            </w:r>
          </w:p>
        </w:tc>
        <w:tc>
          <w:tcPr>
            <w:tcW w:w="1134" w:type="dxa"/>
          </w:tcPr>
          <w:p w14:paraId="7AD303ED" w14:textId="77777777" w:rsidR="007A4BDB" w:rsidRPr="0029428D" w:rsidRDefault="007A4BDB" w:rsidP="00417F46">
            <w:pPr>
              <w:pStyle w:val="TableHeader"/>
            </w:pPr>
            <w:r w:rsidRPr="0029428D">
              <w:t>2018–19</w:t>
            </w:r>
          </w:p>
        </w:tc>
        <w:tc>
          <w:tcPr>
            <w:tcW w:w="1134" w:type="dxa"/>
          </w:tcPr>
          <w:p w14:paraId="0C4A9409" w14:textId="77777777" w:rsidR="007A4BDB" w:rsidRPr="0029428D" w:rsidRDefault="007A4BDB" w:rsidP="00417F46">
            <w:pPr>
              <w:pStyle w:val="TableHeader"/>
            </w:pPr>
            <w:r w:rsidRPr="0029428D">
              <w:t>2019–20</w:t>
            </w:r>
          </w:p>
        </w:tc>
        <w:tc>
          <w:tcPr>
            <w:tcW w:w="1134" w:type="dxa"/>
          </w:tcPr>
          <w:p w14:paraId="241DD757" w14:textId="77777777" w:rsidR="007A4BDB" w:rsidRPr="0029428D" w:rsidRDefault="007A4BDB" w:rsidP="00417F46">
            <w:pPr>
              <w:pStyle w:val="TableHeader"/>
            </w:pPr>
            <w:r w:rsidRPr="0029428D">
              <w:t>2020–21</w:t>
            </w:r>
          </w:p>
        </w:tc>
      </w:tr>
      <w:tr w:rsidR="007A4BDB" w:rsidRPr="0029428D" w14:paraId="42529C1A" w14:textId="77777777" w:rsidTr="00417F46">
        <w:trPr>
          <w:gridAfter w:val="1"/>
          <w:wAfter w:w="12" w:type="dxa"/>
        </w:trPr>
        <w:tc>
          <w:tcPr>
            <w:tcW w:w="5811" w:type="dxa"/>
            <w:gridSpan w:val="2"/>
            <w:vMerge/>
          </w:tcPr>
          <w:p w14:paraId="160FDC38" w14:textId="77777777" w:rsidR="007A4BDB" w:rsidRPr="0029428D" w:rsidRDefault="007A4BDB" w:rsidP="00417F46">
            <w:pPr>
              <w:pStyle w:val="TableHeader"/>
            </w:pPr>
          </w:p>
        </w:tc>
        <w:tc>
          <w:tcPr>
            <w:tcW w:w="3402" w:type="dxa"/>
            <w:gridSpan w:val="3"/>
          </w:tcPr>
          <w:p w14:paraId="7980192C" w14:textId="77777777" w:rsidR="007A4BDB" w:rsidRPr="0029428D" w:rsidRDefault="007A4BDB" w:rsidP="00417F46">
            <w:pPr>
              <w:pStyle w:val="TableHeader"/>
            </w:pPr>
            <w:r w:rsidRPr="0029428D">
              <w:t>(%)</w:t>
            </w:r>
          </w:p>
        </w:tc>
      </w:tr>
      <w:tr w:rsidR="007A4BDB" w:rsidRPr="0029428D" w14:paraId="49CF9EEC" w14:textId="77777777" w:rsidTr="00417F46">
        <w:trPr>
          <w:gridAfter w:val="1"/>
          <w:wAfter w:w="12" w:type="dxa"/>
        </w:trPr>
        <w:tc>
          <w:tcPr>
            <w:tcW w:w="5811" w:type="dxa"/>
            <w:gridSpan w:val="2"/>
          </w:tcPr>
          <w:p w14:paraId="763B79AB" w14:textId="77777777" w:rsidR="007A4BDB" w:rsidRPr="0029428D" w:rsidRDefault="007A4BDB" w:rsidP="00417F46">
            <w:pPr>
              <w:pStyle w:val="TableText"/>
              <w:rPr>
                <w:rStyle w:val="Strong"/>
              </w:rPr>
            </w:pPr>
            <w:r w:rsidRPr="0029428D">
              <w:rPr>
                <w:rStyle w:val="Strong"/>
              </w:rPr>
              <w:t>Value created from department procurement activity</w:t>
            </w:r>
          </w:p>
        </w:tc>
        <w:tc>
          <w:tcPr>
            <w:tcW w:w="1134" w:type="dxa"/>
          </w:tcPr>
          <w:p w14:paraId="62B7885C" w14:textId="77777777" w:rsidR="007A4BDB" w:rsidRPr="0029428D" w:rsidRDefault="007A4BDB" w:rsidP="00417F46">
            <w:pPr>
              <w:pStyle w:val="TableText"/>
              <w:rPr>
                <w:rStyle w:val="Strong"/>
              </w:rPr>
            </w:pPr>
            <w:r w:rsidRPr="0029428D">
              <w:rPr>
                <w:rStyle w:val="Strong"/>
              </w:rPr>
              <w:t>37.2</w:t>
            </w:r>
          </w:p>
        </w:tc>
        <w:tc>
          <w:tcPr>
            <w:tcW w:w="1134" w:type="dxa"/>
          </w:tcPr>
          <w:p w14:paraId="35F71959" w14:textId="77777777" w:rsidR="007A4BDB" w:rsidRPr="0029428D" w:rsidRDefault="007A4BDB" w:rsidP="00417F46">
            <w:pPr>
              <w:pStyle w:val="TableText"/>
              <w:rPr>
                <w:rStyle w:val="Strong"/>
              </w:rPr>
            </w:pPr>
            <w:r w:rsidRPr="0029428D">
              <w:rPr>
                <w:rStyle w:val="Strong"/>
              </w:rPr>
              <w:t>11.9</w:t>
            </w:r>
          </w:p>
        </w:tc>
        <w:tc>
          <w:tcPr>
            <w:tcW w:w="1134" w:type="dxa"/>
          </w:tcPr>
          <w:p w14:paraId="639442B2" w14:textId="77777777" w:rsidR="007A4BDB" w:rsidRPr="0029428D" w:rsidRDefault="007A4BDB" w:rsidP="00417F46">
            <w:pPr>
              <w:pStyle w:val="TableText"/>
              <w:rPr>
                <w:rStyle w:val="Strong"/>
              </w:rPr>
            </w:pPr>
            <w:r w:rsidRPr="0029428D">
              <w:rPr>
                <w:rStyle w:val="Strong"/>
              </w:rPr>
              <w:t>14.2</w:t>
            </w:r>
          </w:p>
        </w:tc>
      </w:tr>
      <w:tr w:rsidR="007A4BDB" w:rsidRPr="0029428D" w14:paraId="448A9EC5" w14:textId="77777777" w:rsidTr="00417F46">
        <w:tc>
          <w:tcPr>
            <w:tcW w:w="9225" w:type="dxa"/>
            <w:gridSpan w:val="6"/>
          </w:tcPr>
          <w:p w14:paraId="3D10B208" w14:textId="77777777" w:rsidR="007A4BDB" w:rsidRPr="0029428D" w:rsidRDefault="007A4BDB" w:rsidP="00417F46">
            <w:pPr>
              <w:pStyle w:val="TableText"/>
            </w:pPr>
            <w:r w:rsidRPr="0029428D">
              <w:t>DTF's results have improved by more than 2% as a result of specific activities designed to improve savings. DTF continued to advise teams to conduct competitive market engagement to achieve better value-for-money outcomes and started a program of directly supporting procuring teams to negotiate better contract outcomes.</w:t>
            </w:r>
          </w:p>
        </w:tc>
      </w:tr>
      <w:tr w:rsidR="007A4BDB" w:rsidRPr="0029428D" w14:paraId="64F9C5D7" w14:textId="77777777" w:rsidTr="00417F46">
        <w:trPr>
          <w:gridAfter w:val="1"/>
          <w:wAfter w:w="12" w:type="dxa"/>
        </w:trPr>
        <w:tc>
          <w:tcPr>
            <w:tcW w:w="5811" w:type="dxa"/>
            <w:gridSpan w:val="2"/>
          </w:tcPr>
          <w:p w14:paraId="14F9B872" w14:textId="77777777" w:rsidR="007A4BDB" w:rsidRPr="0029428D" w:rsidRDefault="007A4BDB" w:rsidP="00417F46">
            <w:pPr>
              <w:pStyle w:val="TableText"/>
              <w:rPr>
                <w:rStyle w:val="Strong"/>
              </w:rPr>
            </w:pPr>
            <w:r w:rsidRPr="0029428D">
              <w:rPr>
                <w:rStyle w:val="Strong"/>
              </w:rPr>
              <w:t>Managed spend</w:t>
            </w:r>
          </w:p>
        </w:tc>
        <w:tc>
          <w:tcPr>
            <w:tcW w:w="1134" w:type="dxa"/>
            <w:shd w:val="clear" w:color="auto" w:fill="FFFFFF" w:themeFill="background1"/>
          </w:tcPr>
          <w:p w14:paraId="4B25AED3" w14:textId="77777777" w:rsidR="007A4BDB" w:rsidRPr="0029428D" w:rsidRDefault="007A4BDB" w:rsidP="00417F46">
            <w:pPr>
              <w:pStyle w:val="TableText"/>
              <w:rPr>
                <w:rStyle w:val="Strong"/>
              </w:rPr>
            </w:pPr>
            <w:r w:rsidRPr="0029428D">
              <w:rPr>
                <w:rStyle w:val="Strong"/>
              </w:rPr>
              <w:t>n/a</w:t>
            </w:r>
          </w:p>
        </w:tc>
        <w:tc>
          <w:tcPr>
            <w:tcW w:w="1134" w:type="dxa"/>
            <w:shd w:val="clear" w:color="auto" w:fill="FFFFFF" w:themeFill="background1"/>
          </w:tcPr>
          <w:p w14:paraId="7FB0C471" w14:textId="77777777" w:rsidR="007A4BDB" w:rsidRPr="0029428D" w:rsidRDefault="007A4BDB" w:rsidP="00417F46">
            <w:pPr>
              <w:pStyle w:val="TableText"/>
              <w:rPr>
                <w:rStyle w:val="Strong"/>
              </w:rPr>
            </w:pPr>
            <w:r w:rsidRPr="0029428D">
              <w:rPr>
                <w:rStyle w:val="Strong"/>
              </w:rPr>
              <w:t>97.6</w:t>
            </w:r>
          </w:p>
        </w:tc>
        <w:tc>
          <w:tcPr>
            <w:tcW w:w="1134" w:type="dxa"/>
          </w:tcPr>
          <w:p w14:paraId="3B6D238E" w14:textId="77777777" w:rsidR="007A4BDB" w:rsidRPr="0029428D" w:rsidRDefault="007A4BDB" w:rsidP="00417F46">
            <w:pPr>
              <w:pStyle w:val="TableText"/>
              <w:rPr>
                <w:rStyle w:val="Strong"/>
              </w:rPr>
            </w:pPr>
            <w:r w:rsidRPr="0029428D">
              <w:rPr>
                <w:rStyle w:val="Strong"/>
              </w:rPr>
              <w:t>98.0</w:t>
            </w:r>
          </w:p>
        </w:tc>
      </w:tr>
      <w:tr w:rsidR="007A4BDB" w:rsidRPr="0029428D" w14:paraId="58E45E92" w14:textId="77777777" w:rsidTr="00417F46">
        <w:tc>
          <w:tcPr>
            <w:tcW w:w="9225" w:type="dxa"/>
            <w:gridSpan w:val="6"/>
          </w:tcPr>
          <w:p w14:paraId="5D27BF57" w14:textId="77777777" w:rsidR="007A4BDB" w:rsidRPr="0029428D" w:rsidRDefault="007A4BDB" w:rsidP="00417F46">
            <w:pPr>
              <w:pStyle w:val="TableText"/>
            </w:pPr>
            <w:r w:rsidRPr="0029428D">
              <w:t xml:space="preserve">DTF’s procurement function reviews or carries out the majority of the department’s goods and services procurement. </w:t>
            </w:r>
          </w:p>
        </w:tc>
      </w:tr>
      <w:tr w:rsidR="007A4BDB" w:rsidRPr="0029428D" w14:paraId="30890C7E" w14:textId="77777777" w:rsidTr="00417F46">
        <w:trPr>
          <w:gridAfter w:val="1"/>
          <w:wAfter w:w="12" w:type="dxa"/>
        </w:trPr>
        <w:tc>
          <w:tcPr>
            <w:tcW w:w="5811" w:type="dxa"/>
            <w:gridSpan w:val="2"/>
          </w:tcPr>
          <w:p w14:paraId="4C0CEB71" w14:textId="77777777" w:rsidR="007A4BDB" w:rsidRPr="0029428D" w:rsidRDefault="007A4BDB" w:rsidP="00417F46">
            <w:pPr>
              <w:pStyle w:val="TableText"/>
              <w:rPr>
                <w:rStyle w:val="Strong"/>
              </w:rPr>
            </w:pPr>
            <w:r w:rsidRPr="0029428D">
              <w:rPr>
                <w:rStyle w:val="Strong"/>
              </w:rPr>
              <w:t>Increase in procurement capability</w:t>
            </w:r>
          </w:p>
        </w:tc>
        <w:tc>
          <w:tcPr>
            <w:tcW w:w="1134" w:type="dxa"/>
          </w:tcPr>
          <w:p w14:paraId="26B1372D" w14:textId="77777777" w:rsidR="007A4BDB" w:rsidRPr="0029428D" w:rsidRDefault="007A4BDB" w:rsidP="00417F46">
            <w:pPr>
              <w:pStyle w:val="TableText"/>
              <w:rPr>
                <w:rStyle w:val="Strong"/>
              </w:rPr>
            </w:pPr>
            <w:r w:rsidRPr="0029428D">
              <w:rPr>
                <w:rStyle w:val="Strong"/>
              </w:rPr>
              <w:t>6.0</w:t>
            </w:r>
          </w:p>
        </w:tc>
        <w:tc>
          <w:tcPr>
            <w:tcW w:w="1134" w:type="dxa"/>
          </w:tcPr>
          <w:p w14:paraId="779E8D1D" w14:textId="77777777" w:rsidR="007A4BDB" w:rsidRPr="0029428D" w:rsidRDefault="007A4BDB" w:rsidP="00417F46">
            <w:pPr>
              <w:pStyle w:val="TableText"/>
              <w:rPr>
                <w:rStyle w:val="Strong"/>
              </w:rPr>
            </w:pPr>
            <w:r w:rsidRPr="0029428D">
              <w:rPr>
                <w:rStyle w:val="Strong"/>
              </w:rPr>
              <w:t>3.4</w:t>
            </w:r>
          </w:p>
        </w:tc>
        <w:tc>
          <w:tcPr>
            <w:tcW w:w="1134" w:type="dxa"/>
          </w:tcPr>
          <w:p w14:paraId="18989496" w14:textId="77777777" w:rsidR="007A4BDB" w:rsidRPr="0029428D" w:rsidRDefault="007A4BDB" w:rsidP="00417F46">
            <w:pPr>
              <w:pStyle w:val="TableText"/>
              <w:rPr>
                <w:rStyle w:val="Strong"/>
              </w:rPr>
            </w:pPr>
            <w:r w:rsidRPr="0029428D">
              <w:rPr>
                <w:rStyle w:val="Strong"/>
              </w:rPr>
              <w:t>0.8</w:t>
            </w:r>
          </w:p>
        </w:tc>
      </w:tr>
      <w:tr w:rsidR="007A4BDB" w:rsidRPr="0029428D" w14:paraId="69650DE3" w14:textId="77777777" w:rsidTr="00417F46">
        <w:tc>
          <w:tcPr>
            <w:tcW w:w="9225" w:type="dxa"/>
            <w:gridSpan w:val="6"/>
          </w:tcPr>
          <w:p w14:paraId="14B11AFD" w14:textId="77777777" w:rsidR="007A4BDB" w:rsidRPr="0029428D" w:rsidRDefault="007A4BDB" w:rsidP="00417F46">
            <w:pPr>
              <w:pStyle w:val="TableText"/>
            </w:pPr>
            <w:r w:rsidRPr="0029428D">
              <w:t>The department has increased resourcing allocated to the Procurement Resource Unit in the latter part of the year to increase direct engagement with procuring teams. The department's continued positive capability assessment result has remained strong despite the disruptions caused by the COVID-19 pandemic.</w:t>
            </w:r>
          </w:p>
        </w:tc>
      </w:tr>
      <w:tr w:rsidR="007A4BDB" w:rsidRPr="0029428D" w14:paraId="5801F5D3" w14:textId="77777777" w:rsidTr="00417F46">
        <w:trPr>
          <w:gridAfter w:val="1"/>
          <w:wAfter w:w="12" w:type="dxa"/>
        </w:trPr>
        <w:tc>
          <w:tcPr>
            <w:tcW w:w="3119" w:type="dxa"/>
            <w:vMerge w:val="restart"/>
          </w:tcPr>
          <w:p w14:paraId="64D29D39" w14:textId="77777777" w:rsidR="007A4BDB" w:rsidRPr="0029428D" w:rsidRDefault="007A4BDB" w:rsidP="00417F46">
            <w:pPr>
              <w:pStyle w:val="TableText"/>
              <w:rPr>
                <w:rStyle w:val="Strong"/>
              </w:rPr>
            </w:pPr>
            <w:r w:rsidRPr="0029428D">
              <w:rPr>
                <w:rStyle w:val="Strong"/>
              </w:rPr>
              <w:t>Supplier satisfaction assessment</w:t>
            </w:r>
          </w:p>
        </w:tc>
        <w:tc>
          <w:tcPr>
            <w:tcW w:w="2692" w:type="dxa"/>
          </w:tcPr>
          <w:p w14:paraId="7EE672CA" w14:textId="77777777" w:rsidR="007A4BDB" w:rsidRPr="0029428D" w:rsidRDefault="007A4BDB" w:rsidP="00417F46">
            <w:pPr>
              <w:pStyle w:val="TableText"/>
              <w:rPr>
                <w:rStyle w:val="Strong"/>
              </w:rPr>
            </w:pPr>
            <w:r w:rsidRPr="0029428D">
              <w:rPr>
                <w:rStyle w:val="Strong"/>
              </w:rPr>
              <w:t>Successful satisfied</w:t>
            </w:r>
          </w:p>
        </w:tc>
        <w:tc>
          <w:tcPr>
            <w:tcW w:w="1134" w:type="dxa"/>
          </w:tcPr>
          <w:p w14:paraId="69CE9C7A" w14:textId="77777777" w:rsidR="007A4BDB" w:rsidRPr="0029428D" w:rsidRDefault="007A4BDB" w:rsidP="00417F46">
            <w:pPr>
              <w:pStyle w:val="TableText"/>
              <w:rPr>
                <w:rStyle w:val="Strong"/>
              </w:rPr>
            </w:pPr>
            <w:r w:rsidRPr="0029428D">
              <w:rPr>
                <w:rStyle w:val="Strong"/>
              </w:rPr>
              <w:t>90</w:t>
            </w:r>
          </w:p>
        </w:tc>
        <w:tc>
          <w:tcPr>
            <w:tcW w:w="1134" w:type="dxa"/>
          </w:tcPr>
          <w:p w14:paraId="3655E025" w14:textId="77777777" w:rsidR="007A4BDB" w:rsidRPr="0029428D" w:rsidRDefault="007A4BDB" w:rsidP="00417F46">
            <w:pPr>
              <w:pStyle w:val="TableText"/>
              <w:rPr>
                <w:rStyle w:val="Strong"/>
              </w:rPr>
            </w:pPr>
            <w:r w:rsidRPr="0029428D">
              <w:rPr>
                <w:rStyle w:val="Strong"/>
              </w:rPr>
              <w:t>100</w:t>
            </w:r>
          </w:p>
        </w:tc>
        <w:tc>
          <w:tcPr>
            <w:tcW w:w="1134" w:type="dxa"/>
          </w:tcPr>
          <w:p w14:paraId="1784AD88" w14:textId="77777777" w:rsidR="007A4BDB" w:rsidRPr="0029428D" w:rsidRDefault="007A4BDB" w:rsidP="00417F46">
            <w:pPr>
              <w:pStyle w:val="TableText"/>
              <w:rPr>
                <w:rStyle w:val="Strong"/>
              </w:rPr>
            </w:pPr>
            <w:r w:rsidRPr="0029428D">
              <w:rPr>
                <w:rStyle w:val="Strong"/>
              </w:rPr>
              <w:t>100</w:t>
            </w:r>
          </w:p>
        </w:tc>
      </w:tr>
      <w:tr w:rsidR="007A4BDB" w:rsidRPr="0029428D" w14:paraId="7A4C73AF" w14:textId="77777777" w:rsidTr="00417F46">
        <w:trPr>
          <w:gridAfter w:val="1"/>
          <w:wAfter w:w="12" w:type="dxa"/>
        </w:trPr>
        <w:tc>
          <w:tcPr>
            <w:tcW w:w="3119" w:type="dxa"/>
            <w:vMerge/>
          </w:tcPr>
          <w:p w14:paraId="5E407B10" w14:textId="77777777" w:rsidR="007A4BDB" w:rsidRPr="0029428D" w:rsidRDefault="007A4BDB" w:rsidP="00417F46">
            <w:pPr>
              <w:pStyle w:val="TableText"/>
              <w:rPr>
                <w:rStyle w:val="Strong"/>
              </w:rPr>
            </w:pPr>
          </w:p>
        </w:tc>
        <w:tc>
          <w:tcPr>
            <w:tcW w:w="2692" w:type="dxa"/>
          </w:tcPr>
          <w:p w14:paraId="6ABE05BA" w14:textId="77777777" w:rsidR="007A4BDB" w:rsidRPr="0029428D" w:rsidRDefault="007A4BDB" w:rsidP="00417F46">
            <w:pPr>
              <w:pStyle w:val="TableText"/>
              <w:rPr>
                <w:rStyle w:val="Strong"/>
              </w:rPr>
            </w:pPr>
            <w:r w:rsidRPr="0029428D">
              <w:rPr>
                <w:rStyle w:val="Strong"/>
              </w:rPr>
              <w:t>Unsuccessful satisfied</w:t>
            </w:r>
          </w:p>
        </w:tc>
        <w:tc>
          <w:tcPr>
            <w:tcW w:w="1134" w:type="dxa"/>
          </w:tcPr>
          <w:p w14:paraId="16EEA683" w14:textId="77777777" w:rsidR="007A4BDB" w:rsidRPr="0029428D" w:rsidRDefault="007A4BDB" w:rsidP="00417F46">
            <w:pPr>
              <w:pStyle w:val="TableText"/>
              <w:rPr>
                <w:rStyle w:val="Strong"/>
              </w:rPr>
            </w:pPr>
            <w:r w:rsidRPr="0029428D">
              <w:rPr>
                <w:rStyle w:val="Strong"/>
              </w:rPr>
              <w:t>46</w:t>
            </w:r>
          </w:p>
        </w:tc>
        <w:tc>
          <w:tcPr>
            <w:tcW w:w="1134" w:type="dxa"/>
          </w:tcPr>
          <w:p w14:paraId="5C769F51" w14:textId="77777777" w:rsidR="007A4BDB" w:rsidRPr="0029428D" w:rsidRDefault="007A4BDB" w:rsidP="00417F46">
            <w:pPr>
              <w:pStyle w:val="TableText"/>
              <w:rPr>
                <w:rStyle w:val="Strong"/>
              </w:rPr>
            </w:pPr>
            <w:r w:rsidRPr="0029428D">
              <w:rPr>
                <w:rStyle w:val="Strong"/>
              </w:rPr>
              <w:t>55</w:t>
            </w:r>
          </w:p>
        </w:tc>
        <w:tc>
          <w:tcPr>
            <w:tcW w:w="1134" w:type="dxa"/>
          </w:tcPr>
          <w:p w14:paraId="4DCADB50" w14:textId="77777777" w:rsidR="007A4BDB" w:rsidRPr="0029428D" w:rsidRDefault="007A4BDB" w:rsidP="00417F46">
            <w:pPr>
              <w:pStyle w:val="TableText"/>
              <w:rPr>
                <w:rStyle w:val="Strong"/>
              </w:rPr>
            </w:pPr>
            <w:r w:rsidRPr="0029428D">
              <w:rPr>
                <w:rStyle w:val="Strong"/>
              </w:rPr>
              <w:t>100</w:t>
            </w:r>
          </w:p>
        </w:tc>
      </w:tr>
      <w:tr w:rsidR="007A4BDB" w:rsidRPr="0029428D" w14:paraId="10013648" w14:textId="77777777" w:rsidTr="00417F46">
        <w:tc>
          <w:tcPr>
            <w:tcW w:w="9225" w:type="dxa"/>
            <w:gridSpan w:val="6"/>
          </w:tcPr>
          <w:p w14:paraId="61FF08CB" w14:textId="77777777" w:rsidR="007A4BDB" w:rsidRPr="0029428D" w:rsidRDefault="007A4BDB" w:rsidP="00417F46">
            <w:pPr>
              <w:pStyle w:val="TableText"/>
            </w:pPr>
            <w:r w:rsidRPr="0029428D">
              <w:t>Despite a lower rate of responses this year, the results show a significant improvement in relation to unsuccessful suppliers.</w:t>
            </w:r>
          </w:p>
        </w:tc>
      </w:tr>
      <w:tr w:rsidR="007A4BDB" w:rsidRPr="0029428D" w14:paraId="6C37A204" w14:textId="77777777" w:rsidTr="00417F46">
        <w:trPr>
          <w:gridAfter w:val="1"/>
          <w:wAfter w:w="12" w:type="dxa"/>
        </w:trPr>
        <w:tc>
          <w:tcPr>
            <w:tcW w:w="5811" w:type="dxa"/>
            <w:gridSpan w:val="2"/>
          </w:tcPr>
          <w:p w14:paraId="198C162A" w14:textId="77777777" w:rsidR="007A4BDB" w:rsidRPr="0029428D" w:rsidRDefault="007A4BDB" w:rsidP="00417F46">
            <w:pPr>
              <w:pStyle w:val="TableText"/>
              <w:rPr>
                <w:rStyle w:val="Strong"/>
              </w:rPr>
            </w:pPr>
            <w:r w:rsidRPr="0029428D">
              <w:rPr>
                <w:rStyle w:val="Strong"/>
              </w:rPr>
              <w:t>Planned procurement activity as a % of actual procurement activity</w:t>
            </w:r>
          </w:p>
        </w:tc>
        <w:tc>
          <w:tcPr>
            <w:tcW w:w="1134" w:type="dxa"/>
          </w:tcPr>
          <w:p w14:paraId="2E3B10F7" w14:textId="77777777" w:rsidR="007A4BDB" w:rsidRPr="0029428D" w:rsidRDefault="007A4BDB" w:rsidP="00417F46">
            <w:pPr>
              <w:pStyle w:val="TableText"/>
              <w:rPr>
                <w:rStyle w:val="Strong"/>
              </w:rPr>
            </w:pPr>
            <w:r w:rsidRPr="0029428D">
              <w:rPr>
                <w:rStyle w:val="Strong"/>
              </w:rPr>
              <w:t>56.5</w:t>
            </w:r>
          </w:p>
        </w:tc>
        <w:tc>
          <w:tcPr>
            <w:tcW w:w="1134" w:type="dxa"/>
          </w:tcPr>
          <w:p w14:paraId="2B06A70D" w14:textId="77777777" w:rsidR="007A4BDB" w:rsidRPr="0029428D" w:rsidRDefault="007A4BDB" w:rsidP="00417F46">
            <w:pPr>
              <w:pStyle w:val="TableText"/>
              <w:rPr>
                <w:rStyle w:val="Strong"/>
              </w:rPr>
            </w:pPr>
            <w:r w:rsidRPr="0029428D">
              <w:rPr>
                <w:rStyle w:val="Strong"/>
              </w:rPr>
              <w:t>59.1</w:t>
            </w:r>
          </w:p>
        </w:tc>
        <w:tc>
          <w:tcPr>
            <w:tcW w:w="1134" w:type="dxa"/>
          </w:tcPr>
          <w:p w14:paraId="394376F7" w14:textId="77777777" w:rsidR="007A4BDB" w:rsidRPr="0029428D" w:rsidRDefault="007A4BDB" w:rsidP="00417F46">
            <w:pPr>
              <w:pStyle w:val="TableText"/>
              <w:rPr>
                <w:rStyle w:val="Strong"/>
              </w:rPr>
            </w:pPr>
            <w:r w:rsidRPr="0029428D">
              <w:rPr>
                <w:rStyle w:val="Strong"/>
              </w:rPr>
              <w:t>44.8</w:t>
            </w:r>
          </w:p>
        </w:tc>
      </w:tr>
      <w:tr w:rsidR="007A4BDB" w:rsidRPr="0029428D" w14:paraId="5B348FDD" w14:textId="77777777" w:rsidTr="00417F46">
        <w:trPr>
          <w:trHeight w:val="221"/>
        </w:trPr>
        <w:tc>
          <w:tcPr>
            <w:tcW w:w="9225" w:type="dxa"/>
            <w:gridSpan w:val="6"/>
          </w:tcPr>
          <w:p w14:paraId="2D4F6DD0" w14:textId="77777777" w:rsidR="007A4BDB" w:rsidRPr="0029428D" w:rsidRDefault="007A4BDB" w:rsidP="00417F46">
            <w:pPr>
              <w:pStyle w:val="TableText"/>
            </w:pPr>
            <w:r w:rsidRPr="0029428D">
              <w:t>During 2020–21, DTF has been responsive to the Government's strategy to focus on economic recovery as the state emerges from the COVID-19 pandemic. As a result, the level of planned procurement decreased slightly.</w:t>
            </w:r>
          </w:p>
        </w:tc>
      </w:tr>
    </w:tbl>
    <w:p w14:paraId="4B00661F" w14:textId="77777777" w:rsidR="007A4BDB" w:rsidRPr="0029428D" w:rsidRDefault="007A4BDB" w:rsidP="007A4BDB">
      <w:pPr>
        <w:pStyle w:val="Tablenotes"/>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4E76FDF0" w14:textId="77777777" w:rsidR="000C1A89" w:rsidRDefault="007A4BDB"/>
    <w:sectPr w:rsidR="000C1A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1C291" w14:textId="77777777" w:rsidR="005A2504" w:rsidRDefault="005A2504" w:rsidP="005A2504">
      <w:r>
        <w:separator/>
      </w:r>
    </w:p>
  </w:endnote>
  <w:endnote w:type="continuationSeparator" w:id="0">
    <w:p w14:paraId="4BD526D9" w14:textId="77777777" w:rsidR="005A2504" w:rsidRDefault="005A2504" w:rsidP="005A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697D1" w14:textId="18AEDE62" w:rsidR="005A2504" w:rsidRDefault="005A2504">
    <w:pPr>
      <w:pStyle w:val="Footer"/>
    </w:pPr>
    <w:r>
      <w:rPr>
        <w:noProof/>
      </w:rPr>
      <mc:AlternateContent>
        <mc:Choice Requires="wps">
          <w:drawing>
            <wp:anchor distT="0" distB="0" distL="114300" distR="114300" simplePos="0" relativeHeight="251659264" behindDoc="0" locked="0" layoutInCell="0" allowOverlap="1" wp14:anchorId="07961D29" wp14:editId="36FB6806">
              <wp:simplePos x="0" y="0"/>
              <wp:positionH relativeFrom="page">
                <wp:posOffset>0</wp:posOffset>
              </wp:positionH>
              <wp:positionV relativeFrom="page">
                <wp:posOffset>10234930</wp:posOffset>
              </wp:positionV>
              <wp:extent cx="7560310" cy="266700"/>
              <wp:effectExtent l="0" t="0" r="0" b="0"/>
              <wp:wrapNone/>
              <wp:docPr id="1" name="MSIPCMe79442d58434809a5249b01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A3AEB" w14:textId="1D6C2DB0" w:rsidR="005A2504" w:rsidRPr="005A2504" w:rsidRDefault="005A2504" w:rsidP="005A2504">
                          <w:pPr>
                            <w:rPr>
                              <w:rFonts w:ascii="Calibri" w:hAnsi="Calibri" w:cs="Calibri"/>
                              <w:color w:val="000000"/>
                              <w:sz w:val="22"/>
                            </w:rPr>
                          </w:pPr>
                          <w:r w:rsidRPr="005A25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961D29" id="_x0000_t202" coordsize="21600,21600" o:spt="202" path="m,l,21600r21600,l21600,xe">
              <v:stroke joinstyle="miter"/>
              <v:path gradientshapeok="t" o:connecttype="rect"/>
            </v:shapetype>
            <v:shape id="MSIPCMe79442d58434809a5249b019"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835yCsgIAAEgFAAAO&#10;AAAAAAAAAAAAAAAAAC4CAABkcnMvZTJvRG9jLnhtbFBLAQItABQABgAIAAAAIQBgEcYm3gAAAAsB&#10;AAAPAAAAAAAAAAAAAAAAAAwFAABkcnMvZG93bnJldi54bWxQSwUGAAAAAAQABADzAAAAFwYAAAAA&#10;" o:allowincell="f" filled="f" stroked="f" strokeweight=".5pt">
              <v:textbox inset="20pt,0,,0">
                <w:txbxContent>
                  <w:p w14:paraId="2C5A3AEB" w14:textId="1D6C2DB0" w:rsidR="005A2504" w:rsidRPr="005A2504" w:rsidRDefault="005A2504" w:rsidP="005A2504">
                    <w:pPr>
                      <w:rPr>
                        <w:rFonts w:ascii="Calibri" w:hAnsi="Calibri" w:cs="Calibri"/>
                        <w:color w:val="000000"/>
                        <w:sz w:val="22"/>
                      </w:rPr>
                    </w:pPr>
                    <w:r w:rsidRPr="005A2504">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D422F" w14:textId="77777777" w:rsidR="005A2504" w:rsidRDefault="005A2504" w:rsidP="005A2504">
      <w:r>
        <w:separator/>
      </w:r>
    </w:p>
  </w:footnote>
  <w:footnote w:type="continuationSeparator" w:id="0">
    <w:p w14:paraId="5D496F63" w14:textId="77777777" w:rsidR="005A2504" w:rsidRDefault="005A2504" w:rsidP="005A2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04"/>
    <w:rsid w:val="00052E21"/>
    <w:rsid w:val="0009066A"/>
    <w:rsid w:val="0033726A"/>
    <w:rsid w:val="005A2504"/>
    <w:rsid w:val="007A4BDB"/>
    <w:rsid w:val="00B4701F"/>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27563"/>
  <w15:chartTrackingRefBased/>
  <w15:docId w15:val="{4EE7AF5E-61A6-471E-8263-EB8A3C72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2504"/>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5A2504"/>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5A2504"/>
    <w:rPr>
      <w:rFonts w:ascii="Calibri" w:eastAsia="Times New Roman" w:hAnsi="Calibri" w:cs="Calibri"/>
      <w:b/>
      <w:lang w:eastAsia="en-AU"/>
    </w:rPr>
  </w:style>
  <w:style w:type="character" w:styleId="Strong">
    <w:name w:val="Strong"/>
    <w:uiPriority w:val="22"/>
    <w:qFormat/>
    <w:rsid w:val="005A2504"/>
    <w:rPr>
      <w:b/>
      <w:bCs/>
    </w:rPr>
  </w:style>
  <w:style w:type="paragraph" w:customStyle="1" w:styleId="TableText">
    <w:name w:val="Table Text"/>
    <w:basedOn w:val="Normal"/>
    <w:link w:val="TableTextChar"/>
    <w:uiPriority w:val="15"/>
    <w:qFormat/>
    <w:rsid w:val="005A2504"/>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5A2504"/>
    <w:rPr>
      <w:rFonts w:ascii="Calibri" w:hAnsi="Calibri" w:cs="Calibri"/>
      <w:sz w:val="20"/>
      <w:szCs w:val="20"/>
      <w:lang w:val="en-US"/>
    </w:rPr>
  </w:style>
  <w:style w:type="paragraph" w:customStyle="1" w:styleId="TableHeader">
    <w:name w:val="Table Header"/>
    <w:basedOn w:val="TableText"/>
    <w:link w:val="TableHeaderChar"/>
    <w:uiPriority w:val="15"/>
    <w:qFormat/>
    <w:rsid w:val="005A2504"/>
    <w:pPr>
      <w:keepNext/>
      <w:spacing w:before="40" w:after="40"/>
    </w:pPr>
    <w:rPr>
      <w:sz w:val="24"/>
      <w:szCs w:val="24"/>
    </w:rPr>
  </w:style>
  <w:style w:type="table" w:customStyle="1" w:styleId="TableGrid1">
    <w:name w:val="Table Grid1"/>
    <w:basedOn w:val="TableNormal"/>
    <w:next w:val="TableGrid"/>
    <w:uiPriority w:val="39"/>
    <w:rsid w:val="005A25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5A2504"/>
    <w:rPr>
      <w:rFonts w:ascii="Calibri" w:hAnsi="Calibri" w:cs="Calibri"/>
      <w:sz w:val="24"/>
      <w:szCs w:val="24"/>
      <w:lang w:val="en-US"/>
    </w:rPr>
  </w:style>
  <w:style w:type="table" w:styleId="TableGrid">
    <w:name w:val="Table Grid"/>
    <w:basedOn w:val="TableNormal"/>
    <w:uiPriority w:val="39"/>
    <w:rsid w:val="005A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504"/>
    <w:pPr>
      <w:tabs>
        <w:tab w:val="center" w:pos="4513"/>
        <w:tab w:val="right" w:pos="9026"/>
      </w:tabs>
    </w:pPr>
  </w:style>
  <w:style w:type="character" w:customStyle="1" w:styleId="HeaderChar">
    <w:name w:val="Header Char"/>
    <w:basedOn w:val="DefaultParagraphFont"/>
    <w:link w:val="Header"/>
    <w:uiPriority w:val="99"/>
    <w:rsid w:val="005A2504"/>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5A2504"/>
    <w:pPr>
      <w:tabs>
        <w:tab w:val="center" w:pos="4513"/>
        <w:tab w:val="right" w:pos="9026"/>
      </w:tabs>
    </w:pPr>
  </w:style>
  <w:style w:type="character" w:customStyle="1" w:styleId="FooterChar">
    <w:name w:val="Footer Char"/>
    <w:basedOn w:val="DefaultParagraphFont"/>
    <w:link w:val="Footer"/>
    <w:uiPriority w:val="99"/>
    <w:rsid w:val="005A2504"/>
    <w:rPr>
      <w:rFonts w:ascii="Arial" w:eastAsia="Times New Roman" w:hAnsi="Arial" w:cs="Times New Roman"/>
      <w:sz w:val="24"/>
      <w:szCs w:val="24"/>
      <w:lang w:eastAsia="en-AU"/>
    </w:rPr>
  </w:style>
  <w:style w:type="paragraph" w:customStyle="1" w:styleId="Tablenotes">
    <w:name w:val="Table notes"/>
    <w:basedOn w:val="Normal"/>
    <w:link w:val="TablenotesChar"/>
    <w:qFormat/>
    <w:rsid w:val="007A4BDB"/>
    <w:pPr>
      <w:spacing w:before="20"/>
      <w:ind w:left="284"/>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7A4BDB"/>
    <w:rPr>
      <w:rFonts w:ascii="Calibri" w:eastAsia="Calibri" w:hAnsi="Calibri"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54198E2-33EC-4E99-AF61-57185485921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2021-10-21T05:42:00Z</dcterms:created>
  <dcterms:modified xsi:type="dcterms:W3CDTF">2021-10-21T05:42:00Z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2021-10-21T05:41:30Z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