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B1514" w14:textId="48002151" w:rsidR="00185088" w:rsidRDefault="00185088" w:rsidP="0054798D">
      <w:pPr>
        <w:pStyle w:val="Heading1"/>
        <w:spacing w:before="0" w:after="120"/>
        <w:rPr>
          <w:b/>
          <w:bCs/>
          <w:color w:val="auto"/>
          <w:sz w:val="24"/>
          <w:szCs w:val="24"/>
        </w:rPr>
      </w:pPr>
      <w:bookmarkStart w:id="0" w:name="_Toc49185535"/>
      <w:r w:rsidRPr="00185088">
        <w:rPr>
          <w:b/>
          <w:bCs/>
          <w:color w:val="auto"/>
          <w:sz w:val="24"/>
          <w:szCs w:val="24"/>
        </w:rPr>
        <w:t xml:space="preserve">Table: Summary of </w:t>
      </w:r>
      <w:r w:rsidR="00822463">
        <w:rPr>
          <w:b/>
          <w:bCs/>
          <w:color w:val="auto"/>
          <w:sz w:val="24"/>
          <w:szCs w:val="24"/>
        </w:rPr>
        <w:t xml:space="preserve">the complaints received </w:t>
      </w:r>
      <w:r w:rsidRPr="00185088">
        <w:rPr>
          <w:b/>
          <w:bCs/>
          <w:color w:val="auto"/>
          <w:sz w:val="24"/>
          <w:szCs w:val="24"/>
        </w:rPr>
        <w:t>in 20</w:t>
      </w:r>
      <w:r w:rsidR="00822463">
        <w:rPr>
          <w:b/>
          <w:bCs/>
          <w:color w:val="auto"/>
          <w:sz w:val="24"/>
          <w:szCs w:val="24"/>
        </w:rPr>
        <w:t>20</w:t>
      </w:r>
      <w:r w:rsidRPr="00185088">
        <w:rPr>
          <w:b/>
          <w:bCs/>
          <w:color w:val="auto"/>
          <w:sz w:val="24"/>
          <w:szCs w:val="24"/>
        </w:rPr>
        <w:t>–2</w:t>
      </w:r>
      <w:bookmarkEnd w:id="0"/>
      <w:r w:rsidR="00822463">
        <w:rPr>
          <w:b/>
          <w:bCs/>
          <w:color w:val="auto"/>
          <w:sz w:val="24"/>
          <w:szCs w:val="24"/>
        </w:rPr>
        <w:t>1</w:t>
      </w:r>
    </w:p>
    <w:p w14:paraId="58B372D9" w14:textId="4CC93996" w:rsidR="00E907E8" w:rsidRPr="0054798D" w:rsidRDefault="00E907E8" w:rsidP="0054798D">
      <w:pPr>
        <w:spacing w:after="120"/>
        <w:rPr>
          <w:rFonts w:ascii="Calibri" w:hAnsi="Calibri" w:cs="Calibri"/>
          <w:sz w:val="22"/>
          <w:szCs w:val="22"/>
        </w:rPr>
      </w:pPr>
      <w:r w:rsidRPr="0054798D">
        <w:rPr>
          <w:rFonts w:ascii="Calibri" w:hAnsi="Calibri" w:cs="Calibri"/>
          <w:sz w:val="22"/>
          <w:szCs w:val="22"/>
        </w:rPr>
        <w:t>Extract from Victorian Government Purchasing Board Annual Report 20</w:t>
      </w:r>
      <w:r w:rsidR="00822463" w:rsidRPr="0054798D">
        <w:rPr>
          <w:rFonts w:ascii="Calibri" w:hAnsi="Calibri" w:cs="Calibri"/>
          <w:sz w:val="22"/>
          <w:szCs w:val="22"/>
        </w:rPr>
        <w:t>20-21</w:t>
      </w:r>
    </w:p>
    <w:tbl>
      <w:tblPr>
        <w:tblStyle w:val="TableGrid1"/>
        <w:tblpPr w:leftFromText="180" w:rightFromText="180" w:vertAnchor="text" w:tblpY="1"/>
        <w:tblOverlap w:val="never"/>
        <w:tblW w:w="13603" w:type="dxa"/>
        <w:tblLook w:val="04A0" w:firstRow="1" w:lastRow="0" w:firstColumn="1" w:lastColumn="0" w:noHBand="0" w:noVBand="1"/>
      </w:tblPr>
      <w:tblGrid>
        <w:gridCol w:w="1465"/>
        <w:gridCol w:w="1018"/>
        <w:gridCol w:w="3608"/>
        <w:gridCol w:w="5811"/>
        <w:gridCol w:w="1701"/>
      </w:tblGrid>
      <w:tr w:rsidR="00822463" w:rsidRPr="0029428D" w14:paraId="5FF5EB18" w14:textId="77777777" w:rsidTr="0054798D">
        <w:trPr>
          <w:tblHeader/>
        </w:trPr>
        <w:tc>
          <w:tcPr>
            <w:tcW w:w="1465" w:type="dxa"/>
            <w:shd w:val="clear" w:color="auto" w:fill="auto"/>
          </w:tcPr>
          <w:p w14:paraId="4E174821" w14:textId="77777777" w:rsidR="00822463" w:rsidRPr="0054798D" w:rsidRDefault="00822463" w:rsidP="0054798D">
            <w:pPr>
              <w:pStyle w:val="TableText"/>
              <w:spacing w:before="120" w:after="120"/>
              <w:rPr>
                <w:b/>
                <w:bCs/>
              </w:rPr>
            </w:pPr>
            <w:r w:rsidRPr="0054798D">
              <w:rPr>
                <w:b/>
                <w:bCs/>
              </w:rPr>
              <w:t>Organisation</w:t>
            </w:r>
          </w:p>
        </w:tc>
        <w:tc>
          <w:tcPr>
            <w:tcW w:w="1018" w:type="dxa"/>
            <w:shd w:val="clear" w:color="auto" w:fill="auto"/>
          </w:tcPr>
          <w:p w14:paraId="6E36E67D" w14:textId="77777777" w:rsidR="00822463" w:rsidRPr="0054798D" w:rsidRDefault="00822463" w:rsidP="0054798D">
            <w:pPr>
              <w:pStyle w:val="TableText"/>
              <w:spacing w:before="120" w:after="120"/>
              <w:rPr>
                <w:b/>
                <w:bCs/>
              </w:rPr>
            </w:pPr>
            <w:r w:rsidRPr="0054798D">
              <w:rPr>
                <w:b/>
                <w:bCs/>
              </w:rPr>
              <w:t>Number</w:t>
            </w:r>
          </w:p>
        </w:tc>
        <w:tc>
          <w:tcPr>
            <w:tcW w:w="3608" w:type="dxa"/>
            <w:shd w:val="clear" w:color="auto" w:fill="auto"/>
          </w:tcPr>
          <w:p w14:paraId="4B3534B5" w14:textId="77777777" w:rsidR="00822463" w:rsidRPr="0054798D" w:rsidRDefault="00822463" w:rsidP="0054798D">
            <w:pPr>
              <w:pStyle w:val="TableText"/>
              <w:spacing w:before="120" w:after="120"/>
              <w:rPr>
                <w:b/>
                <w:bCs/>
              </w:rPr>
            </w:pPr>
            <w:r w:rsidRPr="0054798D">
              <w:rPr>
                <w:b/>
                <w:bCs/>
              </w:rPr>
              <w:t>Nature of complaint</w:t>
            </w:r>
          </w:p>
        </w:tc>
        <w:tc>
          <w:tcPr>
            <w:tcW w:w="5811" w:type="dxa"/>
            <w:shd w:val="clear" w:color="auto" w:fill="auto"/>
          </w:tcPr>
          <w:p w14:paraId="5333E1CA" w14:textId="77777777" w:rsidR="00822463" w:rsidRPr="0054798D" w:rsidRDefault="00822463" w:rsidP="0054798D">
            <w:pPr>
              <w:pStyle w:val="TableText"/>
              <w:spacing w:before="120" w:after="120"/>
              <w:rPr>
                <w:b/>
                <w:bCs/>
              </w:rPr>
            </w:pPr>
            <w:r w:rsidRPr="0054798D">
              <w:rPr>
                <w:b/>
                <w:bCs/>
              </w:rPr>
              <w:t>Action taken</w:t>
            </w:r>
          </w:p>
        </w:tc>
        <w:tc>
          <w:tcPr>
            <w:tcW w:w="1701" w:type="dxa"/>
            <w:shd w:val="clear" w:color="auto" w:fill="auto"/>
          </w:tcPr>
          <w:p w14:paraId="0869DAA7" w14:textId="7448C999" w:rsidR="00822463" w:rsidRPr="0054798D" w:rsidRDefault="00822463" w:rsidP="0054798D">
            <w:pPr>
              <w:pStyle w:val="TableText"/>
              <w:spacing w:before="120" w:after="120"/>
              <w:rPr>
                <w:b/>
                <w:bCs/>
              </w:rPr>
            </w:pPr>
            <w:r w:rsidRPr="0054798D">
              <w:rPr>
                <w:b/>
                <w:bCs/>
              </w:rPr>
              <w:t>Status</w:t>
            </w:r>
          </w:p>
        </w:tc>
      </w:tr>
      <w:tr w:rsidR="00822463" w:rsidRPr="0029428D" w14:paraId="4E17F5E6" w14:textId="77777777" w:rsidTr="0054798D">
        <w:tc>
          <w:tcPr>
            <w:tcW w:w="1465" w:type="dxa"/>
            <w:shd w:val="clear" w:color="auto" w:fill="FFFFFF" w:themeFill="background1"/>
          </w:tcPr>
          <w:p w14:paraId="7848DAEC" w14:textId="77777777" w:rsidR="00822463" w:rsidRPr="0029428D" w:rsidRDefault="00822463" w:rsidP="0054798D">
            <w:pPr>
              <w:pStyle w:val="TableText"/>
            </w:pPr>
            <w:r w:rsidRPr="0029428D">
              <w:t>Cenitex</w:t>
            </w:r>
          </w:p>
        </w:tc>
        <w:tc>
          <w:tcPr>
            <w:tcW w:w="1018" w:type="dxa"/>
            <w:shd w:val="clear" w:color="auto" w:fill="FFFFFF" w:themeFill="background1"/>
          </w:tcPr>
          <w:p w14:paraId="1E037C75" w14:textId="77777777" w:rsidR="00822463" w:rsidRPr="0029428D" w:rsidRDefault="00822463" w:rsidP="0054798D">
            <w:pPr>
              <w:pStyle w:val="TableText"/>
            </w:pPr>
            <w:r w:rsidRPr="0029428D">
              <w:t>1</w:t>
            </w:r>
          </w:p>
        </w:tc>
        <w:tc>
          <w:tcPr>
            <w:tcW w:w="3608" w:type="dxa"/>
            <w:shd w:val="clear" w:color="auto" w:fill="FFFFFF" w:themeFill="background1"/>
          </w:tcPr>
          <w:p w14:paraId="06CA5D90" w14:textId="77777777" w:rsidR="00822463" w:rsidRPr="0029428D" w:rsidRDefault="00822463" w:rsidP="0054798D">
            <w:pPr>
              <w:pStyle w:val="TableText"/>
            </w:pPr>
            <w:r w:rsidRPr="0029428D">
              <w:t xml:space="preserve">An unsuccessful tenderer indicated that a Cenitex staff member requested information from one of its subcontractors, under the mistaken assumption that the subcontractor was working for the successful tenderer. The unsuccessful tenderer perceived this as a conflict of </w:t>
            </w:r>
            <w:r w:rsidRPr="0029428D">
              <w:rPr>
                <w:bCs/>
              </w:rPr>
              <w:t>interest.</w:t>
            </w:r>
          </w:p>
        </w:tc>
        <w:tc>
          <w:tcPr>
            <w:tcW w:w="5811" w:type="dxa"/>
            <w:shd w:val="clear" w:color="auto" w:fill="FFFFFF" w:themeFill="background1"/>
          </w:tcPr>
          <w:p w14:paraId="1C74149D" w14:textId="77777777" w:rsidR="00822463" w:rsidRPr="0029428D" w:rsidRDefault="00822463" w:rsidP="0054798D">
            <w:pPr>
              <w:pStyle w:val="TableText"/>
            </w:pPr>
            <w:r w:rsidRPr="0029428D">
              <w:t>Complaint investigated and external probity advice sought, which confirmed no basis for the complaint. Responded to complainant in April 2021 advising that the request was not authorised, and no information was needed from the unsuccessful tenderer. No further response was received from the complainant.</w:t>
            </w:r>
          </w:p>
        </w:tc>
        <w:tc>
          <w:tcPr>
            <w:tcW w:w="1701" w:type="dxa"/>
            <w:shd w:val="clear" w:color="auto" w:fill="FFFFFF" w:themeFill="background1"/>
          </w:tcPr>
          <w:p w14:paraId="2C478076" w14:textId="77777777" w:rsidR="00822463" w:rsidRPr="0029428D" w:rsidRDefault="00822463" w:rsidP="0054798D">
            <w:pPr>
              <w:pStyle w:val="TableText"/>
            </w:pPr>
            <w:r w:rsidRPr="0029428D">
              <w:t>Resolved</w:t>
            </w:r>
          </w:p>
        </w:tc>
      </w:tr>
      <w:tr w:rsidR="00822463" w:rsidRPr="0029428D" w14:paraId="6BBD136C" w14:textId="77777777" w:rsidTr="0054798D">
        <w:tc>
          <w:tcPr>
            <w:tcW w:w="1465" w:type="dxa"/>
            <w:shd w:val="clear" w:color="auto" w:fill="FFFFFF" w:themeFill="background1"/>
          </w:tcPr>
          <w:p w14:paraId="084159E4" w14:textId="77777777" w:rsidR="00822463" w:rsidRPr="0029428D" w:rsidRDefault="00822463" w:rsidP="0054798D">
            <w:pPr>
              <w:pStyle w:val="TableText"/>
            </w:pPr>
            <w:r w:rsidRPr="0029428D">
              <w:t>Environment, Land, Water and Planning</w:t>
            </w:r>
          </w:p>
        </w:tc>
        <w:tc>
          <w:tcPr>
            <w:tcW w:w="1018" w:type="dxa"/>
            <w:shd w:val="clear" w:color="auto" w:fill="FFFFFF" w:themeFill="background1"/>
          </w:tcPr>
          <w:p w14:paraId="4E22316E" w14:textId="77777777" w:rsidR="00822463" w:rsidRPr="0029428D" w:rsidRDefault="00822463" w:rsidP="0054798D">
            <w:pPr>
              <w:pStyle w:val="TableText"/>
            </w:pPr>
            <w:r w:rsidRPr="0029428D">
              <w:t>1</w:t>
            </w:r>
          </w:p>
        </w:tc>
        <w:tc>
          <w:tcPr>
            <w:tcW w:w="3608" w:type="dxa"/>
            <w:shd w:val="clear" w:color="auto" w:fill="FFFFFF" w:themeFill="background1"/>
          </w:tcPr>
          <w:p w14:paraId="10CF2C3E" w14:textId="77777777" w:rsidR="00822463" w:rsidRPr="0029428D" w:rsidRDefault="00822463" w:rsidP="0054798D">
            <w:pPr>
              <w:pStyle w:val="TableText"/>
            </w:pPr>
            <w:r w:rsidRPr="0029428D">
              <w:t>An unsuccessful tenderer complained about the suitability of the selection team and inconsistency between information provided by tender briefing documents and DELWP project manager.</w:t>
            </w:r>
          </w:p>
        </w:tc>
        <w:tc>
          <w:tcPr>
            <w:tcW w:w="5811" w:type="dxa"/>
            <w:shd w:val="clear" w:color="auto" w:fill="FFFFFF" w:themeFill="background1"/>
          </w:tcPr>
          <w:p w14:paraId="76E113D9" w14:textId="77777777" w:rsidR="00822463" w:rsidRPr="0029428D" w:rsidRDefault="00822463" w:rsidP="0054798D">
            <w:pPr>
              <w:pStyle w:val="TableText"/>
            </w:pPr>
            <w:r w:rsidRPr="0029428D">
              <w:t xml:space="preserve">Tender process paused for review which found that the evaluation team was suitable and the complainant’s understanding and recollection from a verbal exchange could not be substantiated. </w:t>
            </w:r>
          </w:p>
        </w:tc>
        <w:tc>
          <w:tcPr>
            <w:tcW w:w="1701" w:type="dxa"/>
            <w:shd w:val="clear" w:color="auto" w:fill="FFFFFF" w:themeFill="background1"/>
          </w:tcPr>
          <w:p w14:paraId="67EF8B3A" w14:textId="0E406373" w:rsidR="00822463" w:rsidRPr="0029428D" w:rsidRDefault="00822463" w:rsidP="0054798D">
            <w:pPr>
              <w:pStyle w:val="TableText"/>
            </w:pPr>
            <w:r w:rsidRPr="0029428D">
              <w:t>Resolved</w:t>
            </w:r>
          </w:p>
        </w:tc>
      </w:tr>
      <w:tr w:rsidR="00822463" w:rsidRPr="0029428D" w14:paraId="314F7AFC" w14:textId="77777777" w:rsidTr="0054798D">
        <w:tc>
          <w:tcPr>
            <w:tcW w:w="1465" w:type="dxa"/>
          </w:tcPr>
          <w:p w14:paraId="4F9F10E4" w14:textId="77777777" w:rsidR="00822463" w:rsidRPr="0029428D" w:rsidRDefault="00822463" w:rsidP="0054798D">
            <w:pPr>
              <w:pStyle w:val="TableText"/>
            </w:pPr>
            <w:r w:rsidRPr="0029428D">
              <w:t>Health / Families, Fairness and Housing</w:t>
            </w:r>
          </w:p>
        </w:tc>
        <w:tc>
          <w:tcPr>
            <w:tcW w:w="1018" w:type="dxa"/>
          </w:tcPr>
          <w:p w14:paraId="2457E202" w14:textId="0BD372EB" w:rsidR="00822463" w:rsidRPr="0029428D" w:rsidRDefault="0054798D" w:rsidP="0054798D">
            <w:pPr>
              <w:pStyle w:val="TableText"/>
            </w:pPr>
            <w:r>
              <w:t>1</w:t>
            </w:r>
          </w:p>
        </w:tc>
        <w:tc>
          <w:tcPr>
            <w:tcW w:w="3608" w:type="dxa"/>
          </w:tcPr>
          <w:p w14:paraId="5A861EC6" w14:textId="77777777" w:rsidR="00822463" w:rsidRPr="0029428D" w:rsidRDefault="00822463" w:rsidP="0054798D">
            <w:pPr>
              <w:pStyle w:val="TableText"/>
            </w:pPr>
            <w:r w:rsidRPr="0029428D">
              <w:t>Supplier asked department to accept late bid.</w:t>
            </w:r>
          </w:p>
        </w:tc>
        <w:tc>
          <w:tcPr>
            <w:tcW w:w="5811" w:type="dxa"/>
          </w:tcPr>
          <w:p w14:paraId="665766AC" w14:textId="77777777" w:rsidR="00822463" w:rsidRPr="0029428D" w:rsidRDefault="00822463" w:rsidP="0054798D">
            <w:pPr>
              <w:pStyle w:val="TableText"/>
            </w:pPr>
            <w:r w:rsidRPr="0029428D">
              <w:t>Complaint investigated and response sent on 21/12/2020 stating late bid would not be accepted.</w:t>
            </w:r>
          </w:p>
        </w:tc>
        <w:tc>
          <w:tcPr>
            <w:tcW w:w="1701" w:type="dxa"/>
          </w:tcPr>
          <w:p w14:paraId="420ABF08" w14:textId="77777777" w:rsidR="00822463" w:rsidRPr="0029428D" w:rsidRDefault="00822463" w:rsidP="0054798D">
            <w:pPr>
              <w:pStyle w:val="TableText"/>
            </w:pPr>
            <w:r w:rsidRPr="0029428D">
              <w:t>Resolved</w:t>
            </w:r>
          </w:p>
        </w:tc>
      </w:tr>
      <w:tr w:rsidR="00822463" w:rsidRPr="0029428D" w14:paraId="67C3B910" w14:textId="77777777" w:rsidTr="0054798D">
        <w:tc>
          <w:tcPr>
            <w:tcW w:w="1465" w:type="dxa"/>
          </w:tcPr>
          <w:p w14:paraId="512DF0A9" w14:textId="169F81E4" w:rsidR="00822463" w:rsidRPr="0029428D" w:rsidRDefault="0054798D" w:rsidP="0054798D">
            <w:pPr>
              <w:pStyle w:val="TableText"/>
            </w:pPr>
            <w:r w:rsidRPr="0029428D">
              <w:t>Health / Families, Fairness and Housing</w:t>
            </w:r>
          </w:p>
        </w:tc>
        <w:tc>
          <w:tcPr>
            <w:tcW w:w="1018" w:type="dxa"/>
          </w:tcPr>
          <w:p w14:paraId="6A765870" w14:textId="49EC5F69" w:rsidR="00822463" w:rsidRPr="0029428D" w:rsidRDefault="0054798D" w:rsidP="0054798D">
            <w:pPr>
              <w:pStyle w:val="TableText"/>
            </w:pPr>
            <w:r>
              <w:t>1</w:t>
            </w:r>
          </w:p>
        </w:tc>
        <w:tc>
          <w:tcPr>
            <w:tcW w:w="3608" w:type="dxa"/>
          </w:tcPr>
          <w:p w14:paraId="592BA0BF" w14:textId="77777777" w:rsidR="00822463" w:rsidRPr="0029428D" w:rsidRDefault="00822463" w:rsidP="0054798D">
            <w:pPr>
              <w:pStyle w:val="TableText"/>
            </w:pPr>
            <w:r w:rsidRPr="0029428D">
              <w:t>Supplier complained that proper procurement process was not followed.</w:t>
            </w:r>
          </w:p>
        </w:tc>
        <w:tc>
          <w:tcPr>
            <w:tcW w:w="5811" w:type="dxa"/>
          </w:tcPr>
          <w:p w14:paraId="79C293FA" w14:textId="77777777" w:rsidR="00822463" w:rsidRPr="0029428D" w:rsidRDefault="00822463" w:rsidP="0054798D">
            <w:pPr>
              <w:pStyle w:val="TableText"/>
            </w:pPr>
            <w:r w:rsidRPr="0029428D">
              <w:t>Complaint investigated and response sent on 03/03/2021 stating processes were appropriate and correct.</w:t>
            </w:r>
          </w:p>
        </w:tc>
        <w:tc>
          <w:tcPr>
            <w:tcW w:w="1701" w:type="dxa"/>
          </w:tcPr>
          <w:p w14:paraId="38B3E0CC" w14:textId="77777777" w:rsidR="00822463" w:rsidRPr="0029428D" w:rsidRDefault="00822463" w:rsidP="0054798D">
            <w:pPr>
              <w:pStyle w:val="TableText"/>
            </w:pPr>
            <w:r w:rsidRPr="0029428D">
              <w:t>Resolved</w:t>
            </w:r>
          </w:p>
        </w:tc>
      </w:tr>
      <w:tr w:rsidR="00822463" w:rsidRPr="0029428D" w14:paraId="54793C0D" w14:textId="77777777" w:rsidTr="0054798D">
        <w:tc>
          <w:tcPr>
            <w:tcW w:w="1465" w:type="dxa"/>
          </w:tcPr>
          <w:p w14:paraId="5A9F9B8A" w14:textId="77777777" w:rsidR="00822463" w:rsidRPr="0029428D" w:rsidRDefault="00822463" w:rsidP="0054798D">
            <w:pPr>
              <w:pStyle w:val="TableText"/>
            </w:pPr>
            <w:r w:rsidRPr="0029428D">
              <w:t>Treasury and Finance</w:t>
            </w:r>
          </w:p>
        </w:tc>
        <w:tc>
          <w:tcPr>
            <w:tcW w:w="1018" w:type="dxa"/>
          </w:tcPr>
          <w:p w14:paraId="381ED938" w14:textId="77777777" w:rsidR="00822463" w:rsidRPr="0029428D" w:rsidRDefault="00822463" w:rsidP="0054798D">
            <w:pPr>
              <w:pStyle w:val="TableText"/>
            </w:pPr>
            <w:r w:rsidRPr="0029428D">
              <w:t>3</w:t>
            </w:r>
          </w:p>
        </w:tc>
        <w:tc>
          <w:tcPr>
            <w:tcW w:w="3608" w:type="dxa"/>
          </w:tcPr>
          <w:p w14:paraId="12801C41" w14:textId="77777777" w:rsidR="00822463" w:rsidRPr="0029428D" w:rsidRDefault="00822463" w:rsidP="0054798D">
            <w:pPr>
              <w:pStyle w:val="TableText"/>
            </w:pPr>
            <w:r w:rsidRPr="0029428D">
              <w:t>Three complaints regarding not properly being informed of the timing for submissions for an SPC.</w:t>
            </w:r>
          </w:p>
        </w:tc>
        <w:tc>
          <w:tcPr>
            <w:tcW w:w="5811" w:type="dxa"/>
          </w:tcPr>
          <w:p w14:paraId="57C89419" w14:textId="77777777" w:rsidR="00822463" w:rsidRPr="0029428D" w:rsidRDefault="00822463" w:rsidP="0054798D">
            <w:pPr>
              <w:pStyle w:val="TableText"/>
            </w:pPr>
            <w:r w:rsidRPr="0029428D">
              <w:t>The CPO investigated and found that the integrity of the tender process had not been compromised, a view supported by the independent probity adviser engaged by DTF to oversee the process.</w:t>
            </w:r>
          </w:p>
        </w:tc>
        <w:tc>
          <w:tcPr>
            <w:tcW w:w="1701" w:type="dxa"/>
          </w:tcPr>
          <w:p w14:paraId="44E65C8C" w14:textId="77777777" w:rsidR="00822463" w:rsidRPr="0029428D" w:rsidRDefault="00822463" w:rsidP="0054798D">
            <w:pPr>
              <w:pStyle w:val="TableText"/>
            </w:pPr>
            <w:r w:rsidRPr="0029428D">
              <w:t>Two resolved, one referred to the VGPB – currently under investigation</w:t>
            </w:r>
          </w:p>
        </w:tc>
      </w:tr>
      <w:tr w:rsidR="00822463" w:rsidRPr="0029428D" w14:paraId="62344026" w14:textId="77777777" w:rsidTr="0054798D">
        <w:tc>
          <w:tcPr>
            <w:tcW w:w="1465" w:type="dxa"/>
          </w:tcPr>
          <w:p w14:paraId="4A01ACB8" w14:textId="77777777" w:rsidR="00822463" w:rsidRPr="0029428D" w:rsidRDefault="00822463" w:rsidP="0054798D">
            <w:pPr>
              <w:pStyle w:val="TableText"/>
            </w:pPr>
            <w:bookmarkStart w:id="1" w:name="_Hlk45525837"/>
            <w:r w:rsidRPr="0029428D">
              <w:t>Victoria Police</w:t>
            </w:r>
          </w:p>
        </w:tc>
        <w:tc>
          <w:tcPr>
            <w:tcW w:w="1018" w:type="dxa"/>
          </w:tcPr>
          <w:p w14:paraId="3D4BDB32" w14:textId="77777777" w:rsidR="00822463" w:rsidRPr="0029428D" w:rsidRDefault="00822463" w:rsidP="0054798D">
            <w:pPr>
              <w:pStyle w:val="TableText"/>
            </w:pPr>
            <w:r w:rsidRPr="0029428D">
              <w:t>1</w:t>
            </w:r>
          </w:p>
        </w:tc>
        <w:tc>
          <w:tcPr>
            <w:tcW w:w="3608" w:type="dxa"/>
          </w:tcPr>
          <w:p w14:paraId="2224EA87" w14:textId="77777777" w:rsidR="00822463" w:rsidRPr="0029428D" w:rsidRDefault="00822463" w:rsidP="0054798D">
            <w:pPr>
              <w:pStyle w:val="TableText"/>
            </w:pPr>
            <w:r w:rsidRPr="0029428D">
              <w:t>An unsuccessful tenderer indicated it was not given an explanation as to why bids were unsuccessful and alleged that a current employee involved in the evaluation was a former employee of the successful tenderer.</w:t>
            </w:r>
          </w:p>
        </w:tc>
        <w:tc>
          <w:tcPr>
            <w:tcW w:w="5811" w:type="dxa"/>
          </w:tcPr>
          <w:p w14:paraId="7D45FCF4" w14:textId="77777777" w:rsidR="00822463" w:rsidRPr="0029428D" w:rsidRDefault="00822463" w:rsidP="0054798D">
            <w:pPr>
              <w:pStyle w:val="TableText"/>
            </w:pPr>
            <w:r w:rsidRPr="0029428D">
              <w:t>An internal investigation, assured by an external probity practitioner, found that the tender process complied with VGPB policies and processes, and the tenderer was given feedback when requested. No evidence supports the allegation that a current Victoria Police employee was previously employed by the successful tenderer.</w:t>
            </w:r>
          </w:p>
        </w:tc>
        <w:tc>
          <w:tcPr>
            <w:tcW w:w="1701" w:type="dxa"/>
          </w:tcPr>
          <w:p w14:paraId="01061A86" w14:textId="77777777" w:rsidR="00822463" w:rsidRPr="0029428D" w:rsidRDefault="00822463" w:rsidP="0054798D">
            <w:pPr>
              <w:pStyle w:val="TableText"/>
              <w:rPr>
                <w:lang w:val="en-AU"/>
              </w:rPr>
            </w:pPr>
            <w:r w:rsidRPr="0029428D">
              <w:t>Referred to VGPB – currently under investigation</w:t>
            </w:r>
          </w:p>
        </w:tc>
      </w:tr>
      <w:bookmarkEnd w:id="1"/>
      <w:tr w:rsidR="00822463" w:rsidRPr="0029428D" w14:paraId="3591F9F7" w14:textId="77777777" w:rsidTr="0054798D">
        <w:tc>
          <w:tcPr>
            <w:tcW w:w="1465" w:type="dxa"/>
          </w:tcPr>
          <w:p w14:paraId="098DD7DD" w14:textId="77777777" w:rsidR="00822463" w:rsidRPr="0029428D" w:rsidRDefault="00822463" w:rsidP="0054798D">
            <w:pPr>
              <w:pStyle w:val="TableText"/>
              <w:rPr>
                <w:rStyle w:val="Strong"/>
              </w:rPr>
            </w:pPr>
            <w:r w:rsidRPr="0029428D">
              <w:rPr>
                <w:rStyle w:val="Strong"/>
              </w:rPr>
              <w:t>Total</w:t>
            </w:r>
          </w:p>
        </w:tc>
        <w:tc>
          <w:tcPr>
            <w:tcW w:w="1018" w:type="dxa"/>
          </w:tcPr>
          <w:p w14:paraId="219EE100" w14:textId="77777777" w:rsidR="00822463" w:rsidRPr="0029428D" w:rsidRDefault="00822463" w:rsidP="0054798D">
            <w:pPr>
              <w:pStyle w:val="TableText"/>
              <w:rPr>
                <w:rStyle w:val="Strong"/>
              </w:rPr>
            </w:pPr>
            <w:r w:rsidRPr="0029428D">
              <w:rPr>
                <w:rStyle w:val="Strong"/>
              </w:rPr>
              <w:t>8</w:t>
            </w:r>
          </w:p>
        </w:tc>
        <w:tc>
          <w:tcPr>
            <w:tcW w:w="3608" w:type="dxa"/>
          </w:tcPr>
          <w:p w14:paraId="672A7AD0" w14:textId="306377F0" w:rsidR="00822463" w:rsidRPr="0054798D" w:rsidRDefault="0054798D" w:rsidP="0054798D">
            <w:pPr>
              <w:pStyle w:val="TableText"/>
              <w:rPr>
                <w:rStyle w:val="Strong"/>
                <w:b w:val="0"/>
                <w:bCs w:val="0"/>
              </w:rPr>
            </w:pPr>
            <w:r w:rsidRPr="0054798D">
              <w:rPr>
                <w:rStyle w:val="Strong"/>
                <w:b w:val="0"/>
                <w:bCs w:val="0"/>
              </w:rPr>
              <w:t>NA</w:t>
            </w:r>
          </w:p>
        </w:tc>
        <w:tc>
          <w:tcPr>
            <w:tcW w:w="5811" w:type="dxa"/>
          </w:tcPr>
          <w:p w14:paraId="63B67825" w14:textId="716712D7" w:rsidR="00822463" w:rsidRPr="0054798D" w:rsidRDefault="0054798D" w:rsidP="0054798D">
            <w:pPr>
              <w:pStyle w:val="TableText"/>
              <w:rPr>
                <w:rStyle w:val="Strong"/>
                <w:b w:val="0"/>
                <w:bCs w:val="0"/>
              </w:rPr>
            </w:pPr>
            <w:r w:rsidRPr="0054798D">
              <w:rPr>
                <w:rStyle w:val="Strong"/>
                <w:b w:val="0"/>
                <w:bCs w:val="0"/>
              </w:rPr>
              <w:t>NA</w:t>
            </w:r>
          </w:p>
        </w:tc>
        <w:tc>
          <w:tcPr>
            <w:tcW w:w="1701" w:type="dxa"/>
          </w:tcPr>
          <w:p w14:paraId="6A2C0392" w14:textId="4049AB3E" w:rsidR="00822463" w:rsidRPr="0054798D" w:rsidRDefault="0054798D" w:rsidP="0054798D">
            <w:pPr>
              <w:pStyle w:val="TableText"/>
              <w:rPr>
                <w:rStyle w:val="Strong"/>
                <w:b w:val="0"/>
                <w:bCs w:val="0"/>
              </w:rPr>
            </w:pPr>
            <w:r w:rsidRPr="0054798D">
              <w:rPr>
                <w:rStyle w:val="Strong"/>
                <w:b w:val="0"/>
                <w:bCs w:val="0"/>
              </w:rPr>
              <w:t>NA</w:t>
            </w:r>
          </w:p>
        </w:tc>
      </w:tr>
    </w:tbl>
    <w:p w14:paraId="38F6D420" w14:textId="77777777" w:rsidR="00297DA1" w:rsidRPr="0054798D" w:rsidRDefault="00D67F1B">
      <w:pPr>
        <w:rPr>
          <w:sz w:val="16"/>
          <w:szCs w:val="16"/>
        </w:rPr>
      </w:pPr>
    </w:p>
    <w:sectPr w:rsidR="00297DA1" w:rsidRPr="0054798D" w:rsidSect="0054798D">
      <w:footerReference w:type="default" r:id="rId7"/>
      <w:pgSz w:w="16838" w:h="11906" w:orient="landscape"/>
      <w:pgMar w:top="993" w:right="127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82555" w14:textId="77777777" w:rsidR="00185088" w:rsidRDefault="00185088" w:rsidP="00185088">
      <w:r>
        <w:separator/>
      </w:r>
    </w:p>
  </w:endnote>
  <w:endnote w:type="continuationSeparator" w:id="0">
    <w:p w14:paraId="4EFFC82F" w14:textId="77777777" w:rsidR="00185088" w:rsidRDefault="00185088" w:rsidP="0018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DF817" w14:textId="2B06AB93" w:rsidR="00185088" w:rsidRDefault="0054798D">
    <w:pPr>
      <w:pStyle w:val="Footer"/>
    </w:pPr>
    <w:r>
      <w:rPr>
        <w:noProof/>
      </w:rPr>
      <mc:AlternateContent>
        <mc:Choice Requires="wps">
          <w:drawing>
            <wp:anchor distT="0" distB="0" distL="114300" distR="114300" simplePos="0" relativeHeight="251659264" behindDoc="0" locked="0" layoutInCell="0" allowOverlap="1" wp14:anchorId="39F0FA06" wp14:editId="50C4C00A">
              <wp:simplePos x="0" y="0"/>
              <wp:positionH relativeFrom="page">
                <wp:posOffset>0</wp:posOffset>
              </wp:positionH>
              <wp:positionV relativeFrom="page">
                <wp:posOffset>7096125</wp:posOffset>
              </wp:positionV>
              <wp:extent cx="10692130" cy="273050"/>
              <wp:effectExtent l="0" t="0" r="0" b="12700"/>
              <wp:wrapNone/>
              <wp:docPr id="2" name="MSIPCMb88e42d18c93ac58bb9cc1f2"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92EA0" w14:textId="660077CC" w:rsidR="0054798D" w:rsidRPr="0054798D" w:rsidRDefault="0054798D" w:rsidP="0054798D">
                          <w:pPr>
                            <w:rPr>
                              <w:rFonts w:ascii="Calibri" w:hAnsi="Calibri" w:cs="Calibri"/>
                              <w:color w:val="000000"/>
                              <w:sz w:val="22"/>
                            </w:rPr>
                          </w:pPr>
                          <w:r w:rsidRPr="0054798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F0FA06" id="_x0000_t202" coordsize="21600,21600" o:spt="202" path="m,l,21600r21600,l21600,xe">
              <v:stroke joinstyle="miter"/>
              <v:path gradientshapeok="t" o:connecttype="rect"/>
            </v:shapetype>
            <v:shape id="MSIPCMb88e42d18c93ac58bb9cc1f2" o:spid="_x0000_s1026" type="#_x0000_t202" alt="{&quot;HashCode&quot;:-1267603503,&quot;Height&quot;:595.0,&quot;Width&quot;:841.0,&quot;Placement&quot;:&quot;Footer&quot;,&quot;Index&quot;:&quot;Primary&quot;,&quot;Section&quot;:1,&quot;Top&quot;:0.0,&quot;Left&quot;:0.0}"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" o:allowincell="f" filled="f" stroked="f" strokeweight=".5pt">
              <v:fill o:detectmouseclick="t"/>
              <v:textbox inset="20pt,0,,0">
                <w:txbxContent>
                  <w:p w14:paraId="64A92EA0" w14:textId="660077CC" w:rsidR="0054798D" w:rsidRPr="0054798D" w:rsidRDefault="0054798D" w:rsidP="0054798D">
                    <w:pPr>
                      <w:rPr>
                        <w:rFonts w:ascii="Calibri" w:hAnsi="Calibri" w:cs="Calibri"/>
                        <w:color w:val="000000"/>
                        <w:sz w:val="22"/>
                      </w:rPr>
                    </w:pPr>
                    <w:r w:rsidRPr="0054798D">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8342B" w14:textId="77777777" w:rsidR="00185088" w:rsidRDefault="00185088" w:rsidP="00185088">
      <w:r>
        <w:separator/>
      </w:r>
    </w:p>
  </w:footnote>
  <w:footnote w:type="continuationSeparator" w:id="0">
    <w:p w14:paraId="16102C77" w14:textId="77777777" w:rsidR="00185088" w:rsidRDefault="00185088" w:rsidP="00185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88"/>
    <w:rsid w:val="00183C24"/>
    <w:rsid w:val="00185088"/>
    <w:rsid w:val="002141FF"/>
    <w:rsid w:val="002425E7"/>
    <w:rsid w:val="0037394B"/>
    <w:rsid w:val="003F0859"/>
    <w:rsid w:val="00490C11"/>
    <w:rsid w:val="0054798D"/>
    <w:rsid w:val="00822463"/>
    <w:rsid w:val="00A975B5"/>
    <w:rsid w:val="00BE2C43"/>
    <w:rsid w:val="00C671A7"/>
    <w:rsid w:val="00D67F1B"/>
    <w:rsid w:val="00E907E8"/>
    <w:rsid w:val="00ED63FA"/>
    <w:rsid w:val="00F47874"/>
    <w:rsid w:val="00F91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52248E"/>
  <w15:chartTrackingRefBased/>
  <w15:docId w15:val="{8F596C0F-0669-43C5-8ACA-C1587486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5088"/>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uiPriority w:val="9"/>
    <w:qFormat/>
    <w:rsid w:val="00185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185088"/>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185088"/>
    <w:rPr>
      <w:rFonts w:ascii="Calibri" w:eastAsia="Times New Roman" w:hAnsi="Calibri" w:cs="Calibri"/>
      <w:b/>
      <w:lang w:eastAsia="en-AU"/>
    </w:rPr>
  </w:style>
  <w:style w:type="paragraph" w:customStyle="1" w:styleId="TableText">
    <w:name w:val="Table Text"/>
    <w:basedOn w:val="Normal"/>
    <w:link w:val="TableTextChar"/>
    <w:uiPriority w:val="15"/>
    <w:qFormat/>
    <w:rsid w:val="00185088"/>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185088"/>
    <w:rPr>
      <w:rFonts w:ascii="Calibri" w:hAnsi="Calibri" w:cs="Calibri"/>
      <w:sz w:val="20"/>
      <w:szCs w:val="20"/>
      <w:lang w:val="en-US"/>
    </w:rPr>
  </w:style>
  <w:style w:type="paragraph" w:customStyle="1" w:styleId="TableHeader">
    <w:name w:val="Table Header"/>
    <w:basedOn w:val="TableText"/>
    <w:link w:val="TableHeaderChar"/>
    <w:uiPriority w:val="15"/>
    <w:qFormat/>
    <w:rsid w:val="00185088"/>
    <w:pPr>
      <w:keepNext/>
      <w:spacing w:before="40" w:after="40"/>
    </w:pPr>
    <w:rPr>
      <w:sz w:val="24"/>
      <w:szCs w:val="24"/>
    </w:rPr>
  </w:style>
  <w:style w:type="paragraph" w:customStyle="1" w:styleId="Tablenumbers">
    <w:name w:val="Table numbers"/>
    <w:basedOn w:val="Normal"/>
    <w:link w:val="TablenumbersChar"/>
    <w:qFormat/>
    <w:rsid w:val="00185088"/>
    <w:pPr>
      <w:jc w:val="right"/>
    </w:pPr>
    <w:rPr>
      <w:rFonts w:ascii="Calibri" w:eastAsiaTheme="minorHAnsi" w:hAnsi="Calibri" w:cstheme="minorBidi"/>
      <w:color w:val="000000"/>
      <w:sz w:val="20"/>
      <w:szCs w:val="20"/>
      <w:lang w:val="en-US" w:eastAsia="en-US"/>
    </w:rPr>
  </w:style>
  <w:style w:type="character" w:customStyle="1" w:styleId="TablenumbersChar">
    <w:name w:val="Table numbers Char"/>
    <w:basedOn w:val="DefaultParagraphFont"/>
    <w:link w:val="Tablenumbers"/>
    <w:rsid w:val="00185088"/>
    <w:rPr>
      <w:rFonts w:ascii="Calibri" w:hAnsi="Calibri"/>
      <w:color w:val="000000"/>
      <w:sz w:val="20"/>
      <w:szCs w:val="20"/>
      <w:lang w:val="en-US"/>
    </w:rPr>
  </w:style>
  <w:style w:type="paragraph" w:customStyle="1" w:styleId="Tablenotes">
    <w:name w:val="Table notes"/>
    <w:basedOn w:val="Normal"/>
    <w:link w:val="TablenotesChar"/>
    <w:qFormat/>
    <w:rsid w:val="00185088"/>
    <w:pPr>
      <w:spacing w:before="20"/>
      <w:ind w:left="851"/>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185088"/>
    <w:rPr>
      <w:rFonts w:ascii="Calibri" w:eastAsia="Calibri" w:hAnsi="Calibri" w:cs="Times New Roman"/>
      <w:spacing w:val="-2"/>
      <w:sz w:val="18"/>
      <w:szCs w:val="18"/>
    </w:rPr>
  </w:style>
  <w:style w:type="table" w:customStyle="1" w:styleId="TableGrid1">
    <w:name w:val="Table Grid1"/>
    <w:basedOn w:val="TableNormal"/>
    <w:next w:val="TableGrid"/>
    <w:uiPriority w:val="39"/>
    <w:rsid w:val="0018508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185088"/>
    <w:rPr>
      <w:rFonts w:ascii="Calibri" w:hAnsi="Calibri" w:cs="Calibri"/>
      <w:sz w:val="24"/>
      <w:szCs w:val="24"/>
      <w:lang w:val="en-US"/>
    </w:rPr>
  </w:style>
  <w:style w:type="character" w:customStyle="1" w:styleId="hgkelc">
    <w:name w:val="hgkelc"/>
    <w:basedOn w:val="DefaultParagraphFont"/>
    <w:rsid w:val="00185088"/>
  </w:style>
  <w:style w:type="table" w:styleId="TableGrid">
    <w:name w:val="Table Grid"/>
    <w:basedOn w:val="TableNormal"/>
    <w:uiPriority w:val="39"/>
    <w:rsid w:val="0018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5088"/>
    <w:rPr>
      <w:rFonts w:asciiTheme="majorHAnsi" w:eastAsiaTheme="majorEastAsia" w:hAnsiTheme="majorHAnsi" w:cstheme="majorBidi"/>
      <w:color w:val="2F5496" w:themeColor="accent1" w:themeShade="BF"/>
      <w:sz w:val="32"/>
      <w:szCs w:val="32"/>
      <w:lang w:eastAsia="en-AU"/>
    </w:rPr>
  </w:style>
  <w:style w:type="paragraph" w:styleId="Header">
    <w:name w:val="header"/>
    <w:basedOn w:val="Normal"/>
    <w:link w:val="HeaderChar"/>
    <w:uiPriority w:val="99"/>
    <w:unhideWhenUsed/>
    <w:rsid w:val="00185088"/>
    <w:pPr>
      <w:tabs>
        <w:tab w:val="center" w:pos="4513"/>
        <w:tab w:val="right" w:pos="9026"/>
      </w:tabs>
    </w:pPr>
  </w:style>
  <w:style w:type="character" w:customStyle="1" w:styleId="HeaderChar">
    <w:name w:val="Header Char"/>
    <w:basedOn w:val="DefaultParagraphFont"/>
    <w:link w:val="Header"/>
    <w:uiPriority w:val="99"/>
    <w:rsid w:val="00185088"/>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185088"/>
    <w:pPr>
      <w:tabs>
        <w:tab w:val="center" w:pos="4513"/>
        <w:tab w:val="right" w:pos="9026"/>
      </w:tabs>
    </w:pPr>
  </w:style>
  <w:style w:type="character" w:customStyle="1" w:styleId="FooterChar">
    <w:name w:val="Footer Char"/>
    <w:basedOn w:val="DefaultParagraphFont"/>
    <w:link w:val="Footer"/>
    <w:uiPriority w:val="99"/>
    <w:rsid w:val="00185088"/>
    <w:rPr>
      <w:rFonts w:ascii="Arial" w:eastAsia="Times New Roman" w:hAnsi="Arial" w:cs="Times New Roman"/>
      <w:sz w:val="24"/>
      <w:szCs w:val="24"/>
      <w:lang w:eastAsia="en-AU"/>
    </w:rPr>
  </w:style>
  <w:style w:type="character" w:styleId="Strong">
    <w:name w:val="Strong"/>
    <w:uiPriority w:val="22"/>
    <w:qFormat/>
    <w:rsid w:val="00822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C6FC4FA-64E9-4D27-93B8-C58DBF20C92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Table-Summary-of-performance-measure-results-in-2019–20</dc:title>
  <dc:subject/>
  <dc:creator>Athena Rozenberg (DTF)</dc:creator>
  <cp:keywords/>
  <dc:description/>
  <cp:lastModifiedBy>Athena Rozenberg (DTF)</cp:lastModifiedBy>
  <cp:revision>3</cp:revision>
  <dcterms:created xsi:type="dcterms:W3CDTF">2021-10-24T03:04:00Z</dcterms:created>
  <dcterms:modified xsi:type="dcterms:W3CDTF">2021-10-24T03:06:00Z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2021-10-24T03:06:55Z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