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DC1BD" w14:textId="298022B1" w:rsidR="00A91A67" w:rsidRDefault="00A91A67" w:rsidP="00A91A67">
      <w:pPr>
        <w:pStyle w:val="Heading1"/>
        <w:spacing w:after="120"/>
        <w:rPr>
          <w:b/>
          <w:bCs/>
          <w:color w:val="auto"/>
          <w:sz w:val="24"/>
          <w:szCs w:val="24"/>
        </w:rPr>
      </w:pPr>
      <w:bookmarkStart w:id="0" w:name="_Ref489007583"/>
      <w:bookmarkStart w:id="1" w:name="_Toc17130209"/>
      <w:bookmarkStart w:id="2" w:name="_Toc48837156"/>
      <w:bookmarkStart w:id="3" w:name="_Toc49185546"/>
      <w:r w:rsidRPr="00A91A67">
        <w:rPr>
          <w:b/>
          <w:bCs/>
          <w:color w:val="auto"/>
          <w:sz w:val="24"/>
          <w:szCs w:val="24"/>
        </w:rPr>
        <w:t>Table</w:t>
      </w:r>
      <w:bookmarkEnd w:id="0"/>
      <w:r w:rsidRPr="00A91A67">
        <w:rPr>
          <w:b/>
          <w:bCs/>
          <w:color w:val="auto"/>
          <w:sz w:val="24"/>
          <w:szCs w:val="24"/>
        </w:rPr>
        <w:t xml:space="preserve"> Trends in procurement complexity</w:t>
      </w:r>
      <w:bookmarkEnd w:id="1"/>
      <w:r w:rsidRPr="00A91A67">
        <w:rPr>
          <w:b/>
          <w:bCs/>
          <w:color w:val="auto"/>
          <w:sz w:val="24"/>
          <w:szCs w:val="24"/>
        </w:rPr>
        <w:t xml:space="preserve"> from 201</w:t>
      </w:r>
      <w:r w:rsidR="002D6D0D">
        <w:rPr>
          <w:b/>
          <w:bCs/>
          <w:color w:val="auto"/>
          <w:sz w:val="24"/>
          <w:szCs w:val="24"/>
        </w:rPr>
        <w:t>8-19</w:t>
      </w:r>
      <w:r w:rsidRPr="00A91A67">
        <w:rPr>
          <w:b/>
          <w:bCs/>
          <w:color w:val="auto"/>
          <w:sz w:val="24"/>
          <w:szCs w:val="24"/>
        </w:rPr>
        <w:t xml:space="preserve"> to 20</w:t>
      </w:r>
      <w:r w:rsidR="002D6D0D">
        <w:rPr>
          <w:b/>
          <w:bCs/>
          <w:color w:val="auto"/>
          <w:sz w:val="24"/>
          <w:szCs w:val="24"/>
        </w:rPr>
        <w:t>20</w:t>
      </w:r>
      <w:r w:rsidRPr="00A91A67">
        <w:rPr>
          <w:b/>
          <w:bCs/>
          <w:color w:val="auto"/>
          <w:sz w:val="24"/>
          <w:szCs w:val="24"/>
        </w:rPr>
        <w:t>–2</w:t>
      </w:r>
      <w:bookmarkEnd w:id="2"/>
      <w:bookmarkEnd w:id="3"/>
      <w:r w:rsidR="002D6D0D">
        <w:rPr>
          <w:b/>
          <w:bCs/>
          <w:color w:val="auto"/>
          <w:sz w:val="24"/>
          <w:szCs w:val="24"/>
        </w:rPr>
        <w:t>1</w:t>
      </w:r>
    </w:p>
    <w:p w14:paraId="702856D2" w14:textId="5CE4D723" w:rsidR="009048E1" w:rsidRPr="009048E1" w:rsidRDefault="009048E1" w:rsidP="009048E1">
      <w:pPr>
        <w:spacing w:after="12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Government Purchasing Board Annual Report 20</w:t>
      </w:r>
      <w:r w:rsidR="002D6D0D">
        <w:rPr>
          <w:rFonts w:asciiTheme="minorHAnsi" w:eastAsiaTheme="minorHAnsi" w:hAnsiTheme="minorHAnsi" w:cstheme="minorBidi"/>
          <w:sz w:val="22"/>
          <w:szCs w:val="22"/>
          <w:lang w:eastAsia="en-US"/>
        </w:rPr>
        <w:t>20-21</w:t>
      </w:r>
    </w:p>
    <w:tbl>
      <w:tblPr>
        <w:tblStyle w:val="TableGrid"/>
        <w:tblW w:w="13893" w:type="dxa"/>
        <w:tblInd w:w="-147" w:type="dxa"/>
        <w:tblLook w:val="04A0" w:firstRow="1" w:lastRow="0" w:firstColumn="1" w:lastColumn="0" w:noHBand="0" w:noVBand="1"/>
      </w:tblPr>
      <w:tblGrid>
        <w:gridCol w:w="2836"/>
        <w:gridCol w:w="1843"/>
        <w:gridCol w:w="1842"/>
        <w:gridCol w:w="1843"/>
        <w:gridCol w:w="1843"/>
        <w:gridCol w:w="1843"/>
        <w:gridCol w:w="1843"/>
      </w:tblGrid>
      <w:tr w:rsidR="002D6D0D" w:rsidRPr="00A91A67" w14:paraId="74F1BF19" w14:textId="4E6B9313" w:rsidTr="002D6D0D">
        <w:trPr>
          <w:trHeight w:val="255"/>
          <w:tblHeader/>
        </w:trPr>
        <w:tc>
          <w:tcPr>
            <w:tcW w:w="2836" w:type="dxa"/>
            <w:shd w:val="clear" w:color="auto" w:fill="auto"/>
          </w:tcPr>
          <w:p w14:paraId="2FD4DAC8" w14:textId="77777777" w:rsidR="002D6D0D" w:rsidRPr="00A91A67" w:rsidRDefault="002D6D0D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Complexity quadrant</w:t>
            </w:r>
          </w:p>
        </w:tc>
        <w:tc>
          <w:tcPr>
            <w:tcW w:w="1843" w:type="dxa"/>
            <w:shd w:val="clear" w:color="auto" w:fill="auto"/>
          </w:tcPr>
          <w:p w14:paraId="2435C069" w14:textId="3D235024" w:rsidR="002D6D0D" w:rsidRDefault="002D6D0D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2018–19</w:t>
            </w:r>
          </w:p>
          <w:p w14:paraId="57179300" w14:textId="5196E0AA" w:rsidR="002D6D0D" w:rsidRPr="00A91A67" w:rsidRDefault="002D6D0D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842" w:type="dxa"/>
            <w:shd w:val="clear" w:color="auto" w:fill="auto"/>
          </w:tcPr>
          <w:p w14:paraId="669DD842" w14:textId="507E59B5" w:rsidR="002D6D0D" w:rsidRDefault="002D6D0D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2018–19</w:t>
            </w:r>
          </w:p>
          <w:p w14:paraId="3E6F4389" w14:textId="0EC6404F" w:rsidR="002D6D0D" w:rsidRPr="00A91A67" w:rsidRDefault="002D6D0D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843" w:type="dxa"/>
            <w:shd w:val="clear" w:color="auto" w:fill="auto"/>
          </w:tcPr>
          <w:p w14:paraId="40984F13" w14:textId="2E1E73AE" w:rsidR="002D6D0D" w:rsidRDefault="002D6D0D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2019–20</w:t>
            </w:r>
          </w:p>
          <w:p w14:paraId="4D7EC51F" w14:textId="55BCA1CE" w:rsidR="002D6D0D" w:rsidRPr="00A91A67" w:rsidRDefault="002D6D0D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843" w:type="dxa"/>
            <w:shd w:val="clear" w:color="auto" w:fill="auto"/>
          </w:tcPr>
          <w:p w14:paraId="3ABAA4B8" w14:textId="254DEE07" w:rsidR="002D6D0D" w:rsidRDefault="002D6D0D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2019–20</w:t>
            </w:r>
          </w:p>
          <w:p w14:paraId="135D14C0" w14:textId="6148A3A4" w:rsidR="002D6D0D" w:rsidRPr="00A91A67" w:rsidRDefault="002D6D0D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843" w:type="dxa"/>
          </w:tcPr>
          <w:p w14:paraId="29DB8EC5" w14:textId="77777777" w:rsidR="002D6D0D" w:rsidRDefault="002D6D0D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2020-21</w:t>
            </w:r>
          </w:p>
          <w:p w14:paraId="0CFE0DAA" w14:textId="4F1129BF" w:rsidR="002D6D0D" w:rsidRPr="00A91A67" w:rsidRDefault="002D6D0D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843" w:type="dxa"/>
          </w:tcPr>
          <w:p w14:paraId="18C6CAFB" w14:textId="77777777" w:rsidR="002D6D0D" w:rsidRDefault="002D6D0D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2020-21</w:t>
            </w:r>
          </w:p>
          <w:p w14:paraId="0FF6218A" w14:textId="0833DF0F" w:rsidR="002D6D0D" w:rsidRPr="00A91A67" w:rsidRDefault="002D6D0D" w:rsidP="00A91A67">
            <w:pPr>
              <w:pStyle w:val="TableText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Value ($m)</w:t>
            </w:r>
          </w:p>
        </w:tc>
      </w:tr>
      <w:tr w:rsidR="002D6D0D" w:rsidRPr="00A91A67" w14:paraId="6C0BE150" w14:textId="7071523E" w:rsidTr="002D6D0D">
        <w:trPr>
          <w:trHeight w:val="255"/>
        </w:trPr>
        <w:tc>
          <w:tcPr>
            <w:tcW w:w="2836" w:type="dxa"/>
          </w:tcPr>
          <w:p w14:paraId="793D0881" w14:textId="77777777" w:rsidR="002D6D0D" w:rsidRPr="00A91A67" w:rsidRDefault="002D6D0D" w:rsidP="002D6D0D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Transactional</w:t>
            </w:r>
          </w:p>
        </w:tc>
        <w:tc>
          <w:tcPr>
            <w:tcW w:w="1843" w:type="dxa"/>
            <w:vAlign w:val="center"/>
          </w:tcPr>
          <w:p w14:paraId="2510730A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646</w:t>
            </w:r>
          </w:p>
        </w:tc>
        <w:tc>
          <w:tcPr>
            <w:tcW w:w="1842" w:type="dxa"/>
            <w:vAlign w:val="center"/>
          </w:tcPr>
          <w:p w14:paraId="0319FE9C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$372.9</w:t>
            </w:r>
          </w:p>
        </w:tc>
        <w:tc>
          <w:tcPr>
            <w:tcW w:w="1843" w:type="dxa"/>
          </w:tcPr>
          <w:p w14:paraId="17494E16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632</w:t>
            </w:r>
          </w:p>
        </w:tc>
        <w:tc>
          <w:tcPr>
            <w:tcW w:w="1843" w:type="dxa"/>
          </w:tcPr>
          <w:p w14:paraId="72456A4C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$471.8</w:t>
            </w:r>
          </w:p>
        </w:tc>
        <w:tc>
          <w:tcPr>
            <w:tcW w:w="1843" w:type="dxa"/>
          </w:tcPr>
          <w:p w14:paraId="18F57A7F" w14:textId="3060996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 xml:space="preserve">  645 </w:t>
            </w:r>
          </w:p>
        </w:tc>
        <w:tc>
          <w:tcPr>
            <w:tcW w:w="1843" w:type="dxa"/>
          </w:tcPr>
          <w:p w14:paraId="466D0DAF" w14:textId="04E9D545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491.4</w:t>
            </w:r>
          </w:p>
        </w:tc>
      </w:tr>
      <w:tr w:rsidR="002D6D0D" w:rsidRPr="00A91A67" w14:paraId="111C5D99" w14:textId="60B2C179" w:rsidTr="002D6D0D">
        <w:trPr>
          <w:trHeight w:val="255"/>
        </w:trPr>
        <w:tc>
          <w:tcPr>
            <w:tcW w:w="2836" w:type="dxa"/>
          </w:tcPr>
          <w:p w14:paraId="1ECFB612" w14:textId="77777777" w:rsidR="002D6D0D" w:rsidRPr="00A91A67" w:rsidRDefault="002D6D0D" w:rsidP="002D6D0D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Leveraged</w:t>
            </w:r>
          </w:p>
        </w:tc>
        <w:tc>
          <w:tcPr>
            <w:tcW w:w="1843" w:type="dxa"/>
            <w:vAlign w:val="center"/>
          </w:tcPr>
          <w:p w14:paraId="2561DD77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261</w:t>
            </w:r>
          </w:p>
        </w:tc>
        <w:tc>
          <w:tcPr>
            <w:tcW w:w="1842" w:type="dxa"/>
            <w:vAlign w:val="center"/>
          </w:tcPr>
          <w:p w14:paraId="3679EFC1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$1 262.9</w:t>
            </w:r>
          </w:p>
        </w:tc>
        <w:tc>
          <w:tcPr>
            <w:tcW w:w="1843" w:type="dxa"/>
          </w:tcPr>
          <w:p w14:paraId="7EEF8A90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</w:p>
        </w:tc>
        <w:tc>
          <w:tcPr>
            <w:tcW w:w="1843" w:type="dxa"/>
          </w:tcPr>
          <w:p w14:paraId="46A3B325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$251.0</w:t>
            </w:r>
          </w:p>
        </w:tc>
        <w:tc>
          <w:tcPr>
            <w:tcW w:w="1843" w:type="dxa"/>
          </w:tcPr>
          <w:p w14:paraId="0835CF70" w14:textId="19A76B2C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 xml:space="preserve">  165 </w:t>
            </w:r>
          </w:p>
        </w:tc>
        <w:tc>
          <w:tcPr>
            <w:tcW w:w="1843" w:type="dxa"/>
          </w:tcPr>
          <w:p w14:paraId="44B52310" w14:textId="46C725D1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286.5</w:t>
            </w:r>
          </w:p>
        </w:tc>
      </w:tr>
      <w:tr w:rsidR="002D6D0D" w:rsidRPr="00A91A67" w14:paraId="657BFD88" w14:textId="740EEA10" w:rsidTr="002D6D0D">
        <w:trPr>
          <w:trHeight w:val="272"/>
        </w:trPr>
        <w:tc>
          <w:tcPr>
            <w:tcW w:w="2836" w:type="dxa"/>
          </w:tcPr>
          <w:p w14:paraId="083F712E" w14:textId="77777777" w:rsidR="002D6D0D" w:rsidRPr="00A91A67" w:rsidRDefault="002D6D0D" w:rsidP="002D6D0D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Focused</w:t>
            </w:r>
          </w:p>
        </w:tc>
        <w:tc>
          <w:tcPr>
            <w:tcW w:w="1843" w:type="dxa"/>
            <w:vAlign w:val="center"/>
          </w:tcPr>
          <w:p w14:paraId="61F4C927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177</w:t>
            </w:r>
          </w:p>
        </w:tc>
        <w:tc>
          <w:tcPr>
            <w:tcW w:w="1842" w:type="dxa"/>
            <w:vAlign w:val="center"/>
          </w:tcPr>
          <w:p w14:paraId="06D5DA14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$203.3</w:t>
            </w:r>
          </w:p>
        </w:tc>
        <w:tc>
          <w:tcPr>
            <w:tcW w:w="1843" w:type="dxa"/>
          </w:tcPr>
          <w:p w14:paraId="551BDCDF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199</w:t>
            </w:r>
          </w:p>
        </w:tc>
        <w:tc>
          <w:tcPr>
            <w:tcW w:w="1843" w:type="dxa"/>
          </w:tcPr>
          <w:p w14:paraId="28F54C47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$321.5</w:t>
            </w:r>
          </w:p>
        </w:tc>
        <w:tc>
          <w:tcPr>
            <w:tcW w:w="1843" w:type="dxa"/>
          </w:tcPr>
          <w:p w14:paraId="75432D66" w14:textId="61028A8E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 xml:space="preserve">  188 </w:t>
            </w:r>
          </w:p>
        </w:tc>
        <w:tc>
          <w:tcPr>
            <w:tcW w:w="1843" w:type="dxa"/>
          </w:tcPr>
          <w:p w14:paraId="7B364C10" w14:textId="398A5C4D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375.4</w:t>
            </w:r>
          </w:p>
        </w:tc>
      </w:tr>
      <w:tr w:rsidR="002D6D0D" w:rsidRPr="00A91A67" w14:paraId="4DFAB4DD" w14:textId="6D110383" w:rsidTr="002D6D0D">
        <w:trPr>
          <w:trHeight w:val="305"/>
        </w:trPr>
        <w:tc>
          <w:tcPr>
            <w:tcW w:w="2836" w:type="dxa"/>
          </w:tcPr>
          <w:p w14:paraId="60BA3E05" w14:textId="77777777" w:rsidR="002D6D0D" w:rsidRPr="00A91A67" w:rsidRDefault="002D6D0D" w:rsidP="002D6D0D">
            <w:pPr>
              <w:pStyle w:val="Table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 xml:space="preserve">Strategic </w:t>
            </w:r>
          </w:p>
        </w:tc>
        <w:tc>
          <w:tcPr>
            <w:tcW w:w="1843" w:type="dxa"/>
          </w:tcPr>
          <w:p w14:paraId="6899EE95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196</w:t>
            </w:r>
          </w:p>
        </w:tc>
        <w:tc>
          <w:tcPr>
            <w:tcW w:w="1842" w:type="dxa"/>
          </w:tcPr>
          <w:p w14:paraId="7462A610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$738.3</w:t>
            </w:r>
          </w:p>
        </w:tc>
        <w:tc>
          <w:tcPr>
            <w:tcW w:w="1843" w:type="dxa"/>
          </w:tcPr>
          <w:p w14:paraId="0789AF26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</w:p>
        </w:tc>
        <w:tc>
          <w:tcPr>
            <w:tcW w:w="1843" w:type="dxa"/>
          </w:tcPr>
          <w:p w14:paraId="4810F7AE" w14:textId="77777777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Fonts w:asciiTheme="minorHAnsi" w:hAnsiTheme="minorHAnsi" w:cstheme="minorHAnsi"/>
                <w:sz w:val="22"/>
                <w:szCs w:val="22"/>
              </w:rPr>
              <w:t>$622.1</w:t>
            </w:r>
          </w:p>
        </w:tc>
        <w:tc>
          <w:tcPr>
            <w:tcW w:w="1843" w:type="dxa"/>
          </w:tcPr>
          <w:p w14:paraId="602E1D8F" w14:textId="0C03D356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 xml:space="preserve">  233 </w:t>
            </w:r>
          </w:p>
        </w:tc>
        <w:tc>
          <w:tcPr>
            <w:tcW w:w="1843" w:type="dxa"/>
          </w:tcPr>
          <w:p w14:paraId="40C0A29D" w14:textId="09CF4A29" w:rsidR="002D6D0D" w:rsidRPr="00A91A67" w:rsidRDefault="002D6D0D" w:rsidP="002D6D0D">
            <w:pPr>
              <w:pStyle w:val="Tablenumbers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9428D">
              <w:t>1 600.4</w:t>
            </w:r>
          </w:p>
        </w:tc>
      </w:tr>
      <w:tr w:rsidR="002D6D0D" w:rsidRPr="00A91A67" w14:paraId="7A7CE876" w14:textId="392B3BC6" w:rsidTr="002D6D0D">
        <w:trPr>
          <w:trHeight w:val="255"/>
        </w:trPr>
        <w:tc>
          <w:tcPr>
            <w:tcW w:w="2836" w:type="dxa"/>
            <w:noWrap/>
          </w:tcPr>
          <w:p w14:paraId="25F95648" w14:textId="77777777" w:rsidR="002D6D0D" w:rsidRPr="00A91A67" w:rsidRDefault="002D6D0D" w:rsidP="002D6D0D">
            <w:pPr>
              <w:pStyle w:val="TableText"/>
              <w:spacing w:before="120" w:after="12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  <w:tc>
          <w:tcPr>
            <w:tcW w:w="1843" w:type="dxa"/>
            <w:vAlign w:val="center"/>
          </w:tcPr>
          <w:p w14:paraId="51249869" w14:textId="77777777" w:rsidR="002D6D0D" w:rsidRPr="00A91A67" w:rsidRDefault="002D6D0D" w:rsidP="002D6D0D">
            <w:pPr>
              <w:pStyle w:val="Tablenumbers"/>
              <w:spacing w:before="120" w:after="12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1 280</w:t>
            </w:r>
          </w:p>
        </w:tc>
        <w:tc>
          <w:tcPr>
            <w:tcW w:w="1842" w:type="dxa"/>
            <w:vAlign w:val="center"/>
          </w:tcPr>
          <w:p w14:paraId="03F7C60C" w14:textId="77777777" w:rsidR="002D6D0D" w:rsidRPr="00A91A67" w:rsidRDefault="002D6D0D" w:rsidP="002D6D0D">
            <w:pPr>
              <w:pStyle w:val="Tablenumbers"/>
              <w:spacing w:before="120" w:after="12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$2 577.4</w:t>
            </w:r>
          </w:p>
        </w:tc>
        <w:tc>
          <w:tcPr>
            <w:tcW w:w="1843" w:type="dxa"/>
          </w:tcPr>
          <w:p w14:paraId="537572EE" w14:textId="77777777" w:rsidR="002D6D0D" w:rsidRPr="00A91A67" w:rsidRDefault="002D6D0D" w:rsidP="002D6D0D">
            <w:pPr>
              <w:pStyle w:val="Tablenumbers"/>
              <w:spacing w:before="120" w:after="12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1 086</w:t>
            </w:r>
          </w:p>
        </w:tc>
        <w:tc>
          <w:tcPr>
            <w:tcW w:w="1843" w:type="dxa"/>
          </w:tcPr>
          <w:p w14:paraId="5BC6F39E" w14:textId="77777777" w:rsidR="002D6D0D" w:rsidRPr="00A91A67" w:rsidRDefault="002D6D0D" w:rsidP="002D6D0D">
            <w:pPr>
              <w:pStyle w:val="Tablenumbers"/>
              <w:spacing w:before="120" w:after="12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A91A6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$1 666.3</w:t>
            </w:r>
          </w:p>
        </w:tc>
        <w:tc>
          <w:tcPr>
            <w:tcW w:w="1843" w:type="dxa"/>
          </w:tcPr>
          <w:p w14:paraId="407BBEE8" w14:textId="705CB80B" w:rsidR="002D6D0D" w:rsidRPr="00A91A67" w:rsidRDefault="002D6D0D" w:rsidP="002D6D0D">
            <w:pPr>
              <w:pStyle w:val="Tablenumbers"/>
              <w:spacing w:before="120" w:after="12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29428D">
              <w:rPr>
                <w:b/>
                <w:bCs/>
              </w:rPr>
              <w:t xml:space="preserve"> 1 231 </w:t>
            </w:r>
          </w:p>
        </w:tc>
        <w:tc>
          <w:tcPr>
            <w:tcW w:w="1843" w:type="dxa"/>
          </w:tcPr>
          <w:p w14:paraId="4AA0F37F" w14:textId="300D8432" w:rsidR="002D6D0D" w:rsidRPr="00A91A67" w:rsidRDefault="002D6D0D" w:rsidP="002D6D0D">
            <w:pPr>
              <w:pStyle w:val="Tablenumbers"/>
              <w:spacing w:before="120" w:after="120"/>
              <w:rPr>
                <w:rStyle w:val="Strong"/>
                <w:rFonts w:asciiTheme="minorHAnsi" w:hAnsiTheme="minorHAnsi" w:cstheme="minorHAnsi"/>
                <w:sz w:val="22"/>
                <w:szCs w:val="22"/>
              </w:rPr>
            </w:pPr>
            <w:r w:rsidRPr="0029428D">
              <w:rPr>
                <w:b/>
                <w:bCs/>
              </w:rPr>
              <w:t>2 753.6</w:t>
            </w:r>
          </w:p>
        </w:tc>
      </w:tr>
    </w:tbl>
    <w:p w14:paraId="23A9410B" w14:textId="77777777" w:rsidR="002D6D0D" w:rsidRPr="0029428D" w:rsidRDefault="002D6D0D" w:rsidP="002D6D0D">
      <w:pPr>
        <w:pStyle w:val="Tablenotes"/>
        <w:ind w:left="0"/>
      </w:pPr>
      <w:r w:rsidRPr="0029428D">
        <w:t>Critical incident procurements are not included in the 2019–20 complexity figures. Discrepancies between totals and sums of totals reflect rounding.</w:t>
      </w:r>
    </w:p>
    <w:p w14:paraId="1620C9FB" w14:textId="77777777" w:rsidR="00297DA1" w:rsidRDefault="002D6D0D"/>
    <w:sectPr w:rsidR="00297DA1" w:rsidSect="00A91A6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40DE5" w14:textId="77777777" w:rsidR="00A91A67" w:rsidRDefault="00A91A67" w:rsidP="00A91A67">
      <w:r>
        <w:separator/>
      </w:r>
    </w:p>
  </w:endnote>
  <w:endnote w:type="continuationSeparator" w:id="0">
    <w:p w14:paraId="6D169B67" w14:textId="77777777" w:rsidR="00A91A67" w:rsidRDefault="00A91A67" w:rsidP="00A9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C5C8D" w14:textId="42D119D2" w:rsidR="00A91A67" w:rsidRDefault="00A91A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D868ED" wp14:editId="605129B7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69414b729710ef112a8d2876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BFCC6C" w14:textId="50238D5D" w:rsidR="00A91A67" w:rsidRPr="00A91A67" w:rsidRDefault="00A91A67" w:rsidP="00A91A67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A91A67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868ED" id="_x0000_t202" coordsize="21600,21600" o:spt="202" path="m,l,21600r21600,l21600,xe">
              <v:stroke joinstyle="miter"/>
              <v:path gradientshapeok="t" o:connecttype="rect"/>
            </v:shapetype>
            <v:shape id="MSIPCM69414b729710ef112a8d2876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" o:allowincell="f" filled="f" stroked="f" strokeweight=".5pt">
              <v:textbox inset="20pt,0,,0">
                <w:txbxContent>
                  <w:p w14:paraId="74BFCC6C" w14:textId="50238D5D" w:rsidR="00A91A67" w:rsidRPr="00A91A67" w:rsidRDefault="00A91A67" w:rsidP="00A91A67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A91A67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F989B" w14:textId="77777777" w:rsidR="00A91A67" w:rsidRDefault="00A91A67" w:rsidP="00A91A67">
      <w:r>
        <w:separator/>
      </w:r>
    </w:p>
  </w:footnote>
  <w:footnote w:type="continuationSeparator" w:id="0">
    <w:p w14:paraId="21036B71" w14:textId="77777777" w:rsidR="00A91A67" w:rsidRDefault="00A91A67" w:rsidP="00A91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67"/>
    <w:rsid w:val="002141FF"/>
    <w:rsid w:val="002425E7"/>
    <w:rsid w:val="002D6D0D"/>
    <w:rsid w:val="0037394B"/>
    <w:rsid w:val="003F0859"/>
    <w:rsid w:val="00490C11"/>
    <w:rsid w:val="007F18BE"/>
    <w:rsid w:val="009048E1"/>
    <w:rsid w:val="00A91A67"/>
    <w:rsid w:val="00A975B5"/>
    <w:rsid w:val="00B107CB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7B0306"/>
  <w15:chartTrackingRefBased/>
  <w15:docId w15:val="{5239C576-15E8-41D2-A0A5-FF8C62F5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1A6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A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A91A67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A91A67"/>
    <w:rPr>
      <w:rFonts w:ascii="Calibri" w:eastAsia="Times New Roman" w:hAnsi="Calibri" w:cs="Calibri"/>
      <w:b/>
      <w:lang w:eastAsia="en-AU"/>
    </w:rPr>
  </w:style>
  <w:style w:type="character" w:styleId="Strong">
    <w:name w:val="Strong"/>
    <w:uiPriority w:val="22"/>
    <w:qFormat/>
    <w:rsid w:val="00A91A67"/>
    <w:rPr>
      <w:b/>
      <w:bCs/>
    </w:rPr>
  </w:style>
  <w:style w:type="paragraph" w:customStyle="1" w:styleId="TableText">
    <w:name w:val="Table Text"/>
    <w:basedOn w:val="Normal"/>
    <w:link w:val="TableTextChar"/>
    <w:uiPriority w:val="15"/>
    <w:qFormat/>
    <w:rsid w:val="00A91A67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A91A67"/>
    <w:rPr>
      <w:rFonts w:ascii="Calibri" w:hAnsi="Calibri" w:cs="Calibri"/>
      <w:sz w:val="20"/>
      <w:szCs w:val="20"/>
      <w:lang w:val="en-US"/>
    </w:rPr>
  </w:style>
  <w:style w:type="paragraph" w:customStyle="1" w:styleId="TableHeader">
    <w:name w:val="Table Header"/>
    <w:basedOn w:val="TableText"/>
    <w:link w:val="TableHeaderChar"/>
    <w:uiPriority w:val="15"/>
    <w:qFormat/>
    <w:rsid w:val="00A91A67"/>
    <w:pPr>
      <w:keepNext/>
      <w:spacing w:before="40" w:after="40"/>
    </w:pPr>
    <w:rPr>
      <w:sz w:val="24"/>
      <w:szCs w:val="24"/>
    </w:rPr>
  </w:style>
  <w:style w:type="table" w:styleId="TableGrid">
    <w:name w:val="Table Grid"/>
    <w:basedOn w:val="TableNormal"/>
    <w:uiPriority w:val="39"/>
    <w:rsid w:val="00A91A6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umbers">
    <w:name w:val="Table numbers"/>
    <w:basedOn w:val="Normal"/>
    <w:link w:val="TablenumbersChar"/>
    <w:qFormat/>
    <w:rsid w:val="00A91A67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A91A67"/>
    <w:rPr>
      <w:rFonts w:ascii="Calibri" w:hAnsi="Calibri"/>
      <w:color w:val="000000"/>
      <w:sz w:val="20"/>
      <w:szCs w:val="20"/>
      <w:lang w:val="en-US"/>
    </w:rPr>
  </w:style>
  <w:style w:type="paragraph" w:customStyle="1" w:styleId="Tablenotes">
    <w:name w:val="Table notes"/>
    <w:basedOn w:val="Normal"/>
    <w:link w:val="TablenotesChar"/>
    <w:qFormat/>
    <w:rsid w:val="00A91A67"/>
    <w:pPr>
      <w:spacing w:before="20"/>
      <w:ind w:left="851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A91A67"/>
    <w:rPr>
      <w:rFonts w:ascii="Calibri" w:eastAsia="Calibri" w:hAnsi="Calibri" w:cs="Times New Roman"/>
      <w:spacing w:val="-2"/>
      <w:sz w:val="18"/>
      <w:szCs w:val="18"/>
    </w:rPr>
  </w:style>
  <w:style w:type="character" w:customStyle="1" w:styleId="TableHeaderChar">
    <w:name w:val="Table Header Char"/>
    <w:basedOn w:val="TableTextChar"/>
    <w:link w:val="TableHeader"/>
    <w:uiPriority w:val="15"/>
    <w:rsid w:val="00A91A67"/>
    <w:rPr>
      <w:rFonts w:ascii="Calibri" w:hAnsi="Calibri" w:cs="Calibr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91A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91A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A67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91A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A67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926169D-C8E7-4B15-8E84-68C62C71A03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Table-Trends-in-procurement-complexity-from-2017–18-to-2019–20</dc:title>
  <dc:subject/>
  <dc:creator>Athena Rozenberg (DTF)</dc:creator>
  <cp:keywords/>
  <dc:description/>
  <cp:lastModifiedBy>Vanessa Coles (DTF)</cp:lastModifiedBy>
  <cp:revision>2</cp:revision>
  <dcterms:created xsi:type="dcterms:W3CDTF">2021-10-21T04:07:00Z</dcterms:created>
  <dcterms:modified xsi:type="dcterms:W3CDTF">2021-10-21T04:07:00Z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2021-10-21T04:07:35Z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/>
  </property>
  <property fmtid="{D5CDD505-2E9C-101B-9397-08002B2CF9AE}" pid="8" name="MSIP_Label_7158ebbd-6c5e-441f-bfc9-4eb8c11e3978_ContentBits">
    <vt:lpwstr>2</vt:lpwstr>
  </property>
</Properties>
</file>