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BA581" w14:textId="28E03AA6" w:rsidR="00356D3B" w:rsidRPr="008A4523" w:rsidRDefault="00356D3B" w:rsidP="008A4523">
      <w:pPr>
        <w:pStyle w:val="Heading1"/>
        <w:ind w:firstLine="720"/>
        <w:rPr>
          <w:rFonts w:cstheme="majorHAnsi"/>
          <w:b/>
          <w:bCs/>
          <w:color w:val="000000" w:themeColor="text1"/>
          <w:sz w:val="28"/>
          <w:szCs w:val="28"/>
        </w:rPr>
      </w:pPr>
      <w:bookmarkStart w:id="0" w:name="_Ref489367054"/>
      <w:bookmarkStart w:id="1" w:name="_Toc503949277"/>
      <w:bookmarkStart w:id="2" w:name="_Toc12718001"/>
      <w:bookmarkStart w:id="3" w:name="_Toc17130223"/>
      <w:bookmarkStart w:id="4" w:name="_Toc48837168"/>
      <w:bookmarkStart w:id="5" w:name="_Toc49185558"/>
      <w:r w:rsidRPr="008A4523">
        <w:rPr>
          <w:rFonts w:cstheme="majorHAnsi"/>
          <w:b/>
          <w:bCs/>
          <w:color w:val="000000" w:themeColor="text1"/>
          <w:sz w:val="28"/>
          <w:szCs w:val="28"/>
        </w:rPr>
        <w:t>Table</w:t>
      </w:r>
      <w:bookmarkEnd w:id="0"/>
      <w:r w:rsidRPr="008A4523">
        <w:rPr>
          <w:rFonts w:cstheme="majorHAnsi"/>
          <w:b/>
          <w:bCs/>
          <w:color w:val="000000" w:themeColor="text1"/>
          <w:sz w:val="28"/>
          <w:szCs w:val="28"/>
        </w:rPr>
        <w:t xml:space="preserve"> Victoria Police performance in </w:t>
      </w:r>
      <w:bookmarkEnd w:id="1"/>
      <w:r w:rsidRPr="008A4523">
        <w:rPr>
          <w:rFonts w:cstheme="majorHAnsi"/>
          <w:b/>
          <w:bCs/>
          <w:color w:val="000000" w:themeColor="text1"/>
          <w:sz w:val="28"/>
          <w:szCs w:val="28"/>
        </w:rPr>
        <w:t>20</w:t>
      </w:r>
      <w:bookmarkEnd w:id="2"/>
      <w:bookmarkEnd w:id="3"/>
      <w:bookmarkEnd w:id="4"/>
      <w:bookmarkEnd w:id="5"/>
      <w:r w:rsidR="00625F19">
        <w:rPr>
          <w:rFonts w:cstheme="majorHAnsi"/>
          <w:b/>
          <w:bCs/>
          <w:color w:val="000000" w:themeColor="text1"/>
          <w:sz w:val="28"/>
          <w:szCs w:val="28"/>
        </w:rPr>
        <w:t>20-21</w:t>
      </w:r>
    </w:p>
    <w:p w14:paraId="52472AAB" w14:textId="6D5F9200" w:rsidR="0066182F" w:rsidRDefault="0066182F" w:rsidP="0066182F"/>
    <w:p w14:paraId="0670FF57" w14:textId="664B736C" w:rsidR="0066182F" w:rsidRPr="008A4523" w:rsidRDefault="0066182F" w:rsidP="008A4523">
      <w:pPr>
        <w:ind w:firstLine="720"/>
        <w:rPr>
          <w:rFonts w:ascii="Calibri" w:eastAsiaTheme="minorHAnsi" w:hAnsi="Calibri" w:cs="Calibri"/>
          <w:sz w:val="20"/>
          <w:szCs w:val="20"/>
          <w:lang w:val="en-US" w:eastAsia="en-US"/>
        </w:rPr>
      </w:pPr>
      <w:r w:rsidRPr="008A4523">
        <w:rPr>
          <w:rFonts w:ascii="Calibri" w:eastAsiaTheme="minorHAnsi" w:hAnsi="Calibri" w:cs="Calibri"/>
          <w:sz w:val="20"/>
          <w:szCs w:val="20"/>
          <w:lang w:val="en-US" w:eastAsia="en-US"/>
        </w:rPr>
        <w:t xml:space="preserve">Extract from Victorian Government Purchasing Board </w:t>
      </w:r>
      <w:r w:rsidR="00A52D65">
        <w:rPr>
          <w:rFonts w:ascii="Calibri" w:eastAsiaTheme="minorHAnsi" w:hAnsi="Calibri" w:cs="Calibri"/>
          <w:sz w:val="20"/>
          <w:szCs w:val="20"/>
          <w:lang w:val="en-US" w:eastAsia="en-US"/>
        </w:rPr>
        <w:t xml:space="preserve">Annual Report </w:t>
      </w:r>
      <w:r w:rsidRPr="008A4523">
        <w:rPr>
          <w:rFonts w:ascii="Calibri" w:eastAsiaTheme="minorHAnsi" w:hAnsi="Calibri" w:cs="Calibri"/>
          <w:sz w:val="20"/>
          <w:szCs w:val="20"/>
          <w:lang w:val="en-US" w:eastAsia="en-US"/>
        </w:rPr>
        <w:t>20</w:t>
      </w:r>
      <w:r w:rsidR="00625F19">
        <w:rPr>
          <w:rFonts w:ascii="Calibri" w:eastAsiaTheme="minorHAnsi" w:hAnsi="Calibri" w:cs="Calibri"/>
          <w:sz w:val="20"/>
          <w:szCs w:val="20"/>
          <w:lang w:val="en-US" w:eastAsia="en-US"/>
        </w:rPr>
        <w:t>20-21</w:t>
      </w:r>
    </w:p>
    <w:p w14:paraId="5E244EA2" w14:textId="77777777" w:rsidR="0066182F" w:rsidRPr="0066182F" w:rsidRDefault="0066182F" w:rsidP="0066182F"/>
    <w:tbl>
      <w:tblPr>
        <w:tblStyle w:val="TableGrid1"/>
        <w:tblW w:w="9365" w:type="dxa"/>
        <w:tblInd w:w="250" w:type="dxa"/>
        <w:tblLook w:val="04A0" w:firstRow="1" w:lastRow="0" w:firstColumn="1" w:lastColumn="0" w:noHBand="0" w:noVBand="1"/>
      </w:tblPr>
      <w:tblGrid>
        <w:gridCol w:w="3402"/>
        <w:gridCol w:w="2410"/>
        <w:gridCol w:w="1133"/>
        <w:gridCol w:w="6"/>
        <w:gridCol w:w="1128"/>
        <w:gridCol w:w="6"/>
        <w:gridCol w:w="1270"/>
        <w:gridCol w:w="10"/>
      </w:tblGrid>
      <w:tr w:rsidR="00625F19" w:rsidRPr="0029428D" w14:paraId="71C03F1C" w14:textId="77777777" w:rsidTr="00417F46">
        <w:trPr>
          <w:gridAfter w:val="1"/>
          <w:wAfter w:w="10" w:type="dxa"/>
        </w:trPr>
        <w:tc>
          <w:tcPr>
            <w:tcW w:w="5812" w:type="dxa"/>
            <w:gridSpan w:val="2"/>
            <w:vMerge w:val="restart"/>
          </w:tcPr>
          <w:p w14:paraId="1334E952" w14:textId="77777777" w:rsidR="00625F19" w:rsidRPr="0029428D" w:rsidRDefault="00625F19" w:rsidP="00417F46">
            <w:pPr>
              <w:pStyle w:val="TableHeader"/>
            </w:pPr>
            <w:r w:rsidRPr="0029428D">
              <w:t>Performance measure</w:t>
            </w:r>
          </w:p>
        </w:tc>
        <w:tc>
          <w:tcPr>
            <w:tcW w:w="1133" w:type="dxa"/>
          </w:tcPr>
          <w:p w14:paraId="6FE7A556" w14:textId="77777777" w:rsidR="00625F19" w:rsidRPr="0029428D" w:rsidRDefault="00625F19" w:rsidP="00417F46">
            <w:pPr>
              <w:pStyle w:val="TableHeader"/>
            </w:pPr>
            <w:r w:rsidRPr="0029428D">
              <w:t>2018–19</w:t>
            </w:r>
          </w:p>
        </w:tc>
        <w:tc>
          <w:tcPr>
            <w:tcW w:w="1134" w:type="dxa"/>
            <w:gridSpan w:val="2"/>
          </w:tcPr>
          <w:p w14:paraId="24BEB713" w14:textId="77777777" w:rsidR="00625F19" w:rsidRPr="0029428D" w:rsidRDefault="00625F19" w:rsidP="00417F46">
            <w:pPr>
              <w:pStyle w:val="TableHeader"/>
            </w:pPr>
            <w:r w:rsidRPr="0029428D">
              <w:t>2019–20</w:t>
            </w:r>
          </w:p>
        </w:tc>
        <w:tc>
          <w:tcPr>
            <w:tcW w:w="1276" w:type="dxa"/>
            <w:gridSpan w:val="2"/>
          </w:tcPr>
          <w:p w14:paraId="43821DDB" w14:textId="77777777" w:rsidR="00625F19" w:rsidRPr="0029428D" w:rsidRDefault="00625F19" w:rsidP="00417F46">
            <w:pPr>
              <w:pStyle w:val="TableHeader"/>
            </w:pPr>
            <w:r w:rsidRPr="0029428D">
              <w:t>2020–21</w:t>
            </w:r>
          </w:p>
        </w:tc>
      </w:tr>
      <w:tr w:rsidR="00625F19" w:rsidRPr="0029428D" w14:paraId="07939E8A" w14:textId="77777777" w:rsidTr="00417F46">
        <w:trPr>
          <w:gridAfter w:val="1"/>
          <w:wAfter w:w="10" w:type="dxa"/>
        </w:trPr>
        <w:tc>
          <w:tcPr>
            <w:tcW w:w="5812" w:type="dxa"/>
            <w:gridSpan w:val="2"/>
            <w:vMerge/>
          </w:tcPr>
          <w:p w14:paraId="77420C3B" w14:textId="77777777" w:rsidR="00625F19" w:rsidRPr="0029428D" w:rsidRDefault="00625F19" w:rsidP="00417F46">
            <w:pPr>
              <w:pStyle w:val="TableHeader"/>
            </w:pPr>
          </w:p>
        </w:tc>
        <w:tc>
          <w:tcPr>
            <w:tcW w:w="3543" w:type="dxa"/>
            <w:gridSpan w:val="5"/>
          </w:tcPr>
          <w:p w14:paraId="3BDC2566" w14:textId="77777777" w:rsidR="00625F19" w:rsidRPr="0029428D" w:rsidRDefault="00625F19" w:rsidP="00417F46">
            <w:pPr>
              <w:pStyle w:val="TableHeader"/>
            </w:pPr>
            <w:r w:rsidRPr="0029428D">
              <w:t>(%)</w:t>
            </w:r>
          </w:p>
        </w:tc>
      </w:tr>
      <w:tr w:rsidR="00625F19" w:rsidRPr="0029428D" w14:paraId="14F728BA" w14:textId="77777777" w:rsidTr="00417F46">
        <w:trPr>
          <w:gridAfter w:val="1"/>
          <w:wAfter w:w="10" w:type="dxa"/>
        </w:trPr>
        <w:tc>
          <w:tcPr>
            <w:tcW w:w="5812" w:type="dxa"/>
            <w:gridSpan w:val="2"/>
          </w:tcPr>
          <w:p w14:paraId="4535B780" w14:textId="77777777" w:rsidR="00625F19" w:rsidRPr="0029428D" w:rsidRDefault="00625F19" w:rsidP="00417F46">
            <w:pPr>
              <w:pStyle w:val="TableText"/>
              <w:rPr>
                <w:rStyle w:val="Strong"/>
              </w:rPr>
            </w:pPr>
            <w:r w:rsidRPr="0029428D">
              <w:rPr>
                <w:rStyle w:val="Strong"/>
              </w:rPr>
              <w:t>Value created from department procurement activity</w:t>
            </w:r>
          </w:p>
        </w:tc>
        <w:tc>
          <w:tcPr>
            <w:tcW w:w="1133" w:type="dxa"/>
          </w:tcPr>
          <w:p w14:paraId="38CD7926" w14:textId="77777777" w:rsidR="00625F19" w:rsidRPr="0029428D" w:rsidRDefault="00625F19" w:rsidP="00417F46">
            <w:pPr>
              <w:pStyle w:val="TableText"/>
              <w:rPr>
                <w:rStyle w:val="Strong"/>
              </w:rPr>
            </w:pPr>
            <w:r w:rsidRPr="0029428D">
              <w:rPr>
                <w:rStyle w:val="Strong"/>
              </w:rPr>
              <w:t>5.0</w:t>
            </w:r>
          </w:p>
        </w:tc>
        <w:tc>
          <w:tcPr>
            <w:tcW w:w="1134" w:type="dxa"/>
            <w:gridSpan w:val="2"/>
          </w:tcPr>
          <w:p w14:paraId="3DAD83DE" w14:textId="77777777" w:rsidR="00625F19" w:rsidRPr="0029428D" w:rsidRDefault="00625F19" w:rsidP="00417F46">
            <w:pPr>
              <w:pStyle w:val="TableText"/>
              <w:rPr>
                <w:rStyle w:val="Strong"/>
              </w:rPr>
            </w:pPr>
            <w:r w:rsidRPr="0029428D">
              <w:rPr>
                <w:rStyle w:val="Strong"/>
              </w:rPr>
              <w:t>3.8*</w:t>
            </w:r>
          </w:p>
        </w:tc>
        <w:tc>
          <w:tcPr>
            <w:tcW w:w="1276" w:type="dxa"/>
            <w:gridSpan w:val="2"/>
          </w:tcPr>
          <w:p w14:paraId="44A8A60D" w14:textId="77777777" w:rsidR="00625F19" w:rsidRPr="0029428D" w:rsidRDefault="00625F19" w:rsidP="00417F46">
            <w:pPr>
              <w:pStyle w:val="TableText"/>
              <w:rPr>
                <w:rStyle w:val="Strong"/>
              </w:rPr>
            </w:pPr>
            <w:r w:rsidRPr="0029428D">
              <w:rPr>
                <w:rStyle w:val="Strong"/>
              </w:rPr>
              <w:t>4.9</w:t>
            </w:r>
          </w:p>
        </w:tc>
      </w:tr>
      <w:tr w:rsidR="00625F19" w:rsidRPr="0029428D" w14:paraId="45E0E546" w14:textId="77777777" w:rsidTr="00417F46">
        <w:trPr>
          <w:trHeight w:val="812"/>
        </w:trPr>
        <w:tc>
          <w:tcPr>
            <w:tcW w:w="9365" w:type="dxa"/>
            <w:gridSpan w:val="8"/>
          </w:tcPr>
          <w:p w14:paraId="68E21F8A" w14:textId="77777777" w:rsidR="00625F19" w:rsidRPr="0029428D" w:rsidRDefault="00625F19" w:rsidP="00417F46">
            <w:pPr>
              <w:pStyle w:val="TableText"/>
            </w:pPr>
            <w:r w:rsidRPr="0029428D">
              <w:t>As part of the One Procurement Strategy to deliver the right outcome and achieve better value for money, Victoria Police established a targeted program where procurement practitioners and contract managers were asked to work collaboratively with existing suppliers to reduce costs. Significant cost savings and cost avoidances have included rate reductions and added value through additional goods and/or services. This program will continue in the next years.</w:t>
            </w:r>
          </w:p>
        </w:tc>
      </w:tr>
      <w:tr w:rsidR="00625F19" w:rsidRPr="0029428D" w14:paraId="15FA75B0" w14:textId="77777777" w:rsidTr="00417F46">
        <w:trPr>
          <w:gridAfter w:val="1"/>
          <w:wAfter w:w="10" w:type="dxa"/>
        </w:trPr>
        <w:tc>
          <w:tcPr>
            <w:tcW w:w="5812" w:type="dxa"/>
            <w:gridSpan w:val="2"/>
          </w:tcPr>
          <w:p w14:paraId="5FC876BC" w14:textId="77777777" w:rsidR="00625F19" w:rsidRPr="0029428D" w:rsidRDefault="00625F19" w:rsidP="00417F46">
            <w:pPr>
              <w:pStyle w:val="TableText"/>
              <w:rPr>
                <w:rStyle w:val="Strong"/>
              </w:rPr>
            </w:pPr>
            <w:r w:rsidRPr="0029428D">
              <w:rPr>
                <w:rStyle w:val="Strong"/>
              </w:rPr>
              <w:t xml:space="preserve">Managed spend </w:t>
            </w:r>
          </w:p>
        </w:tc>
        <w:tc>
          <w:tcPr>
            <w:tcW w:w="1133" w:type="dxa"/>
            <w:shd w:val="clear" w:color="auto" w:fill="FFFFFF" w:themeFill="background1"/>
          </w:tcPr>
          <w:p w14:paraId="287FEF01" w14:textId="77777777" w:rsidR="00625F19" w:rsidRPr="0029428D" w:rsidRDefault="00625F19" w:rsidP="00417F46">
            <w:pPr>
              <w:pStyle w:val="TableText"/>
              <w:rPr>
                <w:rStyle w:val="Strong"/>
              </w:rPr>
            </w:pPr>
            <w:r w:rsidRPr="0029428D">
              <w:rPr>
                <w:rStyle w:val="Strong"/>
              </w:rPr>
              <w:t>n/a</w:t>
            </w:r>
          </w:p>
        </w:tc>
        <w:tc>
          <w:tcPr>
            <w:tcW w:w="1134" w:type="dxa"/>
            <w:gridSpan w:val="2"/>
            <w:shd w:val="clear" w:color="auto" w:fill="FFFFFF" w:themeFill="background1"/>
          </w:tcPr>
          <w:p w14:paraId="4F00B1A2" w14:textId="77777777" w:rsidR="00625F19" w:rsidRPr="0029428D" w:rsidRDefault="00625F19" w:rsidP="00417F46">
            <w:pPr>
              <w:pStyle w:val="TableText"/>
              <w:rPr>
                <w:rStyle w:val="Strong"/>
              </w:rPr>
            </w:pPr>
            <w:r w:rsidRPr="0029428D">
              <w:rPr>
                <w:rStyle w:val="Strong"/>
              </w:rPr>
              <w:t>86.1</w:t>
            </w:r>
          </w:p>
        </w:tc>
        <w:tc>
          <w:tcPr>
            <w:tcW w:w="1276" w:type="dxa"/>
            <w:gridSpan w:val="2"/>
          </w:tcPr>
          <w:p w14:paraId="68AB7D80" w14:textId="77777777" w:rsidR="00625F19" w:rsidRPr="0029428D" w:rsidRDefault="00625F19" w:rsidP="00417F46">
            <w:pPr>
              <w:pStyle w:val="TableText"/>
              <w:rPr>
                <w:rStyle w:val="Strong"/>
              </w:rPr>
            </w:pPr>
            <w:r w:rsidRPr="0029428D">
              <w:rPr>
                <w:rStyle w:val="Strong"/>
              </w:rPr>
              <w:t>82.5</w:t>
            </w:r>
          </w:p>
        </w:tc>
      </w:tr>
      <w:tr w:rsidR="00625F19" w:rsidRPr="0029428D" w14:paraId="3C01C2D7" w14:textId="77777777" w:rsidTr="00417F46">
        <w:tc>
          <w:tcPr>
            <w:tcW w:w="9365" w:type="dxa"/>
            <w:gridSpan w:val="8"/>
          </w:tcPr>
          <w:p w14:paraId="4481A0C7" w14:textId="77777777" w:rsidR="00625F19" w:rsidRPr="0029428D" w:rsidRDefault="00625F19" w:rsidP="00417F46">
            <w:pPr>
              <w:pStyle w:val="TableText"/>
            </w:pPr>
            <w:r w:rsidRPr="0029428D">
              <w:t>This year's result reported a managed spend increase of almost $11 million. However, the value of procurement activities decreased by $25 million.</w:t>
            </w:r>
          </w:p>
        </w:tc>
      </w:tr>
      <w:tr w:rsidR="00625F19" w:rsidRPr="0029428D" w14:paraId="0C828016" w14:textId="77777777" w:rsidTr="00417F46">
        <w:trPr>
          <w:gridAfter w:val="1"/>
          <w:wAfter w:w="10" w:type="dxa"/>
        </w:trPr>
        <w:tc>
          <w:tcPr>
            <w:tcW w:w="5812" w:type="dxa"/>
            <w:gridSpan w:val="2"/>
          </w:tcPr>
          <w:p w14:paraId="2A9C9610" w14:textId="77777777" w:rsidR="00625F19" w:rsidRPr="0029428D" w:rsidRDefault="00625F19" w:rsidP="00417F46">
            <w:pPr>
              <w:pStyle w:val="TableText"/>
              <w:rPr>
                <w:rStyle w:val="Strong"/>
              </w:rPr>
            </w:pPr>
            <w:r w:rsidRPr="0029428D">
              <w:rPr>
                <w:rStyle w:val="Strong"/>
              </w:rPr>
              <w:t>Increase in procurement capability</w:t>
            </w:r>
          </w:p>
        </w:tc>
        <w:tc>
          <w:tcPr>
            <w:tcW w:w="1133" w:type="dxa"/>
          </w:tcPr>
          <w:p w14:paraId="5435A320" w14:textId="77777777" w:rsidR="00625F19" w:rsidRPr="0029428D" w:rsidRDefault="00625F19" w:rsidP="00417F46">
            <w:pPr>
              <w:pStyle w:val="TableText"/>
              <w:rPr>
                <w:rStyle w:val="Strong"/>
              </w:rPr>
            </w:pPr>
            <w:r w:rsidRPr="0029428D">
              <w:rPr>
                <w:rStyle w:val="Strong"/>
              </w:rPr>
              <w:t>3.6</w:t>
            </w:r>
          </w:p>
        </w:tc>
        <w:tc>
          <w:tcPr>
            <w:tcW w:w="1134" w:type="dxa"/>
            <w:gridSpan w:val="2"/>
          </w:tcPr>
          <w:p w14:paraId="28BFEF1F" w14:textId="77777777" w:rsidR="00625F19" w:rsidRPr="0029428D" w:rsidRDefault="00625F19" w:rsidP="00417F46">
            <w:pPr>
              <w:pStyle w:val="TableText"/>
              <w:rPr>
                <w:rStyle w:val="Strong"/>
              </w:rPr>
            </w:pPr>
            <w:r w:rsidRPr="0029428D">
              <w:rPr>
                <w:rStyle w:val="Strong"/>
              </w:rPr>
              <w:t>−10.4</w:t>
            </w:r>
          </w:p>
        </w:tc>
        <w:tc>
          <w:tcPr>
            <w:tcW w:w="1276" w:type="dxa"/>
            <w:gridSpan w:val="2"/>
          </w:tcPr>
          <w:p w14:paraId="664552B3" w14:textId="77777777" w:rsidR="00625F19" w:rsidRPr="0029428D" w:rsidRDefault="00625F19" w:rsidP="00417F46">
            <w:pPr>
              <w:pStyle w:val="TableText"/>
              <w:rPr>
                <w:rStyle w:val="Strong"/>
              </w:rPr>
            </w:pPr>
            <w:r w:rsidRPr="0029428D">
              <w:rPr>
                <w:rStyle w:val="Strong"/>
              </w:rPr>
              <w:t>−4.9</w:t>
            </w:r>
          </w:p>
        </w:tc>
      </w:tr>
      <w:tr w:rsidR="00625F19" w:rsidRPr="0029428D" w14:paraId="7B7CA7BA" w14:textId="77777777" w:rsidTr="00417F46">
        <w:tc>
          <w:tcPr>
            <w:tcW w:w="9365" w:type="dxa"/>
            <w:gridSpan w:val="8"/>
          </w:tcPr>
          <w:p w14:paraId="0578846B" w14:textId="77777777" w:rsidR="00625F19" w:rsidRPr="0029428D" w:rsidRDefault="00625F19" w:rsidP="00417F46">
            <w:pPr>
              <w:pStyle w:val="TableText"/>
            </w:pPr>
            <w:r w:rsidRPr="0029428D">
              <w:t xml:space="preserve">Victoria Police’s self-assessment of capability has decreased slightly, due to re-establishing the baseline for capability through the One Procurement Strategy and developing the 24 initiatives, giving clearer guidance and highlighting areas of improvement. Victoria Police is in the process of delivering contract management training to procurement practitioners and contract managers across the organisation. </w:t>
            </w:r>
          </w:p>
        </w:tc>
      </w:tr>
      <w:tr w:rsidR="00625F19" w:rsidRPr="0029428D" w14:paraId="542066BF" w14:textId="77777777" w:rsidTr="00417F46">
        <w:trPr>
          <w:gridAfter w:val="1"/>
          <w:wAfter w:w="10" w:type="dxa"/>
        </w:trPr>
        <w:tc>
          <w:tcPr>
            <w:tcW w:w="3402" w:type="dxa"/>
            <w:vMerge w:val="restart"/>
          </w:tcPr>
          <w:p w14:paraId="783B86E0" w14:textId="77777777" w:rsidR="00625F19" w:rsidRPr="0029428D" w:rsidRDefault="00625F19" w:rsidP="00417F46">
            <w:pPr>
              <w:pStyle w:val="TableText"/>
              <w:rPr>
                <w:rStyle w:val="Strong"/>
              </w:rPr>
            </w:pPr>
            <w:r w:rsidRPr="0029428D">
              <w:rPr>
                <w:rStyle w:val="Strong"/>
              </w:rPr>
              <w:t>Supplier satisfaction assessment</w:t>
            </w:r>
          </w:p>
        </w:tc>
        <w:tc>
          <w:tcPr>
            <w:tcW w:w="2410" w:type="dxa"/>
          </w:tcPr>
          <w:p w14:paraId="1EB22667" w14:textId="77777777" w:rsidR="00625F19" w:rsidRPr="0029428D" w:rsidRDefault="00625F19" w:rsidP="00417F46">
            <w:pPr>
              <w:pStyle w:val="TableText"/>
              <w:rPr>
                <w:rStyle w:val="Strong"/>
              </w:rPr>
            </w:pPr>
            <w:r w:rsidRPr="0029428D">
              <w:rPr>
                <w:rStyle w:val="Strong"/>
              </w:rPr>
              <w:t>Successful satisfied</w:t>
            </w:r>
          </w:p>
        </w:tc>
        <w:tc>
          <w:tcPr>
            <w:tcW w:w="1139" w:type="dxa"/>
            <w:gridSpan w:val="2"/>
          </w:tcPr>
          <w:p w14:paraId="33780DF8" w14:textId="77777777" w:rsidR="00625F19" w:rsidRPr="0029428D" w:rsidRDefault="00625F19" w:rsidP="00417F46">
            <w:pPr>
              <w:pStyle w:val="TableText"/>
              <w:rPr>
                <w:rStyle w:val="Strong"/>
              </w:rPr>
            </w:pPr>
            <w:r w:rsidRPr="0029428D">
              <w:rPr>
                <w:rStyle w:val="Strong"/>
              </w:rPr>
              <w:t>86</w:t>
            </w:r>
          </w:p>
        </w:tc>
        <w:tc>
          <w:tcPr>
            <w:tcW w:w="1134" w:type="dxa"/>
            <w:gridSpan w:val="2"/>
          </w:tcPr>
          <w:p w14:paraId="1FBCA0B0" w14:textId="77777777" w:rsidR="00625F19" w:rsidRPr="0029428D" w:rsidRDefault="00625F19" w:rsidP="00417F46">
            <w:pPr>
              <w:pStyle w:val="TableText"/>
              <w:rPr>
                <w:rStyle w:val="Strong"/>
              </w:rPr>
            </w:pPr>
            <w:r w:rsidRPr="0029428D">
              <w:rPr>
                <w:rStyle w:val="Strong"/>
              </w:rPr>
              <w:t>93</w:t>
            </w:r>
          </w:p>
        </w:tc>
        <w:tc>
          <w:tcPr>
            <w:tcW w:w="1270" w:type="dxa"/>
          </w:tcPr>
          <w:p w14:paraId="226D3F41" w14:textId="77777777" w:rsidR="00625F19" w:rsidRPr="0029428D" w:rsidRDefault="00625F19" w:rsidP="00417F46">
            <w:pPr>
              <w:pStyle w:val="TableText"/>
              <w:rPr>
                <w:rStyle w:val="Strong"/>
              </w:rPr>
            </w:pPr>
            <w:r w:rsidRPr="0029428D">
              <w:rPr>
                <w:rStyle w:val="Strong"/>
              </w:rPr>
              <w:t>80</w:t>
            </w:r>
          </w:p>
        </w:tc>
      </w:tr>
      <w:tr w:rsidR="00625F19" w:rsidRPr="0029428D" w14:paraId="6908756E" w14:textId="77777777" w:rsidTr="00417F46">
        <w:trPr>
          <w:gridAfter w:val="1"/>
          <w:wAfter w:w="10" w:type="dxa"/>
        </w:trPr>
        <w:tc>
          <w:tcPr>
            <w:tcW w:w="3402" w:type="dxa"/>
            <w:vMerge/>
          </w:tcPr>
          <w:p w14:paraId="7A1287D2" w14:textId="77777777" w:rsidR="00625F19" w:rsidRPr="0029428D" w:rsidRDefault="00625F19" w:rsidP="00417F46">
            <w:pPr>
              <w:pStyle w:val="TableText"/>
              <w:rPr>
                <w:rStyle w:val="Strong"/>
              </w:rPr>
            </w:pPr>
          </w:p>
        </w:tc>
        <w:tc>
          <w:tcPr>
            <w:tcW w:w="2410" w:type="dxa"/>
          </w:tcPr>
          <w:p w14:paraId="33F18CB5" w14:textId="77777777" w:rsidR="00625F19" w:rsidRPr="0029428D" w:rsidRDefault="00625F19" w:rsidP="00417F46">
            <w:pPr>
              <w:pStyle w:val="TableText"/>
              <w:rPr>
                <w:rStyle w:val="Strong"/>
              </w:rPr>
            </w:pPr>
            <w:r w:rsidRPr="0029428D">
              <w:rPr>
                <w:rStyle w:val="Strong"/>
              </w:rPr>
              <w:t>Unsuccessful satisfied</w:t>
            </w:r>
          </w:p>
        </w:tc>
        <w:tc>
          <w:tcPr>
            <w:tcW w:w="1139" w:type="dxa"/>
            <w:gridSpan w:val="2"/>
          </w:tcPr>
          <w:p w14:paraId="54AFDAB0" w14:textId="77777777" w:rsidR="00625F19" w:rsidRPr="0029428D" w:rsidRDefault="00625F19" w:rsidP="00417F46">
            <w:pPr>
              <w:pStyle w:val="TableText"/>
              <w:rPr>
                <w:rStyle w:val="Strong"/>
              </w:rPr>
            </w:pPr>
            <w:r w:rsidRPr="0029428D">
              <w:rPr>
                <w:rStyle w:val="Strong"/>
              </w:rPr>
              <w:t>20</w:t>
            </w:r>
          </w:p>
        </w:tc>
        <w:tc>
          <w:tcPr>
            <w:tcW w:w="1134" w:type="dxa"/>
            <w:gridSpan w:val="2"/>
          </w:tcPr>
          <w:p w14:paraId="79657118" w14:textId="77777777" w:rsidR="00625F19" w:rsidRPr="0029428D" w:rsidRDefault="00625F19" w:rsidP="00417F46">
            <w:pPr>
              <w:pStyle w:val="TableText"/>
              <w:rPr>
                <w:rStyle w:val="Strong"/>
              </w:rPr>
            </w:pPr>
            <w:r w:rsidRPr="0029428D">
              <w:rPr>
                <w:rStyle w:val="Strong"/>
              </w:rPr>
              <w:t>33</w:t>
            </w:r>
          </w:p>
        </w:tc>
        <w:tc>
          <w:tcPr>
            <w:tcW w:w="1270" w:type="dxa"/>
          </w:tcPr>
          <w:p w14:paraId="43B099C8" w14:textId="77777777" w:rsidR="00625F19" w:rsidRPr="0029428D" w:rsidRDefault="00625F19" w:rsidP="00417F46">
            <w:pPr>
              <w:pStyle w:val="TableText"/>
              <w:rPr>
                <w:rStyle w:val="Strong"/>
              </w:rPr>
            </w:pPr>
            <w:r>
              <w:rPr>
                <w:rStyle w:val="Strong"/>
              </w:rPr>
              <w:t>0</w:t>
            </w:r>
          </w:p>
        </w:tc>
      </w:tr>
      <w:tr w:rsidR="00625F19" w:rsidRPr="0029428D" w14:paraId="1B51BECC" w14:textId="77777777" w:rsidTr="00417F46">
        <w:tc>
          <w:tcPr>
            <w:tcW w:w="9365" w:type="dxa"/>
            <w:gridSpan w:val="8"/>
          </w:tcPr>
          <w:p w14:paraId="048DECC2" w14:textId="77777777" w:rsidR="00625F19" w:rsidRPr="0029428D" w:rsidRDefault="00625F19" w:rsidP="00417F46">
            <w:pPr>
              <w:pStyle w:val="TableText"/>
            </w:pPr>
            <w:r w:rsidRPr="0029428D">
              <w:t xml:space="preserve">Victoria Police is transitioning to an eProcurement System. The pilot indicates that this will provide a better platform for both procurement practitioners and suppliers and address some of the areas noted for improvement in the supplier survey, such as clearer and more timely communication, and an accelerated evaluation and approval process. </w:t>
            </w:r>
          </w:p>
          <w:p w14:paraId="53C08240" w14:textId="77777777" w:rsidR="00625F19" w:rsidRPr="0029428D" w:rsidRDefault="00625F19" w:rsidP="00417F46">
            <w:pPr>
              <w:pStyle w:val="TableText"/>
            </w:pPr>
            <w:r w:rsidRPr="0029428D">
              <w:t>The invitation to supply documents, their clarity, content and the submission process was rated higher than the previous year. Contract management was also rated highly.</w:t>
            </w:r>
          </w:p>
        </w:tc>
      </w:tr>
      <w:tr w:rsidR="00625F19" w:rsidRPr="0029428D" w14:paraId="234FD990" w14:textId="77777777" w:rsidTr="00417F46">
        <w:trPr>
          <w:gridAfter w:val="1"/>
          <w:wAfter w:w="10" w:type="dxa"/>
        </w:trPr>
        <w:tc>
          <w:tcPr>
            <w:tcW w:w="5812" w:type="dxa"/>
            <w:gridSpan w:val="2"/>
          </w:tcPr>
          <w:p w14:paraId="2A116104" w14:textId="77777777" w:rsidR="00625F19" w:rsidRPr="0029428D" w:rsidRDefault="00625F19" w:rsidP="00417F46">
            <w:pPr>
              <w:pStyle w:val="TableText"/>
              <w:rPr>
                <w:rStyle w:val="Strong"/>
              </w:rPr>
            </w:pPr>
            <w:r w:rsidRPr="0029428D">
              <w:rPr>
                <w:rStyle w:val="Strong"/>
              </w:rPr>
              <w:t>Planned procurement activity as a % of actual procurement activity</w:t>
            </w:r>
          </w:p>
        </w:tc>
        <w:tc>
          <w:tcPr>
            <w:tcW w:w="1133" w:type="dxa"/>
          </w:tcPr>
          <w:p w14:paraId="77C3A62C" w14:textId="77777777" w:rsidR="00625F19" w:rsidRPr="0029428D" w:rsidRDefault="00625F19" w:rsidP="00417F46">
            <w:pPr>
              <w:pStyle w:val="TableText"/>
              <w:rPr>
                <w:rStyle w:val="Strong"/>
              </w:rPr>
            </w:pPr>
            <w:r w:rsidRPr="0029428D">
              <w:rPr>
                <w:rStyle w:val="Strong"/>
              </w:rPr>
              <w:t>65.8</w:t>
            </w:r>
          </w:p>
        </w:tc>
        <w:tc>
          <w:tcPr>
            <w:tcW w:w="1134" w:type="dxa"/>
            <w:gridSpan w:val="2"/>
          </w:tcPr>
          <w:p w14:paraId="27CAF061" w14:textId="77777777" w:rsidR="00625F19" w:rsidRPr="0029428D" w:rsidRDefault="00625F19" w:rsidP="00417F46">
            <w:pPr>
              <w:pStyle w:val="TableText"/>
              <w:rPr>
                <w:rStyle w:val="Strong"/>
              </w:rPr>
            </w:pPr>
            <w:r w:rsidRPr="0029428D">
              <w:rPr>
                <w:rStyle w:val="Strong"/>
              </w:rPr>
              <w:t>82.6</w:t>
            </w:r>
          </w:p>
        </w:tc>
        <w:tc>
          <w:tcPr>
            <w:tcW w:w="1276" w:type="dxa"/>
            <w:gridSpan w:val="2"/>
          </w:tcPr>
          <w:p w14:paraId="2F747F99" w14:textId="77777777" w:rsidR="00625F19" w:rsidRPr="0029428D" w:rsidRDefault="00625F19" w:rsidP="00417F46">
            <w:pPr>
              <w:pStyle w:val="TableText"/>
              <w:rPr>
                <w:rStyle w:val="Strong"/>
              </w:rPr>
            </w:pPr>
            <w:r w:rsidRPr="0029428D">
              <w:rPr>
                <w:rStyle w:val="Strong"/>
              </w:rPr>
              <w:t>73.2</w:t>
            </w:r>
          </w:p>
        </w:tc>
      </w:tr>
      <w:tr w:rsidR="00625F19" w:rsidRPr="0029428D" w14:paraId="26564646" w14:textId="77777777" w:rsidTr="00417F46">
        <w:tc>
          <w:tcPr>
            <w:tcW w:w="9365" w:type="dxa"/>
            <w:gridSpan w:val="8"/>
          </w:tcPr>
          <w:p w14:paraId="495A4001" w14:textId="77777777" w:rsidR="00625F19" w:rsidRPr="0029428D" w:rsidRDefault="00625F19" w:rsidP="00417F46">
            <w:pPr>
              <w:pStyle w:val="TableText"/>
            </w:pPr>
            <w:r w:rsidRPr="0029428D">
              <w:t xml:space="preserve">The organisation saw a decrease in planned procurement activities due to COVID-19, with more purchases made under the critical incident policy and planned activities from the annual procurement plan deferred. </w:t>
            </w:r>
          </w:p>
        </w:tc>
      </w:tr>
    </w:tbl>
    <w:p w14:paraId="490F6C3E" w14:textId="77777777" w:rsidR="00625F19" w:rsidRPr="0029428D" w:rsidRDefault="00625F19" w:rsidP="00625F19">
      <w:pPr>
        <w:pStyle w:val="Tablenotes"/>
        <w:ind w:left="0"/>
      </w:pPr>
      <w:r w:rsidRPr="0029428D">
        <w:t xml:space="preserve">* Incorrectly reported as 4.3 in last year’s report. </w:t>
      </w:r>
    </w:p>
    <w:p w14:paraId="6FB85C77" w14:textId="77777777" w:rsidR="00625F19" w:rsidRPr="0029428D" w:rsidRDefault="00625F19" w:rsidP="00625F19">
      <w:pPr>
        <w:pStyle w:val="Tablenotes"/>
        <w:ind w:left="0"/>
      </w:pPr>
      <w:r w:rsidRPr="0029428D">
        <w:t xml:space="preserve">Refer to </w:t>
      </w:r>
      <w:r w:rsidRPr="0029428D">
        <w:rPr>
          <w:i/>
          <w:iCs/>
        </w:rPr>
        <w:fldChar w:fldCharType="begin"/>
      </w:r>
      <w:r w:rsidRPr="0029428D">
        <w:rPr>
          <w:i/>
          <w:iCs/>
        </w:rPr>
        <w:instrText xml:space="preserve"> REF _Ref80607952 \h  \* MERGEFORMAT </w:instrText>
      </w:r>
      <w:r w:rsidRPr="0029428D">
        <w:rPr>
          <w:i/>
          <w:iCs/>
        </w:rPr>
      </w:r>
      <w:r w:rsidRPr="0029428D">
        <w:rPr>
          <w:i/>
          <w:iCs/>
        </w:rPr>
        <w:fldChar w:fldCharType="separate"/>
      </w:r>
      <w:r w:rsidRPr="0029428D">
        <w:rPr>
          <w:i/>
          <w:iCs/>
        </w:rPr>
        <w:t xml:space="preserve">Table </w:t>
      </w:r>
      <w:r w:rsidRPr="0029428D">
        <w:rPr>
          <w:i/>
          <w:iCs/>
          <w:noProof/>
        </w:rPr>
        <w:t>11</w:t>
      </w:r>
      <w:r w:rsidRPr="0029428D">
        <w:rPr>
          <w:i/>
          <w:iCs/>
        </w:rPr>
        <w:t>: Performance measure methodology</w:t>
      </w:r>
      <w:r w:rsidRPr="0029428D">
        <w:rPr>
          <w:i/>
          <w:iCs/>
        </w:rPr>
        <w:fldChar w:fldCharType="end"/>
      </w:r>
      <w:r w:rsidRPr="0029428D">
        <w:t xml:space="preserve"> in the compliance section for a definition of performance measures.   </w:t>
      </w:r>
    </w:p>
    <w:p w14:paraId="42E0A44D" w14:textId="77777777" w:rsidR="000C1A89" w:rsidRDefault="00625F19"/>
    <w:sectPr w:rsidR="000C1A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11321" w14:textId="77777777" w:rsidR="00356D3B" w:rsidRDefault="00356D3B" w:rsidP="00356D3B">
      <w:r>
        <w:separator/>
      </w:r>
    </w:p>
  </w:endnote>
  <w:endnote w:type="continuationSeparator" w:id="0">
    <w:p w14:paraId="5846F7BB" w14:textId="77777777" w:rsidR="00356D3B" w:rsidRDefault="00356D3B" w:rsidP="0035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E6FA" w14:textId="6E75608A" w:rsidR="00356D3B" w:rsidRDefault="00356D3B">
    <w:pPr>
      <w:pStyle w:val="Footer"/>
    </w:pPr>
    <w:r>
      <w:rPr>
        <w:noProof/>
      </w:rPr>
      <mc:AlternateContent>
        <mc:Choice Requires="wps">
          <w:drawing>
            <wp:anchor distT="0" distB="0" distL="114300" distR="114300" simplePos="0" relativeHeight="251659264" behindDoc="0" locked="0" layoutInCell="0" allowOverlap="1" wp14:anchorId="28057ADB" wp14:editId="6EFDA9ED">
              <wp:simplePos x="0" y="0"/>
              <wp:positionH relativeFrom="page">
                <wp:posOffset>0</wp:posOffset>
              </wp:positionH>
              <wp:positionV relativeFrom="page">
                <wp:posOffset>10234930</wp:posOffset>
              </wp:positionV>
              <wp:extent cx="7560310" cy="266700"/>
              <wp:effectExtent l="0" t="0" r="0" b="0"/>
              <wp:wrapNone/>
              <wp:docPr id="1" name="MSIPCM4a084816ad8b1a118922d09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D970EA" w14:textId="73EB0ED5" w:rsidR="00356D3B" w:rsidRPr="00356D3B" w:rsidRDefault="00356D3B" w:rsidP="00356D3B">
                          <w:pPr>
                            <w:rPr>
                              <w:rFonts w:ascii="Calibri" w:hAnsi="Calibri" w:cs="Calibri"/>
                              <w:color w:val="000000"/>
                              <w:sz w:val="22"/>
                            </w:rPr>
                          </w:pPr>
                          <w:r w:rsidRPr="00356D3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057ADB" id="_x0000_t202" coordsize="21600,21600" o:spt="202" path="m,l,21600r21600,l21600,xe">
              <v:stroke joinstyle="miter"/>
              <v:path gradientshapeok="t" o:connecttype="rect"/>
            </v:shapetype>
            <v:shape id="MSIPCM4a084816ad8b1a118922d096"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AZo2n2sgIAAEgFAAAO&#10;AAAAAAAAAAAAAAAAAC4CAABkcnMvZTJvRG9jLnhtbFBLAQItABQABgAIAAAAIQBgEcYm3gAAAAsB&#10;AAAPAAAAAAAAAAAAAAAAAAwFAABkcnMvZG93bnJldi54bWxQSwUGAAAAAAQABADzAAAAFwYAAAAA&#10;" o:allowincell="f" filled="f" stroked="f" strokeweight=".5pt">
              <v:textbox inset="20pt,0,,0">
                <w:txbxContent>
                  <w:p w14:paraId="56D970EA" w14:textId="73EB0ED5" w:rsidR="00356D3B" w:rsidRPr="00356D3B" w:rsidRDefault="00356D3B" w:rsidP="00356D3B">
                    <w:pPr>
                      <w:rPr>
                        <w:rFonts w:ascii="Calibri" w:hAnsi="Calibri" w:cs="Calibri"/>
                        <w:color w:val="000000"/>
                        <w:sz w:val="22"/>
                      </w:rPr>
                    </w:pPr>
                    <w:r w:rsidRPr="00356D3B">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CC95F" w14:textId="77777777" w:rsidR="00356D3B" w:rsidRDefault="00356D3B" w:rsidP="00356D3B">
      <w:r>
        <w:separator/>
      </w:r>
    </w:p>
  </w:footnote>
  <w:footnote w:type="continuationSeparator" w:id="0">
    <w:p w14:paraId="7C891B65" w14:textId="77777777" w:rsidR="00356D3B" w:rsidRDefault="00356D3B" w:rsidP="00356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3B"/>
    <w:rsid w:val="00356D3B"/>
    <w:rsid w:val="00625F19"/>
    <w:rsid w:val="0066182F"/>
    <w:rsid w:val="008A4523"/>
    <w:rsid w:val="00A52D65"/>
    <w:rsid w:val="00AD42E5"/>
    <w:rsid w:val="00B4701F"/>
    <w:rsid w:val="00E74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A282"/>
  <w15:chartTrackingRefBased/>
  <w15:docId w15:val="{DF58B016-32A5-46BF-9EF2-9BD0263D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6D3B"/>
    <w:pPr>
      <w:spacing w:after="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uiPriority w:val="9"/>
    <w:qFormat/>
    <w:rsid w:val="006618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356D3B"/>
    <w:pPr>
      <w:keepNext/>
      <w:keepLines/>
      <w:tabs>
        <w:tab w:val="left" w:pos="851"/>
      </w:tabs>
      <w:spacing w:before="60" w:after="60" w:line="228" w:lineRule="auto"/>
      <w:ind w:left="794"/>
    </w:pPr>
    <w:rPr>
      <w:rFonts w:ascii="Calibri" w:hAnsi="Calibri" w:cs="Calibri"/>
      <w:b/>
      <w:sz w:val="22"/>
      <w:szCs w:val="22"/>
    </w:rPr>
  </w:style>
  <w:style w:type="character" w:customStyle="1" w:styleId="CaptionChar">
    <w:name w:val="Caption Char"/>
    <w:link w:val="Caption"/>
    <w:rsid w:val="00356D3B"/>
    <w:rPr>
      <w:rFonts w:ascii="Calibri" w:eastAsia="Times New Roman" w:hAnsi="Calibri" w:cs="Calibri"/>
      <w:b/>
      <w:lang w:eastAsia="en-AU"/>
    </w:rPr>
  </w:style>
  <w:style w:type="character" w:styleId="Strong">
    <w:name w:val="Strong"/>
    <w:uiPriority w:val="22"/>
    <w:qFormat/>
    <w:rsid w:val="00356D3B"/>
    <w:rPr>
      <w:b/>
      <w:bCs/>
    </w:rPr>
  </w:style>
  <w:style w:type="paragraph" w:customStyle="1" w:styleId="TableText">
    <w:name w:val="Table Text"/>
    <w:basedOn w:val="Normal"/>
    <w:link w:val="TableTextChar"/>
    <w:uiPriority w:val="15"/>
    <w:qFormat/>
    <w:rsid w:val="00356D3B"/>
    <w:pPr>
      <w:spacing w:before="20" w:after="20"/>
    </w:pPr>
    <w:rPr>
      <w:rFonts w:ascii="Calibri" w:eastAsiaTheme="minorHAnsi" w:hAnsi="Calibri" w:cs="Calibri"/>
      <w:sz w:val="20"/>
      <w:szCs w:val="20"/>
      <w:lang w:val="en-US" w:eastAsia="en-US"/>
    </w:rPr>
  </w:style>
  <w:style w:type="character" w:customStyle="1" w:styleId="TableTextChar">
    <w:name w:val="Table Text Char"/>
    <w:basedOn w:val="DefaultParagraphFont"/>
    <w:link w:val="TableText"/>
    <w:uiPriority w:val="15"/>
    <w:rsid w:val="00356D3B"/>
    <w:rPr>
      <w:rFonts w:ascii="Calibri" w:hAnsi="Calibri" w:cs="Calibri"/>
      <w:sz w:val="20"/>
      <w:szCs w:val="20"/>
      <w:lang w:val="en-US"/>
    </w:rPr>
  </w:style>
  <w:style w:type="paragraph" w:customStyle="1" w:styleId="TableHeader">
    <w:name w:val="Table Header"/>
    <w:basedOn w:val="TableText"/>
    <w:link w:val="TableHeaderChar"/>
    <w:uiPriority w:val="15"/>
    <w:qFormat/>
    <w:rsid w:val="00356D3B"/>
    <w:pPr>
      <w:keepNext/>
      <w:spacing w:before="40" w:after="40"/>
    </w:pPr>
    <w:rPr>
      <w:sz w:val="24"/>
      <w:szCs w:val="24"/>
    </w:rPr>
  </w:style>
  <w:style w:type="table" w:customStyle="1" w:styleId="TableGrid1">
    <w:name w:val="Table Grid1"/>
    <w:basedOn w:val="TableNormal"/>
    <w:next w:val="TableGrid"/>
    <w:uiPriority w:val="39"/>
    <w:rsid w:val="00356D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TableTextChar"/>
    <w:link w:val="TableHeader"/>
    <w:uiPriority w:val="15"/>
    <w:rsid w:val="00356D3B"/>
    <w:rPr>
      <w:rFonts w:ascii="Calibri" w:hAnsi="Calibri" w:cs="Calibri"/>
      <w:sz w:val="24"/>
      <w:szCs w:val="24"/>
      <w:lang w:val="en-US"/>
    </w:rPr>
  </w:style>
  <w:style w:type="table" w:styleId="TableGrid">
    <w:name w:val="Table Grid"/>
    <w:basedOn w:val="TableNormal"/>
    <w:uiPriority w:val="39"/>
    <w:rsid w:val="0035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D3B"/>
    <w:pPr>
      <w:tabs>
        <w:tab w:val="center" w:pos="4513"/>
        <w:tab w:val="right" w:pos="9026"/>
      </w:tabs>
    </w:pPr>
  </w:style>
  <w:style w:type="character" w:customStyle="1" w:styleId="HeaderChar">
    <w:name w:val="Header Char"/>
    <w:basedOn w:val="DefaultParagraphFont"/>
    <w:link w:val="Header"/>
    <w:uiPriority w:val="99"/>
    <w:rsid w:val="00356D3B"/>
    <w:rPr>
      <w:rFonts w:ascii="Arial" w:eastAsia="Times New Roman" w:hAnsi="Arial" w:cs="Times New Roman"/>
      <w:sz w:val="24"/>
      <w:szCs w:val="24"/>
      <w:lang w:eastAsia="en-AU"/>
    </w:rPr>
  </w:style>
  <w:style w:type="paragraph" w:styleId="Footer">
    <w:name w:val="footer"/>
    <w:basedOn w:val="Normal"/>
    <w:link w:val="FooterChar"/>
    <w:uiPriority w:val="99"/>
    <w:unhideWhenUsed/>
    <w:rsid w:val="00356D3B"/>
    <w:pPr>
      <w:tabs>
        <w:tab w:val="center" w:pos="4513"/>
        <w:tab w:val="right" w:pos="9026"/>
      </w:tabs>
    </w:pPr>
  </w:style>
  <w:style w:type="character" w:customStyle="1" w:styleId="FooterChar">
    <w:name w:val="Footer Char"/>
    <w:basedOn w:val="DefaultParagraphFont"/>
    <w:link w:val="Footer"/>
    <w:uiPriority w:val="99"/>
    <w:rsid w:val="00356D3B"/>
    <w:rPr>
      <w:rFonts w:ascii="Arial" w:eastAsia="Times New Roman" w:hAnsi="Arial" w:cs="Times New Roman"/>
      <w:sz w:val="24"/>
      <w:szCs w:val="24"/>
      <w:lang w:eastAsia="en-AU"/>
    </w:rPr>
  </w:style>
  <w:style w:type="character" w:customStyle="1" w:styleId="Heading1Char">
    <w:name w:val="Heading 1 Char"/>
    <w:basedOn w:val="DefaultParagraphFont"/>
    <w:link w:val="Heading1"/>
    <w:uiPriority w:val="9"/>
    <w:rsid w:val="0066182F"/>
    <w:rPr>
      <w:rFonts w:asciiTheme="majorHAnsi" w:eastAsiaTheme="majorEastAsia" w:hAnsiTheme="majorHAnsi" w:cstheme="majorBidi"/>
      <w:color w:val="2F5496" w:themeColor="accent1" w:themeShade="BF"/>
      <w:sz w:val="32"/>
      <w:szCs w:val="32"/>
      <w:lang w:eastAsia="en-AU"/>
    </w:rPr>
  </w:style>
  <w:style w:type="paragraph" w:customStyle="1" w:styleId="Tablenotes">
    <w:name w:val="Table notes"/>
    <w:basedOn w:val="Normal"/>
    <w:link w:val="TablenotesChar"/>
    <w:qFormat/>
    <w:rsid w:val="00625F19"/>
    <w:pPr>
      <w:spacing w:before="20"/>
      <w:ind w:left="284"/>
      <w:contextualSpacing/>
    </w:pPr>
    <w:rPr>
      <w:rFonts w:ascii="Calibri" w:eastAsia="Calibri" w:hAnsi="Calibri"/>
      <w:spacing w:val="-2"/>
      <w:sz w:val="18"/>
      <w:szCs w:val="18"/>
      <w:lang w:eastAsia="en-US"/>
    </w:rPr>
  </w:style>
  <w:style w:type="character" w:customStyle="1" w:styleId="TablenotesChar">
    <w:name w:val="Table notes Char"/>
    <w:basedOn w:val="DefaultParagraphFont"/>
    <w:link w:val="Tablenotes"/>
    <w:rsid w:val="00625F19"/>
    <w:rPr>
      <w:rFonts w:ascii="Calibri" w:eastAsia="Calibri" w:hAnsi="Calibri"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7A88EA1-4AA6-460C-8710-4EC432874CC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Coles (DTF)</dc:creator>
  <cp:keywords/>
  <dc:description/>
  <cp:lastModifiedBy>Vanessa Coles (DTF)</cp:lastModifiedBy>
  <cp:revision>2</cp:revision>
  <dcterms:created xsi:type="dcterms:W3CDTF">2021-10-21T05:50:00Z</dcterms:created>
  <dcterms:modified xsi:type="dcterms:W3CDTF">2021-10-21T05:50:00Z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2021-10-21T05:49:54Z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
  </property>
  <property fmtid="{D5CDD505-2E9C-101B-9397-08002B2CF9AE}" pid="8" name="MSIP_Label_7158ebbd-6c5e-441f-bfc9-4eb8c11e3978_ContentBits">
    <vt:lpwstr>2</vt:lpwstr>
  </property>
</Properties>
</file>