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5A93" w14:textId="52D96B62" w:rsidR="00CB4E50" w:rsidRPr="009118E4" w:rsidRDefault="005B29CD" w:rsidP="009118E4">
      <w:pPr>
        <w:pStyle w:val="Heading1"/>
        <w:rPr>
          <w:b/>
          <w:color w:val="7030A0"/>
          <w:sz w:val="36"/>
          <w:szCs w:val="36"/>
        </w:rPr>
      </w:pPr>
      <w:r w:rsidRPr="009118E4">
        <w:rPr>
          <w:b/>
          <w:color w:val="7030A0"/>
          <w:sz w:val="36"/>
          <w:szCs w:val="36"/>
        </w:rPr>
        <w:t>Manag</w:t>
      </w:r>
      <w:r w:rsidR="001205F6">
        <w:rPr>
          <w:b/>
          <w:color w:val="7030A0"/>
          <w:sz w:val="36"/>
          <w:szCs w:val="36"/>
        </w:rPr>
        <w:t>e</w:t>
      </w:r>
      <w:r w:rsidRPr="009118E4">
        <w:rPr>
          <w:b/>
          <w:color w:val="7030A0"/>
          <w:sz w:val="36"/>
          <w:szCs w:val="36"/>
        </w:rPr>
        <w:t xml:space="preserve"> an unsolicited proposal</w:t>
      </w:r>
      <w:r w:rsidR="00867E8D">
        <w:rPr>
          <w:b/>
          <w:color w:val="7030A0"/>
          <w:sz w:val="36"/>
          <w:szCs w:val="36"/>
        </w:rPr>
        <w:t xml:space="preserve">: </w:t>
      </w:r>
      <w:r w:rsidR="009118E4" w:rsidRPr="009118E4">
        <w:rPr>
          <w:b/>
          <w:color w:val="7030A0"/>
          <w:sz w:val="36"/>
          <w:szCs w:val="36"/>
        </w:rPr>
        <w:br/>
        <w:t>Goods and services</w:t>
      </w:r>
      <w:r w:rsidR="00304E7F" w:rsidRPr="009118E4">
        <w:rPr>
          <w:b/>
          <w:color w:val="7030A0"/>
          <w:sz w:val="36"/>
          <w:szCs w:val="36"/>
        </w:rPr>
        <w:t xml:space="preserve"> </w:t>
      </w:r>
      <w:proofErr w:type="gramStart"/>
      <w:r w:rsidR="00304E7F" w:rsidRPr="009118E4">
        <w:rPr>
          <w:b/>
          <w:color w:val="7030A0"/>
          <w:sz w:val="36"/>
          <w:szCs w:val="36"/>
        </w:rPr>
        <w:t>guide</w:t>
      </w:r>
      <w:proofErr w:type="gramEnd"/>
    </w:p>
    <w:p w14:paraId="056277D2" w14:textId="77777777" w:rsidR="005B29CD" w:rsidRPr="009118E4" w:rsidRDefault="005B29CD" w:rsidP="009118E4">
      <w:pPr>
        <w:pStyle w:val="Heading2"/>
        <w:rPr>
          <w:color w:val="7030A0"/>
        </w:rPr>
      </w:pPr>
      <w:r w:rsidRPr="009118E4">
        <w:rPr>
          <w:color w:val="7030A0"/>
        </w:rPr>
        <w:t>What is an unsolicited proposal?</w:t>
      </w:r>
    </w:p>
    <w:p w14:paraId="2D9B7288" w14:textId="77777777" w:rsidR="005B29CD" w:rsidRDefault="005B29CD" w:rsidP="005B29CD">
      <w:r>
        <w:t>An unsolicited proposal is an approach by a person or business with an offer for your organisation outside of any formal approach to the market by your organisation for the supply of specific goods or services.</w:t>
      </w:r>
    </w:p>
    <w:p w14:paraId="3F858A92" w14:textId="77777777" w:rsidR="005B29CD" w:rsidRDefault="005B29CD" w:rsidP="005B29CD">
      <w:r>
        <w:t>A business could approach your organisation through different channel such as:</w:t>
      </w:r>
    </w:p>
    <w:p w14:paraId="0121E19A" w14:textId="77777777" w:rsidR="005B29CD" w:rsidRDefault="005B29CD" w:rsidP="00402FED">
      <w:pPr>
        <w:pStyle w:val="Bullet1"/>
      </w:pPr>
      <w:r>
        <w:t xml:space="preserve">the Minister/Minister’s </w:t>
      </w:r>
      <w:proofErr w:type="gramStart"/>
      <w:r>
        <w:t>office;</w:t>
      </w:r>
      <w:proofErr w:type="gramEnd"/>
    </w:p>
    <w:p w14:paraId="0BD88D44" w14:textId="77777777" w:rsidR="005B29CD" w:rsidRDefault="005B29CD" w:rsidP="00402FED">
      <w:pPr>
        <w:pStyle w:val="Bullet1"/>
      </w:pPr>
      <w:r>
        <w:t>senior management; or</w:t>
      </w:r>
    </w:p>
    <w:p w14:paraId="0DB025A6" w14:textId="77777777" w:rsidR="005B29CD" w:rsidRDefault="005B29CD" w:rsidP="00402FED">
      <w:pPr>
        <w:pStyle w:val="Bullet1"/>
      </w:pPr>
      <w:r>
        <w:t xml:space="preserve">an officer in your organisation. </w:t>
      </w:r>
    </w:p>
    <w:p w14:paraId="39A11C45" w14:textId="77777777" w:rsidR="005B29CD" w:rsidRDefault="005B29CD" w:rsidP="005B29CD">
      <w:r>
        <w:t xml:space="preserve">Sometimes it follows a demonstration of a product or service where government officers are invited to facilitate interest and familiarity with a subsequent proposal. </w:t>
      </w:r>
    </w:p>
    <w:p w14:paraId="74C665C8" w14:textId="77777777" w:rsidR="005B29CD" w:rsidRDefault="005B29CD" w:rsidP="005B29CD">
      <w:r>
        <w:t>Proposals often claim a high level of innovation or that adopting the proposal will deliver cost savings and productivity improvements. While these benefits might sound attractive, all proposals should be assessed for relevance to your organisation.</w:t>
      </w:r>
    </w:p>
    <w:p w14:paraId="7A3BA296" w14:textId="77777777" w:rsidR="005B29CD" w:rsidRDefault="005B29CD" w:rsidP="005B29CD">
      <w:r>
        <w:t xml:space="preserve">The supplier may be seeking adoption of the proposal, or seed funding to further develop a concept for early commercialisation. They may suggest a joint development opportunity or simply be gathering information on future organisational requirements. </w:t>
      </w:r>
    </w:p>
    <w:p w14:paraId="5CD95B49" w14:textId="77777777" w:rsidR="005B29CD" w:rsidRDefault="005B29CD" w:rsidP="005B29CD">
      <w:r>
        <w:t xml:space="preserve">Where the supplier is seeking seed funding involving a cooperative, collaborative or alliancing arrangement, this should be managed under your organisation’s grant procedures. The assessment processes outlined in </w:t>
      </w:r>
      <w:r w:rsidR="007A128D">
        <w:fldChar w:fldCharType="begin"/>
      </w:r>
      <w:r w:rsidR="007A128D">
        <w:instrText xml:space="preserve"> REF _Ref404077569 \h </w:instrText>
      </w:r>
      <w:r w:rsidR="007A128D">
        <w:fldChar w:fldCharType="separate"/>
      </w:r>
      <w:r w:rsidR="007A128D" w:rsidRPr="005B29CD">
        <w:t xml:space="preserve">Figure </w:t>
      </w:r>
      <w:r w:rsidR="007A128D">
        <w:rPr>
          <w:noProof/>
        </w:rPr>
        <w:t>1</w:t>
      </w:r>
      <w:r w:rsidR="007A128D">
        <w:fldChar w:fldCharType="end"/>
      </w:r>
      <w:r w:rsidR="007A128D">
        <w:t xml:space="preserve"> </w:t>
      </w:r>
      <w:r>
        <w:t>could also be applied to grant funding procedures.</w:t>
      </w:r>
    </w:p>
    <w:p w14:paraId="198FF708" w14:textId="77777777" w:rsidR="009118E4" w:rsidRPr="009118E4" w:rsidRDefault="009118E4" w:rsidP="009118E4">
      <w:pPr>
        <w:pStyle w:val="Heading3"/>
        <w:rPr>
          <w:color w:val="7030A0"/>
        </w:rPr>
      </w:pPr>
      <w:r w:rsidRPr="009118E4">
        <w:rPr>
          <w:color w:val="7030A0"/>
        </w:rPr>
        <w:t>Where do proposals come from?</w:t>
      </w:r>
    </w:p>
    <w:p w14:paraId="4304BCE1" w14:textId="77777777" w:rsidR="009118E4" w:rsidRPr="00435C31" w:rsidRDefault="009118E4" w:rsidP="009118E4">
      <w:pPr>
        <w:spacing w:before="0"/>
        <w:rPr>
          <w:sz w:val="20"/>
        </w:rPr>
      </w:pPr>
      <w:r w:rsidRPr="00435C31">
        <w:rPr>
          <w:sz w:val="20"/>
        </w:rPr>
        <w:t xml:space="preserve">A supplier might approach a department wherever they identify a potential need for their product or service. Proposals are often made on a targeted but ad hoc basis where there may be no planned procurement requirement. </w:t>
      </w:r>
    </w:p>
    <w:p w14:paraId="27CEEED0" w14:textId="77777777" w:rsidR="009118E4" w:rsidRPr="00435C31" w:rsidRDefault="009118E4" w:rsidP="009118E4">
      <w:pPr>
        <w:spacing w:before="0"/>
        <w:rPr>
          <w:sz w:val="20"/>
        </w:rPr>
      </w:pPr>
      <w:r w:rsidRPr="00435C31">
        <w:rPr>
          <w:sz w:val="20"/>
        </w:rPr>
        <w:t>When organisations begin publishing their procurement activity plans online under the proposed procurement reform, they may see an increase in unsolicited proposals.</w:t>
      </w:r>
    </w:p>
    <w:p w14:paraId="48AC6AB1" w14:textId="77777777" w:rsidR="009118E4" w:rsidRDefault="009118E4" w:rsidP="009118E4">
      <w:pPr>
        <w:rPr>
          <w:sz w:val="20"/>
        </w:rPr>
      </w:pPr>
      <w:r w:rsidRPr="00435C31">
        <w:rPr>
          <w:sz w:val="20"/>
        </w:rPr>
        <w:t>Procurement activity plans provide an overview of procurement requirements over the next 12–24 months, including the anticipated release date of individual procurement ac</w:t>
      </w:r>
      <w:r>
        <w:rPr>
          <w:sz w:val="20"/>
        </w:rPr>
        <w:t>tivity.</w:t>
      </w:r>
    </w:p>
    <w:p w14:paraId="1985ECEF" w14:textId="77777777" w:rsidR="009118E4" w:rsidRPr="009118E4" w:rsidRDefault="009118E4" w:rsidP="009118E4">
      <w:pPr>
        <w:pStyle w:val="Heading2"/>
        <w:rPr>
          <w:color w:val="7030A0"/>
        </w:rPr>
      </w:pPr>
      <w:r>
        <w:rPr>
          <w:color w:val="7030A0"/>
        </w:rPr>
        <w:t xml:space="preserve">Framework for managing unsolicited </w:t>
      </w:r>
      <w:proofErr w:type="gramStart"/>
      <w:r w:rsidRPr="009118E4">
        <w:rPr>
          <w:color w:val="7030A0"/>
        </w:rPr>
        <w:t>proposals</w:t>
      </w:r>
      <w:proofErr w:type="gramEnd"/>
    </w:p>
    <w:p w14:paraId="41DF3E21" w14:textId="77777777" w:rsidR="000C20C0" w:rsidRDefault="000C20C0" w:rsidP="000C20C0">
      <w:r>
        <w:t>Follow the 9 steps describe the framework for managing unsolicited proposals:</w:t>
      </w:r>
    </w:p>
    <w:tbl>
      <w:tblPr>
        <w:tblStyle w:val="TableGrid"/>
        <w:tblW w:w="0" w:type="auto"/>
        <w:tblLook w:val="04A0" w:firstRow="1" w:lastRow="0" w:firstColumn="1" w:lastColumn="0" w:noHBand="0" w:noVBand="1"/>
      </w:tblPr>
      <w:tblGrid>
        <w:gridCol w:w="846"/>
        <w:gridCol w:w="8170"/>
      </w:tblGrid>
      <w:tr w:rsidR="000C20C0" w14:paraId="45978F39" w14:textId="77777777" w:rsidTr="00E0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5F3F65" w14:textId="77777777" w:rsidR="000C20C0" w:rsidRDefault="000C20C0" w:rsidP="00E02901">
            <w:pPr>
              <w:spacing w:after="120"/>
              <w:rPr>
                <w:rFonts w:cstheme="minorHAnsi"/>
              </w:rPr>
            </w:pPr>
            <w:r>
              <w:rPr>
                <w:rFonts w:cstheme="minorHAnsi"/>
              </w:rPr>
              <w:t>Step</w:t>
            </w:r>
          </w:p>
        </w:tc>
        <w:tc>
          <w:tcPr>
            <w:tcW w:w="8170" w:type="dxa"/>
          </w:tcPr>
          <w:p w14:paraId="5D0FE380" w14:textId="7A6174A3" w:rsidR="00FF3CFF" w:rsidRPr="00FF3CFF" w:rsidRDefault="000C20C0" w:rsidP="00FF3CFF">
            <w:pPr>
              <w:spacing w:after="12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Action</w:t>
            </w:r>
          </w:p>
        </w:tc>
      </w:tr>
      <w:tr w:rsidR="000C20C0" w14:paraId="51861B49"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625E62DC" w14:textId="77777777" w:rsidR="000C20C0" w:rsidRDefault="000C20C0" w:rsidP="00E02901">
            <w:pPr>
              <w:spacing w:after="120"/>
              <w:rPr>
                <w:rFonts w:cstheme="minorHAnsi"/>
              </w:rPr>
            </w:pPr>
            <w:r>
              <w:rPr>
                <w:rFonts w:cstheme="minorHAnsi"/>
              </w:rPr>
              <w:t>1</w:t>
            </w:r>
          </w:p>
        </w:tc>
        <w:tc>
          <w:tcPr>
            <w:tcW w:w="8170" w:type="dxa"/>
          </w:tcPr>
          <w:p w14:paraId="5A037400" w14:textId="07C48BE0" w:rsidR="00FF3CFF" w:rsidRPr="00FF3CFF" w:rsidRDefault="000C20C0" w:rsidP="00FF3CF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Unsolicited proposal may be received by the Minister / Minister’s Office, or the Department.</w:t>
            </w:r>
          </w:p>
        </w:tc>
      </w:tr>
      <w:tr w:rsidR="00FB6601" w14:paraId="00F08F48"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D19FF4" w14:textId="77777777" w:rsidR="00FB6601" w:rsidRDefault="00FB6601" w:rsidP="00E02901">
            <w:pPr>
              <w:spacing w:after="120"/>
              <w:rPr>
                <w:rFonts w:cstheme="minorHAnsi"/>
              </w:rPr>
            </w:pPr>
            <w:r>
              <w:rPr>
                <w:rFonts w:cstheme="minorHAnsi"/>
              </w:rPr>
              <w:t>2</w:t>
            </w:r>
          </w:p>
        </w:tc>
        <w:tc>
          <w:tcPr>
            <w:tcW w:w="8170" w:type="dxa"/>
          </w:tcPr>
          <w:p w14:paraId="24F224B7" w14:textId="77777777" w:rsidR="00FB6601" w:rsidRDefault="00FB6601" w:rsidP="00FB66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Develop procedures for receiving, </w:t>
            </w:r>
            <w:proofErr w:type="gramStart"/>
            <w:r>
              <w:rPr>
                <w:rFonts w:cstheme="minorHAnsi"/>
              </w:rPr>
              <w:t>assessing</w:t>
            </w:r>
            <w:proofErr w:type="gramEnd"/>
            <w:r>
              <w:rPr>
                <w:rFonts w:cstheme="minorHAnsi"/>
              </w:rPr>
              <w:t xml:space="preserve"> and managing unsolicited proposals.</w:t>
            </w:r>
          </w:p>
          <w:p w14:paraId="7877487C" w14:textId="77777777" w:rsidR="00FB6601" w:rsidRDefault="00FB6601" w:rsidP="00FB66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Ensure the Minister’s Office is informed of the organisation’s procedures for dealing with unsolicited bids and does not commit to proposals prior to assessment by departments.</w:t>
            </w:r>
          </w:p>
          <w:p w14:paraId="1324AC3E" w14:textId="1A36D131" w:rsidR="00FF3CFF" w:rsidRPr="00FF3CFF" w:rsidRDefault="00FB6601" w:rsidP="00FF3CFF">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Where the supplier is seeking funding to develop the proposal, the matter should be progressed under the department’s grans applications and funding arrangements.</w:t>
            </w:r>
          </w:p>
        </w:tc>
      </w:tr>
      <w:tr w:rsidR="000C20C0" w14:paraId="2DAD7602"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27B57EF2" w14:textId="77777777" w:rsidR="000C20C0" w:rsidRDefault="000C20C0" w:rsidP="00E02901">
            <w:pPr>
              <w:spacing w:after="120"/>
              <w:rPr>
                <w:rFonts w:cstheme="minorHAnsi"/>
              </w:rPr>
            </w:pPr>
          </w:p>
        </w:tc>
        <w:tc>
          <w:tcPr>
            <w:tcW w:w="8170" w:type="dxa"/>
          </w:tcPr>
          <w:p w14:paraId="78D3CFD2" w14:textId="77777777" w:rsidR="000C20C0" w:rsidRDefault="000C20C0" w:rsidP="000C20C0">
            <w:pPr>
              <w:cnfStyle w:val="000000000000" w:firstRow="0" w:lastRow="0" w:firstColumn="0" w:lastColumn="0" w:oddVBand="0" w:evenVBand="0" w:oddHBand="0" w:evenHBand="0" w:firstRowFirstColumn="0" w:firstRowLastColumn="0" w:lastRowFirstColumn="0" w:lastRowLastColumn="0"/>
            </w:pPr>
            <w:r>
              <w:t>For all other proposals:</w:t>
            </w:r>
          </w:p>
          <w:p w14:paraId="70D8A2AF"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 xml:space="preserve">disclose internal processes on the department’s </w:t>
            </w:r>
            <w:proofErr w:type="gramStart"/>
            <w:r>
              <w:t>intranet;</w:t>
            </w:r>
            <w:proofErr w:type="gramEnd"/>
          </w:p>
          <w:p w14:paraId="41E611AE"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 xml:space="preserve">implement a registration system to track proposals </w:t>
            </w:r>
            <w:proofErr w:type="gramStart"/>
            <w:r>
              <w:t>received;</w:t>
            </w:r>
            <w:proofErr w:type="gramEnd"/>
          </w:p>
          <w:p w14:paraId="32410EA9"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adopt a methodology for allocating responsibility for assessing and managing proposals; and</w:t>
            </w:r>
          </w:p>
          <w:p w14:paraId="04DC4A0E"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 xml:space="preserve">indicate whether the complexity of certain proposals require escalation to the chief procurement officer for specific business unit input. </w:t>
            </w:r>
          </w:p>
          <w:p w14:paraId="1211BAB4" w14:textId="77777777" w:rsidR="000C20C0" w:rsidRDefault="000C20C0" w:rsidP="000C20C0">
            <w:pPr>
              <w:cnfStyle w:val="000000000000" w:firstRow="0" w:lastRow="0" w:firstColumn="0" w:lastColumn="0" w:oddVBand="0" w:evenVBand="0" w:oddHBand="0" w:evenHBand="0" w:firstRowFirstColumn="0" w:firstRowLastColumn="0" w:lastRowFirstColumn="0" w:lastRowLastColumn="0"/>
            </w:pPr>
            <w:r>
              <w:t xml:space="preserve">Proceed on the basis that the supplier is fully informed of the management process with </w:t>
            </w:r>
            <w:proofErr w:type="gramStart"/>
            <w:r>
              <w:t>particular reference</w:t>
            </w:r>
            <w:proofErr w:type="gramEnd"/>
            <w:r>
              <w:t xml:space="preserve"> to.</w:t>
            </w:r>
          </w:p>
          <w:p w14:paraId="4D344708"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the proponent is to provide sufficient documentation against each of the areas of assessment noted in stage 1.</w:t>
            </w:r>
          </w:p>
          <w:p w14:paraId="6995EE39"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 xml:space="preserve">non commitment for funding/purchase/adoption, </w:t>
            </w:r>
            <w:proofErr w:type="gramStart"/>
            <w:r>
              <w:t>etc.;</w:t>
            </w:r>
            <w:proofErr w:type="gramEnd"/>
          </w:p>
          <w:p w14:paraId="37E0E543"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management of organisation/supplier intellectual property (IP</w:t>
            </w:r>
            <w:proofErr w:type="gramStart"/>
            <w:r>
              <w:t>);</w:t>
            </w:r>
            <w:proofErr w:type="gramEnd"/>
          </w:p>
          <w:p w14:paraId="49C80C0A"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 xml:space="preserve">confidentiality </w:t>
            </w:r>
            <w:proofErr w:type="gramStart"/>
            <w:r>
              <w:t>obligations;</w:t>
            </w:r>
            <w:proofErr w:type="gramEnd"/>
          </w:p>
          <w:p w14:paraId="1A82A72A"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 xml:space="preserve">contact/communication arrangements during assessment </w:t>
            </w:r>
            <w:proofErr w:type="gramStart"/>
            <w:r>
              <w:t>phase;</w:t>
            </w:r>
            <w:proofErr w:type="gramEnd"/>
          </w:p>
          <w:p w14:paraId="2153AD55"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 xml:space="preserve">whether external parties may be engaged to assist </w:t>
            </w:r>
            <w:proofErr w:type="gramStart"/>
            <w:r>
              <w:t>assessment;</w:t>
            </w:r>
            <w:proofErr w:type="gramEnd"/>
          </w:p>
          <w:p w14:paraId="222D5CC3" w14:textId="77777777" w:rsidR="000C20C0" w:rsidRDefault="000C20C0" w:rsidP="000C20C0">
            <w:pPr>
              <w:pStyle w:val="Bullet1"/>
              <w:cnfStyle w:val="000000000000" w:firstRow="0" w:lastRow="0" w:firstColumn="0" w:lastColumn="0" w:oddVBand="0" w:evenVBand="0" w:oddHBand="0" w:evenHBand="0" w:firstRowFirstColumn="0" w:firstRowLastColumn="0" w:lastRowFirstColumn="0" w:lastRowLastColumn="0"/>
            </w:pPr>
            <w:r>
              <w:t>potential timelines/milestones; and</w:t>
            </w:r>
          </w:p>
          <w:p w14:paraId="414C783C" w14:textId="77777777" w:rsidR="000C20C0" w:rsidRPr="000C20C0" w:rsidRDefault="000C20C0" w:rsidP="000C20C0">
            <w:pPr>
              <w:pStyle w:val="Bullet1"/>
              <w:spacing w:after="120"/>
              <w:ind w:left="357" w:hanging="357"/>
              <w:cnfStyle w:val="000000000000" w:firstRow="0" w:lastRow="0" w:firstColumn="0" w:lastColumn="0" w:oddVBand="0" w:evenVBand="0" w:oddHBand="0" w:evenHBand="0" w:firstRowFirstColumn="0" w:firstRowLastColumn="0" w:lastRowFirstColumn="0" w:lastRowLastColumn="0"/>
            </w:pPr>
            <w:r>
              <w:t>debrief opportunities for suppliers if not proceeding with proposal.</w:t>
            </w:r>
          </w:p>
        </w:tc>
      </w:tr>
      <w:tr w:rsidR="000C20C0" w14:paraId="56170383"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94E6E4" w14:textId="77777777" w:rsidR="000C20C0" w:rsidRDefault="000C20C0" w:rsidP="00E02901">
            <w:pPr>
              <w:spacing w:after="120"/>
              <w:rPr>
                <w:rFonts w:cstheme="minorHAnsi"/>
              </w:rPr>
            </w:pPr>
            <w:r>
              <w:rPr>
                <w:rFonts w:cstheme="minorHAnsi"/>
              </w:rPr>
              <w:t>3</w:t>
            </w:r>
          </w:p>
        </w:tc>
        <w:tc>
          <w:tcPr>
            <w:tcW w:w="8170" w:type="dxa"/>
          </w:tcPr>
          <w:p w14:paraId="556AB38F"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High level assessment – stage 1.</w:t>
            </w:r>
          </w:p>
          <w:p w14:paraId="7977632A"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Nature of proposal:</w:t>
            </w:r>
          </w:p>
          <w:p w14:paraId="742449E0"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Goods / services</w:t>
            </w:r>
          </w:p>
          <w:p w14:paraId="2F330DE3"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Systems </w:t>
            </w:r>
            <w:proofErr w:type="gramStart"/>
            <w:r>
              <w:rPr>
                <w:rFonts w:cstheme="minorHAnsi"/>
              </w:rPr>
              <w:t>related</w:t>
            </w:r>
            <w:proofErr w:type="gramEnd"/>
          </w:p>
          <w:p w14:paraId="54A88C83"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Services </w:t>
            </w:r>
            <w:proofErr w:type="gramStart"/>
            <w:r>
              <w:rPr>
                <w:rFonts w:cstheme="minorHAnsi"/>
              </w:rPr>
              <w:t>related</w:t>
            </w:r>
            <w:proofErr w:type="gramEnd"/>
          </w:p>
          <w:p w14:paraId="61236FA1"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Progress </w:t>
            </w:r>
            <w:proofErr w:type="gramStart"/>
            <w:r>
              <w:rPr>
                <w:rFonts w:cstheme="minorHAnsi"/>
              </w:rPr>
              <w:t>related</w:t>
            </w:r>
            <w:proofErr w:type="gramEnd"/>
          </w:p>
          <w:p w14:paraId="277E5EDD" w14:textId="77777777" w:rsidR="000C20C0" w:rsidRDefault="000C20C0" w:rsidP="008D7FBA">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Programs </w:t>
            </w:r>
            <w:proofErr w:type="gramStart"/>
            <w:r>
              <w:rPr>
                <w:rFonts w:cstheme="minorHAnsi"/>
              </w:rPr>
              <w:t>related</w:t>
            </w:r>
            <w:proofErr w:type="gramEnd"/>
          </w:p>
          <w:p w14:paraId="360A02ED" w14:textId="77777777" w:rsidR="000C20C0" w:rsidRDefault="000C20C0" w:rsidP="000C20C0">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Proposed arrangement</w:t>
            </w:r>
          </w:p>
          <w:p w14:paraId="391F123E" w14:textId="77777777" w:rsidR="000C20C0" w:rsidRDefault="000C20C0" w:rsidP="000C20C0">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Seed funding sought (refer grants process)</w:t>
            </w:r>
          </w:p>
          <w:p w14:paraId="780BADAF" w14:textId="77777777" w:rsidR="000C20C0" w:rsidRDefault="000C20C0" w:rsidP="008D7FBA">
            <w:pPr>
              <w:pStyle w:val="ListParagraph"/>
              <w:numPr>
                <w:ilvl w:val="0"/>
                <w:numId w:val="14"/>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 xml:space="preserve">Share </w:t>
            </w:r>
            <w:proofErr w:type="gramStart"/>
            <w:r w:rsidRPr="000C20C0">
              <w:rPr>
                <w:rFonts w:cstheme="minorHAnsi"/>
              </w:rPr>
              <w:t>ownership</w:t>
            </w:r>
            <w:proofErr w:type="gramEnd"/>
          </w:p>
          <w:p w14:paraId="7313189E" w14:textId="304ED9D4" w:rsidR="000C20C0" w:rsidRDefault="000C20C0" w:rsidP="008D7FBA">
            <w:pPr>
              <w:pStyle w:val="ListParagraph"/>
              <w:numPr>
                <w:ilvl w:val="0"/>
                <w:numId w:val="14"/>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w:t>
            </w:r>
            <w:r w:rsidR="00A3454A">
              <w:rPr>
                <w:rFonts w:cstheme="minorHAnsi"/>
              </w:rPr>
              <w:t>ll</w:t>
            </w:r>
            <w:r>
              <w:rPr>
                <w:rFonts w:cstheme="minorHAnsi"/>
              </w:rPr>
              <w:t>iancing</w:t>
            </w:r>
          </w:p>
          <w:p w14:paraId="3EA463F4" w14:textId="77777777" w:rsidR="000C20C0" w:rsidRDefault="000C20C0" w:rsidP="008D7FBA">
            <w:pPr>
              <w:pStyle w:val="ListParagraph"/>
              <w:numPr>
                <w:ilvl w:val="0"/>
                <w:numId w:val="14"/>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Collaboration</w:t>
            </w:r>
          </w:p>
          <w:p w14:paraId="439B598A" w14:textId="7ACA0C67" w:rsidR="000C20C0" w:rsidRDefault="00A3454A" w:rsidP="008D7FBA">
            <w:pPr>
              <w:pStyle w:val="ListParagraph"/>
              <w:numPr>
                <w:ilvl w:val="0"/>
                <w:numId w:val="14"/>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Seek</w:t>
            </w:r>
            <w:r w:rsidR="000C20C0">
              <w:rPr>
                <w:rFonts w:cstheme="minorHAnsi"/>
              </w:rPr>
              <w:t xml:space="preserve"> adoption / </w:t>
            </w:r>
            <w:proofErr w:type="gramStart"/>
            <w:r w:rsidR="000C20C0">
              <w:rPr>
                <w:rFonts w:cstheme="minorHAnsi"/>
              </w:rPr>
              <w:t>purchase</w:t>
            </w:r>
            <w:proofErr w:type="gramEnd"/>
          </w:p>
          <w:p w14:paraId="39C6CB11" w14:textId="3147C8FB" w:rsidR="000C20C0" w:rsidRDefault="000C20C0" w:rsidP="000C20C0">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Proposal relevance to</w:t>
            </w:r>
            <w:r w:rsidR="00A3454A">
              <w:rPr>
                <w:rFonts w:cstheme="minorHAnsi"/>
              </w:rPr>
              <w:t>:</w:t>
            </w:r>
          </w:p>
          <w:p w14:paraId="1A690D0A" w14:textId="77777777" w:rsidR="000C20C0" w:rsidRP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Department priorities</w:t>
            </w:r>
          </w:p>
          <w:p w14:paraId="4B260582" w14:textId="5EFA7E6A" w:rsid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 xml:space="preserve">Department </w:t>
            </w:r>
            <w:r w:rsidR="00A3454A" w:rsidRPr="000C20C0">
              <w:rPr>
                <w:rFonts w:cstheme="minorHAnsi"/>
              </w:rPr>
              <w:t>programs</w:t>
            </w:r>
          </w:p>
          <w:p w14:paraId="0CAE3401" w14:textId="77777777" w:rsid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Department projects</w:t>
            </w:r>
          </w:p>
          <w:p w14:paraId="120DD3CC" w14:textId="77777777" w:rsid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Department activities</w:t>
            </w:r>
          </w:p>
          <w:p w14:paraId="3782ECE3" w14:textId="3F305EF5" w:rsid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Pr>
                <w:rFonts w:cstheme="minorHAnsi"/>
              </w:rPr>
              <w:t>WoVG</w:t>
            </w:r>
            <w:proofErr w:type="spellEnd"/>
            <w:r>
              <w:rPr>
                <w:rFonts w:cstheme="minorHAnsi"/>
              </w:rPr>
              <w:t xml:space="preserve"> </w:t>
            </w:r>
            <w:r w:rsidR="00A3454A">
              <w:rPr>
                <w:rFonts w:cstheme="minorHAnsi"/>
              </w:rPr>
              <w:t>objectives</w:t>
            </w:r>
            <w:r>
              <w:rPr>
                <w:rFonts w:cstheme="minorHAnsi"/>
              </w:rPr>
              <w:t xml:space="preserve"> *</w:t>
            </w:r>
          </w:p>
          <w:p w14:paraId="34C687A6" w14:textId="77777777" w:rsidR="000C20C0" w:rsidRPr="000C20C0" w:rsidRDefault="000C20C0" w:rsidP="008D7FBA">
            <w:pPr>
              <w:pStyle w:val="ListParagraph"/>
              <w:numPr>
                <w:ilvl w:val="0"/>
                <w:numId w:val="15"/>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Other stakeholders</w:t>
            </w:r>
          </w:p>
          <w:p w14:paraId="3F4EB436" w14:textId="77777777" w:rsidR="000C20C0" w:rsidRDefault="000C20C0" w:rsidP="000C20C0">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Indicative degree of innovation</w:t>
            </w:r>
          </w:p>
          <w:p w14:paraId="49644B57" w14:textId="77777777" w:rsidR="000C20C0" w:rsidRDefault="000C20C0" w:rsidP="008D7FBA">
            <w:pPr>
              <w:pStyle w:val="ListParagraph"/>
              <w:numPr>
                <w:ilvl w:val="0"/>
                <w:numId w:val="16"/>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Market scan – no known suppliers / limited supplier base</w:t>
            </w:r>
          </w:p>
          <w:p w14:paraId="27AB2CA3" w14:textId="77777777" w:rsidR="000C20C0" w:rsidRDefault="000C20C0" w:rsidP="008D7FBA">
            <w:pPr>
              <w:pStyle w:val="ListParagraph"/>
              <w:numPr>
                <w:ilvl w:val="0"/>
                <w:numId w:val="16"/>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Evidenced innovation in other relevant settings / </w:t>
            </w:r>
            <w:proofErr w:type="gramStart"/>
            <w:r>
              <w:rPr>
                <w:rFonts w:cstheme="minorHAnsi"/>
              </w:rPr>
              <w:t>usage</w:t>
            </w:r>
            <w:proofErr w:type="gramEnd"/>
          </w:p>
          <w:p w14:paraId="6CDC2F7F" w14:textId="4B39364A" w:rsidR="000C20C0" w:rsidRPr="000C20C0" w:rsidRDefault="000C20C0" w:rsidP="008D7FBA">
            <w:pPr>
              <w:pStyle w:val="ListParagraph"/>
              <w:numPr>
                <w:ilvl w:val="0"/>
                <w:numId w:val="16"/>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 If the proposal has a </w:t>
            </w:r>
            <w:proofErr w:type="spellStart"/>
            <w:r>
              <w:rPr>
                <w:rFonts w:cstheme="minorHAnsi"/>
              </w:rPr>
              <w:t>WoV</w:t>
            </w:r>
            <w:r w:rsidR="00A3454A">
              <w:rPr>
                <w:rFonts w:cstheme="minorHAnsi"/>
              </w:rPr>
              <w:t>G</w:t>
            </w:r>
            <w:proofErr w:type="spellEnd"/>
            <w:r>
              <w:rPr>
                <w:rFonts w:cstheme="minorHAnsi"/>
              </w:rPr>
              <w:t xml:space="preserve"> relevance, the matter should be brought to the attention of Strategic Sourcing.</w:t>
            </w:r>
          </w:p>
        </w:tc>
      </w:tr>
      <w:tr w:rsidR="000C20C0" w14:paraId="4C8FE3AB"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4BEE937A" w14:textId="77777777" w:rsidR="000C20C0" w:rsidRDefault="000C20C0" w:rsidP="00E02901">
            <w:pPr>
              <w:spacing w:after="120"/>
              <w:rPr>
                <w:rFonts w:cstheme="minorHAnsi"/>
              </w:rPr>
            </w:pPr>
            <w:r>
              <w:rPr>
                <w:rFonts w:cstheme="minorHAnsi"/>
              </w:rPr>
              <w:lastRenderedPageBreak/>
              <w:t>4</w:t>
            </w:r>
          </w:p>
        </w:tc>
        <w:tc>
          <w:tcPr>
            <w:tcW w:w="8170" w:type="dxa"/>
          </w:tcPr>
          <w:p w14:paraId="1A9C95D3"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Result of </w:t>
            </w:r>
            <w:proofErr w:type="gramStart"/>
            <w:r>
              <w:rPr>
                <w:rFonts w:cstheme="minorHAnsi"/>
              </w:rPr>
              <w:t>high level</w:t>
            </w:r>
            <w:proofErr w:type="gramEnd"/>
            <w:r>
              <w:rPr>
                <w:rFonts w:cstheme="minorHAnsi"/>
              </w:rPr>
              <w:t xml:space="preserve"> assessment – Stage 2:</w:t>
            </w:r>
          </w:p>
          <w:p w14:paraId="042C85B7"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sufficient relevance to proceed as a discrete procurement activity, go to step 5.</w:t>
            </w:r>
          </w:p>
          <w:p w14:paraId="3B126A97"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no relevance, or insufficient grounds for a discrete procurement activity, go to step 9.</w:t>
            </w:r>
          </w:p>
        </w:tc>
      </w:tr>
      <w:tr w:rsidR="000C20C0" w14:paraId="3CA3C08A"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71DF588" w14:textId="77777777" w:rsidR="000C20C0" w:rsidRDefault="000C20C0" w:rsidP="00E02901">
            <w:pPr>
              <w:spacing w:after="120"/>
              <w:rPr>
                <w:rFonts w:cstheme="minorHAnsi"/>
              </w:rPr>
            </w:pPr>
            <w:r>
              <w:rPr>
                <w:rFonts w:cstheme="minorHAnsi"/>
              </w:rPr>
              <w:t>5</w:t>
            </w:r>
          </w:p>
        </w:tc>
        <w:tc>
          <w:tcPr>
            <w:tcW w:w="8170" w:type="dxa"/>
          </w:tcPr>
          <w:p w14:paraId="63613726"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Assessment of relevance – stage 2</w:t>
            </w:r>
          </w:p>
          <w:p w14:paraId="238D975B"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sidRPr="000C20C0">
              <w:rPr>
                <w:rFonts w:cstheme="minorHAnsi"/>
              </w:rPr>
              <w:t xml:space="preserve">Program </w:t>
            </w:r>
            <w:proofErr w:type="gramStart"/>
            <w:r w:rsidRPr="000C20C0">
              <w:rPr>
                <w:rFonts w:cstheme="minorHAnsi"/>
              </w:rPr>
              <w:t>relevance</w:t>
            </w:r>
            <w:proofErr w:type="gramEnd"/>
          </w:p>
          <w:p w14:paraId="09F43CC7"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Project relevance</w:t>
            </w:r>
          </w:p>
          <w:p w14:paraId="79CC530A"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Priorities relevance</w:t>
            </w:r>
          </w:p>
          <w:p w14:paraId="2E9AA20B"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Pr>
                <w:rFonts w:cstheme="minorHAnsi"/>
              </w:rPr>
              <w:t>WoVG</w:t>
            </w:r>
            <w:proofErr w:type="spellEnd"/>
            <w:r>
              <w:rPr>
                <w:rFonts w:cstheme="minorHAnsi"/>
              </w:rPr>
              <w:t xml:space="preserve"> relevance</w:t>
            </w:r>
          </w:p>
          <w:p w14:paraId="7D4739C3"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Organisation impact</w:t>
            </w:r>
          </w:p>
          <w:p w14:paraId="307FEFC4"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Analysis of claimed </w:t>
            </w:r>
            <w:proofErr w:type="gramStart"/>
            <w:r>
              <w:rPr>
                <w:rFonts w:cstheme="minorHAnsi"/>
              </w:rPr>
              <w:t>innovation</w:t>
            </w:r>
            <w:proofErr w:type="gramEnd"/>
          </w:p>
          <w:p w14:paraId="371E0AD8"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Change management </w:t>
            </w:r>
            <w:proofErr w:type="gramStart"/>
            <w:r>
              <w:rPr>
                <w:rFonts w:cstheme="minorHAnsi"/>
              </w:rPr>
              <w:t>impact</w:t>
            </w:r>
            <w:proofErr w:type="gramEnd"/>
          </w:p>
          <w:p w14:paraId="1692D5BD" w14:textId="77777777" w:rsidR="000C20C0" w:rsidRDefault="000C20C0"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Market analysis</w:t>
            </w:r>
          </w:p>
          <w:p w14:paraId="1A1E8243" w14:textId="77777777" w:rsidR="000C20C0"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Secondary supply analysis</w:t>
            </w:r>
          </w:p>
          <w:p w14:paraId="1F780C93" w14:textId="77777777" w:rsidR="00B37868"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Cost benefit analysis</w:t>
            </w:r>
          </w:p>
          <w:p w14:paraId="5B871AC6" w14:textId="77777777" w:rsidR="00B37868"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Total cost of ownership</w:t>
            </w:r>
          </w:p>
          <w:p w14:paraId="691B00AF" w14:textId="77777777" w:rsidR="00B37868"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Risk </w:t>
            </w:r>
            <w:proofErr w:type="gramStart"/>
            <w:r>
              <w:rPr>
                <w:rFonts w:cstheme="minorHAnsi"/>
              </w:rPr>
              <w:t>assessment</w:t>
            </w:r>
            <w:proofErr w:type="gramEnd"/>
          </w:p>
          <w:p w14:paraId="4BF622D9" w14:textId="77777777" w:rsidR="00B37868" w:rsidRPr="000C20C0" w:rsidRDefault="00B37868" w:rsidP="008D7FBA">
            <w:pPr>
              <w:pStyle w:val="ListParagraph"/>
              <w:numPr>
                <w:ilvl w:val="0"/>
                <w:numId w:val="17"/>
              </w:num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Value for money assessment</w:t>
            </w:r>
          </w:p>
        </w:tc>
      </w:tr>
      <w:tr w:rsidR="000C20C0" w14:paraId="0DB71C67"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711E4293" w14:textId="77777777" w:rsidR="000C20C0" w:rsidRDefault="000C20C0" w:rsidP="00E02901">
            <w:pPr>
              <w:spacing w:after="120"/>
              <w:rPr>
                <w:rFonts w:cstheme="minorHAnsi"/>
              </w:rPr>
            </w:pPr>
            <w:r>
              <w:rPr>
                <w:rFonts w:cstheme="minorHAnsi"/>
              </w:rPr>
              <w:t>6</w:t>
            </w:r>
          </w:p>
        </w:tc>
        <w:tc>
          <w:tcPr>
            <w:tcW w:w="8170" w:type="dxa"/>
          </w:tcPr>
          <w:p w14:paraId="30ECF671"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relevant development business case and path to market strategy</w:t>
            </w:r>
          </w:p>
        </w:tc>
      </w:tr>
      <w:tr w:rsidR="000C20C0" w14:paraId="4B85CF2E"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4C95C9B" w14:textId="77777777" w:rsidR="000C20C0" w:rsidRDefault="000C20C0" w:rsidP="00E02901">
            <w:pPr>
              <w:spacing w:after="120"/>
              <w:rPr>
                <w:rFonts w:cstheme="minorHAnsi"/>
              </w:rPr>
            </w:pPr>
            <w:r>
              <w:rPr>
                <w:rFonts w:cstheme="minorHAnsi"/>
              </w:rPr>
              <w:t>7</w:t>
            </w:r>
          </w:p>
        </w:tc>
        <w:tc>
          <w:tcPr>
            <w:tcW w:w="8170" w:type="dxa"/>
          </w:tcPr>
          <w:p w14:paraId="7BF28131"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Refer to market analysis.</w:t>
            </w:r>
          </w:p>
          <w:p w14:paraId="215341AB" w14:textId="77777777" w:rsidR="00B37868" w:rsidRDefault="00B37868" w:rsidP="00B37868">
            <w:pPr>
              <w:cnfStyle w:val="000000010000" w:firstRow="0" w:lastRow="0" w:firstColumn="0" w:lastColumn="0" w:oddVBand="0" w:evenVBand="0" w:oddHBand="0" w:evenHBand="1" w:firstRowFirstColumn="0" w:firstRowLastColumn="0" w:lastRowFirstColumn="0" w:lastRowLastColumn="0"/>
            </w:pPr>
            <w:r>
              <w:t>Conducting a pilot appraisal and then proceeding to the wider market raises significant probity issues especially in relation to managing and disclosing IP. Standards of equity and fairness require all potential suppliers to have equal access to generated IP and any background information previously made available to the supplier of the unsolicited proposal.</w:t>
            </w:r>
          </w:p>
          <w:p w14:paraId="120B032F" w14:textId="77777777" w:rsidR="000C20C0" w:rsidRPr="00B37868" w:rsidRDefault="00B37868" w:rsidP="00B37868">
            <w:pPr>
              <w:cnfStyle w:val="000000010000" w:firstRow="0" w:lastRow="0" w:firstColumn="0" w:lastColumn="0" w:oddVBand="0" w:evenVBand="0" w:oddHBand="0" w:evenHBand="1" w:firstRowFirstColumn="0" w:firstRowLastColumn="0" w:lastRowFirstColumn="0" w:lastRowLastColumn="0"/>
            </w:pPr>
            <w:r>
              <w:t>Standard procurement processes apply when approaching the market with a quotation or any form of tender.</w:t>
            </w:r>
          </w:p>
        </w:tc>
      </w:tr>
      <w:tr w:rsidR="000C20C0" w14:paraId="6580EE1E"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6769FEE3" w14:textId="77777777" w:rsidR="000C20C0" w:rsidRDefault="000C20C0" w:rsidP="00E02901">
            <w:pPr>
              <w:spacing w:after="120"/>
              <w:rPr>
                <w:rFonts w:cstheme="minorHAnsi"/>
              </w:rPr>
            </w:pPr>
            <w:r>
              <w:rPr>
                <w:rFonts w:cstheme="minorHAnsi"/>
              </w:rPr>
              <w:t>8</w:t>
            </w:r>
          </w:p>
        </w:tc>
        <w:tc>
          <w:tcPr>
            <w:tcW w:w="8170" w:type="dxa"/>
          </w:tcPr>
          <w:p w14:paraId="686428DF" w14:textId="77777777" w:rsidR="000C20C0" w:rsidRDefault="000C20C0"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Conduct sourcing, evaluation, negotiation, selection engagement, contract management.  End of process</w:t>
            </w:r>
          </w:p>
        </w:tc>
      </w:tr>
      <w:tr w:rsidR="000C20C0" w14:paraId="39C4A5E3"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E3BDF73" w14:textId="77777777" w:rsidR="000C20C0" w:rsidRDefault="000C20C0" w:rsidP="00E02901">
            <w:pPr>
              <w:spacing w:after="120"/>
              <w:rPr>
                <w:rFonts w:cstheme="minorHAnsi"/>
              </w:rPr>
            </w:pPr>
            <w:r>
              <w:rPr>
                <w:rFonts w:cstheme="minorHAnsi"/>
              </w:rPr>
              <w:t>9</w:t>
            </w:r>
          </w:p>
        </w:tc>
        <w:tc>
          <w:tcPr>
            <w:tcW w:w="8170" w:type="dxa"/>
          </w:tcPr>
          <w:p w14:paraId="79F7FD7D" w14:textId="77777777" w:rsidR="000C20C0" w:rsidRDefault="000C20C0"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Inform proponent grounds for not proceeding as a discrete procurement activity or proceeding with the proposal as part of a normal process.</w:t>
            </w:r>
          </w:p>
        </w:tc>
      </w:tr>
    </w:tbl>
    <w:p w14:paraId="481CCA82" w14:textId="15DCD10C" w:rsidR="005B29CD" w:rsidRPr="009118E4" w:rsidRDefault="005B29CD" w:rsidP="009118E4">
      <w:pPr>
        <w:pStyle w:val="Heading2"/>
        <w:rPr>
          <w:color w:val="7030A0"/>
        </w:rPr>
      </w:pPr>
      <w:r w:rsidRPr="009118E4">
        <w:rPr>
          <w:color w:val="7030A0"/>
        </w:rPr>
        <w:t xml:space="preserve">Probity standards and assessing an </w:t>
      </w:r>
      <w:r w:rsidR="00A3454A" w:rsidRPr="009118E4">
        <w:rPr>
          <w:color w:val="7030A0"/>
        </w:rPr>
        <w:t xml:space="preserve">unsolicited </w:t>
      </w:r>
      <w:proofErr w:type="gramStart"/>
      <w:r w:rsidR="00A3454A" w:rsidRPr="009118E4">
        <w:rPr>
          <w:color w:val="7030A0"/>
        </w:rPr>
        <w:t>proposal</w:t>
      </w:r>
      <w:proofErr w:type="gramEnd"/>
    </w:p>
    <w:p w14:paraId="1391BD4A" w14:textId="77777777" w:rsidR="005B29CD" w:rsidRDefault="005B29CD" w:rsidP="005B29CD">
      <w:r>
        <w:t xml:space="preserve">If you choose to disregard unsolicited proposals, you could miss opportunities to achieve better value for money outcomes or to better understand the market in relation to a category of goods and services. </w:t>
      </w:r>
    </w:p>
    <w:p w14:paraId="59176E1D" w14:textId="77777777" w:rsidR="005B29CD" w:rsidRDefault="005B29CD" w:rsidP="005B29CD">
      <w:r>
        <w:t xml:space="preserve">However, an unsolicited proposal can give rise to significant probity and process issues. If you proceed with a proposal that </w:t>
      </w:r>
      <w:proofErr w:type="spellStart"/>
      <w:r>
        <w:t>pre empts</w:t>
      </w:r>
      <w:proofErr w:type="spellEnd"/>
      <w:r>
        <w:t xml:space="preserve"> wider market testing or </w:t>
      </w:r>
      <w:proofErr w:type="gramStart"/>
      <w:r>
        <w:t>you pilot</w:t>
      </w:r>
      <w:proofErr w:type="gramEnd"/>
      <w:r>
        <w:t xml:space="preserve"> the proposal, the broader supplier market could claim unfair advantage. If you do opt for a pilot and you want to test knowledge gained during the pilot, you need to create a ‘level playing field’ for other potential suppliers. </w:t>
      </w:r>
    </w:p>
    <w:p w14:paraId="72E82B25" w14:textId="77777777" w:rsidR="005B29CD" w:rsidRDefault="005B29CD" w:rsidP="005B29CD">
      <w:r>
        <w:t xml:space="preserve">The Minister’s office should be fully conversant with your organisation’s process for managing unsolicited bids to prevent any commitment by government before an appropriate testing and validation process. </w:t>
      </w:r>
    </w:p>
    <w:p w14:paraId="4FCC17C3" w14:textId="77777777" w:rsidR="00E465C2" w:rsidRPr="00E465C2" w:rsidRDefault="00E465C2" w:rsidP="00E465C2">
      <w:pPr>
        <w:pStyle w:val="Heading2"/>
        <w:keepNext/>
        <w:rPr>
          <w:color w:val="7030A0"/>
        </w:rPr>
      </w:pPr>
      <w:r w:rsidRPr="00E465C2">
        <w:rPr>
          <w:color w:val="7030A0"/>
        </w:rPr>
        <w:lastRenderedPageBreak/>
        <w:t>Using this guide</w:t>
      </w:r>
    </w:p>
    <w:p w14:paraId="63B86E47" w14:textId="53991BAB" w:rsidR="00E465C2" w:rsidRDefault="00E465C2" w:rsidP="00E465C2">
      <w:pPr>
        <w:spacing w:after="120" w:line="240" w:lineRule="auto"/>
        <w:rPr>
          <w:rFonts w:cstheme="minorHAnsi"/>
        </w:rPr>
      </w:pPr>
      <w:r>
        <w:rPr>
          <w:rFonts w:cstheme="minorHAnsi"/>
        </w:rPr>
        <w:t xml:space="preserve">This guide accompanies the </w:t>
      </w:r>
      <w:hyperlink r:id="rId9" w:history="1">
        <w:r w:rsidRPr="009E731D">
          <w:rPr>
            <w:rStyle w:val="Hyperlink"/>
            <w:rFonts w:cstheme="minorHAnsi"/>
          </w:rPr>
          <w:t>goods and services supply policies</w:t>
        </w:r>
      </w:hyperlink>
      <w:r>
        <w:rPr>
          <w:rFonts w:cstheme="minorHAnsi"/>
        </w:rPr>
        <w:t xml:space="preserve">. There are 5 </w:t>
      </w:r>
      <w:r w:rsidR="00021316">
        <w:rPr>
          <w:rFonts w:cstheme="minorHAnsi"/>
        </w:rPr>
        <w:t xml:space="preserve">supply </w:t>
      </w:r>
      <w:r>
        <w:rPr>
          <w:rFonts w:cstheme="minorHAnsi"/>
        </w:rPr>
        <w:t>policies:</w:t>
      </w:r>
    </w:p>
    <w:p w14:paraId="356B7CD9" w14:textId="77777777" w:rsidR="00E465C2" w:rsidRDefault="00E465C2" w:rsidP="008D7FBA">
      <w:pPr>
        <w:pStyle w:val="ListParagraph"/>
        <w:numPr>
          <w:ilvl w:val="0"/>
          <w:numId w:val="18"/>
        </w:numPr>
        <w:spacing w:before="0" w:after="120" w:line="240" w:lineRule="auto"/>
        <w:rPr>
          <w:rFonts w:cstheme="minorHAnsi"/>
        </w:rPr>
      </w:pPr>
      <w:r>
        <w:rPr>
          <w:rFonts w:cstheme="minorHAnsi"/>
        </w:rPr>
        <w:t>Governance policy</w:t>
      </w:r>
    </w:p>
    <w:p w14:paraId="14A98E9F" w14:textId="77777777" w:rsidR="0046344B" w:rsidRPr="00D879F1" w:rsidRDefault="0046344B" w:rsidP="0046344B">
      <w:pPr>
        <w:pStyle w:val="ListParagraph"/>
        <w:numPr>
          <w:ilvl w:val="0"/>
          <w:numId w:val="18"/>
        </w:numPr>
      </w:pPr>
      <w:r w:rsidRPr="00D879F1">
        <w:t xml:space="preserve">Complexity and capability </w:t>
      </w:r>
      <w:r>
        <w:t xml:space="preserve">assessment </w:t>
      </w:r>
      <w:r w:rsidRPr="00D879F1">
        <w:t>policy</w:t>
      </w:r>
    </w:p>
    <w:p w14:paraId="0743D1A0" w14:textId="77777777" w:rsidR="00E465C2" w:rsidRDefault="00E465C2" w:rsidP="008D7FBA">
      <w:pPr>
        <w:pStyle w:val="ListParagraph"/>
        <w:numPr>
          <w:ilvl w:val="0"/>
          <w:numId w:val="18"/>
        </w:numPr>
        <w:spacing w:before="0" w:after="120" w:line="240" w:lineRule="auto"/>
        <w:rPr>
          <w:rFonts w:cstheme="minorHAnsi"/>
        </w:rPr>
      </w:pPr>
      <w:r>
        <w:rPr>
          <w:rFonts w:cstheme="minorHAnsi"/>
        </w:rPr>
        <w:t>Market analysis and review policy</w:t>
      </w:r>
    </w:p>
    <w:p w14:paraId="4FCD96B4" w14:textId="77777777" w:rsidR="00E465C2" w:rsidRDefault="00E465C2" w:rsidP="008D7FBA">
      <w:pPr>
        <w:pStyle w:val="ListParagraph"/>
        <w:numPr>
          <w:ilvl w:val="0"/>
          <w:numId w:val="18"/>
        </w:numPr>
        <w:spacing w:before="0" w:after="120" w:line="240" w:lineRule="auto"/>
        <w:rPr>
          <w:rFonts w:cstheme="minorHAnsi"/>
        </w:rPr>
      </w:pPr>
      <w:r>
        <w:rPr>
          <w:rFonts w:cstheme="minorHAnsi"/>
        </w:rPr>
        <w:t>Market approach policy</w:t>
      </w:r>
    </w:p>
    <w:p w14:paraId="1D1B5E58" w14:textId="77777777" w:rsidR="00E465C2" w:rsidRDefault="00E465C2" w:rsidP="008D7FBA">
      <w:pPr>
        <w:pStyle w:val="ListParagraph"/>
        <w:numPr>
          <w:ilvl w:val="0"/>
          <w:numId w:val="18"/>
        </w:numPr>
        <w:spacing w:before="0" w:after="120" w:line="240" w:lineRule="auto"/>
        <w:rPr>
          <w:rFonts w:cstheme="minorHAnsi"/>
        </w:rPr>
      </w:pPr>
      <w:r>
        <w:rPr>
          <w:rFonts w:cstheme="minorHAnsi"/>
        </w:rPr>
        <w:t xml:space="preserve">Contract management and disclosure </w:t>
      </w:r>
      <w:proofErr w:type="gramStart"/>
      <w:r>
        <w:rPr>
          <w:rFonts w:cstheme="minorHAnsi"/>
        </w:rPr>
        <w:t>policy</w:t>
      </w:r>
      <w:proofErr w:type="gramEnd"/>
    </w:p>
    <w:p w14:paraId="3DFF1F79" w14:textId="77777777" w:rsidR="00E465C2" w:rsidRPr="00401617" w:rsidRDefault="00E465C2" w:rsidP="00E465C2">
      <w:pPr>
        <w:spacing w:after="120" w:line="240" w:lineRule="auto"/>
        <w:rPr>
          <w:rFonts w:cstheme="minorHAnsi"/>
        </w:rPr>
      </w:pPr>
      <w:r>
        <w:rPr>
          <w:rFonts w:cstheme="minorHAnsi"/>
        </w:rPr>
        <w:t>This guide supports all five policies.</w:t>
      </w:r>
    </w:p>
    <w:p w14:paraId="7F674610" w14:textId="77777777" w:rsidR="00435C31" w:rsidRDefault="00435C31" w:rsidP="005B29CD"/>
    <w:p w14:paraId="37F7BD3D" w14:textId="77777777" w:rsidR="005B29CD" w:rsidRDefault="005B29CD" w:rsidP="005B29CD"/>
    <w:p w14:paraId="2CAD0796" w14:textId="77777777" w:rsidR="00E907CE" w:rsidRDefault="00E907CE" w:rsidP="00E907CE"/>
    <w:p w14:paraId="0508CACE" w14:textId="77777777" w:rsidR="00E907CE" w:rsidRDefault="00E907CE" w:rsidP="00E907CE"/>
    <w:p w14:paraId="3D58F4FD" w14:textId="77777777" w:rsidR="00E907CE" w:rsidRDefault="00E907CE" w:rsidP="00E907CE"/>
    <w:p w14:paraId="18BB5193" w14:textId="28E55BD8" w:rsidR="00E907CE" w:rsidRDefault="00E907CE" w:rsidP="00E907CE"/>
    <w:p w14:paraId="02013554" w14:textId="0367926A" w:rsidR="00E907CE" w:rsidRDefault="00E907CE" w:rsidP="00E907CE"/>
    <w:p w14:paraId="37689725" w14:textId="427B3E79" w:rsidR="00E907CE" w:rsidRDefault="00E907CE" w:rsidP="00E907CE"/>
    <w:p w14:paraId="0D1882EC" w14:textId="00635ED8" w:rsidR="00E907CE" w:rsidRDefault="00E907CE" w:rsidP="00E907CE"/>
    <w:p w14:paraId="7F3A4667" w14:textId="79ABD7A0" w:rsidR="00E907CE" w:rsidRDefault="00E907CE" w:rsidP="00E907CE"/>
    <w:p w14:paraId="507C073D" w14:textId="5FBACA02" w:rsidR="00E907CE" w:rsidRDefault="00E907CE" w:rsidP="00E907CE"/>
    <w:p w14:paraId="1BE4AB1C" w14:textId="2E8518BB" w:rsidR="00E907CE" w:rsidRDefault="00E907CE" w:rsidP="00E907CE"/>
    <w:p w14:paraId="43128351" w14:textId="38449BE9" w:rsidR="00E907CE" w:rsidRDefault="00E907CE" w:rsidP="00E907CE"/>
    <w:p w14:paraId="3B1DF92F" w14:textId="07ED5B1E" w:rsidR="00E907CE" w:rsidRDefault="00E907CE" w:rsidP="00E907CE"/>
    <w:p w14:paraId="37CD359C" w14:textId="568E85DA" w:rsidR="00E907CE" w:rsidRDefault="00E907CE" w:rsidP="00E907CE"/>
    <w:p w14:paraId="34B1D06A" w14:textId="249552A5" w:rsidR="00E907CE" w:rsidRDefault="00E907CE" w:rsidP="00E907CE"/>
    <w:p w14:paraId="0F903925" w14:textId="2AECF292" w:rsidR="00E907CE" w:rsidRDefault="00E907CE" w:rsidP="00E907CE"/>
    <w:p w14:paraId="5F22925F" w14:textId="4C561D5A" w:rsidR="00E907CE" w:rsidRDefault="00E907CE" w:rsidP="00E907CE"/>
    <w:p w14:paraId="1EB0F38B" w14:textId="057BD9EA" w:rsidR="00E907CE" w:rsidRDefault="00E907CE" w:rsidP="00E907CE"/>
    <w:p w14:paraId="7B63A53E" w14:textId="38C7476A" w:rsidR="00E907CE" w:rsidRDefault="00E907CE" w:rsidP="00E907CE"/>
    <w:p w14:paraId="500B8C24" w14:textId="77777777" w:rsidR="00E907CE" w:rsidRDefault="00E907CE" w:rsidP="00E907CE"/>
    <w:p w14:paraId="34F96C41" w14:textId="77777777" w:rsidR="00E907CE" w:rsidRDefault="00E907CE" w:rsidP="00E907CE"/>
    <w:p w14:paraId="653528B3" w14:textId="668297EC" w:rsidR="00E907CE" w:rsidRPr="00F40172" w:rsidRDefault="008D4A6B" w:rsidP="00E907CE">
      <w:r>
        <w:t xml:space="preserve">© </w:t>
      </w:r>
      <w:r w:rsidR="00E907CE" w:rsidRPr="00F40172">
        <w:t xml:space="preserve">State of Victoria </w:t>
      </w:r>
      <w:r w:rsidR="00E907CE" w:rsidRPr="008D4A6B">
        <w:t>201</w:t>
      </w:r>
      <w:r>
        <w:t>2 (Victorian Government Purchasing Board)</w:t>
      </w:r>
    </w:p>
    <w:p w14:paraId="436752FD" w14:textId="77777777" w:rsidR="00E907CE" w:rsidRPr="00F40172" w:rsidRDefault="00E907CE" w:rsidP="00E907CE">
      <w:r w:rsidRPr="00F40172">
        <w:rPr>
          <w:noProof/>
        </w:rPr>
        <w:drawing>
          <wp:inline distT="0" distB="0" distL="0" distR="0" wp14:anchorId="7130DC25" wp14:editId="7A7A68F4">
            <wp:extent cx="1117460" cy="393651"/>
            <wp:effectExtent l="0" t="0" r="6985" b="6985"/>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F40172">
        <w:t xml:space="preserve"> </w:t>
      </w:r>
    </w:p>
    <w:p w14:paraId="6DE78654" w14:textId="77777777" w:rsidR="00E907CE" w:rsidRPr="00F40172" w:rsidRDefault="00E907CE" w:rsidP="00E907CE">
      <w:r w:rsidRPr="00F40172">
        <w:t xml:space="preserve">This work is licensed under a </w:t>
      </w:r>
      <w:hyperlink r:id="rId12" w:history="1">
        <w:r w:rsidRPr="00F40172">
          <w:rPr>
            <w:color w:val="660B68"/>
          </w:rPr>
          <w:t>Creative Commons Attribution 3.0 Australia licence</w:t>
        </w:r>
      </w:hyperlink>
      <w:r w:rsidRPr="00F40172">
        <w:t xml:space="preserve">. You are free to re-use the work under that licence, on the condition that you credit the State of Victoria as author. The licence does not apply to any images, </w:t>
      </w:r>
      <w:proofErr w:type="gramStart"/>
      <w:r w:rsidRPr="00F40172">
        <w:t>photographs</w:t>
      </w:r>
      <w:proofErr w:type="gramEnd"/>
      <w:r w:rsidRPr="00F40172">
        <w:t xml:space="preserve"> or branding, including the Victorian Coat of Arms, the Victorian Government logo and the Department of Treasury and Finance logo.</w:t>
      </w:r>
    </w:p>
    <w:p w14:paraId="66193D39" w14:textId="77777777" w:rsidR="00E907CE" w:rsidRPr="00F40172" w:rsidRDefault="00E907CE" w:rsidP="00E907CE">
      <w:r w:rsidRPr="00F40172">
        <w:t xml:space="preserve">Copyright queries may be directed to </w:t>
      </w:r>
      <w:hyperlink r:id="rId13" w:history="1">
        <w:r w:rsidRPr="00F40172">
          <w:rPr>
            <w:color w:val="660B68"/>
          </w:rPr>
          <w:t>IPpolicy@dtf.vic.gov.au</w:t>
        </w:r>
      </w:hyperlink>
    </w:p>
    <w:p w14:paraId="36239684" w14:textId="77777777" w:rsidR="005B29CD" w:rsidRDefault="005B29CD" w:rsidP="005B29CD"/>
    <w:sectPr w:rsidR="005B29CD" w:rsidSect="009118E4">
      <w:headerReference w:type="default" r:id="rId14"/>
      <w:footerReference w:type="default" r:id="rId15"/>
      <w:headerReference w:type="first" r:id="rId16"/>
      <w:footerReference w:type="first" r:id="rId17"/>
      <w:pgSz w:w="11901" w:h="16840" w:code="9"/>
      <w:pgMar w:top="1560" w:right="1008" w:bottom="1418" w:left="1152" w:header="568" w:footer="7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6827" w14:textId="77777777" w:rsidR="00D35095" w:rsidRDefault="00D35095">
      <w:r>
        <w:separator/>
      </w:r>
    </w:p>
    <w:p w14:paraId="59114AF3" w14:textId="77777777" w:rsidR="00D35095" w:rsidRDefault="00D35095"/>
  </w:endnote>
  <w:endnote w:type="continuationSeparator" w:id="0">
    <w:p w14:paraId="38630F1C" w14:textId="77777777" w:rsidR="00D35095" w:rsidRDefault="00D35095">
      <w:r>
        <w:continuationSeparator/>
      </w:r>
    </w:p>
    <w:p w14:paraId="4B476E4D" w14:textId="77777777" w:rsidR="00D35095" w:rsidRDefault="00D35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1C158" w14:textId="05504C3A" w:rsidR="008D4A6B" w:rsidRDefault="008D4A6B" w:rsidP="009118E4">
    <w:pPr>
      <w:pStyle w:val="Footer"/>
      <w:tabs>
        <w:tab w:val="clear" w:pos="8220"/>
        <w:tab w:val="right" w:pos="9639"/>
      </w:tabs>
      <w:jc w:val="left"/>
    </w:pPr>
    <w:r>
      <w:t>Victorian Government Purchasing Board</w:t>
    </w:r>
  </w:p>
  <w:p w14:paraId="2DC070A8" w14:textId="0520BD7B" w:rsidR="00304E7F" w:rsidRDefault="000B7F25" w:rsidP="009118E4">
    <w:pPr>
      <w:pStyle w:val="Footer"/>
      <w:tabs>
        <w:tab w:val="clear" w:pos="8220"/>
        <w:tab w:val="right" w:pos="9639"/>
      </w:tabs>
      <w:jc w:val="left"/>
    </w:pPr>
    <w:r>
      <mc:AlternateContent>
        <mc:Choice Requires="wps">
          <w:drawing>
            <wp:anchor distT="0" distB="0" distL="114300" distR="114300" simplePos="0" relativeHeight="251688448" behindDoc="0" locked="0" layoutInCell="0" allowOverlap="1" wp14:anchorId="2BD98E57" wp14:editId="78C28DAD">
              <wp:simplePos x="0" y="0"/>
              <wp:positionH relativeFrom="page">
                <wp:posOffset>0</wp:posOffset>
              </wp:positionH>
              <wp:positionV relativeFrom="page">
                <wp:posOffset>10236200</wp:posOffset>
              </wp:positionV>
              <wp:extent cx="7557135" cy="266700"/>
              <wp:effectExtent l="0" t="0" r="0" b="0"/>
              <wp:wrapNone/>
              <wp:docPr id="290" name="MSIPCM52d146cc9252199d338c90b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EA6AE" w14:textId="69645C40" w:rsidR="000B7F25" w:rsidRPr="000B7F25" w:rsidRDefault="000B7F25" w:rsidP="000B7F25">
                          <w:pPr>
                            <w:spacing w:before="0" w:after="0"/>
                            <w:rPr>
                              <w:color w:val="000000"/>
                            </w:rPr>
                          </w:pPr>
                          <w:r w:rsidRPr="000B7F2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D98E57" id="_x0000_t202" coordsize="21600,21600" o:spt="202" path="m,l,21600r21600,l21600,xe">
              <v:stroke joinstyle="miter"/>
              <v:path gradientshapeok="t" o:connecttype="rect"/>
            </v:shapetype>
            <v:shape id="MSIPCM52d146cc9252199d338c90b0"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25EA6AE" w14:textId="69645C40" w:rsidR="000B7F25" w:rsidRPr="000B7F25" w:rsidRDefault="000B7F25" w:rsidP="000B7F25">
                    <w:pPr>
                      <w:spacing w:before="0" w:after="0"/>
                      <w:rPr>
                        <w:color w:val="000000"/>
                      </w:rPr>
                    </w:pPr>
                    <w:r w:rsidRPr="000B7F25">
                      <w:rPr>
                        <w:color w:val="000000"/>
                      </w:rPr>
                      <w:t>OFFICIAL</w:t>
                    </w:r>
                  </w:p>
                </w:txbxContent>
              </v:textbox>
              <w10:wrap anchorx="page" anchory="page"/>
            </v:shape>
          </w:pict>
        </mc:Fallback>
      </mc:AlternateContent>
    </w:r>
    <w:r w:rsidR="009118E4">
      <w:t xml:space="preserve">Managing </w:t>
    </w:r>
    <w:r w:rsidR="00FF3CFF">
      <w:t xml:space="preserve">an </w:t>
    </w:r>
    <w:r w:rsidR="009118E4">
      <w:t>unsolicited proposal – Goods and services procurement guide</w:t>
    </w:r>
    <w:r w:rsidR="009118E4">
      <w:br/>
    </w:r>
    <w:r w:rsidR="008D4A6B">
      <w:t>October 2012</w:t>
    </w:r>
    <w:r w:rsidR="009118E4">
      <w:tab/>
    </w:r>
    <w:sdt>
      <w:sdtPr>
        <w:id w:val="-315959892"/>
        <w:docPartObj>
          <w:docPartGallery w:val="Page Numbers (Bottom of Page)"/>
          <w:docPartUnique/>
        </w:docPartObj>
      </w:sdtPr>
      <w:sdtContent>
        <w:sdt>
          <w:sdtPr>
            <w:id w:val="-1609348429"/>
            <w:docPartObj>
              <w:docPartGallery w:val="Page Numbers (Top of Page)"/>
              <w:docPartUnique/>
            </w:docPartObj>
          </w:sdtPr>
          <w:sdtContent>
            <w:r w:rsidR="009118E4">
              <w:t xml:space="preserve">Page </w:t>
            </w:r>
            <w:r w:rsidR="009118E4">
              <w:rPr>
                <w:b/>
                <w:bCs/>
                <w:sz w:val="24"/>
                <w:szCs w:val="24"/>
              </w:rPr>
              <w:fldChar w:fldCharType="begin"/>
            </w:r>
            <w:r w:rsidR="009118E4">
              <w:rPr>
                <w:b/>
                <w:bCs/>
              </w:rPr>
              <w:instrText xml:space="preserve"> PAGE </w:instrText>
            </w:r>
            <w:r w:rsidR="009118E4">
              <w:rPr>
                <w:b/>
                <w:bCs/>
                <w:sz w:val="24"/>
                <w:szCs w:val="24"/>
              </w:rPr>
              <w:fldChar w:fldCharType="separate"/>
            </w:r>
            <w:r w:rsidR="009118E4">
              <w:rPr>
                <w:b/>
                <w:bCs/>
              </w:rPr>
              <w:t>2</w:t>
            </w:r>
            <w:r w:rsidR="009118E4">
              <w:rPr>
                <w:b/>
                <w:bCs/>
                <w:sz w:val="24"/>
                <w:szCs w:val="24"/>
              </w:rPr>
              <w:fldChar w:fldCharType="end"/>
            </w:r>
            <w:r w:rsidR="009118E4">
              <w:t xml:space="preserve"> of </w:t>
            </w:r>
            <w:r w:rsidR="009118E4">
              <w:rPr>
                <w:b/>
                <w:bCs/>
                <w:sz w:val="24"/>
                <w:szCs w:val="24"/>
              </w:rPr>
              <w:fldChar w:fldCharType="begin"/>
            </w:r>
            <w:r w:rsidR="009118E4">
              <w:rPr>
                <w:b/>
                <w:bCs/>
              </w:rPr>
              <w:instrText xml:space="preserve"> NUMPAGES  </w:instrText>
            </w:r>
            <w:r w:rsidR="009118E4">
              <w:rPr>
                <w:b/>
                <w:bCs/>
                <w:sz w:val="24"/>
                <w:szCs w:val="24"/>
              </w:rPr>
              <w:fldChar w:fldCharType="separate"/>
            </w:r>
            <w:r w:rsidR="009118E4">
              <w:rPr>
                <w:b/>
                <w:bCs/>
              </w:rPr>
              <w:t>2</w:t>
            </w:r>
            <w:r w:rsidR="009118E4">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6F35" w14:textId="77777777" w:rsidR="00304E7F" w:rsidRDefault="00304E7F" w:rsidP="003C0F49">
    <w:pPr>
      <w:pStyle w:val="Footer"/>
    </w:pPr>
    <w:r>
      <w:drawing>
        <wp:anchor distT="0" distB="0" distL="114300" distR="114300" simplePos="0" relativeHeight="251656704" behindDoc="0" locked="0" layoutInCell="1" allowOverlap="1" wp14:anchorId="361BBC8B" wp14:editId="611CF490">
          <wp:simplePos x="0" y="0"/>
          <wp:positionH relativeFrom="column">
            <wp:posOffset>5861050</wp:posOffset>
          </wp:positionH>
          <wp:positionV relativeFrom="page">
            <wp:posOffset>10049510</wp:posOffset>
          </wp:positionV>
          <wp:extent cx="758952" cy="438912"/>
          <wp:effectExtent l="0" t="0" r="3175" b="0"/>
          <wp:wrapNone/>
          <wp:docPr id="289" name="Picture 289"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559AE" w14:textId="77777777" w:rsidR="00D35095" w:rsidRDefault="00D35095">
      <w:r>
        <w:separator/>
      </w:r>
    </w:p>
    <w:p w14:paraId="55DE22BB" w14:textId="77777777" w:rsidR="00D35095" w:rsidRDefault="00D35095"/>
  </w:footnote>
  <w:footnote w:type="continuationSeparator" w:id="0">
    <w:p w14:paraId="51D41BC8" w14:textId="77777777" w:rsidR="00D35095" w:rsidRDefault="00D35095">
      <w:r>
        <w:continuationSeparator/>
      </w:r>
    </w:p>
    <w:p w14:paraId="513AB919" w14:textId="77777777" w:rsidR="00D35095" w:rsidRDefault="00D35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7D6B" w14:textId="08C1BCAD" w:rsidR="00304E7F" w:rsidRPr="009118E4" w:rsidRDefault="009118E4" w:rsidP="009118E4">
    <w:pPr>
      <w:pStyle w:val="Header"/>
      <w:tabs>
        <w:tab w:val="clear" w:pos="10350"/>
        <w:tab w:val="right" w:pos="9639"/>
      </w:tabs>
      <w:spacing w:before="240"/>
      <w:ind w:right="102"/>
      <w:rPr>
        <w:sz w:val="20"/>
        <w:szCs w:val="20"/>
      </w:rPr>
    </w:pPr>
    <w:r>
      <w:rPr>
        <w:sz w:val="20"/>
        <w:szCs w:val="20"/>
      </w:rPr>
      <w:t xml:space="preserve">Department of </w:t>
    </w:r>
    <w:r w:rsidR="00867E8D">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3D9A" w14:textId="77777777" w:rsidR="00304E7F" w:rsidRPr="007602D7" w:rsidRDefault="00304E7F" w:rsidP="00B54F88">
    <w:pPr>
      <w:pStyle w:val="Header"/>
      <w:spacing w:before="240"/>
      <w:ind w:right="-461"/>
    </w:pPr>
    <w:r w:rsidRPr="000E286D">
      <w:drawing>
        <wp:anchor distT="0" distB="0" distL="114300" distR="114300" simplePos="0" relativeHeight="251662848" behindDoc="1" locked="0" layoutInCell="1" allowOverlap="1" wp14:anchorId="2CAC1179" wp14:editId="60270727">
          <wp:simplePos x="0" y="0"/>
          <wp:positionH relativeFrom="column">
            <wp:posOffset>-731520</wp:posOffset>
          </wp:positionH>
          <wp:positionV relativeFrom="paragraph">
            <wp:posOffset>-200133</wp:posOffset>
          </wp:positionV>
          <wp:extent cx="560717" cy="10717356"/>
          <wp:effectExtent l="0" t="0" r="0" b="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44A45D9" wp14:editId="40667823">
          <wp:extent cx="2162175" cy="133350"/>
          <wp:effectExtent l="0" t="0" r="0" b="0"/>
          <wp:docPr id="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74D4E47"/>
    <w:multiLevelType w:val="hybridMultilevel"/>
    <w:tmpl w:val="7CE26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9"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0" w15:restartNumberingAfterBreak="0">
    <w:nsid w:val="21DA635B"/>
    <w:multiLevelType w:val="hybridMultilevel"/>
    <w:tmpl w:val="EBBC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2" w15:restartNumberingAfterBreak="0">
    <w:nsid w:val="2C9C16B6"/>
    <w:multiLevelType w:val="hybridMultilevel"/>
    <w:tmpl w:val="E61ED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8"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9" w15:restartNumberingAfterBreak="0">
    <w:nsid w:val="4C6E640E"/>
    <w:multiLevelType w:val="hybridMultilevel"/>
    <w:tmpl w:val="5A4A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4"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29"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0"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2" w15:restartNumberingAfterBreak="0">
    <w:nsid w:val="79C9777D"/>
    <w:multiLevelType w:val="hybridMultilevel"/>
    <w:tmpl w:val="9DA8D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0495207">
    <w:abstractNumId w:val="17"/>
  </w:num>
  <w:num w:numId="2" w16cid:durableId="1175804276">
    <w:abstractNumId w:val="2"/>
  </w:num>
  <w:num w:numId="3" w16cid:durableId="175965528">
    <w:abstractNumId w:val="1"/>
  </w:num>
  <w:num w:numId="4" w16cid:durableId="553784250">
    <w:abstractNumId w:val="0"/>
  </w:num>
  <w:num w:numId="5" w16cid:durableId="405344612">
    <w:abstractNumId w:val="11"/>
  </w:num>
  <w:num w:numId="6" w16cid:durableId="183634919">
    <w:abstractNumId w:val="13"/>
  </w:num>
  <w:num w:numId="7" w16cid:durableId="1492326827">
    <w:abstractNumId w:val="22"/>
  </w:num>
  <w:num w:numId="8" w16cid:durableId="944309043">
    <w:abstractNumId w:val="20"/>
  </w:num>
  <w:num w:numId="9" w16cid:durableId="1055858484">
    <w:abstractNumId w:val="25"/>
  </w:num>
  <w:num w:numId="10" w16cid:durableId="226453855">
    <w:abstractNumId w:val="9"/>
  </w:num>
  <w:num w:numId="11" w16cid:durableId="1301765414">
    <w:abstractNumId w:val="5"/>
  </w:num>
  <w:num w:numId="12" w16cid:durableId="2040085763">
    <w:abstractNumId w:val="24"/>
  </w:num>
  <w:num w:numId="13" w16cid:durableId="1913739064">
    <w:abstractNumId w:val="12"/>
  </w:num>
  <w:num w:numId="14" w16cid:durableId="178392530">
    <w:abstractNumId w:val="4"/>
  </w:num>
  <w:num w:numId="15" w16cid:durableId="933246899">
    <w:abstractNumId w:val="10"/>
  </w:num>
  <w:num w:numId="16" w16cid:durableId="1608809641">
    <w:abstractNumId w:val="19"/>
  </w:num>
  <w:num w:numId="17" w16cid:durableId="741412138">
    <w:abstractNumId w:val="32"/>
  </w:num>
  <w:num w:numId="18" w16cid:durableId="43648115">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1316"/>
    <w:rsid w:val="00026C82"/>
    <w:rsid w:val="0004698A"/>
    <w:rsid w:val="00063BFD"/>
    <w:rsid w:val="00086691"/>
    <w:rsid w:val="00086AD6"/>
    <w:rsid w:val="000949CB"/>
    <w:rsid w:val="000B7F25"/>
    <w:rsid w:val="000C141A"/>
    <w:rsid w:val="000C1C01"/>
    <w:rsid w:val="000C20C0"/>
    <w:rsid w:val="000C3368"/>
    <w:rsid w:val="000C3814"/>
    <w:rsid w:val="000E4881"/>
    <w:rsid w:val="000E5B4E"/>
    <w:rsid w:val="000F54E7"/>
    <w:rsid w:val="00102BFC"/>
    <w:rsid w:val="00104077"/>
    <w:rsid w:val="001205F6"/>
    <w:rsid w:val="001213BE"/>
    <w:rsid w:val="00122EAB"/>
    <w:rsid w:val="001251C4"/>
    <w:rsid w:val="00126C86"/>
    <w:rsid w:val="00135230"/>
    <w:rsid w:val="00143A23"/>
    <w:rsid w:val="00143D22"/>
    <w:rsid w:val="0015674B"/>
    <w:rsid w:val="00157448"/>
    <w:rsid w:val="0016250E"/>
    <w:rsid w:val="00164424"/>
    <w:rsid w:val="00181844"/>
    <w:rsid w:val="00184E1A"/>
    <w:rsid w:val="0018749C"/>
    <w:rsid w:val="001A7B19"/>
    <w:rsid w:val="001B0B3F"/>
    <w:rsid w:val="001C0319"/>
    <w:rsid w:val="001C351D"/>
    <w:rsid w:val="001C6970"/>
    <w:rsid w:val="001D0547"/>
    <w:rsid w:val="001D5E05"/>
    <w:rsid w:val="001D60E6"/>
    <w:rsid w:val="001E0A43"/>
    <w:rsid w:val="001E67A9"/>
    <w:rsid w:val="00205B35"/>
    <w:rsid w:val="002063AC"/>
    <w:rsid w:val="00217487"/>
    <w:rsid w:val="00225175"/>
    <w:rsid w:val="002344F7"/>
    <w:rsid w:val="002437BD"/>
    <w:rsid w:val="00247EA9"/>
    <w:rsid w:val="00252F44"/>
    <w:rsid w:val="002578C1"/>
    <w:rsid w:val="00260106"/>
    <w:rsid w:val="00267317"/>
    <w:rsid w:val="00267638"/>
    <w:rsid w:val="00283A24"/>
    <w:rsid w:val="002A18C2"/>
    <w:rsid w:val="002A4C3E"/>
    <w:rsid w:val="002C4EC9"/>
    <w:rsid w:val="002C6424"/>
    <w:rsid w:val="002D3826"/>
    <w:rsid w:val="002E1673"/>
    <w:rsid w:val="002E7EFC"/>
    <w:rsid w:val="002F2549"/>
    <w:rsid w:val="002F64DF"/>
    <w:rsid w:val="002F7AEB"/>
    <w:rsid w:val="003005C6"/>
    <w:rsid w:val="00304E7F"/>
    <w:rsid w:val="00306CBA"/>
    <w:rsid w:val="00307CC0"/>
    <w:rsid w:val="00322500"/>
    <w:rsid w:val="00351035"/>
    <w:rsid w:val="0035331C"/>
    <w:rsid w:val="00370867"/>
    <w:rsid w:val="003738EE"/>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C4879"/>
    <w:rsid w:val="003D01BD"/>
    <w:rsid w:val="003E230C"/>
    <w:rsid w:val="003E66B9"/>
    <w:rsid w:val="003F016E"/>
    <w:rsid w:val="003F45D9"/>
    <w:rsid w:val="003F4E27"/>
    <w:rsid w:val="00402FED"/>
    <w:rsid w:val="004113E1"/>
    <w:rsid w:val="00422FAB"/>
    <w:rsid w:val="00427659"/>
    <w:rsid w:val="00430A03"/>
    <w:rsid w:val="00435C31"/>
    <w:rsid w:val="004455A7"/>
    <w:rsid w:val="00451758"/>
    <w:rsid w:val="00456B6B"/>
    <w:rsid w:val="00462DB3"/>
    <w:rsid w:val="0046344B"/>
    <w:rsid w:val="00466D77"/>
    <w:rsid w:val="00467979"/>
    <w:rsid w:val="00474471"/>
    <w:rsid w:val="00475FC8"/>
    <w:rsid w:val="00480708"/>
    <w:rsid w:val="004907E5"/>
    <w:rsid w:val="004A2DD7"/>
    <w:rsid w:val="004A460D"/>
    <w:rsid w:val="004A6A50"/>
    <w:rsid w:val="004B0978"/>
    <w:rsid w:val="004B534D"/>
    <w:rsid w:val="004C7E27"/>
    <w:rsid w:val="004D7D40"/>
    <w:rsid w:val="004F1A9B"/>
    <w:rsid w:val="005013B3"/>
    <w:rsid w:val="00505FD8"/>
    <w:rsid w:val="00506E38"/>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29CD"/>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96"/>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128D"/>
    <w:rsid w:val="007A6388"/>
    <w:rsid w:val="007B0E7B"/>
    <w:rsid w:val="007B4F5D"/>
    <w:rsid w:val="007B511D"/>
    <w:rsid w:val="007B546A"/>
    <w:rsid w:val="007C0F87"/>
    <w:rsid w:val="007C35C1"/>
    <w:rsid w:val="007C7C80"/>
    <w:rsid w:val="007D6194"/>
    <w:rsid w:val="0080166B"/>
    <w:rsid w:val="00803B4C"/>
    <w:rsid w:val="00810AB4"/>
    <w:rsid w:val="00811BA7"/>
    <w:rsid w:val="00813444"/>
    <w:rsid w:val="00813D23"/>
    <w:rsid w:val="00820D82"/>
    <w:rsid w:val="00821B10"/>
    <w:rsid w:val="0082304B"/>
    <w:rsid w:val="0082311D"/>
    <w:rsid w:val="00840293"/>
    <w:rsid w:val="008410D5"/>
    <w:rsid w:val="008433CF"/>
    <w:rsid w:val="00846677"/>
    <w:rsid w:val="00857C3A"/>
    <w:rsid w:val="008645CD"/>
    <w:rsid w:val="00867E8D"/>
    <w:rsid w:val="0087108A"/>
    <w:rsid w:val="00872CD7"/>
    <w:rsid w:val="00886A1C"/>
    <w:rsid w:val="008A3BC9"/>
    <w:rsid w:val="008A3BE3"/>
    <w:rsid w:val="008B00A2"/>
    <w:rsid w:val="008B2BD7"/>
    <w:rsid w:val="008B7C35"/>
    <w:rsid w:val="008C5DD9"/>
    <w:rsid w:val="008D2825"/>
    <w:rsid w:val="008D4A6B"/>
    <w:rsid w:val="008D74B1"/>
    <w:rsid w:val="008D7FBA"/>
    <w:rsid w:val="008E5070"/>
    <w:rsid w:val="008E7403"/>
    <w:rsid w:val="008F1C0C"/>
    <w:rsid w:val="00900A09"/>
    <w:rsid w:val="009074D9"/>
    <w:rsid w:val="009118E4"/>
    <w:rsid w:val="00915450"/>
    <w:rsid w:val="0091711E"/>
    <w:rsid w:val="0092029B"/>
    <w:rsid w:val="00925CAA"/>
    <w:rsid w:val="00925F83"/>
    <w:rsid w:val="00933996"/>
    <w:rsid w:val="009342B3"/>
    <w:rsid w:val="00951F3D"/>
    <w:rsid w:val="00956416"/>
    <w:rsid w:val="009572B6"/>
    <w:rsid w:val="009647C8"/>
    <w:rsid w:val="00967F9A"/>
    <w:rsid w:val="0098017E"/>
    <w:rsid w:val="00980547"/>
    <w:rsid w:val="0098787E"/>
    <w:rsid w:val="00993D1E"/>
    <w:rsid w:val="009A419F"/>
    <w:rsid w:val="009A6A13"/>
    <w:rsid w:val="009C2652"/>
    <w:rsid w:val="009C2923"/>
    <w:rsid w:val="009C3719"/>
    <w:rsid w:val="009C51C5"/>
    <w:rsid w:val="009C759C"/>
    <w:rsid w:val="009D19FA"/>
    <w:rsid w:val="009D34EB"/>
    <w:rsid w:val="009E5467"/>
    <w:rsid w:val="009E5F72"/>
    <w:rsid w:val="009E731D"/>
    <w:rsid w:val="00A135CF"/>
    <w:rsid w:val="00A170DF"/>
    <w:rsid w:val="00A23384"/>
    <w:rsid w:val="00A26015"/>
    <w:rsid w:val="00A3454A"/>
    <w:rsid w:val="00A37A4F"/>
    <w:rsid w:val="00A40F98"/>
    <w:rsid w:val="00A5202A"/>
    <w:rsid w:val="00A6456E"/>
    <w:rsid w:val="00A67EEB"/>
    <w:rsid w:val="00A8571E"/>
    <w:rsid w:val="00A87845"/>
    <w:rsid w:val="00A90F14"/>
    <w:rsid w:val="00AA5A6B"/>
    <w:rsid w:val="00AC27DA"/>
    <w:rsid w:val="00AC476E"/>
    <w:rsid w:val="00AD2349"/>
    <w:rsid w:val="00AE6C2E"/>
    <w:rsid w:val="00AE7BC6"/>
    <w:rsid w:val="00AF3197"/>
    <w:rsid w:val="00AF63CF"/>
    <w:rsid w:val="00AF7E39"/>
    <w:rsid w:val="00B10361"/>
    <w:rsid w:val="00B12BD8"/>
    <w:rsid w:val="00B217D9"/>
    <w:rsid w:val="00B3351E"/>
    <w:rsid w:val="00B37868"/>
    <w:rsid w:val="00B44C41"/>
    <w:rsid w:val="00B54F88"/>
    <w:rsid w:val="00B57C72"/>
    <w:rsid w:val="00B60925"/>
    <w:rsid w:val="00B71063"/>
    <w:rsid w:val="00B82136"/>
    <w:rsid w:val="00B96F20"/>
    <w:rsid w:val="00BA277B"/>
    <w:rsid w:val="00BA7830"/>
    <w:rsid w:val="00BC0888"/>
    <w:rsid w:val="00BC60A9"/>
    <w:rsid w:val="00BD45AA"/>
    <w:rsid w:val="00BE09D0"/>
    <w:rsid w:val="00BE1393"/>
    <w:rsid w:val="00C004D2"/>
    <w:rsid w:val="00C01977"/>
    <w:rsid w:val="00C14C6C"/>
    <w:rsid w:val="00C16FF3"/>
    <w:rsid w:val="00C252AE"/>
    <w:rsid w:val="00C30D1D"/>
    <w:rsid w:val="00C3191D"/>
    <w:rsid w:val="00C41C46"/>
    <w:rsid w:val="00C71D9D"/>
    <w:rsid w:val="00C81316"/>
    <w:rsid w:val="00C850E0"/>
    <w:rsid w:val="00CA4310"/>
    <w:rsid w:val="00CB307B"/>
    <w:rsid w:val="00CB4E50"/>
    <w:rsid w:val="00CB72F7"/>
    <w:rsid w:val="00CB793A"/>
    <w:rsid w:val="00CD4CC5"/>
    <w:rsid w:val="00CE2166"/>
    <w:rsid w:val="00D000C1"/>
    <w:rsid w:val="00D06C25"/>
    <w:rsid w:val="00D25E99"/>
    <w:rsid w:val="00D31E02"/>
    <w:rsid w:val="00D35095"/>
    <w:rsid w:val="00D355EE"/>
    <w:rsid w:val="00D40B9E"/>
    <w:rsid w:val="00D456E5"/>
    <w:rsid w:val="00D465CB"/>
    <w:rsid w:val="00D57AA5"/>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5C2"/>
    <w:rsid w:val="00E46801"/>
    <w:rsid w:val="00E47A3E"/>
    <w:rsid w:val="00E500D1"/>
    <w:rsid w:val="00E5224A"/>
    <w:rsid w:val="00E54015"/>
    <w:rsid w:val="00E557E9"/>
    <w:rsid w:val="00E7585E"/>
    <w:rsid w:val="00E907CE"/>
    <w:rsid w:val="00E95128"/>
    <w:rsid w:val="00E97E50"/>
    <w:rsid w:val="00EA07C3"/>
    <w:rsid w:val="00EB2189"/>
    <w:rsid w:val="00EC1C00"/>
    <w:rsid w:val="00EC708F"/>
    <w:rsid w:val="00ED03A1"/>
    <w:rsid w:val="00ED1E2A"/>
    <w:rsid w:val="00ED45BB"/>
    <w:rsid w:val="00EE7442"/>
    <w:rsid w:val="00EF03B9"/>
    <w:rsid w:val="00EF17FB"/>
    <w:rsid w:val="00EF637C"/>
    <w:rsid w:val="00F006B6"/>
    <w:rsid w:val="00F00827"/>
    <w:rsid w:val="00F031EB"/>
    <w:rsid w:val="00F15703"/>
    <w:rsid w:val="00F23055"/>
    <w:rsid w:val="00F23661"/>
    <w:rsid w:val="00F2435D"/>
    <w:rsid w:val="00F2502B"/>
    <w:rsid w:val="00F25823"/>
    <w:rsid w:val="00F26F35"/>
    <w:rsid w:val="00F31235"/>
    <w:rsid w:val="00F355BA"/>
    <w:rsid w:val="00F42424"/>
    <w:rsid w:val="00F42854"/>
    <w:rsid w:val="00F52F0F"/>
    <w:rsid w:val="00F57633"/>
    <w:rsid w:val="00F67E0A"/>
    <w:rsid w:val="00F75426"/>
    <w:rsid w:val="00F82C16"/>
    <w:rsid w:val="00F85551"/>
    <w:rsid w:val="00FA0273"/>
    <w:rsid w:val="00FA1DF1"/>
    <w:rsid w:val="00FB6601"/>
    <w:rsid w:val="00FB6B27"/>
    <w:rsid w:val="00FC023A"/>
    <w:rsid w:val="00FC5C2E"/>
    <w:rsid w:val="00FE710E"/>
    <w:rsid w:val="00FF3CFF"/>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3D85C369"/>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02FED"/>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1"/>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5B29CD"/>
    <w:pPr>
      <w:spacing w:before="0" w:line="240" w:lineRule="auto"/>
    </w:pPr>
    <w:rPr>
      <w:noProof/>
      <w:color w:val="4C4C4C"/>
      <w:sz w:val="32"/>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9"/>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11"/>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11"/>
      </w:numPr>
    </w:pPr>
  </w:style>
  <w:style w:type="paragraph" w:customStyle="1" w:styleId="Num3">
    <w:name w:val="Num3"/>
    <w:basedOn w:val="Normal"/>
    <w:rsid w:val="00026C82"/>
    <w:pPr>
      <w:numPr>
        <w:ilvl w:val="2"/>
        <w:numId w:val="11"/>
      </w:numPr>
    </w:pPr>
  </w:style>
  <w:style w:type="character" w:customStyle="1" w:styleId="SubtitleChar">
    <w:name w:val="Subtitle Char"/>
    <w:basedOn w:val="DefaultParagraphFont"/>
    <w:link w:val="Subtitle"/>
    <w:uiPriority w:val="29"/>
    <w:rsid w:val="005B29CD"/>
    <w:rPr>
      <w:rFonts w:ascii="Calibri" w:hAnsi="Calibri" w:cs="Calibri"/>
      <w:noProof/>
      <w:color w:val="4C4C4C"/>
      <w:sz w:val="32"/>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12"/>
      </w:numPr>
      <w:ind w:left="360"/>
    </w:pPr>
  </w:style>
  <w:style w:type="paragraph" w:customStyle="1" w:styleId="TableTextBold">
    <w:name w:val="Table Text Bold"/>
    <w:basedOn w:val="TableText"/>
    <w:qFormat/>
    <w:rsid w:val="00D465CB"/>
    <w:pPr>
      <w:spacing w:before="20" w:after="20"/>
    </w:pPr>
    <w:rPr>
      <w:b/>
      <w:sz w:val="18"/>
    </w:rPr>
  </w:style>
  <w:style w:type="character" w:customStyle="1" w:styleId="CommentTextChar">
    <w:name w:val="Comment Text Char"/>
    <w:basedOn w:val="DefaultParagraphFont"/>
    <w:link w:val="CommentText"/>
    <w:uiPriority w:val="99"/>
    <w:rsid w:val="00E465C2"/>
    <w:rPr>
      <w:rFonts w:ascii="Calibri" w:hAnsi="Calibri" w:cs="Calibri"/>
      <w:sz w:val="22"/>
      <w:szCs w:val="22"/>
    </w:rPr>
  </w:style>
  <w:style w:type="character" w:styleId="UnresolvedMention">
    <w:name w:val="Unresolved Mention"/>
    <w:basedOn w:val="DefaultParagraphFont"/>
    <w:uiPriority w:val="99"/>
    <w:semiHidden/>
    <w:unhideWhenUsed/>
    <w:rsid w:val="009E7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goods-services-supply-polic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F5B6764-6515-410D-9865-472B8DE0263B}">
  <ds:schemaRefs>
    <ds:schemaRef ds:uri="http://schemas.openxmlformats.org/officeDocument/2006/bibliography"/>
  </ds:schemaRefs>
</ds:datastoreItem>
</file>

<file path=customXml/itemProps2.xml><?xml version="1.0" encoding="utf-8"?>
<ds:datastoreItem xmlns:ds="http://schemas.openxmlformats.org/officeDocument/2006/customXml" ds:itemID="{3B58DF9E-66A3-4D18-A733-DCCE6598D7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12</cp:revision>
  <cp:lastPrinted>2014-10-09T05:06:00Z</cp:lastPrinted>
  <dcterms:created xsi:type="dcterms:W3CDTF">2019-08-25T08:06:00Z</dcterms:created>
  <dcterms:modified xsi:type="dcterms:W3CDTF">2024-07-24T04:18:00Z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2019-08-25T08:05:22.0218122Z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