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14683" w14:textId="75AE3D82" w:rsidR="00CB4E50" w:rsidRPr="00225DC6" w:rsidRDefault="00AD1F5B" w:rsidP="00225DC6">
      <w:pPr>
        <w:pStyle w:val="Heading1"/>
        <w:rPr>
          <w:b/>
          <w:color w:val="7030A0"/>
          <w:sz w:val="36"/>
          <w:szCs w:val="36"/>
        </w:rPr>
      </w:pPr>
      <w:r w:rsidRPr="00225DC6">
        <w:rPr>
          <w:b/>
          <w:color w:val="7030A0"/>
          <w:sz w:val="36"/>
          <w:szCs w:val="36"/>
        </w:rPr>
        <w:t>Complexity</w:t>
      </w:r>
      <w:r w:rsidR="008114AF">
        <w:rPr>
          <w:b/>
          <w:color w:val="7030A0"/>
          <w:sz w:val="36"/>
          <w:szCs w:val="36"/>
        </w:rPr>
        <w:t xml:space="preserve">: </w:t>
      </w:r>
      <w:r w:rsidR="00225DC6">
        <w:rPr>
          <w:b/>
          <w:color w:val="7030A0"/>
          <w:sz w:val="36"/>
          <w:szCs w:val="36"/>
        </w:rPr>
        <w:t xml:space="preserve">Goods and services </w:t>
      </w:r>
      <w:r w:rsidR="00304E7F" w:rsidRPr="00225DC6">
        <w:rPr>
          <w:b/>
          <w:color w:val="7030A0"/>
          <w:sz w:val="36"/>
          <w:szCs w:val="36"/>
        </w:rPr>
        <w:t>guide</w:t>
      </w:r>
    </w:p>
    <w:p w14:paraId="4C8AED79" w14:textId="77777777" w:rsidR="00AD1F5B" w:rsidRPr="00225DC6" w:rsidRDefault="00AD1F5B" w:rsidP="00225DC6">
      <w:pPr>
        <w:pStyle w:val="Heading2"/>
        <w:rPr>
          <w:color w:val="7030A0"/>
        </w:rPr>
      </w:pPr>
      <w:r w:rsidRPr="00225DC6">
        <w:rPr>
          <w:color w:val="7030A0"/>
        </w:rPr>
        <w:t>What is complexity?</w:t>
      </w:r>
    </w:p>
    <w:p w14:paraId="08C52BA7" w14:textId="77777777" w:rsidR="00AD1F5B" w:rsidRDefault="00AD1F5B" w:rsidP="00AD1F5B">
      <w:r>
        <w:t>In terms of procurement, complexity relates to the level of intricacy and scope of issues involved in procuring a good or service. It is measured by considering the internal and external influences on a procurement activity such as risk, total cost of ownership and market dynamics.</w:t>
      </w:r>
    </w:p>
    <w:p w14:paraId="0F286057" w14:textId="77777777" w:rsidR="00AD1F5B" w:rsidRDefault="00AD1F5B" w:rsidP="00AD1F5B">
      <w:r>
        <w:t>The level of complexity will influence your sourcing strategy and how you manage risk and contractual arrangements.</w:t>
      </w:r>
    </w:p>
    <w:p w14:paraId="1B04A5B3" w14:textId="77777777" w:rsidR="00AD1F5B" w:rsidRPr="0004759C" w:rsidRDefault="00AD1F5B" w:rsidP="0004759C">
      <w:pPr>
        <w:pStyle w:val="Heading2"/>
        <w:rPr>
          <w:color w:val="7030A0"/>
        </w:rPr>
      </w:pPr>
      <w:r w:rsidRPr="0004759C">
        <w:rPr>
          <w:color w:val="7030A0"/>
        </w:rPr>
        <w:t>When to assess complexity</w:t>
      </w:r>
    </w:p>
    <w:p w14:paraId="1C55916E" w14:textId="726D45EF" w:rsidR="00AD1F5B" w:rsidRDefault="00AD1F5B" w:rsidP="00AD1F5B">
      <w:r>
        <w:t>To achieve the best value</w:t>
      </w:r>
      <w:r w:rsidR="008052FC">
        <w:noBreakHyphen/>
      </w:r>
      <w:r>
        <w:t>for</w:t>
      </w:r>
      <w:r w:rsidR="008052FC">
        <w:noBreakHyphen/>
      </w:r>
      <w:r>
        <w:t>money outcomes, you assess complexity before starting any procurement activity. Rather than assess each procurement activity on a case</w:t>
      </w:r>
      <w:r w:rsidR="008052FC">
        <w:noBreakHyphen/>
      </w:r>
      <w:r>
        <w:t>by</w:t>
      </w:r>
      <w:r w:rsidR="008052FC">
        <w:noBreakHyphen/>
      </w:r>
      <w:r>
        <w:t xml:space="preserve">case basis, procurement categories allow you to assess the complexity of groups of similar goods and services. For more information, see the </w:t>
      </w:r>
      <w:hyperlink r:id="rId9" w:history="1">
        <w:r w:rsidRPr="00CD7FE2">
          <w:rPr>
            <w:rStyle w:val="Hyperlink"/>
          </w:rPr>
          <w:t>Guide to identifying procurement categories</w:t>
        </w:r>
      </w:hyperlink>
      <w:r>
        <w:t>.</w:t>
      </w:r>
    </w:p>
    <w:p w14:paraId="19B8F4CB" w14:textId="77777777" w:rsidR="00AD1F5B" w:rsidRDefault="00AD1F5B" w:rsidP="00AD1F5B">
      <w:r>
        <w:t>Where you cannot identify a procurement category, or the procurement is critical to the business or high risk to your organisation, you should complete a complexity assessment at the individual procurement activity level.</w:t>
      </w:r>
    </w:p>
    <w:p w14:paraId="6793BC54" w14:textId="7F88A669" w:rsidR="00AD1F5B" w:rsidRDefault="00AD1F5B" w:rsidP="00AD1F5B">
      <w:r>
        <w:t>Complexity assessments at the procurement category level take place on an annual basis. For very ‘stable’ categories, where the complexity level is unlikely to change, you might do le</w:t>
      </w:r>
      <w:r w:rsidR="008052FC">
        <w:t>ss complexity assessments (e.g.</w:t>
      </w:r>
      <w:r w:rsidR="00E233AB">
        <w:t xml:space="preserve"> </w:t>
      </w:r>
      <w:r>
        <w:t xml:space="preserve">once every three years). For example, the complexity level of office furniture is unlikely to change whereas a procurement category in an evolving </w:t>
      </w:r>
      <w:proofErr w:type="gramStart"/>
      <w:r>
        <w:t>market place</w:t>
      </w:r>
      <w:proofErr w:type="gramEnd"/>
      <w:r>
        <w:t xml:space="preserve"> such as information technology is more likely to change.</w:t>
      </w:r>
    </w:p>
    <w:p w14:paraId="29ACBF47" w14:textId="77777777" w:rsidR="00AD1F5B" w:rsidRDefault="00AD1F5B" w:rsidP="00AD1F5B">
      <w:r>
        <w:t>You might also need an additional complexity assessment if there is a significant change to a procurement category during the year or for any new categories.</w:t>
      </w:r>
    </w:p>
    <w:p w14:paraId="6332DBAF" w14:textId="77777777" w:rsidR="00225DC6" w:rsidRPr="0004759C" w:rsidRDefault="00225DC6" w:rsidP="00225DC6">
      <w:r w:rsidRPr="0004759C">
        <w:t>A complexity assessment may not be required in certain circumstances, including:</w:t>
      </w:r>
    </w:p>
    <w:p w14:paraId="3122C10F" w14:textId="77777777" w:rsidR="00225DC6" w:rsidRPr="0004759C" w:rsidRDefault="00225DC6" w:rsidP="0004759C">
      <w:r w:rsidRPr="0004759C">
        <w:t xml:space="preserve">purchases from government departments and public </w:t>
      </w:r>
      <w:proofErr w:type="gramStart"/>
      <w:r w:rsidRPr="0004759C">
        <w:t>bodies;</w:t>
      </w:r>
      <w:proofErr w:type="gramEnd"/>
      <w:r w:rsidRPr="0004759C">
        <w:t xml:space="preserve"> </w:t>
      </w:r>
    </w:p>
    <w:p w14:paraId="1D55394A" w14:textId="77777777" w:rsidR="00225DC6" w:rsidRPr="0004759C" w:rsidRDefault="00225DC6" w:rsidP="0004759C">
      <w:r w:rsidRPr="0004759C">
        <w:t>purchases from state purchase contracts (SPC) and sole entity purchase contracts (SEPC); or</w:t>
      </w:r>
    </w:p>
    <w:p w14:paraId="69838161" w14:textId="77777777" w:rsidR="00225DC6" w:rsidRPr="0004759C" w:rsidRDefault="00225DC6" w:rsidP="0004759C">
      <w:r w:rsidRPr="0004759C">
        <w:t>where legislation or binding agreements exist that require a category to be procured in a specific manner.</w:t>
      </w:r>
    </w:p>
    <w:p w14:paraId="75075A99" w14:textId="77777777" w:rsidR="00225DC6" w:rsidRDefault="00225DC6" w:rsidP="00225DC6">
      <w:r w:rsidRPr="0004759C">
        <w:t>Note: You may need a complexity assessment when complying with the rules of use of a SPC or a SEPC</w:t>
      </w:r>
    </w:p>
    <w:p w14:paraId="362BA328" w14:textId="77777777" w:rsidR="00AD1F5B" w:rsidRPr="0004759C" w:rsidRDefault="00AD1F5B" w:rsidP="0004759C">
      <w:pPr>
        <w:pStyle w:val="Heading2"/>
        <w:rPr>
          <w:color w:val="7030A0"/>
        </w:rPr>
      </w:pPr>
      <w:r w:rsidRPr="0004759C">
        <w:rPr>
          <w:color w:val="7030A0"/>
        </w:rPr>
        <w:t>Complexity assessment tools and templates</w:t>
      </w:r>
    </w:p>
    <w:p w14:paraId="431F0DDF" w14:textId="77777777" w:rsidR="00AD1F5B" w:rsidRDefault="00AD1F5B" w:rsidP="00AD1F5B">
      <w:r>
        <w:t>Two complexity assessment tools and templates are available on the Procurement Victoria website to help with your complexity assessment:</w:t>
      </w:r>
    </w:p>
    <w:p w14:paraId="196403C6" w14:textId="77777777" w:rsidR="00AD1F5B" w:rsidRDefault="00AD1F5B" w:rsidP="00416EF6">
      <w:pPr>
        <w:pStyle w:val="Num1"/>
      </w:pPr>
      <w:r>
        <w:t>An initial complexity assessment tool and template to work out whether a procurement category is ‘transactional’. A detailed assessment is not required for transactional procurements.</w:t>
      </w:r>
    </w:p>
    <w:p w14:paraId="2CF17BA7" w14:textId="77777777" w:rsidR="00AD1F5B" w:rsidRDefault="00AD1F5B" w:rsidP="00416EF6">
      <w:pPr>
        <w:pStyle w:val="Num1"/>
      </w:pPr>
      <w:r>
        <w:t>A detailed complexity assessment tool and template to assess categories that are unlikely to be transactional.</w:t>
      </w:r>
    </w:p>
    <w:p w14:paraId="47217C66" w14:textId="77777777" w:rsidR="00AD1F5B" w:rsidRDefault="00AD1F5B" w:rsidP="00AD1F5B">
      <w:r>
        <w:t>The complexity assessment process uses a scoring system to determine the complexity quadrant for each procurement category/activity.</w:t>
      </w:r>
    </w:p>
    <w:p w14:paraId="6AAE40E0" w14:textId="77777777" w:rsidR="00AD1F5B" w:rsidRDefault="00AD1F5B" w:rsidP="0004759C">
      <w:r w:rsidRPr="0004759C">
        <w:t>Note</w:t>
      </w:r>
      <w:r>
        <w:t xml:space="preserve">: You can refine the standards in both complexity assessments to ensure they are interpreted in the most appropriate way for your organisation. For example, defining a low level of interruption to an organisation’s core services is likely to differ significantly between an organisation providing utility services (e.g. electricity) and an organisation delivering social services (e.g. provision of interpreter services). </w:t>
      </w:r>
      <w:r>
        <w:lastRenderedPageBreak/>
        <w:t>Comparing market analysis knowledge with other organisations can provide reassurance that your procurement categories are appropriately assessed.</w:t>
      </w:r>
    </w:p>
    <w:p w14:paraId="39FBB9D3" w14:textId="77777777" w:rsidR="00AD1F5B" w:rsidRPr="0004759C" w:rsidRDefault="00AD1F5B" w:rsidP="0004759C">
      <w:pPr>
        <w:pStyle w:val="Heading2"/>
        <w:rPr>
          <w:color w:val="7030A0"/>
        </w:rPr>
      </w:pPr>
      <w:r w:rsidRPr="0004759C">
        <w:rPr>
          <w:color w:val="7030A0"/>
        </w:rPr>
        <w:t>Complexity assessment model</w:t>
      </w:r>
    </w:p>
    <w:p w14:paraId="0914B570" w14:textId="77777777" w:rsidR="00AD1F5B" w:rsidRDefault="00AD1F5B" w:rsidP="00AD1F5B">
      <w:r>
        <w:t xml:space="preserve">The complexity assessment considers attributes of Goods/services/markets and </w:t>
      </w:r>
      <w:r w:rsidR="001819E2">
        <w:t>t</w:t>
      </w:r>
      <w:r>
        <w:t xml:space="preserve">he value created through procurement to identify an appropriate approach to market. </w:t>
      </w:r>
    </w:p>
    <w:p w14:paraId="7A813EBC" w14:textId="77777777" w:rsidR="00AD1F5B" w:rsidRDefault="00AD1F5B" w:rsidP="00AD1F5B">
      <w:r>
        <w:t xml:space="preserve">The matrix in </w:t>
      </w:r>
      <w:r w:rsidR="0004759C">
        <w:t xml:space="preserve">the following table </w:t>
      </w:r>
      <w:r>
        <w:t xml:space="preserve">shows the four complexity quadrants (transactional, leveraged, focused, strategic) associated with </w:t>
      </w:r>
      <w:r w:rsidR="001819E2">
        <w:t>g</w:t>
      </w:r>
      <w:r>
        <w:t>oods/services/markets and the Value created through procurement.</w:t>
      </w:r>
    </w:p>
    <w:p w14:paraId="4B50A337" w14:textId="77777777" w:rsidR="0004759C" w:rsidRPr="00A04D3A" w:rsidRDefault="00AD1F5B" w:rsidP="0004759C">
      <w:r w:rsidRPr="008C6336">
        <w:t xml:space="preserve">Complexity </w:t>
      </w:r>
      <w:r w:rsidRPr="00A04D3A">
        <w:t>assessm</w:t>
      </w:r>
      <w:r w:rsidR="0004759C">
        <w:t>ent matrix</w:t>
      </w:r>
    </w:p>
    <w:tbl>
      <w:tblPr>
        <w:tblStyle w:val="TableGrid"/>
        <w:tblW w:w="0" w:type="auto"/>
        <w:tblBorders>
          <w:left w:val="single" w:sz="6" w:space="0" w:color="660B68"/>
          <w:right w:val="single" w:sz="6" w:space="0" w:color="660B68"/>
          <w:insideV w:val="single" w:sz="6" w:space="0" w:color="660B68"/>
        </w:tblBorders>
        <w:tblLook w:val="04A0" w:firstRow="1" w:lastRow="0" w:firstColumn="1" w:lastColumn="0" w:noHBand="0" w:noVBand="1"/>
      </w:tblPr>
      <w:tblGrid>
        <w:gridCol w:w="3267"/>
        <w:gridCol w:w="3268"/>
        <w:gridCol w:w="3263"/>
      </w:tblGrid>
      <w:tr w:rsidR="0004759C" w:rsidRPr="0004759C" w14:paraId="0EB23A8D" w14:textId="77777777" w:rsidTr="000475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shd w:val="clear" w:color="auto" w:fill="auto"/>
          </w:tcPr>
          <w:p w14:paraId="6F9244A0" w14:textId="77777777" w:rsidR="0004759C" w:rsidRPr="0004759C" w:rsidRDefault="0004759C" w:rsidP="0004759C">
            <w:pPr>
              <w:jc w:val="center"/>
              <w:rPr>
                <w:b/>
                <w:color w:val="auto"/>
              </w:rPr>
            </w:pPr>
            <w:r w:rsidRPr="0004759C">
              <w:rPr>
                <w:b/>
                <w:color w:val="auto"/>
              </w:rPr>
              <w:t>Value created through procurement</w:t>
            </w:r>
          </w:p>
        </w:tc>
        <w:tc>
          <w:tcPr>
            <w:tcW w:w="3319" w:type="dxa"/>
            <w:shd w:val="clear" w:color="auto" w:fill="auto"/>
          </w:tcPr>
          <w:p w14:paraId="595FB18C"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 xml:space="preserve">Standardised </w:t>
            </w:r>
            <w:r w:rsidRPr="0004759C">
              <w:rPr>
                <w:b/>
                <w:color w:val="auto"/>
              </w:rPr>
              <w:br/>
              <w:t>goods and services market</w:t>
            </w:r>
          </w:p>
          <w:p w14:paraId="472B38C7"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color w:val="auto"/>
              </w:rPr>
            </w:pPr>
            <w:r w:rsidRPr="0004759C">
              <w:rPr>
                <w:b/>
                <w:color w:val="auto"/>
              </w:rPr>
              <w:t>Scores between 0 - 30</w:t>
            </w:r>
          </w:p>
        </w:tc>
        <w:tc>
          <w:tcPr>
            <w:tcW w:w="3319" w:type="dxa"/>
            <w:shd w:val="clear" w:color="auto" w:fill="auto"/>
          </w:tcPr>
          <w:p w14:paraId="602DF9DD"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rPr>
            </w:pPr>
            <w:r w:rsidRPr="0004759C">
              <w:rPr>
                <w:b/>
                <w:color w:val="auto"/>
              </w:rPr>
              <w:t>Specialised</w:t>
            </w:r>
            <w:r w:rsidRPr="0004759C">
              <w:rPr>
                <w:b/>
                <w:color w:val="auto"/>
              </w:rPr>
              <w:br/>
              <w:t>goods and services market</w:t>
            </w:r>
          </w:p>
          <w:p w14:paraId="5ED78FBD" w14:textId="77777777" w:rsidR="0004759C" w:rsidRPr="0004759C" w:rsidRDefault="0004759C" w:rsidP="0004759C">
            <w:pPr>
              <w:jc w:val="center"/>
              <w:cnfStyle w:val="100000000000" w:firstRow="1" w:lastRow="0" w:firstColumn="0" w:lastColumn="0" w:oddVBand="0" w:evenVBand="0" w:oddHBand="0" w:evenHBand="0" w:firstRowFirstColumn="0" w:firstRowLastColumn="0" w:lastRowFirstColumn="0" w:lastRowLastColumn="0"/>
              <w:rPr>
                <w:b/>
                <w:color w:val="auto"/>
              </w:rPr>
            </w:pPr>
            <w:r w:rsidRPr="0004759C">
              <w:rPr>
                <w:b/>
                <w:color w:val="auto"/>
              </w:rPr>
              <w:t>Scores between 30 - 60</w:t>
            </w:r>
          </w:p>
        </w:tc>
      </w:tr>
      <w:tr w:rsidR="0004759C" w14:paraId="1F601C26" w14:textId="77777777" w:rsidTr="0004759C">
        <w:tc>
          <w:tcPr>
            <w:cnfStyle w:val="001000000000" w:firstRow="0" w:lastRow="0" w:firstColumn="1" w:lastColumn="0" w:oddVBand="0" w:evenVBand="0" w:oddHBand="0" w:evenHBand="0" w:firstRowFirstColumn="0" w:firstRowLastColumn="0" w:lastRowFirstColumn="0" w:lastRowLastColumn="0"/>
            <w:tcW w:w="3319" w:type="dxa"/>
          </w:tcPr>
          <w:p w14:paraId="667CF47C" w14:textId="77777777" w:rsidR="0004759C" w:rsidRPr="0004759C" w:rsidRDefault="0004759C" w:rsidP="0004759C">
            <w:pPr>
              <w:jc w:val="center"/>
              <w:rPr>
                <w:b/>
                <w:color w:val="auto"/>
              </w:rPr>
            </w:pPr>
            <w:r w:rsidRPr="0004759C">
              <w:rPr>
                <w:b/>
                <w:color w:val="auto"/>
              </w:rPr>
              <w:t>High value</w:t>
            </w:r>
          </w:p>
          <w:p w14:paraId="62BC1AE7" w14:textId="77777777" w:rsidR="0004759C" w:rsidRPr="0004759C" w:rsidRDefault="0004759C" w:rsidP="0004759C">
            <w:pPr>
              <w:jc w:val="center"/>
              <w:rPr>
                <w:b/>
                <w:color w:val="auto"/>
              </w:rPr>
            </w:pPr>
            <w:r w:rsidRPr="0004759C">
              <w:rPr>
                <w:b/>
                <w:color w:val="auto"/>
              </w:rPr>
              <w:t>Scores between 30 - 60</w:t>
            </w:r>
          </w:p>
        </w:tc>
        <w:tc>
          <w:tcPr>
            <w:tcW w:w="3319" w:type="dxa"/>
          </w:tcPr>
          <w:p w14:paraId="6560F24C"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Leveraged</w:t>
            </w:r>
          </w:p>
          <w:p w14:paraId="533C3A68"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(quadrant 2)</w:t>
            </w:r>
          </w:p>
        </w:tc>
        <w:tc>
          <w:tcPr>
            <w:tcW w:w="3319" w:type="dxa"/>
          </w:tcPr>
          <w:p w14:paraId="489977BB"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Strategic</w:t>
            </w:r>
          </w:p>
          <w:p w14:paraId="42931381" w14:textId="77777777" w:rsidR="0004759C" w:rsidRPr="0004759C" w:rsidRDefault="0004759C" w:rsidP="0004759C">
            <w:pPr>
              <w:jc w:val="center"/>
              <w:cnfStyle w:val="000000000000" w:firstRow="0" w:lastRow="0" w:firstColumn="0" w:lastColumn="0" w:oddVBand="0" w:evenVBand="0" w:oddHBand="0" w:evenHBand="0" w:firstRowFirstColumn="0" w:firstRowLastColumn="0" w:lastRowFirstColumn="0" w:lastRowLastColumn="0"/>
            </w:pPr>
            <w:r w:rsidRPr="0004759C">
              <w:t>(quadrant 4)</w:t>
            </w:r>
          </w:p>
        </w:tc>
      </w:tr>
      <w:tr w:rsidR="0004759C" w14:paraId="670F0272" w14:textId="77777777" w:rsidTr="0004759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9" w:type="dxa"/>
          </w:tcPr>
          <w:p w14:paraId="4524A0F1" w14:textId="77777777" w:rsidR="0004759C" w:rsidRPr="0004759C" w:rsidRDefault="0004759C" w:rsidP="0004759C">
            <w:pPr>
              <w:jc w:val="center"/>
              <w:rPr>
                <w:b/>
                <w:color w:val="auto"/>
              </w:rPr>
            </w:pPr>
            <w:r w:rsidRPr="0004759C">
              <w:rPr>
                <w:b/>
                <w:color w:val="auto"/>
              </w:rPr>
              <w:t>Low value</w:t>
            </w:r>
          </w:p>
          <w:p w14:paraId="293F0DCD" w14:textId="77777777" w:rsidR="0004759C" w:rsidRPr="0004759C" w:rsidRDefault="0004759C" w:rsidP="0004759C">
            <w:pPr>
              <w:jc w:val="center"/>
              <w:rPr>
                <w:b/>
                <w:color w:val="auto"/>
              </w:rPr>
            </w:pPr>
            <w:r w:rsidRPr="0004759C">
              <w:rPr>
                <w:b/>
                <w:color w:val="auto"/>
              </w:rPr>
              <w:t>Scores between 0 - 30</w:t>
            </w:r>
          </w:p>
        </w:tc>
        <w:tc>
          <w:tcPr>
            <w:tcW w:w="3319" w:type="dxa"/>
          </w:tcPr>
          <w:p w14:paraId="7301398D"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Transactional</w:t>
            </w:r>
          </w:p>
          <w:p w14:paraId="1109CC63"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(quadrant 1)</w:t>
            </w:r>
          </w:p>
        </w:tc>
        <w:tc>
          <w:tcPr>
            <w:tcW w:w="3319" w:type="dxa"/>
          </w:tcPr>
          <w:p w14:paraId="3FF2B6AD"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Focused</w:t>
            </w:r>
          </w:p>
          <w:p w14:paraId="5D56D3FA" w14:textId="77777777" w:rsidR="0004759C" w:rsidRPr="0004759C" w:rsidRDefault="0004759C" w:rsidP="0004759C">
            <w:pPr>
              <w:jc w:val="center"/>
              <w:cnfStyle w:val="000000010000" w:firstRow="0" w:lastRow="0" w:firstColumn="0" w:lastColumn="0" w:oddVBand="0" w:evenVBand="0" w:oddHBand="0" w:evenHBand="1" w:firstRowFirstColumn="0" w:firstRowLastColumn="0" w:lastRowFirstColumn="0" w:lastRowLastColumn="0"/>
            </w:pPr>
            <w:r w:rsidRPr="0004759C">
              <w:t>(quadrant 3)</w:t>
            </w:r>
          </w:p>
        </w:tc>
      </w:tr>
    </w:tbl>
    <w:p w14:paraId="45DDCD72" w14:textId="77777777" w:rsidR="00510D53" w:rsidRDefault="00510D53" w:rsidP="00510D53">
      <w:pPr>
        <w:spacing w:after="120" w:line="240" w:lineRule="auto"/>
      </w:pPr>
    </w:p>
    <w:p w14:paraId="691F55D2" w14:textId="77777777" w:rsidR="00510D53" w:rsidRDefault="00510D53" w:rsidP="001444C3">
      <w:r>
        <w:t xml:space="preserve">The following table </w:t>
      </w:r>
      <w:r w:rsidRPr="00AD1F5B">
        <w:t>outlines the types of procurement activities generally associated with each quadrant.</w:t>
      </w:r>
    </w:p>
    <w:tbl>
      <w:tblPr>
        <w:tblStyle w:val="TableGrid"/>
        <w:tblW w:w="0" w:type="auto"/>
        <w:tblLook w:val="04A0" w:firstRow="1" w:lastRow="0" w:firstColumn="1" w:lastColumn="0" w:noHBand="0" w:noVBand="1"/>
      </w:tblPr>
      <w:tblGrid>
        <w:gridCol w:w="464"/>
        <w:gridCol w:w="1530"/>
        <w:gridCol w:w="7804"/>
      </w:tblGrid>
      <w:tr w:rsidR="00AD1F5B" w:rsidRPr="00476771" w14:paraId="77FE7DDC" w14:textId="77777777" w:rsidTr="00C50C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Borders>
              <w:bottom w:val="nil"/>
              <w:right w:val="single" w:sz="6" w:space="0" w:color="660B68"/>
            </w:tcBorders>
            <w:shd w:val="clear" w:color="auto" w:fill="650B68"/>
          </w:tcPr>
          <w:p w14:paraId="722C3719" w14:textId="77777777" w:rsidR="00AD1F5B" w:rsidRPr="00834307" w:rsidRDefault="00AD1F5B" w:rsidP="00AD1F5B">
            <w:pPr>
              <w:pStyle w:val="TableHeader"/>
            </w:pPr>
          </w:p>
        </w:tc>
        <w:tc>
          <w:tcPr>
            <w:tcW w:w="1530" w:type="dxa"/>
            <w:tcBorders>
              <w:left w:val="single" w:sz="6" w:space="0" w:color="660B68"/>
            </w:tcBorders>
          </w:tcPr>
          <w:p w14:paraId="254AA3CF" w14:textId="77777777" w:rsidR="00AD1F5B" w:rsidRPr="00AD1F5B" w:rsidRDefault="00AD1F5B" w:rsidP="00AD1F5B">
            <w:pPr>
              <w:pStyle w:val="TableHeader"/>
              <w:cnfStyle w:val="100000000000" w:firstRow="1" w:lastRow="0" w:firstColumn="0" w:lastColumn="0" w:oddVBand="0" w:evenVBand="0" w:oddHBand="0" w:evenHBand="0" w:firstRowFirstColumn="0" w:firstRowLastColumn="0" w:lastRowFirstColumn="0" w:lastRowLastColumn="0"/>
            </w:pPr>
            <w:r w:rsidRPr="00AD1F5B">
              <w:t>Quadrant</w:t>
            </w:r>
          </w:p>
        </w:tc>
        <w:tc>
          <w:tcPr>
            <w:tcW w:w="7804" w:type="dxa"/>
          </w:tcPr>
          <w:p w14:paraId="3B7AFB11" w14:textId="77777777" w:rsidR="00AD1F5B" w:rsidRPr="00AD1F5B" w:rsidRDefault="00AD1F5B" w:rsidP="00AD1F5B">
            <w:pPr>
              <w:pStyle w:val="TableHeader"/>
              <w:cnfStyle w:val="100000000000" w:firstRow="1" w:lastRow="0" w:firstColumn="0" w:lastColumn="0" w:oddVBand="0" w:evenVBand="0" w:oddHBand="0" w:evenHBand="0" w:firstRowFirstColumn="0" w:firstRowLastColumn="0" w:lastRowFirstColumn="0" w:lastRowLastColumn="0"/>
            </w:pPr>
            <w:r w:rsidRPr="00AD1F5B">
              <w:t>Description</w:t>
            </w:r>
          </w:p>
        </w:tc>
      </w:tr>
      <w:tr w:rsidR="00AD1F5B" w14:paraId="4456D1B6" w14:textId="77777777" w:rsidTr="00C50C27">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50B68"/>
          </w:tcPr>
          <w:p w14:paraId="792F5415"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1</w:t>
            </w:r>
          </w:p>
        </w:tc>
        <w:tc>
          <w:tcPr>
            <w:tcW w:w="1530" w:type="dxa"/>
            <w:tcBorders>
              <w:left w:val="single" w:sz="6" w:space="0" w:color="660B68"/>
            </w:tcBorders>
          </w:tcPr>
          <w:p w14:paraId="27B9B0E0"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Transactional</w:t>
            </w:r>
          </w:p>
        </w:tc>
        <w:tc>
          <w:tcPr>
            <w:tcW w:w="7804" w:type="dxa"/>
          </w:tcPr>
          <w:p w14:paraId="19C355F9"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Low</w:t>
            </w:r>
            <w:r w:rsidR="008052FC">
              <w:noBreakHyphen/>
            </w:r>
            <w:r w:rsidRPr="00476771">
              <w:t>value and low</w:t>
            </w:r>
            <w:r w:rsidR="008052FC">
              <w:noBreakHyphen/>
            </w:r>
            <w:r w:rsidRPr="00476771">
              <w:t>risk transactions where approved suppliers (e.g. SPCs) are not available.</w:t>
            </w:r>
          </w:p>
          <w:p w14:paraId="75C5E7B4" w14:textId="77777777" w:rsidR="00AD1F5B" w:rsidRPr="00510D53" w:rsidRDefault="00AD1F5B" w:rsidP="00AD1F5B">
            <w:pPr>
              <w:spacing w:before="20" w:after="20"/>
              <w:cnfStyle w:val="000000000000" w:firstRow="0" w:lastRow="0" w:firstColumn="0" w:lastColumn="0" w:oddVBand="0" w:evenVBand="0" w:oddHBand="0" w:evenHBand="0" w:firstRowFirstColumn="0" w:firstRowLastColumn="0" w:lastRowFirstColumn="0" w:lastRowLastColumn="0"/>
              <w:rPr>
                <w:sz w:val="20"/>
              </w:rPr>
            </w:pPr>
            <w:r w:rsidRPr="00510D53">
              <w:rPr>
                <w:sz w:val="20"/>
              </w:rPr>
              <w:t>Note: Where a procurement category is assessed as transactional but involves developing an SPC or SEPC, the assessment of complexity should be elevated to the leverage quadrant and related sourcing preference.</w:t>
            </w:r>
          </w:p>
        </w:tc>
      </w:tr>
      <w:tr w:rsidR="00AD1F5B" w14:paraId="7D366601"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50B68"/>
          </w:tcPr>
          <w:p w14:paraId="51B80D8E"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2</w:t>
            </w:r>
          </w:p>
        </w:tc>
        <w:tc>
          <w:tcPr>
            <w:tcW w:w="1530" w:type="dxa"/>
            <w:tcBorders>
              <w:left w:val="single" w:sz="6" w:space="0" w:color="660B68"/>
            </w:tcBorders>
            <w:shd w:val="clear" w:color="auto" w:fill="D9D9D9" w:themeFill="background1" w:themeFillShade="D9"/>
          </w:tcPr>
          <w:p w14:paraId="1CECE3A5"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Leveraged</w:t>
            </w:r>
          </w:p>
        </w:tc>
        <w:tc>
          <w:tcPr>
            <w:tcW w:w="7804" w:type="dxa"/>
            <w:shd w:val="clear" w:color="auto" w:fill="D9D9D9" w:themeFill="background1" w:themeFillShade="D9"/>
          </w:tcPr>
          <w:p w14:paraId="46E5E95D"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 xml:space="preserve">Frequently used goods/services in a competitive marketplace that are procured by an individual organisation or whole of government, where the organisation </w:t>
            </w:r>
            <w:proofErr w:type="gramStart"/>
            <w:r w:rsidRPr="00476771">
              <w:t>has the ability to</w:t>
            </w:r>
            <w:proofErr w:type="gramEnd"/>
            <w:r w:rsidRPr="00476771">
              <w:t xml:space="preserve"> drive value.</w:t>
            </w:r>
          </w:p>
        </w:tc>
      </w:tr>
      <w:tr w:rsidR="00AD1F5B" w14:paraId="584CA9ED" w14:textId="77777777" w:rsidTr="00C50C27">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50B68"/>
          </w:tcPr>
          <w:p w14:paraId="2AF430AC"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3</w:t>
            </w:r>
          </w:p>
        </w:tc>
        <w:tc>
          <w:tcPr>
            <w:tcW w:w="1530" w:type="dxa"/>
            <w:tcBorders>
              <w:left w:val="single" w:sz="6" w:space="0" w:color="660B68"/>
            </w:tcBorders>
          </w:tcPr>
          <w:p w14:paraId="74FBF725"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Focused</w:t>
            </w:r>
          </w:p>
        </w:tc>
        <w:tc>
          <w:tcPr>
            <w:tcW w:w="7804" w:type="dxa"/>
          </w:tcPr>
          <w:p w14:paraId="01453D48" w14:textId="77777777" w:rsidR="00AD1F5B" w:rsidRPr="00476771" w:rsidRDefault="00AD1F5B" w:rsidP="00AD1F5B">
            <w:pPr>
              <w:pStyle w:val="TableText"/>
              <w:cnfStyle w:val="000000000000" w:firstRow="0" w:lastRow="0" w:firstColumn="0" w:lastColumn="0" w:oddVBand="0" w:evenVBand="0" w:oddHBand="0" w:evenHBand="0" w:firstRowFirstColumn="0" w:firstRowLastColumn="0" w:lastRowFirstColumn="0" w:lastRowLastColumn="0"/>
            </w:pPr>
            <w:r w:rsidRPr="00476771">
              <w:t>Procured goods/services where a limited number of suppliers are available or where novel commercial arrangements are in place. May include whole of government contracts.</w:t>
            </w:r>
          </w:p>
        </w:tc>
      </w:tr>
      <w:tr w:rsidR="00AD1F5B" w14:paraId="6EEDD476"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right w:val="single" w:sz="6" w:space="0" w:color="660B68"/>
            </w:tcBorders>
            <w:shd w:val="clear" w:color="auto" w:fill="650B68"/>
          </w:tcPr>
          <w:p w14:paraId="101FE0D6" w14:textId="77777777" w:rsidR="00AD1F5B" w:rsidRPr="00834307" w:rsidRDefault="00AD1F5B" w:rsidP="00AD1F5B">
            <w:pPr>
              <w:spacing w:before="20" w:after="20"/>
              <w:rPr>
                <w:b/>
                <w:color w:val="FFFFFF" w:themeColor="background1"/>
                <w:sz w:val="19"/>
                <w:szCs w:val="19"/>
              </w:rPr>
            </w:pPr>
            <w:r w:rsidRPr="00834307">
              <w:rPr>
                <w:b/>
                <w:color w:val="FFFFFF" w:themeColor="background1"/>
                <w:sz w:val="19"/>
                <w:szCs w:val="19"/>
              </w:rPr>
              <w:t>4</w:t>
            </w:r>
          </w:p>
        </w:tc>
        <w:tc>
          <w:tcPr>
            <w:tcW w:w="1530" w:type="dxa"/>
            <w:tcBorders>
              <w:left w:val="single" w:sz="6" w:space="0" w:color="660B68"/>
            </w:tcBorders>
            <w:shd w:val="clear" w:color="auto" w:fill="D9D9D9" w:themeFill="background1" w:themeFillShade="D9"/>
          </w:tcPr>
          <w:p w14:paraId="32013AB9"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Strategic</w:t>
            </w:r>
          </w:p>
        </w:tc>
        <w:tc>
          <w:tcPr>
            <w:tcW w:w="7804" w:type="dxa"/>
            <w:shd w:val="clear" w:color="auto" w:fill="D9D9D9" w:themeFill="background1" w:themeFillShade="D9"/>
          </w:tcPr>
          <w:p w14:paraId="7436A1E5" w14:textId="77777777" w:rsidR="00AD1F5B" w:rsidRPr="00476771" w:rsidRDefault="00AD1F5B" w:rsidP="00AD1F5B">
            <w:pPr>
              <w:pStyle w:val="TableText"/>
              <w:cnfStyle w:val="000000010000" w:firstRow="0" w:lastRow="0" w:firstColumn="0" w:lastColumn="0" w:oddVBand="0" w:evenVBand="0" w:oddHBand="0" w:evenHBand="1" w:firstRowFirstColumn="0" w:firstRowLastColumn="0" w:lastRowFirstColumn="0" w:lastRowLastColumn="0"/>
            </w:pPr>
            <w:r w:rsidRPr="00476771">
              <w:t xml:space="preserve">Goods/services in a competitive market that are high value, where business criticality is high, and/or where the good/service is of </w:t>
            </w:r>
            <w:r>
              <w:t>S</w:t>
            </w:r>
            <w:r w:rsidRPr="00476771">
              <w:t xml:space="preserve">tate </w:t>
            </w:r>
            <w:r>
              <w:t>significance. May include whole</w:t>
            </w:r>
            <w:r w:rsidR="008052FC">
              <w:noBreakHyphen/>
            </w:r>
            <w:r w:rsidRPr="00476771">
              <w:t>of</w:t>
            </w:r>
            <w:r w:rsidR="008052FC">
              <w:noBreakHyphen/>
            </w:r>
            <w:r w:rsidRPr="00476771">
              <w:t>government contracts.</w:t>
            </w:r>
          </w:p>
        </w:tc>
      </w:tr>
    </w:tbl>
    <w:p w14:paraId="34FC9FE4" w14:textId="77777777" w:rsidR="00C96FBA" w:rsidRDefault="00C96FBA" w:rsidP="00C96FBA">
      <w:bookmarkStart w:id="0" w:name="_Ref404066154"/>
    </w:p>
    <w:p w14:paraId="5A8EAC64" w14:textId="77777777" w:rsidR="00510D53" w:rsidRDefault="00510D53" w:rsidP="00510D53">
      <w:pPr>
        <w:spacing w:after="120" w:line="240" w:lineRule="auto"/>
      </w:pPr>
      <w:bookmarkStart w:id="1" w:name="_Ref404067588"/>
      <w:r w:rsidRPr="00AD1F5B">
        <w:t xml:space="preserve">To determine which quadrant a procurement category would be assigned to, refer to the </w:t>
      </w:r>
      <w:r w:rsidR="001444C3">
        <w:t xml:space="preserve">following </w:t>
      </w:r>
      <w:r w:rsidRPr="00AD1F5B">
        <w:t>complexity drivers</w:t>
      </w:r>
      <w:r>
        <w:t xml:space="preserve">. </w:t>
      </w:r>
      <w:r w:rsidRPr="00AD1F5B">
        <w:t>These drivers are linked to goods/services/markets and value created through procurement.</w:t>
      </w:r>
    </w:p>
    <w:p w14:paraId="2E786BDE" w14:textId="77777777" w:rsidR="001444C3" w:rsidRDefault="001444C3" w:rsidP="00510D53">
      <w:pPr>
        <w:spacing w:after="120" w:line="240" w:lineRule="auto"/>
      </w:pPr>
      <w:r>
        <w:t>Complexity assessment considers two elements:</w:t>
      </w:r>
    </w:p>
    <w:p w14:paraId="5CCF00EF" w14:textId="77777777" w:rsidR="001444C3" w:rsidRDefault="001444C3" w:rsidP="001444C3">
      <w:pPr>
        <w:pStyle w:val="ListParagraph"/>
        <w:numPr>
          <w:ilvl w:val="0"/>
          <w:numId w:val="46"/>
        </w:numPr>
        <w:spacing w:after="120" w:line="240" w:lineRule="auto"/>
      </w:pPr>
      <w:r>
        <w:t>Goods / markets / services</w:t>
      </w:r>
    </w:p>
    <w:p w14:paraId="0C63B023" w14:textId="77777777" w:rsidR="001444C3" w:rsidRDefault="001444C3" w:rsidP="001444C3">
      <w:pPr>
        <w:pStyle w:val="ListParagraph"/>
        <w:numPr>
          <w:ilvl w:val="0"/>
          <w:numId w:val="46"/>
        </w:numPr>
        <w:spacing w:after="120" w:line="240" w:lineRule="auto"/>
      </w:pPr>
      <w:r>
        <w:t xml:space="preserve">Value created through </w:t>
      </w:r>
      <w:proofErr w:type="gramStart"/>
      <w:r>
        <w:t>procurement</w:t>
      </w:r>
      <w:proofErr w:type="gramEnd"/>
    </w:p>
    <w:p w14:paraId="6768E3FD" w14:textId="77777777" w:rsidR="001444C3" w:rsidRDefault="001444C3" w:rsidP="00510D53">
      <w:pPr>
        <w:spacing w:after="120" w:line="240" w:lineRule="auto"/>
      </w:pPr>
      <w:r>
        <w:t>Goods / markets / services addresses:</w:t>
      </w:r>
    </w:p>
    <w:p w14:paraId="3DFF405F" w14:textId="0BD017C0" w:rsidR="001444C3" w:rsidRDefault="001444C3" w:rsidP="001444C3">
      <w:pPr>
        <w:pStyle w:val="ListParagraph"/>
        <w:numPr>
          <w:ilvl w:val="0"/>
          <w:numId w:val="47"/>
        </w:numPr>
        <w:spacing w:after="120" w:line="240" w:lineRule="auto"/>
      </w:pPr>
      <w:r>
        <w:t xml:space="preserve">How </w:t>
      </w:r>
      <w:r w:rsidR="00E233AB">
        <w:t>customised</w:t>
      </w:r>
      <w:r>
        <w:t xml:space="preserve"> are the requirements?</w:t>
      </w:r>
    </w:p>
    <w:p w14:paraId="04553FBA" w14:textId="77777777" w:rsidR="001444C3" w:rsidRDefault="001444C3" w:rsidP="001444C3">
      <w:pPr>
        <w:pStyle w:val="ListParagraph"/>
        <w:numPr>
          <w:ilvl w:val="1"/>
          <w:numId w:val="47"/>
        </w:numPr>
        <w:spacing w:after="120" w:line="240" w:lineRule="auto"/>
      </w:pPr>
      <w:r>
        <w:lastRenderedPageBreak/>
        <w:t xml:space="preserve">The level of customisation required to the good / </w:t>
      </w:r>
      <w:proofErr w:type="gramStart"/>
      <w:r>
        <w:t>service</w:t>
      </w:r>
      <w:proofErr w:type="gramEnd"/>
    </w:p>
    <w:p w14:paraId="557A736C" w14:textId="77777777" w:rsidR="001444C3" w:rsidRDefault="001444C3" w:rsidP="004D12E1">
      <w:pPr>
        <w:pStyle w:val="ListParagraph"/>
        <w:numPr>
          <w:ilvl w:val="1"/>
          <w:numId w:val="47"/>
        </w:numPr>
        <w:spacing w:after="120" w:line="240" w:lineRule="auto"/>
        <w:ind w:left="1434" w:hanging="357"/>
        <w:contextualSpacing w:val="0"/>
      </w:pPr>
      <w:r>
        <w:t xml:space="preserve">The required level of customisation will consider whether the organisation is buying a ‘defined’ good / service or an outcome, e.g. to achieve a </w:t>
      </w:r>
      <w:proofErr w:type="gramStart"/>
      <w:r>
        <w:t>KPI</w:t>
      </w:r>
      <w:proofErr w:type="gramEnd"/>
    </w:p>
    <w:p w14:paraId="55AAE08E" w14:textId="154085A6" w:rsidR="001444C3" w:rsidRDefault="001A1842" w:rsidP="001444C3">
      <w:pPr>
        <w:pStyle w:val="ListParagraph"/>
        <w:numPr>
          <w:ilvl w:val="0"/>
          <w:numId w:val="47"/>
        </w:numPr>
        <w:spacing w:after="120" w:line="240" w:lineRule="auto"/>
      </w:pPr>
      <w:r>
        <w:t>Substitutes</w:t>
      </w:r>
      <w:r w:rsidR="001444C3">
        <w:t xml:space="preserve"> / suppliers:</w:t>
      </w:r>
    </w:p>
    <w:p w14:paraId="17759E20" w14:textId="77777777" w:rsidR="001444C3" w:rsidRDefault="001444C3" w:rsidP="001444C3">
      <w:pPr>
        <w:pStyle w:val="ListParagraph"/>
        <w:numPr>
          <w:ilvl w:val="1"/>
          <w:numId w:val="47"/>
        </w:numPr>
        <w:spacing w:after="120" w:line="240" w:lineRule="auto"/>
      </w:pPr>
      <w:r>
        <w:t>The role of the good / service in enabling the core services or core operations of the organisation</w:t>
      </w:r>
    </w:p>
    <w:p w14:paraId="163FF2BE" w14:textId="77777777" w:rsidR="001444C3" w:rsidRDefault="001444C3" w:rsidP="004D12E1">
      <w:pPr>
        <w:pStyle w:val="ListParagraph"/>
        <w:numPr>
          <w:ilvl w:val="1"/>
          <w:numId w:val="47"/>
        </w:numPr>
        <w:spacing w:after="120" w:line="240" w:lineRule="auto"/>
        <w:ind w:left="1434" w:hanging="357"/>
        <w:contextualSpacing w:val="0"/>
      </w:pPr>
      <w:r>
        <w:t xml:space="preserve">Includes consideration of any security implications and if good / service supports a critical </w:t>
      </w:r>
      <w:proofErr w:type="gramStart"/>
      <w:r>
        <w:t>asset</w:t>
      </w:r>
      <w:proofErr w:type="gramEnd"/>
    </w:p>
    <w:p w14:paraId="2E501095" w14:textId="77777777" w:rsidR="001444C3" w:rsidRDefault="001444C3" w:rsidP="001444C3">
      <w:pPr>
        <w:pStyle w:val="ListParagraph"/>
        <w:numPr>
          <w:ilvl w:val="0"/>
          <w:numId w:val="47"/>
        </w:numPr>
        <w:spacing w:after="120" w:line="240" w:lineRule="auto"/>
      </w:pPr>
      <w:r>
        <w:t>Criticality to core services</w:t>
      </w:r>
    </w:p>
    <w:p w14:paraId="5098E863" w14:textId="77777777" w:rsidR="001444C3" w:rsidRDefault="001444C3" w:rsidP="004D12E1">
      <w:pPr>
        <w:pStyle w:val="ListParagraph"/>
        <w:numPr>
          <w:ilvl w:val="1"/>
          <w:numId w:val="47"/>
        </w:numPr>
        <w:spacing w:after="120" w:line="240" w:lineRule="auto"/>
      </w:pPr>
      <w:r>
        <w:t xml:space="preserve">The number of substitute goods / services from the category or the number of suppliers available to produce / perform the procurement </w:t>
      </w:r>
      <w:proofErr w:type="gramStart"/>
      <w:r>
        <w:t>activity</w:t>
      </w:r>
      <w:proofErr w:type="gramEnd"/>
    </w:p>
    <w:p w14:paraId="15180A04" w14:textId="77777777" w:rsidR="001444C3" w:rsidRDefault="001444C3" w:rsidP="004D12E1">
      <w:pPr>
        <w:pStyle w:val="ListParagraph"/>
        <w:numPr>
          <w:ilvl w:val="1"/>
          <w:numId w:val="47"/>
        </w:numPr>
        <w:spacing w:after="120" w:line="240" w:lineRule="auto"/>
      </w:pPr>
      <w:r>
        <w:t xml:space="preserve">When determining and assessing the number of suppliers, only include suppliers with the capability to fulfil the </w:t>
      </w:r>
      <w:proofErr w:type="gramStart"/>
      <w:r>
        <w:t>requirements</w:t>
      </w:r>
      <w:proofErr w:type="gramEnd"/>
    </w:p>
    <w:p w14:paraId="5644EC15" w14:textId="77777777" w:rsidR="001444C3" w:rsidRDefault="004D12E1" w:rsidP="004D12E1">
      <w:pPr>
        <w:pStyle w:val="ListParagraph"/>
        <w:numPr>
          <w:ilvl w:val="1"/>
          <w:numId w:val="47"/>
        </w:numPr>
        <w:spacing w:after="120" w:line="240" w:lineRule="auto"/>
        <w:ind w:left="1434" w:hanging="357"/>
        <w:contextualSpacing w:val="0"/>
      </w:pPr>
      <w:r>
        <w:t xml:space="preserve">Ease in replacing a supplier in event of </w:t>
      </w:r>
      <w:proofErr w:type="gramStart"/>
      <w:r>
        <w:t>failure</w:t>
      </w:r>
      <w:proofErr w:type="gramEnd"/>
    </w:p>
    <w:p w14:paraId="2D21B70C" w14:textId="1B25DFAE" w:rsidR="004D12E1" w:rsidRDefault="004D12E1" w:rsidP="001444C3">
      <w:pPr>
        <w:pStyle w:val="ListParagraph"/>
        <w:numPr>
          <w:ilvl w:val="0"/>
          <w:numId w:val="47"/>
        </w:numPr>
        <w:spacing w:after="120" w:line="240" w:lineRule="auto"/>
      </w:pPr>
      <w:r>
        <w:t xml:space="preserve">Supply market </w:t>
      </w:r>
      <w:proofErr w:type="gramStart"/>
      <w:r w:rsidR="001A1842">
        <w:t>dynamics</w:t>
      </w:r>
      <w:proofErr w:type="gramEnd"/>
    </w:p>
    <w:p w14:paraId="017823E6" w14:textId="77777777" w:rsidR="004D12E1" w:rsidRDefault="004D12E1" w:rsidP="004D12E1">
      <w:pPr>
        <w:pStyle w:val="ListParagraph"/>
        <w:numPr>
          <w:ilvl w:val="1"/>
          <w:numId w:val="47"/>
        </w:numPr>
        <w:spacing w:after="120" w:line="240" w:lineRule="auto"/>
      </w:pPr>
      <w:r>
        <w:t xml:space="preserve">The impact government purchase may have on market e.g. impact on competitive landscape potential to create a </w:t>
      </w:r>
      <w:proofErr w:type="gramStart"/>
      <w:r>
        <w:t>monopoly</w:t>
      </w:r>
      <w:proofErr w:type="gramEnd"/>
    </w:p>
    <w:p w14:paraId="7905EE8A" w14:textId="77777777" w:rsidR="004D12E1" w:rsidRDefault="004D12E1" w:rsidP="004D12E1">
      <w:pPr>
        <w:pStyle w:val="ListParagraph"/>
        <w:numPr>
          <w:ilvl w:val="1"/>
          <w:numId w:val="47"/>
        </w:numPr>
        <w:spacing w:after="120" w:line="240" w:lineRule="auto"/>
        <w:ind w:left="1434" w:hanging="357"/>
        <w:contextualSpacing w:val="0"/>
      </w:pPr>
      <w:r>
        <w:t xml:space="preserve">The impact the government purchase may have on local </w:t>
      </w:r>
      <w:proofErr w:type="gramStart"/>
      <w:r>
        <w:t>market</w:t>
      </w:r>
      <w:proofErr w:type="gramEnd"/>
    </w:p>
    <w:p w14:paraId="739D28FB" w14:textId="77777777" w:rsidR="004D12E1" w:rsidRDefault="004D12E1" w:rsidP="004D12E1">
      <w:pPr>
        <w:spacing w:after="120" w:line="240" w:lineRule="auto"/>
      </w:pPr>
      <w:r>
        <w:t>Value created through procurement addresses:</w:t>
      </w:r>
    </w:p>
    <w:p w14:paraId="6F3A0C82" w14:textId="77777777" w:rsidR="004D12E1" w:rsidRDefault="004D12E1" w:rsidP="004D12E1">
      <w:pPr>
        <w:pStyle w:val="ListParagraph"/>
        <w:numPr>
          <w:ilvl w:val="0"/>
          <w:numId w:val="48"/>
        </w:numPr>
        <w:spacing w:after="120" w:line="240" w:lineRule="auto"/>
      </w:pPr>
      <w:r>
        <w:t xml:space="preserve">Procurement </w:t>
      </w:r>
      <w:proofErr w:type="gramStart"/>
      <w:r>
        <w:t>spend</w:t>
      </w:r>
      <w:proofErr w:type="gramEnd"/>
      <w:r>
        <w:t xml:space="preserve"> / costs</w:t>
      </w:r>
    </w:p>
    <w:p w14:paraId="20FEC3A6" w14:textId="77777777" w:rsidR="004D12E1" w:rsidRDefault="004D12E1" w:rsidP="004D12E1">
      <w:pPr>
        <w:pStyle w:val="ListParagraph"/>
        <w:numPr>
          <w:ilvl w:val="1"/>
          <w:numId w:val="48"/>
        </w:numPr>
        <w:spacing w:after="120" w:line="240" w:lineRule="auto"/>
      </w:pPr>
      <w:r>
        <w:t>The total cost of ownership of the procurement activity</w:t>
      </w:r>
    </w:p>
    <w:p w14:paraId="68A48AD9" w14:textId="1CC5F06F" w:rsidR="004D12E1" w:rsidRDefault="004D12E1" w:rsidP="004D12E1">
      <w:pPr>
        <w:pStyle w:val="ListParagraph"/>
        <w:numPr>
          <w:ilvl w:val="1"/>
          <w:numId w:val="48"/>
        </w:numPr>
        <w:spacing w:after="120" w:line="240" w:lineRule="auto"/>
        <w:ind w:left="1434" w:hanging="357"/>
        <w:contextualSpacing w:val="0"/>
      </w:pPr>
      <w:r>
        <w:t xml:space="preserve">The cost includes initial setup, maintenance, finance, disposal, </w:t>
      </w:r>
      <w:r w:rsidR="001A1842">
        <w:t>transition</w:t>
      </w:r>
      <w:r>
        <w:t xml:space="preserve">, change management impacts and contingencies associated with price volatility </w:t>
      </w:r>
      <w:proofErr w:type="gramStart"/>
      <w:r>
        <w:t>factors</w:t>
      </w:r>
      <w:proofErr w:type="gramEnd"/>
    </w:p>
    <w:p w14:paraId="0B6F94FB" w14:textId="77777777" w:rsidR="004D12E1" w:rsidRDefault="004D12E1" w:rsidP="004D12E1">
      <w:pPr>
        <w:pStyle w:val="ListParagraph"/>
        <w:numPr>
          <w:ilvl w:val="0"/>
          <w:numId w:val="48"/>
        </w:numPr>
        <w:spacing w:after="120" w:line="240" w:lineRule="auto"/>
      </w:pPr>
      <w:r>
        <w:t>Impact of demand aggregation</w:t>
      </w:r>
    </w:p>
    <w:p w14:paraId="52B3151C" w14:textId="77777777" w:rsidR="004D12E1" w:rsidRDefault="004D12E1" w:rsidP="004D12E1">
      <w:pPr>
        <w:pStyle w:val="ListParagraph"/>
        <w:numPr>
          <w:ilvl w:val="1"/>
          <w:numId w:val="48"/>
        </w:numPr>
        <w:spacing w:after="120" w:line="240" w:lineRule="auto"/>
      </w:pPr>
      <w:r>
        <w:t xml:space="preserve">Potential financial / non-financial benefits from aggregation of demand (integration across departments and public bodies) or attracting new players to a </w:t>
      </w:r>
      <w:proofErr w:type="gramStart"/>
      <w:r>
        <w:t>market</w:t>
      </w:r>
      <w:proofErr w:type="gramEnd"/>
    </w:p>
    <w:p w14:paraId="3B3DA84B" w14:textId="77777777" w:rsidR="004D12E1" w:rsidRDefault="004D12E1" w:rsidP="004D12E1">
      <w:pPr>
        <w:pStyle w:val="ListParagraph"/>
        <w:numPr>
          <w:ilvl w:val="1"/>
          <w:numId w:val="48"/>
        </w:numPr>
        <w:spacing w:after="120" w:line="240" w:lineRule="auto"/>
        <w:ind w:left="1434" w:hanging="357"/>
        <w:contextualSpacing w:val="0"/>
      </w:pPr>
      <w:r>
        <w:t>Through demand aggregation would the procurement comprise a significant market share to influence the cost of the procurement category?</w:t>
      </w:r>
    </w:p>
    <w:p w14:paraId="476E05E9" w14:textId="77777777" w:rsidR="004D12E1" w:rsidRDefault="004D12E1" w:rsidP="004D12E1">
      <w:pPr>
        <w:pStyle w:val="ListParagraph"/>
        <w:numPr>
          <w:ilvl w:val="0"/>
          <w:numId w:val="48"/>
        </w:numPr>
        <w:spacing w:after="120" w:line="240" w:lineRule="auto"/>
      </w:pPr>
      <w:r>
        <w:t>Indirect impacts</w:t>
      </w:r>
    </w:p>
    <w:p w14:paraId="62E58C1E" w14:textId="20EEC0BD" w:rsidR="004D12E1" w:rsidRDefault="004D12E1" w:rsidP="004D12E1">
      <w:pPr>
        <w:pStyle w:val="ListParagraph"/>
        <w:numPr>
          <w:ilvl w:val="1"/>
          <w:numId w:val="48"/>
        </w:numPr>
        <w:spacing w:after="120" w:line="240" w:lineRule="auto"/>
        <w:ind w:left="1434" w:hanging="357"/>
        <w:contextualSpacing w:val="0"/>
      </w:pPr>
      <w:r>
        <w:t xml:space="preserve">Assess the extent to which the procurement activity would advance the broader objectives of the organisation or Government e.g. reducing environmental impact, supporting leading edge technology development / </w:t>
      </w:r>
      <w:proofErr w:type="gramStart"/>
      <w:r w:rsidR="001A1842">
        <w:t>research</w:t>
      </w:r>
      <w:proofErr w:type="gramEnd"/>
    </w:p>
    <w:p w14:paraId="1B3D37E3" w14:textId="77777777" w:rsidR="001444C3" w:rsidRDefault="001300D0" w:rsidP="00510D53">
      <w:pPr>
        <w:spacing w:after="120" w:line="240" w:lineRule="auto"/>
      </w:pPr>
      <w:r w:rsidRPr="001300D0">
        <w:rPr>
          <w:b/>
        </w:rPr>
        <w:t>Application of complexity drivers to the four complexity quadrants checklist</w:t>
      </w:r>
      <w:r w:rsidR="001444C3">
        <w:t xml:space="preserve"> describe</w:t>
      </w:r>
      <w:r w:rsidR="004D12E1">
        <w:t>s</w:t>
      </w:r>
      <w:r w:rsidR="001444C3">
        <w:t xml:space="preserve"> the typical characteristics of goods and services in each quadrant.  Please note that characteristics may vary across procurement categories and are indicative only.</w:t>
      </w:r>
    </w:p>
    <w:bookmarkEnd w:id="0"/>
    <w:bookmarkEnd w:id="1"/>
    <w:p w14:paraId="1695C2E7" w14:textId="77777777" w:rsidR="00B114CC" w:rsidRPr="0010724E" w:rsidRDefault="00B114CC" w:rsidP="0010724E">
      <w:pPr>
        <w:pStyle w:val="Heading2"/>
        <w:rPr>
          <w:color w:val="7030A0"/>
        </w:rPr>
      </w:pPr>
      <w:r w:rsidRPr="0010724E">
        <w:rPr>
          <w:color w:val="7030A0"/>
        </w:rPr>
        <w:t>Complexity assessment process</w:t>
      </w:r>
    </w:p>
    <w:p w14:paraId="0A62DDAE" w14:textId="77777777" w:rsidR="0010724E" w:rsidRDefault="00B114CC" w:rsidP="00B114CC">
      <w:r>
        <w:t>The complexity assessment process considers the type of complexity assessment to be applied (unless exceptions apply) and identifying appropriate sourcing strategies based on the complexity assessment results.</w:t>
      </w:r>
    </w:p>
    <w:p w14:paraId="0DDF13D0" w14:textId="77777777" w:rsidR="00B114CC" w:rsidRDefault="0010724E" w:rsidP="00B114CC">
      <w:r>
        <w:t>The following figure</w:t>
      </w:r>
      <w:r w:rsidR="00C96FBA">
        <w:t xml:space="preserve"> </w:t>
      </w:r>
      <w:r w:rsidR="00B114CC">
        <w:t>illustrates the complexity assessment process.</w:t>
      </w:r>
    </w:p>
    <w:p w14:paraId="4207BD7F" w14:textId="77777777" w:rsidR="0010724E" w:rsidRDefault="0010724E" w:rsidP="00B114CC">
      <w:r>
        <w:object w:dxaOrig="15514" w:dyaOrig="3288" w14:anchorId="2F2CB8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3.25pt;height:106.5pt" o:ole="">
            <v:imagedata r:id="rId10" o:title=""/>
          </v:shape>
          <o:OLEObject Type="Embed" ProgID="Visio.Drawing.11" ShapeID="_x0000_i1025" DrawAspect="Content" ObjectID="_1783161344" r:id="rId11"/>
        </w:object>
      </w:r>
    </w:p>
    <w:p w14:paraId="3DFD8E0C" w14:textId="77777777" w:rsidR="0010724E" w:rsidRDefault="0010724E" w:rsidP="00B114CC">
      <w:r>
        <w:t>The figure is a flow chart.  The flow chart has 8 steps, as follows:</w:t>
      </w:r>
    </w:p>
    <w:tbl>
      <w:tblPr>
        <w:tblStyle w:val="TableGrid"/>
        <w:tblW w:w="0" w:type="auto"/>
        <w:tblLook w:val="04A0" w:firstRow="1" w:lastRow="0" w:firstColumn="1" w:lastColumn="0" w:noHBand="0" w:noVBand="1"/>
      </w:tblPr>
      <w:tblGrid>
        <w:gridCol w:w="723"/>
        <w:gridCol w:w="9075"/>
      </w:tblGrid>
      <w:tr w:rsidR="0010724E" w:rsidRPr="0010724E" w14:paraId="6BFB1ACB" w14:textId="77777777" w:rsidTr="001072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right w:val="single" w:sz="6" w:space="0" w:color="660B68"/>
            </w:tcBorders>
            <w:shd w:val="clear" w:color="auto" w:fill="auto"/>
          </w:tcPr>
          <w:p w14:paraId="433F4531" w14:textId="77777777" w:rsidR="0010724E" w:rsidRPr="0010724E" w:rsidRDefault="0010724E" w:rsidP="00B114CC">
            <w:pPr>
              <w:rPr>
                <w:b/>
                <w:color w:val="auto"/>
              </w:rPr>
            </w:pPr>
            <w:r w:rsidRPr="0010724E">
              <w:rPr>
                <w:b/>
                <w:color w:val="auto"/>
              </w:rPr>
              <w:t>Step</w:t>
            </w:r>
          </w:p>
        </w:tc>
        <w:tc>
          <w:tcPr>
            <w:tcW w:w="9075" w:type="dxa"/>
            <w:tcBorders>
              <w:left w:val="single" w:sz="6" w:space="0" w:color="660B68"/>
            </w:tcBorders>
            <w:shd w:val="clear" w:color="auto" w:fill="auto"/>
          </w:tcPr>
          <w:p w14:paraId="6D4E32AD" w14:textId="77777777" w:rsidR="0010724E" w:rsidRPr="0010724E" w:rsidRDefault="0010724E" w:rsidP="00B114CC">
            <w:pPr>
              <w:cnfStyle w:val="100000000000" w:firstRow="1" w:lastRow="0" w:firstColumn="0" w:lastColumn="0" w:oddVBand="0" w:evenVBand="0" w:oddHBand="0" w:evenHBand="0" w:firstRowFirstColumn="0" w:firstRowLastColumn="0" w:lastRowFirstColumn="0" w:lastRowLastColumn="0"/>
              <w:rPr>
                <w:b/>
                <w:color w:val="auto"/>
              </w:rPr>
            </w:pPr>
            <w:r w:rsidRPr="0010724E">
              <w:rPr>
                <w:b/>
                <w:color w:val="auto"/>
              </w:rPr>
              <w:t>Action</w:t>
            </w:r>
          </w:p>
        </w:tc>
      </w:tr>
      <w:tr w:rsidR="0010724E" w14:paraId="4AFECAC1"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bottom w:val="single" w:sz="6" w:space="0" w:color="660B68"/>
              <w:right w:val="single" w:sz="6" w:space="0" w:color="660B68"/>
            </w:tcBorders>
          </w:tcPr>
          <w:p w14:paraId="1B3FD901" w14:textId="77777777" w:rsidR="0010724E" w:rsidRDefault="0010724E" w:rsidP="00B114CC">
            <w:r>
              <w:t>1</w:t>
            </w:r>
          </w:p>
        </w:tc>
        <w:tc>
          <w:tcPr>
            <w:tcW w:w="9075" w:type="dxa"/>
            <w:tcBorders>
              <w:left w:val="single" w:sz="6" w:space="0" w:color="660B68"/>
              <w:bottom w:val="single" w:sz="6" w:space="0" w:color="660B68"/>
              <w:right w:val="single" w:sz="6" w:space="0" w:color="660B68"/>
            </w:tcBorders>
          </w:tcPr>
          <w:p w14:paraId="7B74CD8E"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Select the category for assessment</w:t>
            </w:r>
            <w:r w:rsidR="00A1584B">
              <w:t>.</w:t>
            </w:r>
          </w:p>
        </w:tc>
      </w:tr>
      <w:tr w:rsidR="0010724E" w:rsidRPr="0010724E" w14:paraId="51358A91"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2BB525DB" w14:textId="77777777" w:rsidR="0010724E" w:rsidRDefault="0010724E" w:rsidP="00B114CC">
            <w:r>
              <w:t>2</w:t>
            </w:r>
          </w:p>
        </w:tc>
        <w:tc>
          <w:tcPr>
            <w:tcW w:w="9075" w:type="dxa"/>
            <w:tcBorders>
              <w:left w:val="single" w:sz="6" w:space="0" w:color="660B68"/>
              <w:right w:val="single" w:sz="6" w:space="0" w:color="660B68"/>
            </w:tcBorders>
          </w:tcPr>
          <w:p w14:paraId="5F7A10EF"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Is complexity assessment required?</w:t>
            </w:r>
          </w:p>
          <w:p w14:paraId="68E87A83"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If yes, go to step 3.</w:t>
            </w:r>
          </w:p>
          <w:p w14:paraId="39B0DDB0"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If no, complexity assessment not required (documentation of reason(s) required)</w:t>
            </w:r>
            <w:r w:rsidR="00A1584B">
              <w:t>.</w:t>
            </w:r>
          </w:p>
        </w:tc>
      </w:tr>
      <w:tr w:rsidR="0010724E" w:rsidRPr="0010724E" w14:paraId="2BBD5982"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E11D085" w14:textId="77777777" w:rsidR="0010724E" w:rsidRDefault="0010724E" w:rsidP="00B114CC">
            <w:r>
              <w:t>3</w:t>
            </w:r>
          </w:p>
        </w:tc>
        <w:tc>
          <w:tcPr>
            <w:tcW w:w="9075" w:type="dxa"/>
            <w:tcBorders>
              <w:left w:val="single" w:sz="6" w:space="0" w:color="660B68"/>
              <w:right w:val="single" w:sz="6" w:space="0" w:color="660B68"/>
            </w:tcBorders>
          </w:tcPr>
          <w:p w14:paraId="5C792ABF"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Review categories to I</w:t>
            </w:r>
            <w:r w:rsidR="00131590">
              <w:t>.</w:t>
            </w:r>
            <w:r>
              <w:t>D</w:t>
            </w:r>
            <w:r w:rsidR="00131590">
              <w:t>.</w:t>
            </w:r>
            <w:r>
              <w:t xml:space="preserve"> likely transaction</w:t>
            </w:r>
            <w:r w:rsidR="00131590">
              <w:t>al</w:t>
            </w:r>
            <w:r>
              <w:t xml:space="preserve"> categories.</w:t>
            </w:r>
          </w:p>
          <w:p w14:paraId="2F69D693"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If transactional, go to step 6.</w:t>
            </w:r>
          </w:p>
          <w:p w14:paraId="0A59A28B"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If no</w:t>
            </w:r>
            <w:r w:rsidR="00131590">
              <w:t>n</w:t>
            </w:r>
            <w:r>
              <w:t xml:space="preserve"> transactional, go to step </w:t>
            </w:r>
            <w:r w:rsidR="00131590">
              <w:t>6</w:t>
            </w:r>
            <w:r>
              <w:t>.</w:t>
            </w:r>
          </w:p>
        </w:tc>
      </w:tr>
      <w:tr w:rsidR="0010724E" w:rsidRPr="0010724E" w14:paraId="1CF6468E"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1A1F8DBF" w14:textId="77777777" w:rsidR="0010724E" w:rsidRDefault="0010724E" w:rsidP="00B114CC">
            <w:r>
              <w:t>4</w:t>
            </w:r>
          </w:p>
        </w:tc>
        <w:tc>
          <w:tcPr>
            <w:tcW w:w="9075" w:type="dxa"/>
            <w:tcBorders>
              <w:left w:val="single" w:sz="6" w:space="0" w:color="660B68"/>
              <w:right w:val="single" w:sz="6" w:space="0" w:color="660B68"/>
            </w:tcBorders>
          </w:tcPr>
          <w:p w14:paraId="478D90BC"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Perform initial complexity assessment.</w:t>
            </w:r>
          </w:p>
        </w:tc>
      </w:tr>
      <w:tr w:rsidR="0010724E" w:rsidRPr="0010724E" w14:paraId="305F0ADE"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2EFD694A" w14:textId="77777777" w:rsidR="0010724E" w:rsidRDefault="0010724E" w:rsidP="00B114CC">
            <w:r>
              <w:t>5</w:t>
            </w:r>
          </w:p>
        </w:tc>
        <w:tc>
          <w:tcPr>
            <w:tcW w:w="9075" w:type="dxa"/>
            <w:tcBorders>
              <w:left w:val="single" w:sz="6" w:space="0" w:color="660B68"/>
              <w:right w:val="single" w:sz="6" w:space="0" w:color="660B68"/>
            </w:tcBorders>
          </w:tcPr>
          <w:p w14:paraId="4ABCFC19"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Is the procurement category assessed as transactional?</w:t>
            </w:r>
          </w:p>
          <w:p w14:paraId="4F20181C"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 xml:space="preserve">If yes, go to step </w:t>
            </w:r>
            <w:r w:rsidR="00131590">
              <w:t>7</w:t>
            </w:r>
            <w:r>
              <w:t>.</w:t>
            </w:r>
          </w:p>
          <w:p w14:paraId="1D49B986"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 xml:space="preserve">If no, go to step </w:t>
            </w:r>
            <w:r w:rsidR="00131590">
              <w:t>6</w:t>
            </w:r>
            <w:r>
              <w:t>.</w:t>
            </w:r>
          </w:p>
        </w:tc>
      </w:tr>
      <w:tr w:rsidR="0010724E" w:rsidRPr="0010724E" w14:paraId="6154C27C"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930C189" w14:textId="77777777" w:rsidR="0010724E" w:rsidRDefault="0010724E" w:rsidP="00B114CC">
            <w:r>
              <w:t>6</w:t>
            </w:r>
          </w:p>
        </w:tc>
        <w:tc>
          <w:tcPr>
            <w:tcW w:w="9075" w:type="dxa"/>
            <w:tcBorders>
              <w:left w:val="single" w:sz="6" w:space="0" w:color="660B68"/>
              <w:right w:val="single" w:sz="6" w:space="0" w:color="660B68"/>
            </w:tcBorders>
          </w:tcPr>
          <w:p w14:paraId="6E7D8B45"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Perform detailed complexity assessment</w:t>
            </w:r>
            <w:r w:rsidR="00131590">
              <w:t>.</w:t>
            </w:r>
          </w:p>
        </w:tc>
      </w:tr>
      <w:tr w:rsidR="0010724E" w:rsidRPr="0010724E" w14:paraId="62AE074E" w14:textId="77777777" w:rsidTr="0010724E">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0BB608F5" w14:textId="77777777" w:rsidR="0010724E" w:rsidRDefault="0010724E" w:rsidP="00B114CC">
            <w:r>
              <w:t>7</w:t>
            </w:r>
          </w:p>
        </w:tc>
        <w:tc>
          <w:tcPr>
            <w:tcW w:w="9075" w:type="dxa"/>
            <w:tcBorders>
              <w:left w:val="single" w:sz="6" w:space="0" w:color="660B68"/>
              <w:right w:val="single" w:sz="6" w:space="0" w:color="660B68"/>
            </w:tcBorders>
          </w:tcPr>
          <w:p w14:paraId="618266C9" w14:textId="77777777" w:rsidR="0010724E" w:rsidRDefault="0010724E" w:rsidP="00B114CC">
            <w:pPr>
              <w:cnfStyle w:val="000000000000" w:firstRow="0" w:lastRow="0" w:firstColumn="0" w:lastColumn="0" w:oddVBand="0" w:evenVBand="0" w:oddHBand="0" w:evenHBand="0" w:firstRowFirstColumn="0" w:firstRowLastColumn="0" w:lastRowFirstColumn="0" w:lastRowLastColumn="0"/>
            </w:pPr>
            <w:r>
              <w:t>Identify appropriate sourcing strategies</w:t>
            </w:r>
            <w:r w:rsidR="00131590">
              <w:t>.</w:t>
            </w:r>
          </w:p>
        </w:tc>
      </w:tr>
      <w:tr w:rsidR="0010724E" w:rsidRPr="0010724E" w14:paraId="440D1F1D" w14:textId="77777777" w:rsidTr="0010724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 w:type="dxa"/>
            <w:tcBorders>
              <w:left w:val="single" w:sz="6" w:space="0" w:color="660B68"/>
              <w:right w:val="single" w:sz="6" w:space="0" w:color="660B68"/>
            </w:tcBorders>
          </w:tcPr>
          <w:p w14:paraId="495B36D1" w14:textId="77777777" w:rsidR="0010724E" w:rsidRDefault="0010724E" w:rsidP="00B114CC">
            <w:r>
              <w:t>8</w:t>
            </w:r>
          </w:p>
        </w:tc>
        <w:tc>
          <w:tcPr>
            <w:tcW w:w="9075" w:type="dxa"/>
            <w:tcBorders>
              <w:left w:val="single" w:sz="6" w:space="0" w:color="660B68"/>
              <w:right w:val="single" w:sz="6" w:space="0" w:color="660B68"/>
            </w:tcBorders>
          </w:tcPr>
          <w:p w14:paraId="4B52D6F4" w14:textId="77777777" w:rsidR="0010724E" w:rsidRDefault="0010724E" w:rsidP="00B114CC">
            <w:pPr>
              <w:cnfStyle w:val="000000010000" w:firstRow="0" w:lastRow="0" w:firstColumn="0" w:lastColumn="0" w:oddVBand="0" w:evenVBand="0" w:oddHBand="0" w:evenHBand="1" w:firstRowFirstColumn="0" w:firstRowLastColumn="0" w:lastRowFirstColumn="0" w:lastRowLastColumn="0"/>
            </w:pPr>
            <w:r>
              <w:t>Procurement process continues.</w:t>
            </w:r>
          </w:p>
        </w:tc>
      </w:tr>
    </w:tbl>
    <w:p w14:paraId="466F7885" w14:textId="77777777" w:rsidR="0010724E" w:rsidRDefault="0010724E" w:rsidP="00B114CC"/>
    <w:p w14:paraId="3D6F701E" w14:textId="77777777" w:rsidR="006B75D4" w:rsidRPr="00A1584B" w:rsidRDefault="006B75D4" w:rsidP="00A1584B">
      <w:pPr>
        <w:pStyle w:val="Heading3"/>
        <w:rPr>
          <w:color w:val="7030A0"/>
        </w:rPr>
      </w:pPr>
      <w:r w:rsidRPr="00A1584B">
        <w:rPr>
          <w:color w:val="7030A0"/>
        </w:rPr>
        <w:t xml:space="preserve">Step 1: Select the category for assessment spend </w:t>
      </w:r>
      <w:proofErr w:type="gramStart"/>
      <w:r w:rsidRPr="00A1584B">
        <w:rPr>
          <w:color w:val="7030A0"/>
        </w:rPr>
        <w:t>data</w:t>
      </w:r>
      <w:proofErr w:type="gramEnd"/>
    </w:p>
    <w:p w14:paraId="772CF4A7" w14:textId="77777777" w:rsidR="006B75D4" w:rsidRDefault="006B75D4" w:rsidP="006B75D4">
      <w:r>
        <w:t>Select your category or spend data, then proceed to Step 2</w:t>
      </w:r>
      <w:r w:rsidR="008052FC">
        <w:t>.</w:t>
      </w:r>
    </w:p>
    <w:p w14:paraId="12B2AEFF" w14:textId="77777777" w:rsidR="006B75D4" w:rsidRPr="00A1584B" w:rsidRDefault="006B75D4" w:rsidP="00D50F70">
      <w:pPr>
        <w:pStyle w:val="Heading3"/>
        <w:rPr>
          <w:color w:val="7030A0"/>
        </w:rPr>
      </w:pPr>
      <w:r w:rsidRPr="00A1584B">
        <w:rPr>
          <w:color w:val="7030A0"/>
        </w:rPr>
        <w:t>Step 2: Is a complexity assessment required?</w:t>
      </w:r>
    </w:p>
    <w:p w14:paraId="6BF017B8" w14:textId="77777777" w:rsidR="006B75D4" w:rsidRDefault="006B75D4" w:rsidP="006B75D4">
      <w:r>
        <w:t>Complete a preliminary review of each procurement category to decide whe</w:t>
      </w:r>
      <w:r w:rsidR="00D50F70">
        <w:t>ther a complexity assessment is </w:t>
      </w:r>
      <w:r>
        <w:t>required for the procurement category, e.g. existing SPC. If a complexity assessment is not required, document your reasons for this decision. If it is required, proceed to Step 3.</w:t>
      </w:r>
    </w:p>
    <w:p w14:paraId="74CAD8B0" w14:textId="77777777" w:rsidR="006B75D4" w:rsidRPr="00A1584B" w:rsidRDefault="006B75D4" w:rsidP="00D50F70">
      <w:pPr>
        <w:pStyle w:val="Heading3"/>
        <w:rPr>
          <w:color w:val="7030A0"/>
        </w:rPr>
      </w:pPr>
      <w:r w:rsidRPr="00A1584B">
        <w:rPr>
          <w:color w:val="7030A0"/>
        </w:rPr>
        <w:t xml:space="preserve">Step 3: Review categories to identify likely transactional procurement </w:t>
      </w:r>
      <w:proofErr w:type="gramStart"/>
      <w:r w:rsidRPr="00A1584B">
        <w:rPr>
          <w:color w:val="7030A0"/>
        </w:rPr>
        <w:t>categories</w:t>
      </w:r>
      <w:proofErr w:type="gramEnd"/>
    </w:p>
    <w:p w14:paraId="24E7D90A" w14:textId="77777777" w:rsidR="006B75D4" w:rsidRDefault="006B75D4" w:rsidP="00B51083">
      <w:pPr>
        <w:spacing w:before="0" w:after="0" w:line="240" w:lineRule="auto"/>
      </w:pPr>
      <w:r>
        <w:t>Consider whether a given procurement category is likely to be assessed as transactional based on the description in</w:t>
      </w:r>
      <w:r w:rsidR="00B51083">
        <w:t xml:space="preserve"> </w:t>
      </w:r>
      <w:r w:rsidR="00B51083">
        <w:fldChar w:fldCharType="begin"/>
      </w:r>
      <w:r w:rsidR="00B51083">
        <w:instrText xml:space="preserve"> REF _Ref404067506 \h </w:instrText>
      </w:r>
      <w:r w:rsidR="00B51083">
        <w:fldChar w:fldCharType="separate"/>
      </w:r>
      <w:r w:rsidR="00123B95" w:rsidRPr="008C6336">
        <w:t xml:space="preserve">Table </w:t>
      </w:r>
      <w:r w:rsidR="00123B95">
        <w:rPr>
          <w:noProof/>
        </w:rPr>
        <w:t>2</w:t>
      </w:r>
      <w:r w:rsidR="00B51083">
        <w:fldChar w:fldCharType="end"/>
      </w:r>
      <w:r>
        <w:t xml:space="preserve">. Proceed to Step 4 and perform the initial complexity assessment (refer to the </w:t>
      </w:r>
      <w:r w:rsidRPr="00E233AB">
        <w:rPr>
          <w:b/>
        </w:rPr>
        <w:t>Initial complexity assessment tool</w:t>
      </w:r>
      <w:r>
        <w:t>) to confirm whether the procurement is transactional or otherwise</w:t>
      </w:r>
      <w:r w:rsidR="008052FC">
        <w:t xml:space="preserve">. </w:t>
      </w:r>
    </w:p>
    <w:p w14:paraId="6D7E2D45" w14:textId="31B8C3E6" w:rsidR="006B75D4" w:rsidRDefault="006B75D4" w:rsidP="006B75D4">
      <w:r>
        <w:lastRenderedPageBreak/>
        <w:t xml:space="preserve">Where the category is not likely to be transactional, proceed to Step 6 and begin the detailed complexity assessment (refer to the </w:t>
      </w:r>
      <w:r w:rsidR="00E233AB" w:rsidRPr="00E233AB">
        <w:rPr>
          <w:b/>
        </w:rPr>
        <w:t>D</w:t>
      </w:r>
      <w:r w:rsidRPr="00E233AB">
        <w:rPr>
          <w:b/>
        </w:rPr>
        <w:t>etailed complexity assessment tool</w:t>
      </w:r>
      <w:r>
        <w:t>).</w:t>
      </w:r>
    </w:p>
    <w:p w14:paraId="1C9BABB3" w14:textId="77777777" w:rsidR="006B75D4" w:rsidRPr="00A1584B" w:rsidRDefault="006B75D4" w:rsidP="00D50F70">
      <w:pPr>
        <w:pStyle w:val="Heading3"/>
        <w:rPr>
          <w:color w:val="7030A0"/>
        </w:rPr>
      </w:pPr>
      <w:r w:rsidRPr="00A1584B">
        <w:rPr>
          <w:color w:val="7030A0"/>
        </w:rPr>
        <w:t xml:space="preserve">Step 4: Perform initial complexity </w:t>
      </w:r>
      <w:proofErr w:type="gramStart"/>
      <w:r w:rsidRPr="00A1584B">
        <w:rPr>
          <w:color w:val="7030A0"/>
        </w:rPr>
        <w:t>assessment</w:t>
      </w:r>
      <w:proofErr w:type="gramEnd"/>
    </w:p>
    <w:p w14:paraId="1B16C0C8" w14:textId="77777777" w:rsidR="006B75D4" w:rsidRDefault="006B75D4" w:rsidP="006B75D4">
      <w:r>
        <w:t>After completing the assessment, proceed to Step 5.</w:t>
      </w:r>
    </w:p>
    <w:p w14:paraId="52EE6876" w14:textId="77777777" w:rsidR="006B75D4" w:rsidRPr="00A1584B" w:rsidRDefault="006B75D4" w:rsidP="00D50F70">
      <w:pPr>
        <w:pStyle w:val="Heading3"/>
        <w:rPr>
          <w:color w:val="7030A0"/>
        </w:rPr>
      </w:pPr>
      <w:r w:rsidRPr="00A1584B">
        <w:rPr>
          <w:color w:val="7030A0"/>
        </w:rPr>
        <w:t>Step 5: Is the item assessed as transactional?</w:t>
      </w:r>
    </w:p>
    <w:p w14:paraId="1F2A4C5D" w14:textId="77777777" w:rsidR="006B75D4" w:rsidRDefault="006B75D4" w:rsidP="006B75D4">
      <w:r>
        <w:t>Using the results of the initial complexity assessment, determine whether the procurement category meets the characteristics of transactional complexity. If yes, proceed to Step 7. If not, proceed to Step 6 of the process and perform the detailed complexity assessment.</w:t>
      </w:r>
    </w:p>
    <w:p w14:paraId="34C048ED" w14:textId="77777777" w:rsidR="006B75D4" w:rsidRDefault="006B75D4" w:rsidP="00A1584B">
      <w:r w:rsidRPr="00A1584B">
        <w:t>Note</w:t>
      </w:r>
      <w:r>
        <w:t>: Where a procurement category is assessed as transactional but involves developing SPCs and SEPCs, the assessment of complexity will be elevated to the leverage quadrant.</w:t>
      </w:r>
    </w:p>
    <w:p w14:paraId="4FBA8E54" w14:textId="77777777" w:rsidR="006B75D4" w:rsidRPr="00A1584B" w:rsidRDefault="006B75D4" w:rsidP="00D50F70">
      <w:pPr>
        <w:pStyle w:val="Heading3"/>
        <w:rPr>
          <w:color w:val="7030A0"/>
        </w:rPr>
      </w:pPr>
      <w:r w:rsidRPr="00A1584B">
        <w:rPr>
          <w:color w:val="7030A0"/>
        </w:rPr>
        <w:t xml:space="preserve">Step 6: Perform detailed complexity </w:t>
      </w:r>
      <w:proofErr w:type="gramStart"/>
      <w:r w:rsidRPr="00A1584B">
        <w:rPr>
          <w:color w:val="7030A0"/>
        </w:rPr>
        <w:t>assessment</w:t>
      </w:r>
      <w:proofErr w:type="gramEnd"/>
    </w:p>
    <w:p w14:paraId="42F30B60" w14:textId="77777777" w:rsidR="006B75D4" w:rsidRDefault="006B75D4" w:rsidP="006B75D4">
      <w:r>
        <w:t>The detailed complexity assessment is for assessing non</w:t>
      </w:r>
      <w:r w:rsidR="008052FC">
        <w:noBreakHyphen/>
      </w:r>
      <w:r>
        <w:t>transactional procurement categories and will link each category to one of the other complexity quadrants (focused, leveraged, strategic).</w:t>
      </w:r>
    </w:p>
    <w:p w14:paraId="01083A12" w14:textId="77777777" w:rsidR="006B75D4" w:rsidRPr="00A1584B" w:rsidRDefault="006B75D4" w:rsidP="00D50F70">
      <w:pPr>
        <w:pStyle w:val="Heading3"/>
        <w:rPr>
          <w:color w:val="7030A0"/>
        </w:rPr>
      </w:pPr>
      <w:r w:rsidRPr="00A1584B">
        <w:rPr>
          <w:color w:val="7030A0"/>
        </w:rPr>
        <w:t xml:space="preserve">Step 7: Identify appropriate sourcing </w:t>
      </w:r>
      <w:proofErr w:type="gramStart"/>
      <w:r w:rsidRPr="00A1584B">
        <w:rPr>
          <w:color w:val="7030A0"/>
        </w:rPr>
        <w:t>strategies</w:t>
      </w:r>
      <w:proofErr w:type="gramEnd"/>
    </w:p>
    <w:p w14:paraId="33A87000" w14:textId="77777777" w:rsidR="00D50F70" w:rsidRDefault="006B75D4" w:rsidP="00D50F70">
      <w:r>
        <w:t>Each procurement category will be linked to a complexity quadrant, which will allow you to identify sourcing strategy options. This indicative guidance should be used as input into the development of a formal sourcing strate</w:t>
      </w:r>
      <w:r w:rsidR="00D50F70">
        <w:t>gy rather than a replacement.</w:t>
      </w:r>
    </w:p>
    <w:p w14:paraId="5FDD70F6" w14:textId="77777777" w:rsidR="00A1584B" w:rsidRDefault="00A1584B" w:rsidP="002725E3">
      <w:r>
        <w:t xml:space="preserve">Accountability, responsibility, inputs, </w:t>
      </w:r>
      <w:proofErr w:type="gramStart"/>
      <w:r>
        <w:t>timing</w:t>
      </w:r>
      <w:proofErr w:type="gramEnd"/>
      <w:r>
        <w:t xml:space="preserve"> and processes for the key steps of this process</w:t>
      </w:r>
    </w:p>
    <w:p w14:paraId="4D438537" w14:textId="77777777" w:rsidR="002725E3" w:rsidRPr="00A1584B" w:rsidRDefault="00180922" w:rsidP="00A1584B">
      <w:pPr>
        <w:pStyle w:val="Heading3"/>
        <w:rPr>
          <w:color w:val="7030A0"/>
        </w:rPr>
      </w:pPr>
      <w:r>
        <w:rPr>
          <w:color w:val="7030A0"/>
        </w:rPr>
        <w:t>A</w:t>
      </w:r>
      <w:r w:rsidR="002725E3" w:rsidRPr="00A1584B">
        <w:rPr>
          <w:color w:val="7030A0"/>
        </w:rPr>
        <w:t xml:space="preserve">ccountability, responsibility, </w:t>
      </w:r>
      <w:proofErr w:type="gramStart"/>
      <w:r w:rsidR="002725E3" w:rsidRPr="00A1584B">
        <w:rPr>
          <w:color w:val="7030A0"/>
        </w:rPr>
        <w:t>inputs</w:t>
      </w:r>
      <w:proofErr w:type="gramEnd"/>
      <w:r w:rsidR="00A1584B" w:rsidRPr="00A1584B">
        <w:rPr>
          <w:color w:val="7030A0"/>
        </w:rPr>
        <w:t xml:space="preserve"> and</w:t>
      </w:r>
      <w:r w:rsidR="002725E3" w:rsidRPr="00A1584B">
        <w:rPr>
          <w:color w:val="7030A0"/>
        </w:rPr>
        <w:t xml:space="preserve"> timing for the key steps of this process</w:t>
      </w:r>
    </w:p>
    <w:p w14:paraId="325A6A18" w14:textId="77777777" w:rsidR="00A1584B" w:rsidRDefault="00A1584B" w:rsidP="00A1584B">
      <w:r w:rsidRPr="006B75D4">
        <w:t xml:space="preserve">Accountability, responsibility, inputs, </w:t>
      </w:r>
      <w:proofErr w:type="gramStart"/>
      <w:r w:rsidRPr="006B75D4">
        <w:t>timing</w:t>
      </w:r>
      <w:proofErr w:type="gramEnd"/>
      <w:r w:rsidRPr="006B75D4">
        <w:t xml:space="preserve"> and process/tools for key steps in complexity assessment process</w:t>
      </w:r>
      <w:r>
        <w:t xml:space="preserve"> are shown in the following table</w:t>
      </w:r>
      <w:r w:rsidR="00180922">
        <w:t>:</w:t>
      </w:r>
    </w:p>
    <w:tbl>
      <w:tblPr>
        <w:tblStyle w:val="TableGrid"/>
        <w:tblW w:w="0" w:type="auto"/>
        <w:tblLook w:val="04A0" w:firstRow="1" w:lastRow="0" w:firstColumn="1" w:lastColumn="0" w:noHBand="0" w:noVBand="1"/>
      </w:tblPr>
      <w:tblGrid>
        <w:gridCol w:w="1634"/>
        <w:gridCol w:w="2041"/>
        <w:gridCol w:w="2041"/>
        <w:gridCol w:w="2041"/>
        <w:gridCol w:w="2041"/>
      </w:tblGrid>
      <w:tr w:rsidR="00A1584B" w:rsidRPr="008052FC" w14:paraId="054CA762" w14:textId="77777777" w:rsidTr="00F22436">
        <w:trPr>
          <w:cnfStyle w:val="100000000000" w:firstRow="1" w:lastRow="0" w:firstColumn="0" w:lastColumn="0" w:oddVBand="0" w:evenVBand="0" w:oddHBand="0" w:evenHBand="0" w:firstRowFirstColumn="0" w:firstRowLastColumn="0" w:lastRowFirstColumn="0" w:lastRowLastColumn="0"/>
          <w:trHeight w:val="628"/>
        </w:trPr>
        <w:tc>
          <w:tcPr>
            <w:cnfStyle w:val="001000000000" w:firstRow="0" w:lastRow="0" w:firstColumn="1" w:lastColumn="0" w:oddVBand="0" w:evenVBand="0" w:oddHBand="0" w:evenHBand="0" w:firstRowFirstColumn="0" w:firstRowLastColumn="0" w:lastRowFirstColumn="0" w:lastRowLastColumn="0"/>
            <w:tcW w:w="1634" w:type="dxa"/>
            <w:tcBorders>
              <w:bottom w:val="nil"/>
              <w:right w:val="single" w:sz="6" w:space="0" w:color="660B68"/>
            </w:tcBorders>
          </w:tcPr>
          <w:p w14:paraId="51A4EFC3" w14:textId="77777777" w:rsidR="00A1584B" w:rsidRPr="008052FC" w:rsidRDefault="00A1584B" w:rsidP="00F22436">
            <w:pPr>
              <w:pStyle w:val="TableHeader"/>
              <w:rPr>
                <w:sz w:val="22"/>
              </w:rPr>
            </w:pPr>
          </w:p>
        </w:tc>
        <w:tc>
          <w:tcPr>
            <w:tcW w:w="2041" w:type="dxa"/>
            <w:tcBorders>
              <w:left w:val="single" w:sz="6" w:space="0" w:color="660B68"/>
            </w:tcBorders>
            <w:hideMark/>
          </w:tcPr>
          <w:p w14:paraId="3F8EEBE6"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2: </w:t>
            </w:r>
            <w:r>
              <w:rPr>
                <w:sz w:val="22"/>
              </w:rPr>
              <w:br/>
            </w:r>
            <w:r w:rsidRPr="008052FC">
              <w:rPr>
                <w:sz w:val="22"/>
              </w:rPr>
              <w:t>Is a complexity assessment required?</w:t>
            </w:r>
          </w:p>
        </w:tc>
        <w:tc>
          <w:tcPr>
            <w:tcW w:w="2041" w:type="dxa"/>
            <w:hideMark/>
          </w:tcPr>
          <w:p w14:paraId="68FCAB26"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4: </w:t>
            </w:r>
            <w:r>
              <w:rPr>
                <w:sz w:val="22"/>
              </w:rPr>
              <w:br/>
            </w:r>
            <w:r w:rsidRPr="008052FC">
              <w:rPr>
                <w:sz w:val="22"/>
              </w:rPr>
              <w:t>Perform initial complexity assessment</w:t>
            </w:r>
          </w:p>
        </w:tc>
        <w:tc>
          <w:tcPr>
            <w:tcW w:w="2041" w:type="dxa"/>
            <w:hideMark/>
          </w:tcPr>
          <w:p w14:paraId="403EAD6B"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6: </w:t>
            </w:r>
            <w:r>
              <w:rPr>
                <w:sz w:val="22"/>
              </w:rPr>
              <w:br/>
            </w:r>
            <w:r w:rsidRPr="008052FC">
              <w:rPr>
                <w:sz w:val="22"/>
              </w:rPr>
              <w:t>Perform detailed complexity assessment</w:t>
            </w:r>
          </w:p>
        </w:tc>
        <w:tc>
          <w:tcPr>
            <w:tcW w:w="2041" w:type="dxa"/>
            <w:hideMark/>
          </w:tcPr>
          <w:p w14:paraId="3F8FA8D4" w14:textId="77777777" w:rsidR="00A1584B" w:rsidRPr="008052FC" w:rsidRDefault="00A1584B" w:rsidP="00F22436">
            <w:pPr>
              <w:pStyle w:val="TableHeader"/>
              <w:cnfStyle w:val="100000000000" w:firstRow="1" w:lastRow="0" w:firstColumn="0" w:lastColumn="0" w:oddVBand="0" w:evenVBand="0" w:oddHBand="0" w:evenHBand="0" w:firstRowFirstColumn="0" w:firstRowLastColumn="0" w:lastRowFirstColumn="0" w:lastRowLastColumn="0"/>
              <w:rPr>
                <w:sz w:val="22"/>
              </w:rPr>
            </w:pPr>
            <w:r w:rsidRPr="008052FC">
              <w:rPr>
                <w:sz w:val="22"/>
              </w:rPr>
              <w:t xml:space="preserve">Step 7: </w:t>
            </w:r>
            <w:r>
              <w:rPr>
                <w:sz w:val="22"/>
              </w:rPr>
              <w:br/>
            </w:r>
            <w:r w:rsidRPr="008052FC">
              <w:rPr>
                <w:sz w:val="22"/>
              </w:rPr>
              <w:t>Identify appropriate sourcing strategy</w:t>
            </w:r>
          </w:p>
        </w:tc>
      </w:tr>
      <w:tr w:rsidR="00A1584B" w:rsidRPr="008052FC" w14:paraId="093984B8" w14:textId="77777777" w:rsidTr="00F22436">
        <w:trPr>
          <w:trHeight w:val="167"/>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68BE1053"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 xml:space="preserve">Accountable </w:t>
            </w:r>
          </w:p>
        </w:tc>
        <w:tc>
          <w:tcPr>
            <w:tcW w:w="2041" w:type="dxa"/>
            <w:tcBorders>
              <w:left w:val="single" w:sz="6" w:space="0" w:color="660B68"/>
            </w:tcBorders>
            <w:hideMark/>
          </w:tcPr>
          <w:p w14:paraId="5E85230E"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 xml:space="preserve">Accountable officer </w:t>
            </w:r>
          </w:p>
        </w:tc>
        <w:tc>
          <w:tcPr>
            <w:tcW w:w="2041" w:type="dxa"/>
            <w:hideMark/>
          </w:tcPr>
          <w:p w14:paraId="349EC74C"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Accountable officer</w:t>
            </w:r>
          </w:p>
        </w:tc>
        <w:tc>
          <w:tcPr>
            <w:tcW w:w="2041" w:type="dxa"/>
            <w:hideMark/>
          </w:tcPr>
          <w:p w14:paraId="4A508813"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Accountable officer</w:t>
            </w:r>
          </w:p>
        </w:tc>
        <w:tc>
          <w:tcPr>
            <w:tcW w:w="2041" w:type="dxa"/>
            <w:hideMark/>
          </w:tcPr>
          <w:p w14:paraId="0E811619"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Accountable officer</w:t>
            </w:r>
          </w:p>
        </w:tc>
      </w:tr>
      <w:tr w:rsidR="00A1584B" w:rsidRPr="008052FC" w14:paraId="0794C03E" w14:textId="77777777" w:rsidTr="00F22436">
        <w:trPr>
          <w:cnfStyle w:val="000000010000" w:firstRow="0" w:lastRow="0" w:firstColumn="0" w:lastColumn="0" w:oddVBand="0" w:evenVBand="0" w:oddHBand="0" w:evenHBand="1"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7EA52CD4"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Responsible</w:t>
            </w:r>
          </w:p>
        </w:tc>
        <w:tc>
          <w:tcPr>
            <w:tcW w:w="2041" w:type="dxa"/>
            <w:tcBorders>
              <w:left w:val="single" w:sz="6" w:space="0" w:color="660B68"/>
            </w:tcBorders>
            <w:shd w:val="clear" w:color="auto" w:fill="D9D9D9" w:themeFill="background1" w:themeFillShade="D9"/>
            <w:hideMark/>
          </w:tcPr>
          <w:p w14:paraId="21B5C4BE"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CPO</w:t>
            </w:r>
          </w:p>
        </w:tc>
        <w:tc>
          <w:tcPr>
            <w:tcW w:w="2041" w:type="dxa"/>
            <w:shd w:val="clear" w:color="auto" w:fill="D9D9D9" w:themeFill="background1" w:themeFillShade="D9"/>
            <w:hideMark/>
          </w:tcPr>
          <w:p w14:paraId="55496D16"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Delegated by CPO</w:t>
            </w:r>
          </w:p>
        </w:tc>
        <w:tc>
          <w:tcPr>
            <w:tcW w:w="2041" w:type="dxa"/>
            <w:shd w:val="clear" w:color="auto" w:fill="D9D9D9" w:themeFill="background1" w:themeFillShade="D9"/>
            <w:hideMark/>
          </w:tcPr>
          <w:p w14:paraId="7CEACA71"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Delegated by CPO</w:t>
            </w:r>
          </w:p>
        </w:tc>
        <w:tc>
          <w:tcPr>
            <w:tcW w:w="2041" w:type="dxa"/>
            <w:shd w:val="clear" w:color="auto" w:fill="D9D9D9" w:themeFill="background1" w:themeFillShade="D9"/>
            <w:hideMark/>
          </w:tcPr>
          <w:p w14:paraId="56654F01"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Delegated by CPO</w:t>
            </w:r>
          </w:p>
        </w:tc>
      </w:tr>
      <w:tr w:rsidR="00A1584B" w:rsidRPr="008052FC" w14:paraId="705DB366" w14:textId="77777777" w:rsidTr="00F22436">
        <w:trPr>
          <w:trHeight w:val="636"/>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709FCD0F"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Inputs</w:t>
            </w:r>
          </w:p>
        </w:tc>
        <w:tc>
          <w:tcPr>
            <w:tcW w:w="2041" w:type="dxa"/>
            <w:tcBorders>
              <w:left w:val="single" w:sz="6" w:space="0" w:color="660B68"/>
            </w:tcBorders>
            <w:hideMark/>
          </w:tcPr>
          <w:p w14:paraId="3D8A9DAE"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Knowledge of the procurement category, spend data or equivalent</w:t>
            </w:r>
          </w:p>
        </w:tc>
        <w:tc>
          <w:tcPr>
            <w:tcW w:w="2041" w:type="dxa"/>
            <w:hideMark/>
          </w:tcPr>
          <w:p w14:paraId="09CFDEFA"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Knowledge of the procurement category and supply</w:t>
            </w:r>
            <w:r>
              <w:rPr>
                <w:sz w:val="18"/>
                <w:szCs w:val="18"/>
              </w:rPr>
              <w:noBreakHyphen/>
            </w:r>
            <w:r w:rsidRPr="008052FC">
              <w:rPr>
                <w:sz w:val="18"/>
                <w:szCs w:val="18"/>
              </w:rPr>
              <w:t>market conditions</w:t>
            </w:r>
          </w:p>
        </w:tc>
        <w:tc>
          <w:tcPr>
            <w:tcW w:w="2041" w:type="dxa"/>
            <w:hideMark/>
          </w:tcPr>
          <w:p w14:paraId="06A9CA3B"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Knowledge of the procurement category and supply</w:t>
            </w:r>
            <w:r>
              <w:rPr>
                <w:sz w:val="18"/>
                <w:szCs w:val="18"/>
              </w:rPr>
              <w:noBreakHyphen/>
            </w:r>
            <w:r w:rsidRPr="008052FC">
              <w:rPr>
                <w:sz w:val="18"/>
                <w:szCs w:val="18"/>
              </w:rPr>
              <w:t>market conditions</w:t>
            </w:r>
          </w:p>
        </w:tc>
        <w:tc>
          <w:tcPr>
            <w:tcW w:w="2041" w:type="dxa"/>
            <w:hideMark/>
          </w:tcPr>
          <w:p w14:paraId="3ABFEFC2"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Complexity assessment results</w:t>
            </w:r>
          </w:p>
        </w:tc>
      </w:tr>
      <w:tr w:rsidR="00A1584B" w:rsidRPr="008052FC" w14:paraId="563F05F7" w14:textId="77777777" w:rsidTr="00F22436">
        <w:trPr>
          <w:cnfStyle w:val="000000010000" w:firstRow="0" w:lastRow="0" w:firstColumn="0" w:lastColumn="0" w:oddVBand="0" w:evenVBand="0" w:oddHBand="0" w:evenHBand="1"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bottom w:val="nil"/>
              <w:right w:val="single" w:sz="6" w:space="0" w:color="660B68"/>
            </w:tcBorders>
            <w:shd w:val="clear" w:color="auto" w:fill="660B68"/>
            <w:hideMark/>
          </w:tcPr>
          <w:p w14:paraId="55B84CA9"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 xml:space="preserve">Timing </w:t>
            </w:r>
          </w:p>
        </w:tc>
        <w:tc>
          <w:tcPr>
            <w:tcW w:w="2041" w:type="dxa"/>
            <w:tcBorders>
              <w:left w:val="single" w:sz="6" w:space="0" w:color="660B68"/>
            </w:tcBorders>
            <w:shd w:val="clear" w:color="auto" w:fill="D9D9D9" w:themeFill="background1" w:themeFillShade="D9"/>
            <w:hideMark/>
          </w:tcPr>
          <w:p w14:paraId="1A61CBEF"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and where a new procurement category is created, or there is a one</w:t>
            </w:r>
            <w:r>
              <w:rPr>
                <w:sz w:val="18"/>
                <w:szCs w:val="18"/>
              </w:rPr>
              <w:noBreakHyphen/>
            </w:r>
            <w:r w:rsidRPr="008052FC">
              <w:rPr>
                <w:sz w:val="18"/>
                <w:szCs w:val="18"/>
              </w:rPr>
              <w:t>off procurement event during the year</w:t>
            </w:r>
          </w:p>
        </w:tc>
        <w:tc>
          <w:tcPr>
            <w:tcW w:w="2041" w:type="dxa"/>
            <w:shd w:val="clear" w:color="auto" w:fill="D9D9D9" w:themeFill="background1" w:themeFillShade="D9"/>
            <w:hideMark/>
          </w:tcPr>
          <w:p w14:paraId="34D94FD0"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where a procurement category is likely to be transactional, and where a new procurement category is created and likely to be transactional</w:t>
            </w:r>
          </w:p>
        </w:tc>
        <w:tc>
          <w:tcPr>
            <w:tcW w:w="2041" w:type="dxa"/>
            <w:shd w:val="clear" w:color="auto" w:fill="D9D9D9" w:themeFill="background1" w:themeFillShade="D9"/>
            <w:hideMark/>
          </w:tcPr>
          <w:p w14:paraId="0FD7BD0D"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and where a new procurement category is created, or there is a one</w:t>
            </w:r>
            <w:r>
              <w:rPr>
                <w:sz w:val="18"/>
                <w:szCs w:val="18"/>
              </w:rPr>
              <w:noBreakHyphen/>
            </w:r>
            <w:r w:rsidRPr="008052FC">
              <w:rPr>
                <w:sz w:val="18"/>
                <w:szCs w:val="18"/>
              </w:rPr>
              <w:t>off procurement event during the year</w:t>
            </w:r>
          </w:p>
        </w:tc>
        <w:tc>
          <w:tcPr>
            <w:tcW w:w="2041" w:type="dxa"/>
            <w:shd w:val="clear" w:color="auto" w:fill="D9D9D9" w:themeFill="background1" w:themeFillShade="D9"/>
            <w:hideMark/>
          </w:tcPr>
          <w:p w14:paraId="627C5112" w14:textId="77777777" w:rsidR="00A1584B" w:rsidRPr="008052FC" w:rsidRDefault="00A1584B" w:rsidP="00F22436">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8052FC">
              <w:rPr>
                <w:sz w:val="18"/>
                <w:szCs w:val="18"/>
              </w:rPr>
              <w:t>Annually and where a new procurement category is created, or there is a one</w:t>
            </w:r>
            <w:r>
              <w:rPr>
                <w:sz w:val="18"/>
                <w:szCs w:val="18"/>
              </w:rPr>
              <w:noBreakHyphen/>
            </w:r>
            <w:r w:rsidRPr="008052FC">
              <w:rPr>
                <w:sz w:val="18"/>
                <w:szCs w:val="18"/>
              </w:rPr>
              <w:t>off procurement event during the year</w:t>
            </w:r>
          </w:p>
        </w:tc>
      </w:tr>
      <w:tr w:rsidR="00A1584B" w:rsidRPr="008052FC" w14:paraId="639E2C89" w14:textId="77777777" w:rsidTr="00F22436">
        <w:trPr>
          <w:trHeight w:val="348"/>
        </w:trPr>
        <w:tc>
          <w:tcPr>
            <w:cnfStyle w:val="001000000000" w:firstRow="0" w:lastRow="0" w:firstColumn="1" w:lastColumn="0" w:oddVBand="0" w:evenVBand="0" w:oddHBand="0" w:evenHBand="0" w:firstRowFirstColumn="0" w:firstRowLastColumn="0" w:lastRowFirstColumn="0" w:lastRowLastColumn="0"/>
            <w:tcW w:w="1634" w:type="dxa"/>
            <w:tcBorders>
              <w:top w:val="nil"/>
              <w:left w:val="single" w:sz="6" w:space="0" w:color="660B68"/>
              <w:right w:val="single" w:sz="6" w:space="0" w:color="660B68"/>
            </w:tcBorders>
            <w:shd w:val="clear" w:color="auto" w:fill="660B68"/>
            <w:hideMark/>
          </w:tcPr>
          <w:p w14:paraId="4AD4BA2F" w14:textId="77777777" w:rsidR="00A1584B" w:rsidRPr="008052FC" w:rsidRDefault="00A1584B" w:rsidP="00F22436">
            <w:pPr>
              <w:pStyle w:val="TableText"/>
              <w:rPr>
                <w:color w:val="FFFFFF" w:themeColor="background1"/>
                <w:sz w:val="18"/>
                <w:szCs w:val="18"/>
              </w:rPr>
            </w:pPr>
            <w:r w:rsidRPr="008052FC">
              <w:rPr>
                <w:color w:val="FFFFFF" w:themeColor="background1"/>
                <w:sz w:val="18"/>
                <w:szCs w:val="18"/>
              </w:rPr>
              <w:t xml:space="preserve">Process/tools </w:t>
            </w:r>
          </w:p>
        </w:tc>
        <w:tc>
          <w:tcPr>
            <w:tcW w:w="2041" w:type="dxa"/>
            <w:tcBorders>
              <w:left w:val="single" w:sz="6" w:space="0" w:color="660B68"/>
            </w:tcBorders>
            <w:hideMark/>
          </w:tcPr>
          <w:p w14:paraId="5DF774AA"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Complexity guidance material</w:t>
            </w:r>
          </w:p>
        </w:tc>
        <w:tc>
          <w:tcPr>
            <w:tcW w:w="2041" w:type="dxa"/>
            <w:hideMark/>
          </w:tcPr>
          <w:p w14:paraId="7943848E"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Initial complexity assessment tool</w:t>
            </w:r>
          </w:p>
        </w:tc>
        <w:tc>
          <w:tcPr>
            <w:tcW w:w="2041" w:type="dxa"/>
            <w:hideMark/>
          </w:tcPr>
          <w:p w14:paraId="2E4143E2"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Detailed complexity assessment tool</w:t>
            </w:r>
          </w:p>
        </w:tc>
        <w:tc>
          <w:tcPr>
            <w:tcW w:w="2041" w:type="dxa"/>
            <w:hideMark/>
          </w:tcPr>
          <w:p w14:paraId="18D5F82A" w14:textId="77777777" w:rsidR="00A1584B" w:rsidRPr="008052FC" w:rsidRDefault="00A1584B" w:rsidP="00F22436">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8052FC">
              <w:rPr>
                <w:sz w:val="18"/>
                <w:szCs w:val="18"/>
              </w:rPr>
              <w:t>Complexity guidance material</w:t>
            </w:r>
          </w:p>
        </w:tc>
      </w:tr>
    </w:tbl>
    <w:p w14:paraId="461F7656" w14:textId="77777777" w:rsidR="006B75D4" w:rsidRPr="00180922" w:rsidRDefault="00D50F70" w:rsidP="00180922">
      <w:pPr>
        <w:pStyle w:val="Heading2"/>
        <w:keepNext/>
        <w:rPr>
          <w:color w:val="7030A0"/>
        </w:rPr>
      </w:pPr>
      <w:r w:rsidRPr="00180922">
        <w:rPr>
          <w:color w:val="7030A0"/>
        </w:rPr>
        <w:lastRenderedPageBreak/>
        <w:t>Path to market options</w:t>
      </w:r>
    </w:p>
    <w:p w14:paraId="400B90AB" w14:textId="77777777" w:rsidR="006B75D4" w:rsidRDefault="00180922" w:rsidP="006B75D4">
      <w:r>
        <w:t xml:space="preserve">The following table </w:t>
      </w:r>
      <w:r w:rsidR="006B75D4">
        <w:t>outlines the sourcing strategies that are typically appropriate for each quadrant of complexity</w:t>
      </w:r>
      <w:r>
        <w:t>:</w:t>
      </w:r>
    </w:p>
    <w:tbl>
      <w:tblPr>
        <w:tblStyle w:val="TableGrid"/>
        <w:tblW w:w="0" w:type="auto"/>
        <w:tblLook w:val="04A0" w:firstRow="1" w:lastRow="0" w:firstColumn="1" w:lastColumn="0" w:noHBand="0" w:noVBand="1"/>
      </w:tblPr>
      <w:tblGrid>
        <w:gridCol w:w="464"/>
        <w:gridCol w:w="1800"/>
        <w:gridCol w:w="7534"/>
      </w:tblGrid>
      <w:tr w:rsidR="00214CA0" w:rsidRPr="00403F56" w14:paraId="60FE6DA0" w14:textId="77777777" w:rsidTr="00C50C2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464" w:type="dxa"/>
            <w:tcBorders>
              <w:right w:val="nil"/>
            </w:tcBorders>
          </w:tcPr>
          <w:p w14:paraId="16B9B848" w14:textId="77777777" w:rsidR="00214CA0" w:rsidRPr="00214CA0" w:rsidRDefault="00214CA0" w:rsidP="00CA4484">
            <w:pPr>
              <w:pStyle w:val="TableHeader"/>
            </w:pPr>
          </w:p>
        </w:tc>
        <w:tc>
          <w:tcPr>
            <w:tcW w:w="1800" w:type="dxa"/>
            <w:tcBorders>
              <w:left w:val="nil"/>
              <w:right w:val="nil"/>
            </w:tcBorders>
            <w:hideMark/>
          </w:tcPr>
          <w:p w14:paraId="6DDF528F" w14:textId="77777777" w:rsidR="00214CA0" w:rsidRPr="003435EF" w:rsidRDefault="00214CA0" w:rsidP="00CA4484">
            <w:pPr>
              <w:pStyle w:val="TableHeader"/>
              <w:cnfStyle w:val="100000000000" w:firstRow="1" w:lastRow="0" w:firstColumn="0" w:lastColumn="0" w:oddVBand="0" w:evenVBand="0" w:oddHBand="0" w:evenHBand="0" w:firstRowFirstColumn="0" w:firstRowLastColumn="0" w:lastRowFirstColumn="0" w:lastRowLastColumn="0"/>
              <w:rPr>
                <w:szCs w:val="20"/>
              </w:rPr>
            </w:pPr>
            <w:r w:rsidRPr="003435EF">
              <w:rPr>
                <w:szCs w:val="20"/>
              </w:rPr>
              <w:t>Quadrant</w:t>
            </w:r>
          </w:p>
        </w:tc>
        <w:tc>
          <w:tcPr>
            <w:tcW w:w="7534" w:type="dxa"/>
            <w:tcBorders>
              <w:left w:val="nil"/>
            </w:tcBorders>
            <w:hideMark/>
          </w:tcPr>
          <w:p w14:paraId="2B6F1ED4" w14:textId="77777777" w:rsidR="00214CA0" w:rsidRPr="003435EF" w:rsidRDefault="00214CA0" w:rsidP="00CA4484">
            <w:pPr>
              <w:pStyle w:val="TableHeader"/>
              <w:cnfStyle w:val="100000000000" w:firstRow="1" w:lastRow="0" w:firstColumn="0" w:lastColumn="0" w:oddVBand="0" w:evenVBand="0" w:oddHBand="0" w:evenHBand="0" w:firstRowFirstColumn="0" w:firstRowLastColumn="0" w:lastRowFirstColumn="0" w:lastRowLastColumn="0"/>
              <w:rPr>
                <w:szCs w:val="20"/>
              </w:rPr>
            </w:pPr>
            <w:r w:rsidRPr="003435EF">
              <w:rPr>
                <w:szCs w:val="20"/>
              </w:rPr>
              <w:t>Typical sourcing methods in suggested order of preference</w:t>
            </w:r>
          </w:p>
        </w:tc>
      </w:tr>
      <w:tr w:rsidR="00214CA0" w:rsidRPr="00403F56" w14:paraId="41AE161A" w14:textId="77777777" w:rsidTr="00C50C27">
        <w:trPr>
          <w:trHeight w:val="221"/>
        </w:trPr>
        <w:tc>
          <w:tcPr>
            <w:cnfStyle w:val="001000000000" w:firstRow="0" w:lastRow="0" w:firstColumn="1" w:lastColumn="0" w:oddVBand="0" w:evenVBand="0" w:oddHBand="0" w:evenHBand="0" w:firstRowFirstColumn="0" w:firstRowLastColumn="0" w:lastRowFirstColumn="0" w:lastRowLastColumn="0"/>
            <w:tcW w:w="464" w:type="dxa"/>
            <w:tcBorders>
              <w:top w:val="single" w:sz="6" w:space="0" w:color="660B68"/>
              <w:left w:val="single" w:sz="6" w:space="0" w:color="660B68"/>
              <w:bottom w:val="nil"/>
              <w:right w:val="single" w:sz="6" w:space="0" w:color="660B68"/>
            </w:tcBorders>
            <w:shd w:val="clear" w:color="auto" w:fill="660B68"/>
            <w:hideMark/>
          </w:tcPr>
          <w:p w14:paraId="1BC07F53" w14:textId="77777777" w:rsidR="00214CA0" w:rsidRPr="00214CA0" w:rsidRDefault="00214CA0" w:rsidP="00214CA0">
            <w:pPr>
              <w:pStyle w:val="TableText"/>
              <w:rPr>
                <w:color w:val="FFFFFF" w:themeColor="background1"/>
              </w:rPr>
            </w:pPr>
            <w:r w:rsidRPr="00214CA0">
              <w:rPr>
                <w:color w:val="FFFFFF" w:themeColor="background1"/>
              </w:rPr>
              <w:t>1</w:t>
            </w:r>
          </w:p>
        </w:tc>
        <w:tc>
          <w:tcPr>
            <w:tcW w:w="1800" w:type="dxa"/>
            <w:tcBorders>
              <w:top w:val="single" w:sz="6" w:space="0" w:color="660B68"/>
              <w:left w:val="single" w:sz="6" w:space="0" w:color="660B68"/>
            </w:tcBorders>
            <w:hideMark/>
          </w:tcPr>
          <w:p w14:paraId="42E151B8"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Transactional</w:t>
            </w:r>
          </w:p>
        </w:tc>
        <w:tc>
          <w:tcPr>
            <w:tcW w:w="7534" w:type="dxa"/>
            <w:tcBorders>
              <w:top w:val="single" w:sz="6" w:space="0" w:color="660B68"/>
            </w:tcBorders>
            <w:hideMark/>
          </w:tcPr>
          <w:p w14:paraId="5908CD05"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Quotes, open or selective invitation to supply</w:t>
            </w:r>
          </w:p>
        </w:tc>
      </w:tr>
      <w:tr w:rsidR="00214CA0" w:rsidRPr="00403F56" w14:paraId="62D9D4FA" w14:textId="77777777" w:rsidTr="00C50C27">
        <w:trPr>
          <w:cnfStyle w:val="000000010000" w:firstRow="0" w:lastRow="0" w:firstColumn="0" w:lastColumn="0" w:oddVBand="0" w:evenVBand="0" w:oddHBand="0" w:evenHBand="1"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60B68"/>
            <w:hideMark/>
          </w:tcPr>
          <w:p w14:paraId="4E92C2C1" w14:textId="77777777" w:rsidR="00214CA0" w:rsidRPr="00214CA0" w:rsidRDefault="00214CA0" w:rsidP="00214CA0">
            <w:pPr>
              <w:pStyle w:val="TableText"/>
              <w:rPr>
                <w:color w:val="FFFFFF" w:themeColor="background1"/>
              </w:rPr>
            </w:pPr>
            <w:r w:rsidRPr="00214CA0">
              <w:rPr>
                <w:color w:val="FFFFFF" w:themeColor="background1"/>
              </w:rPr>
              <w:t>2</w:t>
            </w:r>
          </w:p>
        </w:tc>
        <w:tc>
          <w:tcPr>
            <w:tcW w:w="1800" w:type="dxa"/>
            <w:tcBorders>
              <w:left w:val="single" w:sz="6" w:space="0" w:color="660B68"/>
            </w:tcBorders>
            <w:shd w:val="clear" w:color="auto" w:fill="D9D9D9" w:themeFill="background1" w:themeFillShade="D9"/>
            <w:hideMark/>
          </w:tcPr>
          <w:p w14:paraId="6F4641BF"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Leveraged</w:t>
            </w:r>
          </w:p>
        </w:tc>
        <w:tc>
          <w:tcPr>
            <w:tcW w:w="7534" w:type="dxa"/>
            <w:shd w:val="clear" w:color="auto" w:fill="D9D9D9" w:themeFill="background1" w:themeFillShade="D9"/>
            <w:hideMark/>
          </w:tcPr>
          <w:p w14:paraId="75554235"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State purchase contracts, Sole entity purchase arrangements, panels, head agreements, early supplier engagement, multi</w:t>
            </w:r>
            <w:r w:rsidR="008052FC">
              <w:noBreakHyphen/>
            </w:r>
            <w:r w:rsidRPr="00214CA0">
              <w:t xml:space="preserve">stage invitation process, open or selective invitations to supply, auctions, </w:t>
            </w:r>
            <w:proofErr w:type="spellStart"/>
            <w:r w:rsidRPr="00214CA0">
              <w:t>e</w:t>
            </w:r>
            <w:r w:rsidR="008052FC">
              <w:noBreakHyphen/>
            </w:r>
            <w:r w:rsidRPr="00214CA0">
              <w:t>systems</w:t>
            </w:r>
            <w:proofErr w:type="spellEnd"/>
            <w:r w:rsidRPr="00214CA0">
              <w:t>, brokerage, master vendor, etc</w:t>
            </w:r>
            <w:r>
              <w:t>.</w:t>
            </w:r>
          </w:p>
        </w:tc>
      </w:tr>
      <w:tr w:rsidR="00214CA0" w:rsidRPr="00403F56" w14:paraId="61E989B8" w14:textId="77777777" w:rsidTr="00C50C27">
        <w:trPr>
          <w:trHeight w:val="273"/>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bottom w:val="nil"/>
              <w:right w:val="single" w:sz="6" w:space="0" w:color="660B68"/>
            </w:tcBorders>
            <w:shd w:val="clear" w:color="auto" w:fill="660B68"/>
            <w:hideMark/>
          </w:tcPr>
          <w:p w14:paraId="59CC600C" w14:textId="77777777" w:rsidR="00214CA0" w:rsidRPr="00214CA0" w:rsidRDefault="00214CA0" w:rsidP="00214CA0">
            <w:pPr>
              <w:pStyle w:val="TableText"/>
              <w:rPr>
                <w:color w:val="FFFFFF" w:themeColor="background1"/>
              </w:rPr>
            </w:pPr>
            <w:r w:rsidRPr="00214CA0">
              <w:rPr>
                <w:color w:val="FFFFFF" w:themeColor="background1"/>
              </w:rPr>
              <w:t>3</w:t>
            </w:r>
          </w:p>
        </w:tc>
        <w:tc>
          <w:tcPr>
            <w:tcW w:w="1800" w:type="dxa"/>
            <w:tcBorders>
              <w:left w:val="single" w:sz="6" w:space="0" w:color="660B68"/>
            </w:tcBorders>
            <w:hideMark/>
          </w:tcPr>
          <w:p w14:paraId="108D9569"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Focused</w:t>
            </w:r>
          </w:p>
        </w:tc>
        <w:tc>
          <w:tcPr>
            <w:tcW w:w="7534" w:type="dxa"/>
            <w:hideMark/>
          </w:tcPr>
          <w:p w14:paraId="22A9A9F3" w14:textId="77777777" w:rsidR="00214CA0" w:rsidRPr="00214CA0" w:rsidRDefault="00214CA0" w:rsidP="00214CA0">
            <w:pPr>
              <w:pStyle w:val="TableText"/>
              <w:cnfStyle w:val="000000000000" w:firstRow="0" w:lastRow="0" w:firstColumn="0" w:lastColumn="0" w:oddVBand="0" w:evenVBand="0" w:oddHBand="0" w:evenHBand="0" w:firstRowFirstColumn="0" w:firstRowLastColumn="0" w:lastRowFirstColumn="0" w:lastRowLastColumn="0"/>
            </w:pPr>
            <w:r w:rsidRPr="00214CA0">
              <w:t>Early supplier involvement, multi</w:t>
            </w:r>
            <w:r w:rsidR="008052FC">
              <w:noBreakHyphen/>
            </w:r>
            <w:r w:rsidRPr="00214CA0">
              <w:t xml:space="preserve">stage invitation process, auctions, </w:t>
            </w:r>
            <w:proofErr w:type="spellStart"/>
            <w:r w:rsidRPr="00214CA0">
              <w:t>e</w:t>
            </w:r>
            <w:r w:rsidR="008052FC">
              <w:noBreakHyphen/>
            </w:r>
            <w:r w:rsidRPr="00214CA0">
              <w:t>systems</w:t>
            </w:r>
            <w:proofErr w:type="spellEnd"/>
            <w:r w:rsidRPr="00214CA0">
              <w:t xml:space="preserve">, direct negotiation, </w:t>
            </w:r>
            <w:proofErr w:type="spellStart"/>
            <w:r w:rsidRPr="00214CA0">
              <w:t>intergovernment</w:t>
            </w:r>
            <w:proofErr w:type="spellEnd"/>
            <w:r w:rsidRPr="00214CA0">
              <w:t xml:space="preserve"> delivery arrangements</w:t>
            </w:r>
          </w:p>
        </w:tc>
      </w:tr>
      <w:tr w:rsidR="00214CA0" w:rsidRPr="00403F56" w14:paraId="3CA1F2A8" w14:textId="77777777" w:rsidTr="00C50C27">
        <w:trPr>
          <w:cnfStyle w:val="000000010000" w:firstRow="0" w:lastRow="0" w:firstColumn="0" w:lastColumn="0" w:oddVBand="0" w:evenVBand="0" w:oddHBand="0" w:evenHBand="1"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464" w:type="dxa"/>
            <w:tcBorders>
              <w:top w:val="nil"/>
              <w:left w:val="single" w:sz="6" w:space="0" w:color="660B68"/>
              <w:right w:val="single" w:sz="6" w:space="0" w:color="660B68"/>
            </w:tcBorders>
            <w:shd w:val="clear" w:color="auto" w:fill="660B68"/>
            <w:hideMark/>
          </w:tcPr>
          <w:p w14:paraId="57554BC2" w14:textId="77777777" w:rsidR="00214CA0" w:rsidRPr="00214CA0" w:rsidRDefault="00214CA0" w:rsidP="00214CA0">
            <w:pPr>
              <w:pStyle w:val="TableText"/>
              <w:rPr>
                <w:color w:val="FFFFFF" w:themeColor="background1"/>
              </w:rPr>
            </w:pPr>
            <w:r w:rsidRPr="00214CA0">
              <w:rPr>
                <w:color w:val="FFFFFF" w:themeColor="background1"/>
              </w:rPr>
              <w:t>4</w:t>
            </w:r>
          </w:p>
        </w:tc>
        <w:tc>
          <w:tcPr>
            <w:tcW w:w="1800" w:type="dxa"/>
            <w:tcBorders>
              <w:left w:val="single" w:sz="6" w:space="0" w:color="660B68"/>
            </w:tcBorders>
            <w:shd w:val="clear" w:color="auto" w:fill="D9D9D9" w:themeFill="background1" w:themeFillShade="D9"/>
            <w:hideMark/>
          </w:tcPr>
          <w:p w14:paraId="7E482B3D"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Strategic</w:t>
            </w:r>
          </w:p>
        </w:tc>
        <w:tc>
          <w:tcPr>
            <w:tcW w:w="7534" w:type="dxa"/>
            <w:shd w:val="clear" w:color="auto" w:fill="D9D9D9" w:themeFill="background1" w:themeFillShade="D9"/>
            <w:hideMark/>
          </w:tcPr>
          <w:p w14:paraId="31AFB43A" w14:textId="77777777" w:rsidR="00214CA0" w:rsidRPr="00214CA0" w:rsidRDefault="00214CA0" w:rsidP="00214CA0">
            <w:pPr>
              <w:pStyle w:val="TableText"/>
              <w:cnfStyle w:val="000000010000" w:firstRow="0" w:lastRow="0" w:firstColumn="0" w:lastColumn="0" w:oddVBand="0" w:evenVBand="0" w:oddHBand="0" w:evenHBand="1" w:firstRowFirstColumn="0" w:firstRowLastColumn="0" w:lastRowFirstColumn="0" w:lastRowLastColumn="0"/>
            </w:pPr>
            <w:r w:rsidRPr="00214CA0">
              <w:t xml:space="preserve">Alliance arrangement, public private partnerships, </w:t>
            </w:r>
            <w:proofErr w:type="spellStart"/>
            <w:r w:rsidRPr="00214CA0">
              <w:t>intergovernment</w:t>
            </w:r>
            <w:proofErr w:type="spellEnd"/>
            <w:r w:rsidRPr="00214CA0">
              <w:t xml:space="preserve"> delivery arrangements, procurement specific designed engagement, </w:t>
            </w:r>
            <w:proofErr w:type="gramStart"/>
            <w:r w:rsidRPr="00214CA0">
              <w:t>multi stage</w:t>
            </w:r>
            <w:proofErr w:type="gramEnd"/>
            <w:r w:rsidRPr="00214CA0">
              <w:t xml:space="preserve"> engagement etc.</w:t>
            </w:r>
          </w:p>
        </w:tc>
      </w:tr>
    </w:tbl>
    <w:p w14:paraId="2BE6EBDA" w14:textId="42C97703" w:rsidR="006B75D4" w:rsidRDefault="006B75D4" w:rsidP="00180922">
      <w:r w:rsidRPr="00180922">
        <w:t>Note</w:t>
      </w:r>
      <w:r>
        <w:t>: The above path</w:t>
      </w:r>
      <w:r w:rsidR="008052FC">
        <w:noBreakHyphen/>
      </w:r>
      <w:r>
        <w:t>to</w:t>
      </w:r>
      <w:r w:rsidR="008052FC">
        <w:noBreakHyphen/>
      </w:r>
      <w:r>
        <w:t>market options are indicative only. A definitive path</w:t>
      </w:r>
      <w:r w:rsidR="008052FC">
        <w:noBreakHyphen/>
      </w:r>
      <w:r>
        <w:t>to</w:t>
      </w:r>
      <w:r w:rsidR="008052FC">
        <w:noBreakHyphen/>
      </w:r>
      <w:r>
        <w:t>market decision should build on the market analysis and review stage of the procurement process</w:t>
      </w:r>
      <w:r w:rsidR="008052FC">
        <w:t xml:space="preserve">. </w:t>
      </w:r>
      <w:r>
        <w:t xml:space="preserve">Where the complexity assessment at the category level is applicable to individual procurement activity, it is possible to move directly to the market approach stage of the procurement process. For further assistance with this process </w:t>
      </w:r>
      <w:r w:rsidR="00E233AB">
        <w:t xml:space="preserve">refer </w:t>
      </w:r>
      <w:r>
        <w:t xml:space="preserve">to the Guide to </w:t>
      </w:r>
      <w:hyperlink r:id="rId12" w:history="1">
        <w:r w:rsidRPr="00CD7FE2">
          <w:rPr>
            <w:rStyle w:val="Hyperlink"/>
          </w:rPr>
          <w:t>market analysis and review</w:t>
        </w:r>
      </w:hyperlink>
      <w:r>
        <w:t xml:space="preserve"> and the </w:t>
      </w:r>
      <w:hyperlink r:id="rId13" w:history="1">
        <w:r w:rsidRPr="00CD7FE2">
          <w:rPr>
            <w:rStyle w:val="Hyperlink"/>
          </w:rPr>
          <w:t>Guide to market approach</w:t>
        </w:r>
      </w:hyperlink>
      <w:r>
        <w:t>.</w:t>
      </w:r>
    </w:p>
    <w:p w14:paraId="54F2D559" w14:textId="77777777" w:rsidR="006B75D4" w:rsidRPr="00180922" w:rsidRDefault="006B75D4" w:rsidP="00180922">
      <w:pPr>
        <w:pStyle w:val="Heading2"/>
        <w:rPr>
          <w:color w:val="7030A0"/>
        </w:rPr>
      </w:pPr>
      <w:r w:rsidRPr="00180922">
        <w:rPr>
          <w:color w:val="7030A0"/>
        </w:rPr>
        <w:t>Sourcing methods</w:t>
      </w:r>
    </w:p>
    <w:p w14:paraId="02EF984B" w14:textId="77777777" w:rsidR="006B75D4" w:rsidRDefault="006B75D4" w:rsidP="006B75D4">
      <w:r w:rsidRPr="00214CA0">
        <w:rPr>
          <w:b/>
        </w:rPr>
        <w:t>Quotation</w:t>
      </w:r>
      <w:r>
        <w:t>: an approach to one or more potential suppliers applying simple standard engagement procedures and systems (e.g. p</w:t>
      </w:r>
      <w:r w:rsidR="008052FC">
        <w:noBreakHyphen/>
      </w:r>
      <w:r>
        <w:t xml:space="preserve">card, purchase order, standard forms, etc.) that reflect the transactional nature of the procurement. </w:t>
      </w:r>
    </w:p>
    <w:p w14:paraId="3CB22A5F" w14:textId="77777777" w:rsidR="006B75D4" w:rsidRDefault="006B75D4" w:rsidP="006B75D4">
      <w:r w:rsidRPr="00214CA0">
        <w:rPr>
          <w:b/>
        </w:rPr>
        <w:t>Open tender</w:t>
      </w:r>
      <w:r>
        <w:t>: a one</w:t>
      </w:r>
      <w:r w:rsidR="008052FC">
        <w:noBreakHyphen/>
      </w:r>
      <w:r>
        <w:t>stage approach to the open market.</w:t>
      </w:r>
    </w:p>
    <w:p w14:paraId="1A10500A" w14:textId="77777777" w:rsidR="000C395D" w:rsidRDefault="000C395D" w:rsidP="006B75D4">
      <w:r w:rsidRPr="00F55634">
        <w:rPr>
          <w:b/>
        </w:rPr>
        <w:t>Selective tender:</w:t>
      </w:r>
      <w:r>
        <w:t xml:space="preserve"> a competitive sole source tender </w:t>
      </w:r>
      <w:proofErr w:type="gramStart"/>
      <w:r>
        <w:t>open</w:t>
      </w:r>
      <w:proofErr w:type="gramEnd"/>
      <w:r>
        <w:t xml:space="preserve"> only to suppliers on a register of pre-qualified suppliers</w:t>
      </w:r>
    </w:p>
    <w:p w14:paraId="7EDB4BB9" w14:textId="77777777" w:rsidR="006B75D4" w:rsidRDefault="006B75D4" w:rsidP="006B75D4">
      <w:r w:rsidRPr="00214CA0">
        <w:rPr>
          <w:b/>
        </w:rPr>
        <w:t>Multi</w:t>
      </w:r>
      <w:r w:rsidR="008052FC">
        <w:rPr>
          <w:b/>
        </w:rPr>
        <w:noBreakHyphen/>
      </w:r>
      <w:r w:rsidRPr="00214CA0">
        <w:rPr>
          <w:b/>
        </w:rPr>
        <w:t>stage tender</w:t>
      </w:r>
      <w:r>
        <w:t xml:space="preserve">: an approach to the market involving one or more stages commencing with notification to the open market of the supply requirement including proceeding with a </w:t>
      </w:r>
      <w:proofErr w:type="gramStart"/>
      <w:r>
        <w:t>two stage</w:t>
      </w:r>
      <w:proofErr w:type="gramEnd"/>
      <w:r>
        <w:t xml:space="preserve"> selective tender or conducting a multi</w:t>
      </w:r>
      <w:r w:rsidR="008052FC">
        <w:noBreakHyphen/>
      </w:r>
      <w:r>
        <w:t>stage tender or electronic auction.</w:t>
      </w:r>
    </w:p>
    <w:p w14:paraId="3DF4EBF9" w14:textId="77777777" w:rsidR="006B75D4" w:rsidRDefault="006B75D4" w:rsidP="006B75D4">
      <w:r w:rsidRPr="00214CA0">
        <w:rPr>
          <w:b/>
        </w:rPr>
        <w:t>Limited tender</w:t>
      </w:r>
      <w:r>
        <w:t>: a direct approach to one or more potential suppliers without notification to the open market.</w:t>
      </w:r>
    </w:p>
    <w:p w14:paraId="780D7B5B" w14:textId="77777777" w:rsidR="006B75D4" w:rsidRDefault="006B75D4" w:rsidP="006B75D4">
      <w:r>
        <w:t>Other factors to consider include:</w:t>
      </w:r>
    </w:p>
    <w:p w14:paraId="38425256" w14:textId="77777777" w:rsidR="006B75D4" w:rsidRDefault="006B75D4" w:rsidP="00607B1D">
      <w:pPr>
        <w:pStyle w:val="Bullet1"/>
      </w:pPr>
      <w:r>
        <w:t>for open tender and multi</w:t>
      </w:r>
      <w:r w:rsidR="008052FC">
        <w:noBreakHyphen/>
      </w:r>
      <w:r>
        <w:t xml:space="preserve">stage tenders an offer is put to the market and the market can determine whether to participate in the supply </w:t>
      </w:r>
      <w:proofErr w:type="gramStart"/>
      <w:r>
        <w:t>opportunity;</w:t>
      </w:r>
      <w:proofErr w:type="gramEnd"/>
      <w:r>
        <w:t xml:space="preserve"> </w:t>
      </w:r>
    </w:p>
    <w:p w14:paraId="635D85E1" w14:textId="77777777" w:rsidR="006B75D4" w:rsidRDefault="006B75D4" w:rsidP="00607B1D">
      <w:pPr>
        <w:pStyle w:val="Bullet1"/>
      </w:pPr>
      <w:r>
        <w:t xml:space="preserve">for quotations or limited </w:t>
      </w:r>
      <w:proofErr w:type="gramStart"/>
      <w:r>
        <w:t>tender</w:t>
      </w:r>
      <w:proofErr w:type="gramEnd"/>
      <w:r>
        <w:t xml:space="preserve"> the organisation determines the extent of market participation by suppliers. In the case of conducting a limited tender, the market analysis would clearly identify those suppliers able to respond to the requirements of a project of high complexity, high risk and possibly critical to the business</w:t>
      </w:r>
      <w:r w:rsidR="00C057BA">
        <w:t>. Nonetheless, directly engaging a supplier</w:t>
      </w:r>
      <w:r>
        <w:t xml:space="preserve"> </w:t>
      </w:r>
      <w:r w:rsidR="00C057BA">
        <w:t>through a quotation or limited tender (i.e. without undertaking a tender process open to all interested or selectively qualified suppliers), may be inconsistent with Australia’s obligations under free trade agreements (FTAs). Direct procurement from a supplier of choice is only permitted in special circumstances</w:t>
      </w:r>
      <w:r w:rsidR="0042000C">
        <w:t xml:space="preserve"> as documented in the Government procurement under International Agreements </w:t>
      </w:r>
      <w:r w:rsidR="00F55634">
        <w:t xml:space="preserve">– procurement </w:t>
      </w:r>
      <w:proofErr w:type="gramStart"/>
      <w:r w:rsidR="00F55634">
        <w:t>guide</w:t>
      </w:r>
      <w:r w:rsidR="0042000C">
        <w:t>;</w:t>
      </w:r>
      <w:proofErr w:type="gramEnd"/>
    </w:p>
    <w:p w14:paraId="15E6045F" w14:textId="77777777" w:rsidR="006B75D4" w:rsidRDefault="006B75D4" w:rsidP="00607B1D">
      <w:pPr>
        <w:pStyle w:val="Bullet1"/>
      </w:pPr>
      <w:r>
        <w:t xml:space="preserve">quotation and a simple open tender approach to the market are relevant to maximising participation by </w:t>
      </w:r>
      <w:r w:rsidR="00752F36">
        <w:t>Australia</w:t>
      </w:r>
      <w:r w:rsidR="00C057BA">
        <w:t xml:space="preserve"> and New Zealand</w:t>
      </w:r>
      <w:r>
        <w:t xml:space="preserve"> </w:t>
      </w:r>
      <w:r w:rsidR="00621790">
        <w:t>SMEs</w:t>
      </w:r>
      <w:r>
        <w:t>; and</w:t>
      </w:r>
    </w:p>
    <w:p w14:paraId="34427F1D" w14:textId="77777777" w:rsidR="00F046F4" w:rsidRPr="00F55634" w:rsidRDefault="006B75D4" w:rsidP="00F55634">
      <w:pPr>
        <w:pStyle w:val="Bullet1"/>
      </w:pPr>
      <w:r>
        <w:t>the requirement to maintain standard operating systems</w:t>
      </w:r>
      <w:r w:rsidR="00C057BA">
        <w:t xml:space="preserve"> or a decision to proceed with an unsolicited innovative proposal</w:t>
      </w:r>
      <w:r>
        <w:t xml:space="preserve"> may justify a limited tender approach to the market.</w:t>
      </w:r>
    </w:p>
    <w:p w14:paraId="761343C3" w14:textId="77777777" w:rsidR="006B75D4" w:rsidRPr="00180922" w:rsidRDefault="006B75D4" w:rsidP="00180922">
      <w:pPr>
        <w:pStyle w:val="Heading2"/>
        <w:keepNext/>
        <w:rPr>
          <w:color w:val="7030A0"/>
        </w:rPr>
      </w:pPr>
      <w:r w:rsidRPr="00180922">
        <w:rPr>
          <w:color w:val="7030A0"/>
        </w:rPr>
        <w:lastRenderedPageBreak/>
        <w:t>Example of aligning category spend with complexity quadrants (value allocation)</w:t>
      </w:r>
    </w:p>
    <w:p w14:paraId="5C1B93F0" w14:textId="77777777" w:rsidR="006B75D4" w:rsidRDefault="006B75D4" w:rsidP="006B75D4">
      <w:r>
        <w:t>The organisation may elect to develop a summary of procurement complexity by value (illustrated in</w:t>
      </w:r>
      <w:r w:rsidR="00214CA0">
        <w:t xml:space="preserve"> </w:t>
      </w:r>
      <w:r w:rsidR="00180922">
        <w:t>the following table</w:t>
      </w:r>
      <w:r>
        <w:t>). This summary would be based on the results of the complexity assessment and knowledge of procurement category spend and may assist in the procurement planning process.</w:t>
      </w:r>
    </w:p>
    <w:tbl>
      <w:tblPr>
        <w:tblStyle w:val="TableGrid"/>
        <w:tblW w:w="0" w:type="auto"/>
        <w:tblLook w:val="04A0" w:firstRow="1" w:lastRow="0" w:firstColumn="1" w:lastColumn="0" w:noHBand="0" w:noVBand="1"/>
      </w:tblPr>
      <w:tblGrid>
        <w:gridCol w:w="1994"/>
        <w:gridCol w:w="1890"/>
        <w:gridCol w:w="1890"/>
      </w:tblGrid>
      <w:tr w:rsidR="000063A1" w:rsidRPr="00227009" w14:paraId="54A16411" w14:textId="77777777" w:rsidTr="00C50C27">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1994" w:type="dxa"/>
            <w:tcBorders>
              <w:bottom w:val="nil"/>
              <w:right w:val="single" w:sz="6" w:space="0" w:color="660B68"/>
            </w:tcBorders>
            <w:hideMark/>
          </w:tcPr>
          <w:p w14:paraId="29074105" w14:textId="77777777" w:rsidR="000063A1" w:rsidRPr="000063A1" w:rsidRDefault="000063A1" w:rsidP="00CA4484">
            <w:pPr>
              <w:pStyle w:val="TableHeader"/>
              <w:rPr>
                <w:sz w:val="22"/>
              </w:rPr>
            </w:pPr>
            <w:r w:rsidRPr="000063A1">
              <w:rPr>
                <w:sz w:val="22"/>
              </w:rPr>
              <w:t xml:space="preserve">Complexity </w:t>
            </w:r>
            <w:r>
              <w:rPr>
                <w:sz w:val="22"/>
              </w:rPr>
              <w:br/>
            </w:r>
            <w:r w:rsidRPr="000063A1">
              <w:rPr>
                <w:sz w:val="22"/>
              </w:rPr>
              <w:t>quadrant</w:t>
            </w:r>
          </w:p>
        </w:tc>
        <w:tc>
          <w:tcPr>
            <w:tcW w:w="1890" w:type="dxa"/>
            <w:tcBorders>
              <w:left w:val="single" w:sz="6" w:space="0" w:color="660B68"/>
            </w:tcBorders>
            <w:hideMark/>
          </w:tcPr>
          <w:p w14:paraId="165626B3" w14:textId="77777777" w:rsidR="000063A1" w:rsidRPr="000063A1" w:rsidRDefault="000063A1" w:rsidP="000063A1">
            <w:pPr>
              <w:pStyle w:val="TableHeader"/>
              <w:jc w:val="right"/>
              <w:cnfStyle w:val="100000000000" w:firstRow="1" w:lastRow="0" w:firstColumn="0" w:lastColumn="0" w:oddVBand="0" w:evenVBand="0" w:oddHBand="0" w:evenHBand="0" w:firstRowFirstColumn="0" w:firstRowLastColumn="0" w:lastRowFirstColumn="0" w:lastRowLastColumn="0"/>
              <w:rPr>
                <w:b/>
                <w:i/>
                <w:sz w:val="22"/>
              </w:rPr>
            </w:pPr>
            <w:proofErr w:type="gramStart"/>
            <w:r w:rsidRPr="000063A1">
              <w:rPr>
                <w:sz w:val="22"/>
              </w:rPr>
              <w:t>Total</w:t>
            </w:r>
            <w:proofErr w:type="gramEnd"/>
            <w:r w:rsidRPr="000063A1">
              <w:rPr>
                <w:sz w:val="22"/>
              </w:rPr>
              <w:t xml:space="preserve"> spend</w:t>
            </w:r>
            <w:r w:rsidRPr="000063A1">
              <w:rPr>
                <w:sz w:val="22"/>
              </w:rPr>
              <w:br/>
            </w:r>
            <w:r w:rsidRPr="000063A1">
              <w:rPr>
                <w:i/>
                <w:sz w:val="22"/>
              </w:rPr>
              <w:t>($</w:t>
            </w:r>
            <w:r w:rsidR="008052FC">
              <w:rPr>
                <w:i/>
                <w:sz w:val="22"/>
              </w:rPr>
              <w:t> million</w:t>
            </w:r>
            <w:r w:rsidRPr="000063A1">
              <w:rPr>
                <w:i/>
                <w:sz w:val="22"/>
              </w:rPr>
              <w:t>)</w:t>
            </w:r>
          </w:p>
        </w:tc>
        <w:tc>
          <w:tcPr>
            <w:tcW w:w="1890" w:type="dxa"/>
            <w:hideMark/>
          </w:tcPr>
          <w:p w14:paraId="02175841" w14:textId="77777777" w:rsidR="000063A1" w:rsidRPr="000063A1" w:rsidRDefault="000063A1" w:rsidP="000063A1">
            <w:pPr>
              <w:pStyle w:val="TableHeader"/>
              <w:jc w:val="right"/>
              <w:cnfStyle w:val="100000000000" w:firstRow="1" w:lastRow="0" w:firstColumn="0" w:lastColumn="0" w:oddVBand="0" w:evenVBand="0" w:oddHBand="0" w:evenHBand="0" w:firstRowFirstColumn="0" w:firstRowLastColumn="0" w:lastRowFirstColumn="0" w:lastRowLastColumn="0"/>
              <w:rPr>
                <w:sz w:val="22"/>
              </w:rPr>
            </w:pPr>
            <w:r w:rsidRPr="000063A1">
              <w:rPr>
                <w:sz w:val="22"/>
              </w:rPr>
              <w:t xml:space="preserve">Percentage of </w:t>
            </w:r>
            <w:r w:rsidRPr="000063A1">
              <w:rPr>
                <w:sz w:val="22"/>
              </w:rPr>
              <w:br/>
              <w:t>total spend</w:t>
            </w:r>
          </w:p>
        </w:tc>
      </w:tr>
      <w:tr w:rsidR="000063A1" w:rsidRPr="00227009" w14:paraId="021BFA31" w14:textId="77777777" w:rsidTr="00C50C27">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4E88D1B2" w14:textId="77777777" w:rsidR="000063A1" w:rsidRPr="000063A1" w:rsidRDefault="000063A1" w:rsidP="00CA4484">
            <w:pPr>
              <w:pStyle w:val="TableText"/>
              <w:rPr>
                <w:color w:val="FFFFFF" w:themeColor="background1"/>
              </w:rPr>
            </w:pPr>
            <w:r w:rsidRPr="000063A1">
              <w:rPr>
                <w:color w:val="FFFFFF" w:themeColor="background1"/>
              </w:rPr>
              <w:t>Transactional</w:t>
            </w:r>
          </w:p>
        </w:tc>
        <w:tc>
          <w:tcPr>
            <w:tcW w:w="1890" w:type="dxa"/>
            <w:tcBorders>
              <w:left w:val="single" w:sz="6" w:space="0" w:color="660B68"/>
            </w:tcBorders>
            <w:hideMark/>
          </w:tcPr>
          <w:p w14:paraId="71E16B42"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$1</w:t>
            </w:r>
          </w:p>
        </w:tc>
        <w:tc>
          <w:tcPr>
            <w:tcW w:w="1890" w:type="dxa"/>
            <w:hideMark/>
          </w:tcPr>
          <w:p w14:paraId="6FDCBBC2"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3</w:t>
            </w:r>
          </w:p>
        </w:tc>
      </w:tr>
      <w:tr w:rsidR="000063A1" w:rsidRPr="00227009" w14:paraId="6A88FB57"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0659CEE5" w14:textId="77777777" w:rsidR="000063A1" w:rsidRPr="000063A1" w:rsidRDefault="000063A1" w:rsidP="00CA4484">
            <w:pPr>
              <w:pStyle w:val="TableText"/>
              <w:rPr>
                <w:color w:val="FFFFFF" w:themeColor="background1"/>
              </w:rPr>
            </w:pPr>
            <w:r w:rsidRPr="000063A1">
              <w:rPr>
                <w:color w:val="FFFFFF" w:themeColor="background1"/>
              </w:rPr>
              <w:t>Leveraged</w:t>
            </w:r>
          </w:p>
        </w:tc>
        <w:tc>
          <w:tcPr>
            <w:tcW w:w="1890" w:type="dxa"/>
            <w:tcBorders>
              <w:left w:val="single" w:sz="6" w:space="0" w:color="660B68"/>
            </w:tcBorders>
            <w:shd w:val="clear" w:color="auto" w:fill="D9D9D9" w:themeFill="background1" w:themeFillShade="D9"/>
            <w:hideMark/>
          </w:tcPr>
          <w:p w14:paraId="3E62D74C"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$20</w:t>
            </w:r>
          </w:p>
        </w:tc>
        <w:tc>
          <w:tcPr>
            <w:tcW w:w="1890" w:type="dxa"/>
            <w:shd w:val="clear" w:color="auto" w:fill="D9D9D9" w:themeFill="background1" w:themeFillShade="D9"/>
            <w:hideMark/>
          </w:tcPr>
          <w:p w14:paraId="70EA609B"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55</w:t>
            </w:r>
          </w:p>
        </w:tc>
      </w:tr>
      <w:tr w:rsidR="000063A1" w:rsidRPr="00227009" w14:paraId="5BBBFF59" w14:textId="77777777" w:rsidTr="00C50C27">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241F1B23" w14:textId="77777777" w:rsidR="000063A1" w:rsidRPr="000063A1" w:rsidRDefault="000063A1" w:rsidP="00CA4484">
            <w:pPr>
              <w:pStyle w:val="TableText"/>
              <w:rPr>
                <w:color w:val="FFFFFF" w:themeColor="background1"/>
              </w:rPr>
            </w:pPr>
            <w:r w:rsidRPr="000063A1">
              <w:rPr>
                <w:color w:val="FFFFFF" w:themeColor="background1"/>
              </w:rPr>
              <w:t>Focused</w:t>
            </w:r>
          </w:p>
        </w:tc>
        <w:tc>
          <w:tcPr>
            <w:tcW w:w="1890" w:type="dxa"/>
            <w:tcBorders>
              <w:left w:val="single" w:sz="6" w:space="0" w:color="660B68"/>
            </w:tcBorders>
            <w:hideMark/>
          </w:tcPr>
          <w:p w14:paraId="5860E215"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$10</w:t>
            </w:r>
          </w:p>
        </w:tc>
        <w:tc>
          <w:tcPr>
            <w:tcW w:w="1890" w:type="dxa"/>
            <w:hideMark/>
          </w:tcPr>
          <w:p w14:paraId="17CE2DB4"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28</w:t>
            </w:r>
          </w:p>
        </w:tc>
      </w:tr>
      <w:tr w:rsidR="000063A1" w:rsidRPr="00227009" w14:paraId="654839D6" w14:textId="77777777" w:rsidTr="00C50C2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563FD292" w14:textId="77777777" w:rsidR="000063A1" w:rsidRPr="000063A1" w:rsidRDefault="000063A1" w:rsidP="00CA4484">
            <w:pPr>
              <w:pStyle w:val="TableText"/>
              <w:rPr>
                <w:color w:val="FFFFFF" w:themeColor="background1"/>
              </w:rPr>
            </w:pPr>
            <w:r w:rsidRPr="000063A1">
              <w:rPr>
                <w:color w:val="FFFFFF" w:themeColor="background1"/>
              </w:rPr>
              <w:t xml:space="preserve">Strategic </w:t>
            </w:r>
          </w:p>
        </w:tc>
        <w:tc>
          <w:tcPr>
            <w:tcW w:w="1890" w:type="dxa"/>
            <w:tcBorders>
              <w:left w:val="single" w:sz="6" w:space="0" w:color="660B68"/>
            </w:tcBorders>
            <w:shd w:val="clear" w:color="auto" w:fill="D9D9D9" w:themeFill="background1" w:themeFillShade="D9"/>
            <w:hideMark/>
          </w:tcPr>
          <w:p w14:paraId="697E11B0"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$3</w:t>
            </w:r>
          </w:p>
        </w:tc>
        <w:tc>
          <w:tcPr>
            <w:tcW w:w="1890" w:type="dxa"/>
            <w:shd w:val="clear" w:color="auto" w:fill="D9D9D9" w:themeFill="background1" w:themeFillShade="D9"/>
            <w:hideMark/>
          </w:tcPr>
          <w:p w14:paraId="2479874C"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pPr>
            <w:r>
              <w:t>8</w:t>
            </w:r>
          </w:p>
        </w:tc>
      </w:tr>
      <w:tr w:rsidR="000063A1" w:rsidRPr="00227009" w14:paraId="68D9ACA1" w14:textId="77777777" w:rsidTr="00C50C27">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bottom w:val="nil"/>
              <w:right w:val="single" w:sz="6" w:space="0" w:color="660B68"/>
            </w:tcBorders>
            <w:shd w:val="clear" w:color="auto" w:fill="660B68"/>
            <w:hideMark/>
          </w:tcPr>
          <w:p w14:paraId="1EDFAEAC" w14:textId="77777777" w:rsidR="000063A1" w:rsidRPr="000063A1" w:rsidRDefault="000063A1" w:rsidP="00CA4484">
            <w:pPr>
              <w:pStyle w:val="TableText"/>
              <w:rPr>
                <w:color w:val="FFFFFF" w:themeColor="background1"/>
              </w:rPr>
            </w:pPr>
            <w:r w:rsidRPr="000063A1">
              <w:rPr>
                <w:color w:val="FFFFFF" w:themeColor="background1"/>
              </w:rPr>
              <w:t>Not assessed</w:t>
            </w:r>
          </w:p>
        </w:tc>
        <w:tc>
          <w:tcPr>
            <w:tcW w:w="1890" w:type="dxa"/>
            <w:tcBorders>
              <w:left w:val="single" w:sz="6" w:space="0" w:color="660B68"/>
            </w:tcBorders>
            <w:hideMark/>
          </w:tcPr>
          <w:p w14:paraId="063CAD7E"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$2</w:t>
            </w:r>
          </w:p>
        </w:tc>
        <w:tc>
          <w:tcPr>
            <w:tcW w:w="1890" w:type="dxa"/>
            <w:hideMark/>
          </w:tcPr>
          <w:p w14:paraId="60D8664E" w14:textId="77777777" w:rsidR="000063A1" w:rsidRPr="00227009" w:rsidRDefault="000063A1" w:rsidP="000063A1">
            <w:pPr>
              <w:pStyle w:val="TableText"/>
              <w:jc w:val="right"/>
              <w:cnfStyle w:val="000000000000" w:firstRow="0" w:lastRow="0" w:firstColumn="0" w:lastColumn="0" w:oddVBand="0" w:evenVBand="0" w:oddHBand="0" w:evenHBand="0" w:firstRowFirstColumn="0" w:firstRowLastColumn="0" w:lastRowFirstColumn="0" w:lastRowLastColumn="0"/>
            </w:pPr>
            <w:r>
              <w:t>6</w:t>
            </w:r>
          </w:p>
        </w:tc>
      </w:tr>
      <w:tr w:rsidR="000063A1" w:rsidRPr="00227009" w14:paraId="2BD9692D" w14:textId="77777777" w:rsidTr="00C50C27">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994" w:type="dxa"/>
            <w:tcBorders>
              <w:top w:val="nil"/>
              <w:left w:val="single" w:sz="6" w:space="0" w:color="660B68"/>
              <w:right w:val="single" w:sz="6" w:space="0" w:color="660B68"/>
            </w:tcBorders>
            <w:shd w:val="clear" w:color="auto" w:fill="660B68"/>
            <w:hideMark/>
          </w:tcPr>
          <w:p w14:paraId="01C084B8" w14:textId="77777777" w:rsidR="000063A1" w:rsidRPr="000063A1" w:rsidRDefault="000063A1" w:rsidP="00CA4484">
            <w:pPr>
              <w:pStyle w:val="TableText"/>
              <w:rPr>
                <w:color w:val="FFFFFF" w:themeColor="background1"/>
              </w:rPr>
            </w:pPr>
            <w:r w:rsidRPr="000063A1">
              <w:rPr>
                <w:color w:val="FFFFFF" w:themeColor="background1"/>
              </w:rPr>
              <w:t>Total</w:t>
            </w:r>
          </w:p>
        </w:tc>
        <w:tc>
          <w:tcPr>
            <w:tcW w:w="1890" w:type="dxa"/>
            <w:tcBorders>
              <w:left w:val="single" w:sz="6" w:space="0" w:color="660B68"/>
            </w:tcBorders>
            <w:shd w:val="clear" w:color="auto" w:fill="D9D9D9" w:themeFill="background1" w:themeFillShade="D9"/>
            <w:hideMark/>
          </w:tcPr>
          <w:p w14:paraId="51B02D5B"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rPr>
                <w:b/>
              </w:rPr>
            </w:pPr>
            <w:r>
              <w:rPr>
                <w:b/>
              </w:rPr>
              <w:t>$36</w:t>
            </w:r>
          </w:p>
        </w:tc>
        <w:tc>
          <w:tcPr>
            <w:tcW w:w="1890" w:type="dxa"/>
            <w:shd w:val="clear" w:color="auto" w:fill="D9D9D9" w:themeFill="background1" w:themeFillShade="D9"/>
            <w:hideMark/>
          </w:tcPr>
          <w:p w14:paraId="6EC8E3D6" w14:textId="77777777" w:rsidR="000063A1" w:rsidRPr="00227009" w:rsidRDefault="000063A1" w:rsidP="000063A1">
            <w:pPr>
              <w:pStyle w:val="TableText"/>
              <w:jc w:val="right"/>
              <w:cnfStyle w:val="000000010000" w:firstRow="0" w:lastRow="0" w:firstColumn="0" w:lastColumn="0" w:oddVBand="0" w:evenVBand="0" w:oddHBand="0" w:evenHBand="1" w:firstRowFirstColumn="0" w:firstRowLastColumn="0" w:lastRowFirstColumn="0" w:lastRowLastColumn="0"/>
              <w:rPr>
                <w:b/>
              </w:rPr>
            </w:pPr>
            <w:r>
              <w:rPr>
                <w:b/>
              </w:rPr>
              <w:t>100</w:t>
            </w:r>
          </w:p>
        </w:tc>
      </w:tr>
    </w:tbl>
    <w:p w14:paraId="4EA4B47F" w14:textId="77777777" w:rsidR="00180922" w:rsidRDefault="00180922" w:rsidP="00180922">
      <w:pPr>
        <w:spacing w:before="0"/>
        <w:rPr>
          <w:rFonts w:asciiTheme="minorHAnsi" w:hAnsiTheme="minorHAnsi" w:cstheme="minorHAnsi"/>
        </w:rPr>
      </w:pPr>
    </w:p>
    <w:p w14:paraId="1FAD3B1D" w14:textId="77777777" w:rsidR="00870DA6" w:rsidRPr="00870DA6" w:rsidRDefault="00870DA6" w:rsidP="00870DA6">
      <w:pPr>
        <w:pStyle w:val="Heading2"/>
        <w:keepNext/>
        <w:rPr>
          <w:color w:val="7030A0"/>
        </w:rPr>
      </w:pPr>
      <w:r w:rsidRPr="00870DA6">
        <w:rPr>
          <w:color w:val="7030A0"/>
        </w:rPr>
        <w:t>Using this guide</w:t>
      </w:r>
    </w:p>
    <w:p w14:paraId="53C18C3E" w14:textId="7195D101" w:rsidR="00870DA6" w:rsidRPr="001206E6" w:rsidRDefault="00870DA6" w:rsidP="00870DA6">
      <w:r w:rsidRPr="001206E6">
        <w:t xml:space="preserve">This guide accompanies the </w:t>
      </w:r>
      <w:hyperlink r:id="rId14" w:history="1">
        <w:r w:rsidRPr="00CD7FE2">
          <w:rPr>
            <w:rStyle w:val="Hyperlink"/>
          </w:rPr>
          <w:t>goods and services supply policies</w:t>
        </w:r>
      </w:hyperlink>
      <w:r w:rsidRPr="001206E6">
        <w:t xml:space="preserve">. There are 5 </w:t>
      </w:r>
      <w:r>
        <w:t xml:space="preserve">supplies </w:t>
      </w:r>
      <w:r w:rsidRPr="001206E6">
        <w:t>policies:</w:t>
      </w:r>
    </w:p>
    <w:p w14:paraId="432E1604" w14:textId="77777777" w:rsidR="00870DA6" w:rsidRPr="001206E6" w:rsidRDefault="00870DA6" w:rsidP="00870DA6">
      <w:pPr>
        <w:pStyle w:val="ListParagraph"/>
        <w:numPr>
          <w:ilvl w:val="0"/>
          <w:numId w:val="49"/>
        </w:numPr>
      </w:pPr>
      <w:r w:rsidRPr="001206E6">
        <w:t>Governance policy</w:t>
      </w:r>
    </w:p>
    <w:p w14:paraId="23089655" w14:textId="77777777" w:rsidR="002F43DC" w:rsidRPr="00D879F1" w:rsidRDefault="002F43DC" w:rsidP="002F43DC">
      <w:pPr>
        <w:pStyle w:val="ListParagraph"/>
        <w:numPr>
          <w:ilvl w:val="0"/>
          <w:numId w:val="49"/>
        </w:numPr>
      </w:pPr>
      <w:r w:rsidRPr="00D879F1">
        <w:t xml:space="preserve">Complexity and capability </w:t>
      </w:r>
      <w:r>
        <w:t xml:space="preserve">assessment </w:t>
      </w:r>
      <w:r w:rsidRPr="00D879F1">
        <w:t>policy</w:t>
      </w:r>
    </w:p>
    <w:p w14:paraId="1F18094C" w14:textId="77777777" w:rsidR="00870DA6" w:rsidRPr="001206E6" w:rsidRDefault="00870DA6" w:rsidP="00870DA6">
      <w:pPr>
        <w:pStyle w:val="ListParagraph"/>
        <w:numPr>
          <w:ilvl w:val="0"/>
          <w:numId w:val="49"/>
        </w:numPr>
      </w:pPr>
      <w:r w:rsidRPr="001206E6">
        <w:t>Market analysis and review policy</w:t>
      </w:r>
    </w:p>
    <w:p w14:paraId="78297003" w14:textId="77777777" w:rsidR="00870DA6" w:rsidRPr="001206E6" w:rsidRDefault="00870DA6" w:rsidP="00870DA6">
      <w:pPr>
        <w:pStyle w:val="ListParagraph"/>
        <w:numPr>
          <w:ilvl w:val="0"/>
          <w:numId w:val="49"/>
        </w:numPr>
      </w:pPr>
      <w:r w:rsidRPr="001206E6">
        <w:t>Market approach policy</w:t>
      </w:r>
    </w:p>
    <w:p w14:paraId="68BB2743" w14:textId="77777777" w:rsidR="00870DA6" w:rsidRPr="001206E6" w:rsidRDefault="00870DA6" w:rsidP="00870DA6">
      <w:pPr>
        <w:pStyle w:val="ListParagraph"/>
        <w:numPr>
          <w:ilvl w:val="0"/>
          <w:numId w:val="49"/>
        </w:numPr>
      </w:pPr>
      <w:r w:rsidRPr="001206E6">
        <w:t xml:space="preserve">Contract management and disclosure </w:t>
      </w:r>
      <w:proofErr w:type="gramStart"/>
      <w:r w:rsidRPr="001206E6">
        <w:t>policy</w:t>
      </w:r>
      <w:proofErr w:type="gramEnd"/>
    </w:p>
    <w:p w14:paraId="6EDE1F10" w14:textId="2EF62ED0" w:rsidR="00870DA6" w:rsidRPr="00401617" w:rsidRDefault="00870DA6" w:rsidP="00870DA6">
      <w:pPr>
        <w:spacing w:after="120" w:line="240" w:lineRule="auto"/>
        <w:rPr>
          <w:rFonts w:cstheme="minorHAnsi"/>
        </w:rPr>
      </w:pPr>
      <w:r>
        <w:rPr>
          <w:rFonts w:cstheme="minorHAnsi"/>
        </w:rPr>
        <w:t xml:space="preserve">This guide supports the </w:t>
      </w:r>
      <w:hyperlink r:id="rId15" w:history="1">
        <w:r w:rsidRPr="00CD7FE2">
          <w:rPr>
            <w:rStyle w:val="Hyperlink"/>
            <w:rFonts w:cstheme="minorHAnsi"/>
          </w:rPr>
          <w:t>Complexity and capability assessment policy</w:t>
        </w:r>
      </w:hyperlink>
      <w:r>
        <w:rPr>
          <w:rFonts w:cstheme="minorHAnsi"/>
        </w:rPr>
        <w:t>.</w:t>
      </w:r>
    </w:p>
    <w:p w14:paraId="5A5A8DF7" w14:textId="77777777" w:rsidR="00180922" w:rsidRDefault="00180922" w:rsidP="00180922">
      <w:pPr>
        <w:spacing w:before="0"/>
        <w:rPr>
          <w:rFonts w:asciiTheme="minorHAnsi" w:hAnsiTheme="minorHAnsi" w:cstheme="minorHAnsi"/>
        </w:rPr>
      </w:pPr>
    </w:p>
    <w:p w14:paraId="5F051EF6" w14:textId="77777777" w:rsidR="00180922" w:rsidRDefault="00180922" w:rsidP="00180922">
      <w:pPr>
        <w:spacing w:before="0"/>
        <w:rPr>
          <w:rFonts w:asciiTheme="minorHAnsi" w:hAnsiTheme="minorHAnsi" w:cstheme="minorHAnsi"/>
        </w:rPr>
      </w:pPr>
    </w:p>
    <w:p w14:paraId="6281A23A" w14:textId="77777777" w:rsidR="00180922" w:rsidRDefault="00180922" w:rsidP="00180922">
      <w:pPr>
        <w:spacing w:before="0"/>
        <w:rPr>
          <w:rFonts w:asciiTheme="minorHAnsi" w:hAnsiTheme="minorHAnsi" w:cstheme="minorHAnsi"/>
        </w:rPr>
      </w:pPr>
    </w:p>
    <w:p w14:paraId="22396343" w14:textId="77777777" w:rsidR="00180922" w:rsidRDefault="00180922" w:rsidP="00180922">
      <w:pPr>
        <w:spacing w:before="0"/>
        <w:rPr>
          <w:rFonts w:asciiTheme="minorHAnsi" w:hAnsiTheme="minorHAnsi" w:cstheme="minorHAnsi"/>
        </w:rPr>
      </w:pPr>
    </w:p>
    <w:p w14:paraId="0EA1D32A" w14:textId="77777777" w:rsidR="00180922" w:rsidRDefault="00180922" w:rsidP="00180922">
      <w:pPr>
        <w:spacing w:before="0"/>
        <w:rPr>
          <w:rFonts w:asciiTheme="minorHAnsi" w:hAnsiTheme="minorHAnsi" w:cstheme="minorHAnsi"/>
        </w:rPr>
      </w:pPr>
    </w:p>
    <w:p w14:paraId="712EB338" w14:textId="77777777" w:rsidR="00180922" w:rsidRDefault="00180922" w:rsidP="00180922">
      <w:pPr>
        <w:spacing w:before="0"/>
        <w:rPr>
          <w:rFonts w:asciiTheme="minorHAnsi" w:hAnsiTheme="minorHAnsi" w:cstheme="minorHAnsi"/>
        </w:rPr>
      </w:pPr>
    </w:p>
    <w:p w14:paraId="279E57B1" w14:textId="77777777" w:rsidR="00180922" w:rsidRDefault="00180922" w:rsidP="00180922">
      <w:pPr>
        <w:spacing w:before="0"/>
        <w:rPr>
          <w:rFonts w:asciiTheme="minorHAnsi" w:hAnsiTheme="minorHAnsi" w:cstheme="minorHAnsi"/>
        </w:rPr>
      </w:pPr>
    </w:p>
    <w:p w14:paraId="0096EDF5" w14:textId="77777777" w:rsidR="00180922" w:rsidRDefault="00180922" w:rsidP="00180922">
      <w:pPr>
        <w:spacing w:before="0"/>
        <w:rPr>
          <w:rFonts w:asciiTheme="minorHAnsi" w:hAnsiTheme="minorHAnsi" w:cstheme="minorHAnsi"/>
        </w:rPr>
      </w:pPr>
    </w:p>
    <w:p w14:paraId="39337C83" w14:textId="77777777" w:rsidR="00180922" w:rsidRDefault="00180922" w:rsidP="00180922">
      <w:pPr>
        <w:spacing w:before="0"/>
        <w:rPr>
          <w:rFonts w:asciiTheme="minorHAnsi" w:hAnsiTheme="minorHAnsi" w:cstheme="minorHAnsi"/>
        </w:rPr>
      </w:pPr>
    </w:p>
    <w:p w14:paraId="073C8363" w14:textId="4C3A9125" w:rsidR="00180922" w:rsidRPr="006828FC" w:rsidRDefault="009706FB" w:rsidP="00180922">
      <w:r>
        <w:t xml:space="preserve">© </w:t>
      </w:r>
      <w:r w:rsidR="00180922" w:rsidRPr="006828FC">
        <w:t>State of Victoria 201</w:t>
      </w:r>
      <w:r w:rsidR="00BC060A">
        <w:t>8</w:t>
      </w:r>
      <w:r>
        <w:t xml:space="preserve"> (</w:t>
      </w:r>
      <w:r w:rsidRPr="009706FB">
        <w:t>Victorian Government Purchasing Board</w:t>
      </w:r>
      <w:r>
        <w:t>)</w:t>
      </w:r>
    </w:p>
    <w:p w14:paraId="37892B15" w14:textId="77777777" w:rsidR="00180922" w:rsidRPr="006828FC" w:rsidRDefault="00180922" w:rsidP="00180922">
      <w:r w:rsidRPr="006828FC">
        <w:rPr>
          <w:noProof/>
        </w:rPr>
        <w:drawing>
          <wp:inline distT="0" distB="0" distL="0" distR="0" wp14:anchorId="61A91655" wp14:editId="2ECA9937">
            <wp:extent cx="1117460" cy="393651"/>
            <wp:effectExtent l="0" t="0" r="6985" b="6985"/>
            <wp:docPr id="3" name="Picture 3">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7">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4468E5C" w14:textId="77777777" w:rsidR="00180922" w:rsidRPr="006828FC" w:rsidRDefault="00180922" w:rsidP="00180922">
      <w:r w:rsidRPr="006828FC">
        <w:t xml:space="preserve">This work is licensed under a </w:t>
      </w:r>
      <w:hyperlink r:id="rId18" w:history="1">
        <w:r w:rsidRPr="006828FC">
          <w:rPr>
            <w:rStyle w:val="Hyperlink"/>
          </w:rPr>
          <w:t xml:space="preserve">Creative Commons Attribution </w:t>
        </w:r>
        <w:r>
          <w:rPr>
            <w:rStyle w:val="Hyperlink"/>
          </w:rPr>
          <w:t>4</w:t>
        </w:r>
        <w:r w:rsidRPr="006828FC">
          <w:rPr>
            <w:rStyle w:val="Hyperlink"/>
          </w:rPr>
          <w:t>.0 Australia licence</w:t>
        </w:r>
      </w:hyperlink>
      <w:r w:rsidRPr="006828FC">
        <w:t xml:space="preserve">. You are free to re-use the work under that licence, on the condition that you credit the State of Victoria as author. The licence does not apply to any images, </w:t>
      </w:r>
      <w:proofErr w:type="gramStart"/>
      <w:r w:rsidRPr="006828FC">
        <w:t>photographs</w:t>
      </w:r>
      <w:proofErr w:type="gramEnd"/>
      <w:r w:rsidRPr="006828FC">
        <w:t xml:space="preserve"> or branding, including the Victorian Coat of Arms, the Victorian Government logo and the Department of Treasury and Finance logo.</w:t>
      </w:r>
    </w:p>
    <w:p w14:paraId="41D02F12" w14:textId="77777777" w:rsidR="00180922" w:rsidRDefault="00180922" w:rsidP="00180922">
      <w:pPr>
        <w:spacing w:before="0"/>
        <w:rPr>
          <w:rFonts w:asciiTheme="minorHAnsi" w:hAnsiTheme="minorHAnsi" w:cstheme="minorHAnsi"/>
        </w:rPr>
      </w:pPr>
      <w:r w:rsidRPr="006828FC">
        <w:t xml:space="preserve">Copyright queries may be directed to </w:t>
      </w:r>
      <w:hyperlink r:id="rId19" w:history="1">
        <w:r w:rsidRPr="006828FC">
          <w:rPr>
            <w:rStyle w:val="Hyperlink"/>
          </w:rPr>
          <w:t>IPpolicy@dtf.vic.gov.au</w:t>
        </w:r>
      </w:hyperlink>
    </w:p>
    <w:p w14:paraId="6AAAA299" w14:textId="77777777" w:rsidR="006828FC" w:rsidRDefault="006828FC" w:rsidP="00180922">
      <w:pPr>
        <w:spacing w:before="0"/>
        <w:rPr>
          <w:rFonts w:asciiTheme="minorHAnsi" w:hAnsiTheme="minorHAnsi" w:cstheme="minorHAnsi"/>
        </w:rPr>
      </w:pPr>
    </w:p>
    <w:sectPr w:rsidR="006828FC" w:rsidSect="00225DC6">
      <w:headerReference w:type="default" r:id="rId20"/>
      <w:footerReference w:type="default" r:id="rId21"/>
      <w:headerReference w:type="first" r:id="rId22"/>
      <w:footerReference w:type="first" r:id="rId23"/>
      <w:pgSz w:w="11901" w:h="16840" w:code="9"/>
      <w:pgMar w:top="1560" w:right="1008" w:bottom="1560" w:left="1152" w:header="567" w:footer="8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1B85E9" w14:textId="77777777" w:rsidR="0043672B" w:rsidRDefault="0043672B">
      <w:r>
        <w:separator/>
      </w:r>
    </w:p>
    <w:p w14:paraId="0FED2B24" w14:textId="77777777" w:rsidR="0043672B" w:rsidRDefault="0043672B"/>
  </w:endnote>
  <w:endnote w:type="continuationSeparator" w:id="0">
    <w:p w14:paraId="50D881A2" w14:textId="77777777" w:rsidR="0043672B" w:rsidRDefault="0043672B">
      <w:r>
        <w:continuationSeparator/>
      </w:r>
    </w:p>
    <w:p w14:paraId="1CF211A0" w14:textId="77777777" w:rsidR="0043672B" w:rsidRDefault="00436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88F42" w14:textId="1F38A934" w:rsidR="009706FB" w:rsidRDefault="009706FB" w:rsidP="00225DC6">
    <w:pPr>
      <w:pStyle w:val="Footer"/>
      <w:tabs>
        <w:tab w:val="clear" w:pos="8220"/>
        <w:tab w:val="right" w:pos="9639"/>
      </w:tabs>
      <w:jc w:val="left"/>
    </w:pPr>
    <w:r>
      <w:t>Victorian Government Purchasing Board</w:t>
    </w:r>
  </w:p>
  <w:p w14:paraId="6BA39418" w14:textId="0BAE4D41" w:rsidR="00225DC6" w:rsidRDefault="002725E3" w:rsidP="00225DC6">
    <w:pPr>
      <w:pStyle w:val="Footer"/>
      <w:tabs>
        <w:tab w:val="clear" w:pos="8220"/>
        <w:tab w:val="right" w:pos="9639"/>
      </w:tabs>
      <w:jc w:val="left"/>
    </w:pPr>
    <w:r>
      <mc:AlternateContent>
        <mc:Choice Requires="wps">
          <w:drawing>
            <wp:anchor distT="0" distB="0" distL="114300" distR="114300" simplePos="0" relativeHeight="251665920" behindDoc="0" locked="0" layoutInCell="0" allowOverlap="1" wp14:anchorId="6D34ED89" wp14:editId="228983D4">
              <wp:simplePos x="0" y="0"/>
              <wp:positionH relativeFrom="page">
                <wp:posOffset>0</wp:posOffset>
              </wp:positionH>
              <wp:positionV relativeFrom="page">
                <wp:posOffset>10236200</wp:posOffset>
              </wp:positionV>
              <wp:extent cx="7557135" cy="266700"/>
              <wp:effectExtent l="0" t="0" r="0" b="0"/>
              <wp:wrapNone/>
              <wp:docPr id="1" name="MSIPCM49c6496d9159b5141a7bb000"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75DA9F" w14:textId="77777777" w:rsidR="002725E3" w:rsidRPr="002725E3" w:rsidRDefault="002725E3" w:rsidP="002725E3">
                          <w:pPr>
                            <w:spacing w:before="0" w:after="0"/>
                            <w:rPr>
                              <w:color w:val="000000"/>
                            </w:rPr>
                          </w:pPr>
                          <w:r w:rsidRPr="002725E3">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D34ED89" id="_x0000_t202" coordsize="21600,21600" o:spt="202" path="m,l,21600r21600,l21600,xe">
              <v:stroke joinstyle="miter"/>
              <v:path gradientshapeok="t" o:connecttype="rect"/>
            </v:shapetype>
            <v:shape id="MSIPCM49c6496d9159b5141a7bb000"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OSGQ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" o:allowincell="f" filled="f" stroked="f" strokeweight=".5pt">
              <v:textbox inset="20pt,0,,0">
                <w:txbxContent>
                  <w:p w14:paraId="2875DA9F" w14:textId="77777777" w:rsidR="002725E3" w:rsidRPr="002725E3" w:rsidRDefault="002725E3" w:rsidP="002725E3">
                    <w:pPr>
                      <w:spacing w:before="0" w:after="0"/>
                      <w:rPr>
                        <w:color w:val="000000"/>
                      </w:rPr>
                    </w:pPr>
                    <w:r w:rsidRPr="002725E3">
                      <w:rPr>
                        <w:color w:val="000000"/>
                      </w:rPr>
                      <w:t>OFFICIAL</w:t>
                    </w:r>
                  </w:p>
                </w:txbxContent>
              </v:textbox>
              <w10:wrap anchorx="page" anchory="page"/>
            </v:shape>
          </w:pict>
        </mc:Fallback>
      </mc:AlternateContent>
    </w:r>
    <w:sdt>
      <w:sdtPr>
        <w:id w:val="-1933968733"/>
        <w:docPartObj>
          <w:docPartGallery w:val="Page Numbers (Bottom of Page)"/>
          <w:docPartUnique/>
        </w:docPartObj>
      </w:sdtPr>
      <w:sdtContent>
        <w:sdt>
          <w:sdtPr>
            <w:id w:val="-1769616900"/>
            <w:docPartObj>
              <w:docPartGallery w:val="Page Numbers (Top of Page)"/>
              <w:docPartUnique/>
            </w:docPartObj>
          </w:sdtPr>
          <w:sdtContent>
            <w:r w:rsidR="00225DC6">
              <w:t>Complexity – Goods and services procurement guide</w:t>
            </w:r>
            <w:r w:rsidR="00225DC6">
              <w:br/>
            </w:r>
            <w:r w:rsidR="00BC060A">
              <w:t>December</w:t>
            </w:r>
            <w:r w:rsidR="009706FB">
              <w:t xml:space="preserve"> 201</w:t>
            </w:r>
            <w:r w:rsidR="00BC060A">
              <w:t>8</w:t>
            </w:r>
            <w:r w:rsidR="00225DC6">
              <w:tab/>
              <w:t xml:space="preserve">Page </w:t>
            </w:r>
            <w:r w:rsidR="00225DC6">
              <w:rPr>
                <w:b/>
                <w:bCs/>
                <w:sz w:val="24"/>
                <w:szCs w:val="24"/>
              </w:rPr>
              <w:fldChar w:fldCharType="begin"/>
            </w:r>
            <w:r w:rsidR="00225DC6">
              <w:rPr>
                <w:b/>
                <w:bCs/>
              </w:rPr>
              <w:instrText xml:space="preserve"> PAGE </w:instrText>
            </w:r>
            <w:r w:rsidR="00225DC6">
              <w:rPr>
                <w:b/>
                <w:bCs/>
                <w:sz w:val="24"/>
                <w:szCs w:val="24"/>
              </w:rPr>
              <w:fldChar w:fldCharType="separate"/>
            </w:r>
            <w:r w:rsidR="00225DC6">
              <w:rPr>
                <w:b/>
                <w:bCs/>
              </w:rPr>
              <w:t>2</w:t>
            </w:r>
            <w:r w:rsidR="00225DC6">
              <w:rPr>
                <w:b/>
                <w:bCs/>
                <w:sz w:val="24"/>
                <w:szCs w:val="24"/>
              </w:rPr>
              <w:fldChar w:fldCharType="end"/>
            </w:r>
            <w:r w:rsidR="00225DC6">
              <w:t xml:space="preserve"> of </w:t>
            </w:r>
            <w:r w:rsidR="00225DC6">
              <w:rPr>
                <w:b/>
                <w:bCs/>
                <w:sz w:val="24"/>
                <w:szCs w:val="24"/>
              </w:rPr>
              <w:fldChar w:fldCharType="begin"/>
            </w:r>
            <w:r w:rsidR="00225DC6">
              <w:rPr>
                <w:b/>
                <w:bCs/>
              </w:rPr>
              <w:instrText xml:space="preserve"> NUMPAGES  </w:instrText>
            </w:r>
            <w:r w:rsidR="00225DC6">
              <w:rPr>
                <w:b/>
                <w:bCs/>
                <w:sz w:val="24"/>
                <w:szCs w:val="24"/>
              </w:rPr>
              <w:fldChar w:fldCharType="separate"/>
            </w:r>
            <w:r w:rsidR="00225DC6">
              <w:rPr>
                <w:b/>
                <w:bCs/>
              </w:rPr>
              <w:t>2</w:t>
            </w:r>
            <w:r w:rsidR="00225DC6">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D6B6D" w14:textId="77777777" w:rsidR="005E77C6" w:rsidRDefault="00691C25" w:rsidP="003C0F49">
    <w:pPr>
      <w:pStyle w:val="Footer"/>
    </w:pPr>
    <w:r>
      <mc:AlternateContent>
        <mc:Choice Requires="wps">
          <w:drawing>
            <wp:anchor distT="0" distB="0" distL="114300" distR="114300" simplePos="0" relativeHeight="251664384" behindDoc="0" locked="0" layoutInCell="0" allowOverlap="1" wp14:anchorId="151BBB88" wp14:editId="63F6042E">
              <wp:simplePos x="0" y="0"/>
              <wp:positionH relativeFrom="page">
                <wp:posOffset>0</wp:posOffset>
              </wp:positionH>
              <wp:positionV relativeFrom="page">
                <wp:posOffset>10236200</wp:posOffset>
              </wp:positionV>
              <wp:extent cx="7557135" cy="266700"/>
              <wp:effectExtent l="0" t="0" r="0" b="0"/>
              <wp:wrapNone/>
              <wp:docPr id="5" name="MSIPCM710a46bb934fce4f7be1cc6b" descr="{&quot;HashCode&quot;:-126760350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B1FE6" w14:textId="77777777" w:rsidR="00691C25" w:rsidRPr="00691C25" w:rsidRDefault="00691C25" w:rsidP="00691C25">
                          <w:pPr>
                            <w:spacing w:before="0" w:after="0"/>
                            <w:rPr>
                              <w:color w:val="000000"/>
                            </w:rPr>
                          </w:pPr>
                          <w:r w:rsidRPr="00691C25">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1BBB88" id="_x0000_t202" coordsize="21600,21600" o:spt="202" path="m,l,21600r21600,l21600,xe">
              <v:stroke joinstyle="miter"/>
              <v:path gradientshapeok="t" o:connecttype="rect"/>
            </v:shapetype>
            <v:shape id="MSIPCM710a46bb934fce4f7be1cc6b" o:spid="_x0000_s1027" type="#_x0000_t202" alt="{&quot;HashCode&quot;:-1267603503,&quot;Height&quot;:842.0,&quot;Width&quot;:595.0,&quot;Placement&quot;:&quot;Footer&quot;,&quot;Index&quot;:&quot;FirstPage&quot;,&quot;Section&quot;:1,&quot;Top&quot;:0.0,&quot;Left&quot;:0.0}" style="position:absolute;left:0;text-align:left;margin-left:0;margin-top:806pt;width:595.05pt;height:21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" o:allowincell="f" filled="f" stroked="f" strokeweight=".5pt">
              <v:textbox inset="20pt,0,,0">
                <w:txbxContent>
                  <w:p w14:paraId="557B1FE6" w14:textId="77777777" w:rsidR="00691C25" w:rsidRPr="00691C25" w:rsidRDefault="00691C25" w:rsidP="00691C25">
                    <w:pPr>
                      <w:spacing w:before="0" w:after="0"/>
                      <w:rPr>
                        <w:color w:val="000000"/>
                      </w:rPr>
                    </w:pPr>
                    <w:r w:rsidRPr="00691C25">
                      <w:rPr>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737045" w14:textId="77777777" w:rsidR="0043672B" w:rsidRDefault="0043672B">
      <w:r>
        <w:separator/>
      </w:r>
    </w:p>
    <w:p w14:paraId="7AA6DE6E" w14:textId="77777777" w:rsidR="0043672B" w:rsidRDefault="0043672B"/>
  </w:footnote>
  <w:footnote w:type="continuationSeparator" w:id="0">
    <w:p w14:paraId="74EAC4B6" w14:textId="77777777" w:rsidR="0043672B" w:rsidRDefault="0043672B">
      <w:r>
        <w:continuationSeparator/>
      </w:r>
    </w:p>
    <w:p w14:paraId="6D896962" w14:textId="77777777" w:rsidR="0043672B" w:rsidRDefault="004367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AE084" w14:textId="4D4F4ADB" w:rsidR="005E77C6" w:rsidRPr="00225DC6" w:rsidRDefault="00225DC6" w:rsidP="00225DC6">
    <w:pPr>
      <w:pStyle w:val="Header"/>
      <w:tabs>
        <w:tab w:val="clear" w:pos="10350"/>
        <w:tab w:val="right" w:pos="9639"/>
      </w:tabs>
      <w:spacing w:before="240"/>
      <w:ind w:right="102"/>
      <w:rPr>
        <w:sz w:val="20"/>
        <w:szCs w:val="20"/>
      </w:rPr>
    </w:pPr>
    <w:r>
      <w:rPr>
        <w:sz w:val="20"/>
        <w:szCs w:val="20"/>
      </w:rPr>
      <w:t xml:space="preserve">Department of </w:t>
    </w:r>
    <w:r w:rsidR="008114AF">
      <w:rPr>
        <w:sz w:val="20"/>
        <w:szCs w:val="20"/>
      </w:rPr>
      <w:t>Government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52235" w14:textId="77777777" w:rsidR="005E77C6" w:rsidRPr="007602D7" w:rsidRDefault="005E77C6" w:rsidP="00B54F88">
    <w:pPr>
      <w:pStyle w:val="Header"/>
      <w:spacing w:before="240"/>
      <w:ind w:right="-461"/>
    </w:pPr>
    <w:r w:rsidRPr="000E286D">
      <w:drawing>
        <wp:anchor distT="0" distB="0" distL="114300" distR="114300" simplePos="0" relativeHeight="251659264" behindDoc="1" locked="0" layoutInCell="1" allowOverlap="1" wp14:anchorId="10931497" wp14:editId="75899DA6">
          <wp:simplePos x="0" y="0"/>
          <wp:positionH relativeFrom="column">
            <wp:posOffset>-731520</wp:posOffset>
          </wp:positionH>
          <wp:positionV relativeFrom="paragraph">
            <wp:posOffset>-200133</wp:posOffset>
          </wp:positionV>
          <wp:extent cx="560717" cy="10717356"/>
          <wp:effectExtent l="0" t="0" r="0" b="8255"/>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3B71DD5F" wp14:editId="1A4646ED">
          <wp:extent cx="2162175" cy="133350"/>
          <wp:effectExtent l="0" t="0" r="0" b="0"/>
          <wp:docPr id="3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51E0B91"/>
    <w:multiLevelType w:val="hybridMultilevel"/>
    <w:tmpl w:val="F620E2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9"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3"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4"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23D3EF9"/>
    <w:multiLevelType w:val="hybridMultilevel"/>
    <w:tmpl w:val="7F80B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8"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2"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F2760CF"/>
    <w:multiLevelType w:val="hybridMultilevel"/>
    <w:tmpl w:val="511E4F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8"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2"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5"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0"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2" w15:restartNumberingAfterBreak="0">
    <w:nsid w:val="7698683F"/>
    <w:multiLevelType w:val="hybridMultilevel"/>
    <w:tmpl w:val="1DB29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7"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0179188">
    <w:abstractNumId w:val="3"/>
  </w:num>
  <w:num w:numId="2" w16cid:durableId="155343743">
    <w:abstractNumId w:val="0"/>
  </w:num>
  <w:num w:numId="3" w16cid:durableId="2144957143">
    <w:abstractNumId w:val="44"/>
  </w:num>
  <w:num w:numId="4" w16cid:durableId="1217204839">
    <w:abstractNumId w:val="28"/>
  </w:num>
  <w:num w:numId="5" w16cid:durableId="251663175">
    <w:abstractNumId w:val="6"/>
  </w:num>
  <w:num w:numId="6" w16cid:durableId="559367576">
    <w:abstractNumId w:val="5"/>
  </w:num>
  <w:num w:numId="7" w16cid:durableId="1912734199">
    <w:abstractNumId w:val="4"/>
  </w:num>
  <w:num w:numId="8" w16cid:durableId="1982928076">
    <w:abstractNumId w:val="50"/>
  </w:num>
  <w:num w:numId="9" w16cid:durableId="709383194">
    <w:abstractNumId w:val="30"/>
  </w:num>
  <w:num w:numId="10" w16cid:durableId="894244870">
    <w:abstractNumId w:val="14"/>
  </w:num>
  <w:num w:numId="11" w16cid:durableId="1547796269">
    <w:abstractNumId w:val="17"/>
  </w:num>
  <w:num w:numId="12" w16cid:durableId="2116825759">
    <w:abstractNumId w:val="49"/>
  </w:num>
  <w:num w:numId="13" w16cid:durableId="1341396077">
    <w:abstractNumId w:val="19"/>
  </w:num>
  <w:num w:numId="14" w16cid:durableId="1163007285">
    <w:abstractNumId w:val="39"/>
  </w:num>
  <w:num w:numId="15" w16cid:durableId="2116830193">
    <w:abstractNumId w:val="31"/>
  </w:num>
  <w:num w:numId="16" w16cid:durableId="7612933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9249711">
    <w:abstractNumId w:val="45"/>
  </w:num>
  <w:num w:numId="18" w16cid:durableId="249505386">
    <w:abstractNumId w:val="15"/>
  </w:num>
  <w:num w:numId="19" w16cid:durableId="339701944">
    <w:abstractNumId w:val="2"/>
  </w:num>
  <w:num w:numId="20" w16cid:durableId="1398941468">
    <w:abstractNumId w:val="1"/>
  </w:num>
  <w:num w:numId="21" w16cid:durableId="18894123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1820791">
    <w:abstractNumId w:val="40"/>
  </w:num>
  <w:num w:numId="23" w16cid:durableId="594434396">
    <w:abstractNumId w:val="40"/>
    <w:lvlOverride w:ilvl="0">
      <w:startOverride w:val="1"/>
    </w:lvlOverride>
  </w:num>
  <w:num w:numId="24" w16cid:durableId="2039039425">
    <w:abstractNumId w:val="40"/>
    <w:lvlOverride w:ilvl="0">
      <w:startOverride w:val="1"/>
    </w:lvlOverride>
  </w:num>
  <w:num w:numId="25" w16cid:durableId="68691222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99335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863609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62818725">
    <w:abstractNumId w:val="11"/>
  </w:num>
  <w:num w:numId="29" w16cid:durableId="2035183213">
    <w:abstractNumId w:val="10"/>
  </w:num>
  <w:num w:numId="30" w16cid:durableId="1010566403">
    <w:abstractNumId w:val="23"/>
  </w:num>
  <w:num w:numId="31" w16cid:durableId="1864125100">
    <w:abstractNumId w:val="24"/>
  </w:num>
  <w:num w:numId="32" w16cid:durableId="336925871">
    <w:abstractNumId w:val="48"/>
  </w:num>
  <w:num w:numId="33" w16cid:durableId="1753697112">
    <w:abstractNumId w:val="18"/>
  </w:num>
  <w:num w:numId="34" w16cid:durableId="1591232734">
    <w:abstractNumId w:val="43"/>
  </w:num>
  <w:num w:numId="35" w16cid:durableId="498932746">
    <w:abstractNumId w:val="34"/>
  </w:num>
  <w:num w:numId="36" w16cid:durableId="193546436">
    <w:abstractNumId w:val="38"/>
  </w:num>
  <w:num w:numId="37" w16cid:durableId="1406145234">
    <w:abstractNumId w:val="9"/>
  </w:num>
  <w:num w:numId="38" w16cid:durableId="793907534">
    <w:abstractNumId w:val="27"/>
  </w:num>
  <w:num w:numId="39" w16cid:durableId="370157398">
    <w:abstractNumId w:val="26"/>
  </w:num>
  <w:num w:numId="40" w16cid:durableId="1150440369">
    <w:abstractNumId w:val="22"/>
  </w:num>
  <w:num w:numId="41" w16cid:durableId="485754445">
    <w:abstractNumId w:val="36"/>
  </w:num>
  <w:num w:numId="42" w16cid:durableId="614825651">
    <w:abstractNumId w:val="32"/>
  </w:num>
  <w:num w:numId="43" w16cid:durableId="614484799">
    <w:abstractNumId w:val="33"/>
  </w:num>
  <w:num w:numId="44" w16cid:durableId="6374181">
    <w:abstractNumId w:val="42"/>
  </w:num>
  <w:num w:numId="45" w16cid:durableId="26224274">
    <w:abstractNumId w:val="16"/>
  </w:num>
  <w:num w:numId="46" w16cid:durableId="952591896">
    <w:abstractNumId w:val="52"/>
  </w:num>
  <w:num w:numId="47" w16cid:durableId="186795320">
    <w:abstractNumId w:val="35"/>
  </w:num>
  <w:num w:numId="48" w16cid:durableId="193738638">
    <w:abstractNumId w:val="7"/>
  </w:num>
  <w:num w:numId="49" w16cid:durableId="561601328">
    <w:abstractNumId w:val="5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2050">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3A1"/>
    <w:rsid w:val="00006544"/>
    <w:rsid w:val="00010BD3"/>
    <w:rsid w:val="0001144C"/>
    <w:rsid w:val="00016492"/>
    <w:rsid w:val="00026C82"/>
    <w:rsid w:val="0004698A"/>
    <w:rsid w:val="0004759C"/>
    <w:rsid w:val="00063BFD"/>
    <w:rsid w:val="00086691"/>
    <w:rsid w:val="00086AD6"/>
    <w:rsid w:val="000949CB"/>
    <w:rsid w:val="000C141A"/>
    <w:rsid w:val="000C1C01"/>
    <w:rsid w:val="000C3368"/>
    <w:rsid w:val="000C3814"/>
    <w:rsid w:val="000C395D"/>
    <w:rsid w:val="000E4881"/>
    <w:rsid w:val="000E5B4E"/>
    <w:rsid w:val="000F54E7"/>
    <w:rsid w:val="00102BFC"/>
    <w:rsid w:val="00104077"/>
    <w:rsid w:val="0010724E"/>
    <w:rsid w:val="001213BE"/>
    <w:rsid w:val="00122EAB"/>
    <w:rsid w:val="00123B95"/>
    <w:rsid w:val="001251C4"/>
    <w:rsid w:val="00126C86"/>
    <w:rsid w:val="001300D0"/>
    <w:rsid w:val="00131590"/>
    <w:rsid w:val="00135230"/>
    <w:rsid w:val="00143A23"/>
    <w:rsid w:val="001444C3"/>
    <w:rsid w:val="00155B48"/>
    <w:rsid w:val="0015674B"/>
    <w:rsid w:val="00157448"/>
    <w:rsid w:val="00164424"/>
    <w:rsid w:val="00180922"/>
    <w:rsid w:val="00181844"/>
    <w:rsid w:val="001819E2"/>
    <w:rsid w:val="00184E1A"/>
    <w:rsid w:val="00186F11"/>
    <w:rsid w:val="0018749C"/>
    <w:rsid w:val="001A1842"/>
    <w:rsid w:val="001A7B19"/>
    <w:rsid w:val="001B0B3F"/>
    <w:rsid w:val="001C0319"/>
    <w:rsid w:val="001C351D"/>
    <w:rsid w:val="001C6970"/>
    <w:rsid w:val="001D0547"/>
    <w:rsid w:val="001D5E05"/>
    <w:rsid w:val="001D60E6"/>
    <w:rsid w:val="001E0A43"/>
    <w:rsid w:val="001E67A9"/>
    <w:rsid w:val="00205B35"/>
    <w:rsid w:val="002063AC"/>
    <w:rsid w:val="00214CA0"/>
    <w:rsid w:val="00217487"/>
    <w:rsid w:val="00225175"/>
    <w:rsid w:val="00225DC6"/>
    <w:rsid w:val="002344F7"/>
    <w:rsid w:val="00251598"/>
    <w:rsid w:val="00252F44"/>
    <w:rsid w:val="002578C1"/>
    <w:rsid w:val="00260106"/>
    <w:rsid w:val="00267317"/>
    <w:rsid w:val="00267638"/>
    <w:rsid w:val="002725E3"/>
    <w:rsid w:val="00283A24"/>
    <w:rsid w:val="002844E0"/>
    <w:rsid w:val="00296B08"/>
    <w:rsid w:val="002A18C2"/>
    <w:rsid w:val="002A4C3E"/>
    <w:rsid w:val="002C4EC9"/>
    <w:rsid w:val="002C6424"/>
    <w:rsid w:val="002D3826"/>
    <w:rsid w:val="002E1673"/>
    <w:rsid w:val="002E7EFC"/>
    <w:rsid w:val="002F2549"/>
    <w:rsid w:val="002F43DC"/>
    <w:rsid w:val="002F64DF"/>
    <w:rsid w:val="002F709A"/>
    <w:rsid w:val="002F7AEB"/>
    <w:rsid w:val="002F7D07"/>
    <w:rsid w:val="00304E7F"/>
    <w:rsid w:val="00306CBA"/>
    <w:rsid w:val="00307CC0"/>
    <w:rsid w:val="00322500"/>
    <w:rsid w:val="003235CB"/>
    <w:rsid w:val="00351035"/>
    <w:rsid w:val="0035331C"/>
    <w:rsid w:val="003644B5"/>
    <w:rsid w:val="00370867"/>
    <w:rsid w:val="003738EE"/>
    <w:rsid w:val="00386859"/>
    <w:rsid w:val="00391977"/>
    <w:rsid w:val="00392E0C"/>
    <w:rsid w:val="00394D1C"/>
    <w:rsid w:val="00394EA9"/>
    <w:rsid w:val="003969A2"/>
    <w:rsid w:val="003A32E0"/>
    <w:rsid w:val="003A4A87"/>
    <w:rsid w:val="003B0731"/>
    <w:rsid w:val="003B401C"/>
    <w:rsid w:val="003B5700"/>
    <w:rsid w:val="003B5EDB"/>
    <w:rsid w:val="003B6A2C"/>
    <w:rsid w:val="003C0F49"/>
    <w:rsid w:val="003C2275"/>
    <w:rsid w:val="003C4879"/>
    <w:rsid w:val="003D01BD"/>
    <w:rsid w:val="003E230C"/>
    <w:rsid w:val="003E66B9"/>
    <w:rsid w:val="003F016E"/>
    <w:rsid w:val="003F45D9"/>
    <w:rsid w:val="003F4E27"/>
    <w:rsid w:val="004113E1"/>
    <w:rsid w:val="00416EF6"/>
    <w:rsid w:val="0042000C"/>
    <w:rsid w:val="00422FAB"/>
    <w:rsid w:val="00427659"/>
    <w:rsid w:val="00430A03"/>
    <w:rsid w:val="0043672B"/>
    <w:rsid w:val="004455A7"/>
    <w:rsid w:val="00451758"/>
    <w:rsid w:val="00456B6B"/>
    <w:rsid w:val="00462DB3"/>
    <w:rsid w:val="00466D77"/>
    <w:rsid w:val="00467979"/>
    <w:rsid w:val="00474471"/>
    <w:rsid w:val="00475FC8"/>
    <w:rsid w:val="00480708"/>
    <w:rsid w:val="004907E5"/>
    <w:rsid w:val="004A2DD7"/>
    <w:rsid w:val="004A40EB"/>
    <w:rsid w:val="004A460D"/>
    <w:rsid w:val="004A6A50"/>
    <w:rsid w:val="004B0978"/>
    <w:rsid w:val="004B534D"/>
    <w:rsid w:val="004C7E27"/>
    <w:rsid w:val="004D12E1"/>
    <w:rsid w:val="004D7D40"/>
    <w:rsid w:val="004F1A9B"/>
    <w:rsid w:val="005013B3"/>
    <w:rsid w:val="00505FD8"/>
    <w:rsid w:val="00506E38"/>
    <w:rsid w:val="00510D53"/>
    <w:rsid w:val="0051295C"/>
    <w:rsid w:val="005155EC"/>
    <w:rsid w:val="0053456F"/>
    <w:rsid w:val="00535B0C"/>
    <w:rsid w:val="00536699"/>
    <w:rsid w:val="0054032A"/>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7317"/>
    <w:rsid w:val="005C69CC"/>
    <w:rsid w:val="005D3801"/>
    <w:rsid w:val="005D502E"/>
    <w:rsid w:val="005E006C"/>
    <w:rsid w:val="005E32AE"/>
    <w:rsid w:val="005E77C6"/>
    <w:rsid w:val="005F0BBF"/>
    <w:rsid w:val="005F6958"/>
    <w:rsid w:val="00607B1D"/>
    <w:rsid w:val="00610AFF"/>
    <w:rsid w:val="00613540"/>
    <w:rsid w:val="00621790"/>
    <w:rsid w:val="00645ADA"/>
    <w:rsid w:val="00647E27"/>
    <w:rsid w:val="00662658"/>
    <w:rsid w:val="00662F3F"/>
    <w:rsid w:val="006666E4"/>
    <w:rsid w:val="0066682B"/>
    <w:rsid w:val="00670B66"/>
    <w:rsid w:val="00677AD1"/>
    <w:rsid w:val="006828ED"/>
    <w:rsid w:val="006828FC"/>
    <w:rsid w:val="0068495A"/>
    <w:rsid w:val="006866A7"/>
    <w:rsid w:val="006913E2"/>
    <w:rsid w:val="00691C25"/>
    <w:rsid w:val="00692CFF"/>
    <w:rsid w:val="00694E47"/>
    <w:rsid w:val="006A627F"/>
    <w:rsid w:val="006A7D93"/>
    <w:rsid w:val="006A7ED6"/>
    <w:rsid w:val="006B074A"/>
    <w:rsid w:val="006B11CE"/>
    <w:rsid w:val="006B75D4"/>
    <w:rsid w:val="006B7B88"/>
    <w:rsid w:val="006C23AC"/>
    <w:rsid w:val="006D53EF"/>
    <w:rsid w:val="006D5BDC"/>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2F36"/>
    <w:rsid w:val="0075637D"/>
    <w:rsid w:val="007602D7"/>
    <w:rsid w:val="00771EC3"/>
    <w:rsid w:val="0077373E"/>
    <w:rsid w:val="00773ACE"/>
    <w:rsid w:val="0077512D"/>
    <w:rsid w:val="007809B7"/>
    <w:rsid w:val="00782E8F"/>
    <w:rsid w:val="00782F61"/>
    <w:rsid w:val="00784401"/>
    <w:rsid w:val="00785F89"/>
    <w:rsid w:val="0078774E"/>
    <w:rsid w:val="007924CA"/>
    <w:rsid w:val="007A6388"/>
    <w:rsid w:val="007B0E7B"/>
    <w:rsid w:val="007B4F5D"/>
    <w:rsid w:val="007B511D"/>
    <w:rsid w:val="007B546A"/>
    <w:rsid w:val="007C0C4B"/>
    <w:rsid w:val="007C0F87"/>
    <w:rsid w:val="007C35C1"/>
    <w:rsid w:val="007C7C80"/>
    <w:rsid w:val="007D6194"/>
    <w:rsid w:val="00803B4C"/>
    <w:rsid w:val="008052FC"/>
    <w:rsid w:val="00810AB4"/>
    <w:rsid w:val="008114AF"/>
    <w:rsid w:val="00813444"/>
    <w:rsid w:val="00813D23"/>
    <w:rsid w:val="00820D82"/>
    <w:rsid w:val="00821B10"/>
    <w:rsid w:val="0082304B"/>
    <w:rsid w:val="0082311D"/>
    <w:rsid w:val="00834307"/>
    <w:rsid w:val="00840293"/>
    <w:rsid w:val="008410D5"/>
    <w:rsid w:val="00841B02"/>
    <w:rsid w:val="008433CF"/>
    <w:rsid w:val="00846677"/>
    <w:rsid w:val="008645CD"/>
    <w:rsid w:val="00870DA6"/>
    <w:rsid w:val="0087108A"/>
    <w:rsid w:val="00872CD7"/>
    <w:rsid w:val="00886A1C"/>
    <w:rsid w:val="008A3BC9"/>
    <w:rsid w:val="008A3BE3"/>
    <w:rsid w:val="008B00A2"/>
    <w:rsid w:val="008B2BD7"/>
    <w:rsid w:val="008B7C35"/>
    <w:rsid w:val="008C5DD9"/>
    <w:rsid w:val="008D2825"/>
    <w:rsid w:val="008D74B1"/>
    <w:rsid w:val="008E5070"/>
    <w:rsid w:val="008E7403"/>
    <w:rsid w:val="008F1C0C"/>
    <w:rsid w:val="00900A09"/>
    <w:rsid w:val="009074D9"/>
    <w:rsid w:val="00915450"/>
    <w:rsid w:val="0091711E"/>
    <w:rsid w:val="0092029B"/>
    <w:rsid w:val="00925CAA"/>
    <w:rsid w:val="00925F83"/>
    <w:rsid w:val="00933996"/>
    <w:rsid w:val="009342B3"/>
    <w:rsid w:val="00951F3D"/>
    <w:rsid w:val="00956416"/>
    <w:rsid w:val="009572B6"/>
    <w:rsid w:val="009647C8"/>
    <w:rsid w:val="00967F9A"/>
    <w:rsid w:val="009706FB"/>
    <w:rsid w:val="0098017E"/>
    <w:rsid w:val="00980547"/>
    <w:rsid w:val="0098787E"/>
    <w:rsid w:val="00993D1E"/>
    <w:rsid w:val="009A419F"/>
    <w:rsid w:val="009A6A13"/>
    <w:rsid w:val="009C2652"/>
    <w:rsid w:val="009C2923"/>
    <w:rsid w:val="009C3719"/>
    <w:rsid w:val="009C51C5"/>
    <w:rsid w:val="009C759C"/>
    <w:rsid w:val="009D19FA"/>
    <w:rsid w:val="009D34EB"/>
    <w:rsid w:val="009E1D0E"/>
    <w:rsid w:val="009E5467"/>
    <w:rsid w:val="009E5F72"/>
    <w:rsid w:val="00A135CF"/>
    <w:rsid w:val="00A1584B"/>
    <w:rsid w:val="00A170DF"/>
    <w:rsid w:val="00A23384"/>
    <w:rsid w:val="00A26015"/>
    <w:rsid w:val="00A37A4F"/>
    <w:rsid w:val="00A40F98"/>
    <w:rsid w:val="00A5202A"/>
    <w:rsid w:val="00A6456E"/>
    <w:rsid w:val="00A67EEB"/>
    <w:rsid w:val="00A8571E"/>
    <w:rsid w:val="00A87845"/>
    <w:rsid w:val="00A90F14"/>
    <w:rsid w:val="00AA5A6B"/>
    <w:rsid w:val="00AC27DA"/>
    <w:rsid w:val="00AC476E"/>
    <w:rsid w:val="00AD1F5B"/>
    <w:rsid w:val="00AD2349"/>
    <w:rsid w:val="00AE6C2E"/>
    <w:rsid w:val="00AE7BC6"/>
    <w:rsid w:val="00AF3197"/>
    <w:rsid w:val="00AF63CF"/>
    <w:rsid w:val="00AF7E39"/>
    <w:rsid w:val="00B013E4"/>
    <w:rsid w:val="00B10361"/>
    <w:rsid w:val="00B114CC"/>
    <w:rsid w:val="00B12BD8"/>
    <w:rsid w:val="00B217D9"/>
    <w:rsid w:val="00B3351E"/>
    <w:rsid w:val="00B44C41"/>
    <w:rsid w:val="00B51083"/>
    <w:rsid w:val="00B54F88"/>
    <w:rsid w:val="00B57C72"/>
    <w:rsid w:val="00B60925"/>
    <w:rsid w:val="00B71063"/>
    <w:rsid w:val="00B82136"/>
    <w:rsid w:val="00B96F20"/>
    <w:rsid w:val="00BA277B"/>
    <w:rsid w:val="00BA7830"/>
    <w:rsid w:val="00BC060A"/>
    <w:rsid w:val="00BC0888"/>
    <w:rsid w:val="00BC60A9"/>
    <w:rsid w:val="00BD45AA"/>
    <w:rsid w:val="00BE09D0"/>
    <w:rsid w:val="00BE1393"/>
    <w:rsid w:val="00C00E7D"/>
    <w:rsid w:val="00C01977"/>
    <w:rsid w:val="00C057BA"/>
    <w:rsid w:val="00C16FF3"/>
    <w:rsid w:val="00C252AE"/>
    <w:rsid w:val="00C3191D"/>
    <w:rsid w:val="00C41C46"/>
    <w:rsid w:val="00C50C27"/>
    <w:rsid w:val="00C5293A"/>
    <w:rsid w:val="00C71D9D"/>
    <w:rsid w:val="00C81316"/>
    <w:rsid w:val="00C850E0"/>
    <w:rsid w:val="00C96FBA"/>
    <w:rsid w:val="00CA4310"/>
    <w:rsid w:val="00CA4484"/>
    <w:rsid w:val="00CB0A69"/>
    <w:rsid w:val="00CB307B"/>
    <w:rsid w:val="00CB4E50"/>
    <w:rsid w:val="00CB72F7"/>
    <w:rsid w:val="00CB793A"/>
    <w:rsid w:val="00CD4CC5"/>
    <w:rsid w:val="00CD7FE2"/>
    <w:rsid w:val="00CE2166"/>
    <w:rsid w:val="00D000C1"/>
    <w:rsid w:val="00D06C25"/>
    <w:rsid w:val="00D25E99"/>
    <w:rsid w:val="00D31E02"/>
    <w:rsid w:val="00D355EE"/>
    <w:rsid w:val="00D40B9E"/>
    <w:rsid w:val="00D456E5"/>
    <w:rsid w:val="00D465CB"/>
    <w:rsid w:val="00D50F70"/>
    <w:rsid w:val="00D57AA5"/>
    <w:rsid w:val="00D7469F"/>
    <w:rsid w:val="00D75112"/>
    <w:rsid w:val="00D75501"/>
    <w:rsid w:val="00D80AEE"/>
    <w:rsid w:val="00D83962"/>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3AB"/>
    <w:rsid w:val="00E23EC0"/>
    <w:rsid w:val="00E3726E"/>
    <w:rsid w:val="00E46801"/>
    <w:rsid w:val="00E47A3E"/>
    <w:rsid w:val="00E500D1"/>
    <w:rsid w:val="00E5224A"/>
    <w:rsid w:val="00E54015"/>
    <w:rsid w:val="00E557E9"/>
    <w:rsid w:val="00E7585E"/>
    <w:rsid w:val="00E97E50"/>
    <w:rsid w:val="00EA07C3"/>
    <w:rsid w:val="00EB2189"/>
    <w:rsid w:val="00EC1C00"/>
    <w:rsid w:val="00EC708F"/>
    <w:rsid w:val="00ED03A1"/>
    <w:rsid w:val="00ED45BB"/>
    <w:rsid w:val="00ED62D4"/>
    <w:rsid w:val="00EE7442"/>
    <w:rsid w:val="00EF03B9"/>
    <w:rsid w:val="00EF17FB"/>
    <w:rsid w:val="00EF637C"/>
    <w:rsid w:val="00F006B6"/>
    <w:rsid w:val="00F00827"/>
    <w:rsid w:val="00F031EB"/>
    <w:rsid w:val="00F046F4"/>
    <w:rsid w:val="00F15703"/>
    <w:rsid w:val="00F2123A"/>
    <w:rsid w:val="00F23055"/>
    <w:rsid w:val="00F23661"/>
    <w:rsid w:val="00F2435D"/>
    <w:rsid w:val="00F2502B"/>
    <w:rsid w:val="00F25823"/>
    <w:rsid w:val="00F26F35"/>
    <w:rsid w:val="00F31235"/>
    <w:rsid w:val="00F355BA"/>
    <w:rsid w:val="00F42424"/>
    <w:rsid w:val="00F42854"/>
    <w:rsid w:val="00F52F0F"/>
    <w:rsid w:val="00F55634"/>
    <w:rsid w:val="00F57633"/>
    <w:rsid w:val="00F67E0A"/>
    <w:rsid w:val="00F75426"/>
    <w:rsid w:val="00F82C16"/>
    <w:rsid w:val="00F85551"/>
    <w:rsid w:val="00F85923"/>
    <w:rsid w:val="00F96802"/>
    <w:rsid w:val="00FA0273"/>
    <w:rsid w:val="00FA1DF1"/>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39,#4d4d4d,maroon"/>
    </o:shapedefaults>
    <o:shapelayout v:ext="edit">
      <o:idmap v:ext="edit" data="2"/>
    </o:shapelayout>
  </w:shapeDefaults>
  <w:decimalSymbol w:val="."/>
  <w:listSeparator w:val=","/>
  <w14:docId w14:val="6DAE3CBD"/>
  <w15:docId w15:val="{B188EFC6-BBD2-46C3-9601-9CCADC17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607B1D"/>
    <w:pPr>
      <w:spacing w:before="0" w:line="240" w:lineRule="auto"/>
    </w:pPr>
    <w:rPr>
      <w:noProof/>
      <w:color w:val="4C4C4C"/>
      <w:sz w:val="32"/>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607B1D"/>
    <w:rPr>
      <w:rFonts w:ascii="Calibri" w:hAnsi="Calibri" w:cs="Calibri"/>
      <w:noProof/>
      <w:color w:val="4C4C4C"/>
      <w:sz w:val="32"/>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paragraph" w:customStyle="1" w:styleId="NoteNormalshadedbullet">
    <w:name w:val="Note Normal shaded bullet"/>
    <w:basedOn w:val="NoteNormalshaded"/>
    <w:qFormat/>
    <w:rsid w:val="00CD4CC5"/>
    <w:pPr>
      <w:numPr>
        <w:numId w:val="44"/>
      </w:numPr>
      <w:ind w:left="360"/>
    </w:pPr>
  </w:style>
  <w:style w:type="paragraph" w:customStyle="1" w:styleId="TableTextBold">
    <w:name w:val="Table Text Bold"/>
    <w:basedOn w:val="TableText"/>
    <w:qFormat/>
    <w:rsid w:val="00D465CB"/>
    <w:pPr>
      <w:spacing w:before="20" w:after="20"/>
    </w:pPr>
    <w:rPr>
      <w:b/>
      <w:sz w:val="18"/>
    </w:rPr>
  </w:style>
  <w:style w:type="paragraph" w:styleId="Revision">
    <w:name w:val="Revision"/>
    <w:hidden/>
    <w:uiPriority w:val="99"/>
    <w:semiHidden/>
    <w:rsid w:val="00ED62D4"/>
    <w:rPr>
      <w:rFonts w:ascii="Calibri" w:hAnsi="Calibri" w:cs="Calibri"/>
      <w:sz w:val="22"/>
      <w:szCs w:val="22"/>
    </w:rPr>
  </w:style>
  <w:style w:type="character" w:customStyle="1" w:styleId="CommentTextChar">
    <w:name w:val="Comment Text Char"/>
    <w:basedOn w:val="DefaultParagraphFont"/>
    <w:link w:val="CommentText"/>
    <w:uiPriority w:val="99"/>
    <w:rsid w:val="00870DA6"/>
    <w:rPr>
      <w:rFonts w:ascii="Calibri" w:hAnsi="Calibri" w:cs="Calibri"/>
      <w:sz w:val="22"/>
      <w:szCs w:val="22"/>
    </w:rPr>
  </w:style>
  <w:style w:type="character" w:styleId="UnresolvedMention">
    <w:name w:val="Unresolved Mention"/>
    <w:basedOn w:val="DefaultParagraphFont"/>
    <w:uiPriority w:val="99"/>
    <w:semiHidden/>
    <w:unhideWhenUsed/>
    <w:rsid w:val="00CD7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yingfor.vic.gov.au/market-approach-goods-and-services-policy-and-guides" TargetMode="External"/><Relationship Id="rId18" Type="http://schemas.openxmlformats.org/officeDocument/2006/relationships/hyperlink" Target="http://creativecommons.org/licenses/by/3.0/au/"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buyingfor.vic.gov.au/market-analysis-and-review-goods-and-services-procurement-guide"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creativecommons.org/licenses/by/3.0/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Microsoft_Visio_2003-2010_Drawing.vsd"/><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uyingfor.vic.gov.au/complexity-and-capability-assessment-goods-and-services-policy" TargetMode="External"/><Relationship Id="rId23" Type="http://schemas.openxmlformats.org/officeDocument/2006/relationships/footer" Target="footer2.xml"/><Relationship Id="rId10" Type="http://schemas.openxmlformats.org/officeDocument/2006/relationships/image" Target="media/image1.emf"/><Relationship Id="rId19" Type="http://schemas.openxmlformats.org/officeDocument/2006/relationships/hyperlink" Target="mailto:IPpolicy@dtf.vic.gov.au" TargetMode="External"/><Relationship Id="rId4" Type="http://schemas.openxmlformats.org/officeDocument/2006/relationships/styles" Target="styles.xml"/><Relationship Id="rId9" Type="http://schemas.openxmlformats.org/officeDocument/2006/relationships/hyperlink" Target="https://buyingfor.vic.gov.au/sites/default/files/2018-10/Guide-to-identifying-procurement-categories.docx" TargetMode="External"/><Relationship Id="rId14" Type="http://schemas.openxmlformats.org/officeDocument/2006/relationships/hyperlink" Target="https://buyingfor.vic.gov.au/goods-services-supply-policies"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5FAB402E-78B1-4258-A886-563F6D307387}">
  <ds:schemaRefs>
    <ds:schemaRef ds:uri="http://schemas.openxmlformats.org/officeDocument/2006/bibliography"/>
  </ds:schemaRefs>
</ds:datastoreItem>
</file>

<file path=customXml/itemProps2.xml><?xml version="1.0" encoding="utf-8"?>
<ds:datastoreItem xmlns:ds="http://schemas.openxmlformats.org/officeDocument/2006/customXml" ds:itemID="{9237F561-6706-489E-B1DC-A4296F8984A5}">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17629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(DGS)</cp:lastModifiedBy>
  <cp:revision>20</cp:revision>
  <cp:lastPrinted>2018-12-12T23:59:00Z</cp:lastPrinted>
  <dcterms:created xsi:type="dcterms:W3CDTF">2019-08-31T04:09:00Z</dcterms:created>
  <dcterms:modified xsi:type="dcterms:W3CDTF">2024-07-22T03:49:00Z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2019-08-31T04:08:51.1870617Z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